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23F72" w:rsidRPr="00EE5BC3" w:rsidRDefault="00123F72" w:rsidP="00123F72">
      <w:pPr>
        <w:jc w:val="center"/>
        <w:rPr>
          <w:b/>
          <w:sz w:val="28"/>
          <w:szCs w:val="28"/>
        </w:rPr>
      </w:pPr>
      <w:r w:rsidRPr="00EE5BC3">
        <w:rPr>
          <w:b/>
          <w:sz w:val="28"/>
          <w:szCs w:val="28"/>
        </w:rPr>
        <w:t>Task 4</w:t>
      </w:r>
    </w:p>
    <w:p w:rsidR="00123F72" w:rsidRPr="00EE5BC3" w:rsidRDefault="00123F72" w:rsidP="00123F72">
      <w:pPr>
        <w:jc w:val="center"/>
        <w:rPr>
          <w:b/>
          <w:sz w:val="28"/>
          <w:szCs w:val="28"/>
        </w:rPr>
      </w:pPr>
    </w:p>
    <w:p w:rsidR="00123F72" w:rsidRPr="00EE5BC3" w:rsidRDefault="00123F72" w:rsidP="00123F72">
      <w:pPr>
        <w:jc w:val="center"/>
        <w:rPr>
          <w:b/>
          <w:sz w:val="28"/>
          <w:szCs w:val="28"/>
        </w:rPr>
      </w:pPr>
      <w:r w:rsidRPr="00EE5BC3">
        <w:rPr>
          <w:b/>
          <w:sz w:val="28"/>
          <w:szCs w:val="28"/>
        </w:rPr>
        <w:t>Safeguarding</w:t>
      </w:r>
      <w:r>
        <w:rPr>
          <w:b/>
          <w:sz w:val="28"/>
          <w:szCs w:val="28"/>
        </w:rPr>
        <w:t xml:space="preserve"> in an area which is not your main area of work</w:t>
      </w:r>
    </w:p>
    <w:p w:rsidR="00123F72" w:rsidRDefault="00123F72" w:rsidP="00123F72">
      <w:pPr>
        <w:jc w:val="both"/>
        <w:rPr>
          <w:b/>
          <w:sz w:val="24"/>
          <w:szCs w:val="24"/>
        </w:rPr>
      </w:pPr>
    </w:p>
    <w:p w:rsidR="00123F72" w:rsidRDefault="00123F72" w:rsidP="00123F72">
      <w:pPr>
        <w:jc w:val="both"/>
        <w:rPr>
          <w:b/>
          <w:sz w:val="24"/>
          <w:szCs w:val="24"/>
        </w:rPr>
      </w:pPr>
    </w:p>
    <w:p w:rsidR="00123F72" w:rsidRPr="00EB695F" w:rsidRDefault="00123F72" w:rsidP="00123F72">
      <w:pPr>
        <w:jc w:val="both"/>
        <w:rPr>
          <w:b/>
          <w:sz w:val="24"/>
          <w:szCs w:val="24"/>
        </w:rPr>
      </w:pPr>
      <w:r w:rsidRPr="00EB695F">
        <w:rPr>
          <w:b/>
          <w:sz w:val="24"/>
          <w:szCs w:val="24"/>
        </w:rPr>
        <w:t>Question</w:t>
      </w:r>
      <w:r>
        <w:rPr>
          <w:b/>
          <w:sz w:val="24"/>
          <w:szCs w:val="24"/>
        </w:rPr>
        <w:t xml:space="preserve"> a:</w:t>
      </w:r>
    </w:p>
    <w:p w:rsidR="00123F72" w:rsidRDefault="00123F72" w:rsidP="00123F72">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rsidR="00123F72" w:rsidRDefault="00123F72" w:rsidP="00123F72">
      <w:pPr>
        <w:jc w:val="both"/>
        <w:rPr>
          <w:sz w:val="24"/>
          <w:szCs w:val="24"/>
        </w:rPr>
      </w:pPr>
    </w:p>
    <w:p w:rsidR="00123F72" w:rsidRDefault="00123F72" w:rsidP="00123F72">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rsidR="005E059F" w:rsidRDefault="005E059F" w:rsidP="00123F72">
      <w:pPr>
        <w:jc w:val="both"/>
        <w:rPr>
          <w:sz w:val="24"/>
          <w:szCs w:val="24"/>
        </w:rPr>
      </w:pPr>
      <w:bookmarkStart w:id="0" w:name="_GoBack"/>
      <w:bookmarkEnd w:id="0"/>
    </w:p>
    <w:p w:rsidR="00123F72" w:rsidRDefault="00123F72" w:rsidP="00123F72">
      <w:pPr>
        <w:spacing w:line="276" w:lineRule="auto"/>
        <w:jc w:val="both"/>
        <w:rPr>
          <w:rFonts w:cstheme="minorHAnsi"/>
          <w:sz w:val="24"/>
          <w:szCs w:val="24"/>
        </w:rPr>
      </w:pPr>
    </w:p>
    <w:p w:rsidR="00123F72" w:rsidRDefault="00123F72" w:rsidP="00123F72">
      <w:pPr>
        <w:spacing w:line="360" w:lineRule="auto"/>
        <w:jc w:val="both"/>
        <w:rPr>
          <w:rFonts w:cstheme="minorHAnsi"/>
          <w:sz w:val="24"/>
          <w:szCs w:val="24"/>
        </w:rPr>
      </w:pPr>
      <w:r w:rsidRPr="00200438">
        <w:rPr>
          <w:rFonts w:cstheme="minorHAnsi"/>
          <w:sz w:val="24"/>
          <w:szCs w:val="24"/>
        </w:rPr>
        <w:t>Safeguarding children is an essential part of the wellbeing duty (Williams</w:t>
      </w:r>
      <w:r>
        <w:rPr>
          <w:rFonts w:cstheme="minorHAnsi"/>
          <w:sz w:val="24"/>
          <w:szCs w:val="24"/>
        </w:rPr>
        <w:t>,</w:t>
      </w:r>
      <w:r w:rsidRPr="00200438">
        <w:rPr>
          <w:rFonts w:cstheme="minorHAnsi"/>
          <w:sz w:val="24"/>
          <w:szCs w:val="24"/>
        </w:rPr>
        <w:t xml:space="preserve"> 2018). To protect children from all forms of harm, the United Nations Convention on the rights of children (</w:t>
      </w:r>
      <w:r>
        <w:rPr>
          <w:rFonts w:cstheme="minorHAnsi"/>
          <w:sz w:val="24"/>
          <w:szCs w:val="24"/>
        </w:rPr>
        <w:t xml:space="preserve">UNCRC, </w:t>
      </w:r>
      <w:r w:rsidRPr="00200438">
        <w:rPr>
          <w:rFonts w:cstheme="minorHAnsi"/>
          <w:sz w:val="24"/>
          <w:szCs w:val="24"/>
        </w:rPr>
        <w:t xml:space="preserve">1989) was incorporated in the Social Services and Wellbeing (Wales) Act </w:t>
      </w:r>
      <w:r>
        <w:rPr>
          <w:rFonts w:cstheme="minorHAnsi"/>
          <w:sz w:val="24"/>
          <w:szCs w:val="24"/>
        </w:rPr>
        <w:t xml:space="preserve">(SSWBA </w:t>
      </w:r>
      <w:r w:rsidRPr="00200438">
        <w:rPr>
          <w:rFonts w:cstheme="minorHAnsi"/>
          <w:sz w:val="24"/>
          <w:szCs w:val="24"/>
        </w:rPr>
        <w:t>2014, a legislation that promotes the wellbeing of children and adults in Wales. Wales Safeguarding Procedures (WSP) 2019 outlines the roles and responsibilities used to apply the 2014 Act and the Working Together to Safeguard People, a statutory safeguarding guidance.</w:t>
      </w:r>
    </w:p>
    <w:p w:rsidR="00123F72" w:rsidRPr="00200438" w:rsidRDefault="00123F72" w:rsidP="00123F72">
      <w:pPr>
        <w:spacing w:line="360" w:lineRule="auto"/>
        <w:jc w:val="both"/>
        <w:rPr>
          <w:rFonts w:cstheme="minorHAnsi"/>
          <w:sz w:val="24"/>
          <w:szCs w:val="24"/>
        </w:rPr>
      </w:pPr>
    </w:p>
    <w:p w:rsidR="00123F72" w:rsidRDefault="00123F72" w:rsidP="00123F72">
      <w:pPr>
        <w:spacing w:line="360" w:lineRule="auto"/>
        <w:jc w:val="both"/>
        <w:rPr>
          <w:rFonts w:cstheme="minorHAnsi"/>
          <w:sz w:val="24"/>
          <w:szCs w:val="24"/>
        </w:rPr>
      </w:pPr>
      <w:r w:rsidRPr="00200438">
        <w:rPr>
          <w:rFonts w:cstheme="minorHAnsi"/>
          <w:sz w:val="24"/>
          <w:szCs w:val="24"/>
        </w:rPr>
        <w:t xml:space="preserve">According to s130 SSWBA 2014, 'a child at risk, is one who is experiencing or at risk of experiencing abuse, neglect and harm', or 'has needs for care and support'. When a report about a child at risk is received, initial checks to establish whether the child is suffering significant harm is carried out. Significant harm could be physical, emotional, and sexual and neglect s3 WSP 2019. </w:t>
      </w:r>
      <w:r>
        <w:rPr>
          <w:rFonts w:cstheme="minorHAnsi"/>
          <w:sz w:val="24"/>
          <w:szCs w:val="24"/>
        </w:rPr>
        <w:t>Research report</w:t>
      </w:r>
      <w:r w:rsidRPr="00200438">
        <w:rPr>
          <w:rFonts w:cstheme="minorHAnsi"/>
          <w:sz w:val="24"/>
          <w:szCs w:val="24"/>
        </w:rPr>
        <w:t xml:space="preserve"> that experiences of different forms of abuse during childhood could lead to poor outcomes in adult life</w:t>
      </w:r>
      <w:r>
        <w:rPr>
          <w:rFonts w:cstheme="minorHAnsi"/>
          <w:sz w:val="24"/>
          <w:szCs w:val="24"/>
        </w:rPr>
        <w:t xml:space="preserve"> (Ashton et al., </w:t>
      </w:r>
      <w:r w:rsidRPr="00200438">
        <w:rPr>
          <w:rFonts w:cstheme="minorHAnsi"/>
          <w:sz w:val="24"/>
          <w:szCs w:val="24"/>
        </w:rPr>
        <w:t xml:space="preserve">2016). </w:t>
      </w:r>
    </w:p>
    <w:p w:rsidR="00123F72" w:rsidRPr="00200438" w:rsidRDefault="00123F72" w:rsidP="00123F72">
      <w:pPr>
        <w:spacing w:line="360" w:lineRule="auto"/>
        <w:jc w:val="both"/>
        <w:rPr>
          <w:rFonts w:cstheme="minorHAnsi"/>
          <w:sz w:val="24"/>
          <w:szCs w:val="24"/>
        </w:rPr>
      </w:pPr>
    </w:p>
    <w:p w:rsidR="00123F72" w:rsidRDefault="00123F72" w:rsidP="00123F72">
      <w:pPr>
        <w:spacing w:line="360" w:lineRule="auto"/>
        <w:jc w:val="both"/>
        <w:rPr>
          <w:rFonts w:cstheme="minorHAnsi"/>
          <w:sz w:val="24"/>
          <w:szCs w:val="24"/>
        </w:rPr>
      </w:pPr>
      <w:r w:rsidRPr="00200438">
        <w:rPr>
          <w:rFonts w:cstheme="minorHAnsi"/>
          <w:sz w:val="24"/>
          <w:szCs w:val="24"/>
        </w:rPr>
        <w:t xml:space="preserve">Initial enquiries </w:t>
      </w:r>
      <w:r>
        <w:rPr>
          <w:rFonts w:cstheme="minorHAnsi"/>
          <w:sz w:val="24"/>
          <w:szCs w:val="24"/>
        </w:rPr>
        <w:t xml:space="preserve">of concerns </w:t>
      </w:r>
      <w:r w:rsidRPr="00200438">
        <w:rPr>
          <w:rFonts w:cstheme="minorHAnsi"/>
          <w:sz w:val="24"/>
          <w:szCs w:val="24"/>
        </w:rPr>
        <w:t>could state no further action required or assessment under s21 of the SSWBA. If it's determined that the child is experiencing or at risk of experiencing harm, a strategy discussion is held within 24 hours. The purpose of the strategy meeting is to share, discuss information and establish whether s47enquiries under C</w:t>
      </w:r>
      <w:r>
        <w:rPr>
          <w:rFonts w:cstheme="minorHAnsi"/>
          <w:sz w:val="24"/>
          <w:szCs w:val="24"/>
        </w:rPr>
        <w:t xml:space="preserve">hildren's </w:t>
      </w:r>
      <w:r w:rsidRPr="00200438">
        <w:rPr>
          <w:rFonts w:cstheme="minorHAnsi"/>
          <w:sz w:val="24"/>
          <w:szCs w:val="24"/>
        </w:rPr>
        <w:t>A</w:t>
      </w:r>
      <w:r>
        <w:rPr>
          <w:rFonts w:cstheme="minorHAnsi"/>
          <w:sz w:val="24"/>
          <w:szCs w:val="24"/>
        </w:rPr>
        <w:t>ct</w:t>
      </w:r>
      <w:r w:rsidRPr="00200438">
        <w:rPr>
          <w:rFonts w:cstheme="minorHAnsi"/>
          <w:sz w:val="24"/>
          <w:szCs w:val="24"/>
        </w:rPr>
        <w:t xml:space="preserve"> </w:t>
      </w:r>
      <w:r>
        <w:rPr>
          <w:rFonts w:cstheme="minorHAnsi"/>
          <w:sz w:val="24"/>
          <w:szCs w:val="24"/>
        </w:rPr>
        <w:t xml:space="preserve">(CA, </w:t>
      </w:r>
      <w:r w:rsidRPr="00200438">
        <w:rPr>
          <w:rFonts w:cstheme="minorHAnsi"/>
          <w:sz w:val="24"/>
          <w:szCs w:val="24"/>
        </w:rPr>
        <w:t>1989</w:t>
      </w:r>
      <w:r>
        <w:rPr>
          <w:rFonts w:cstheme="minorHAnsi"/>
          <w:sz w:val="24"/>
          <w:szCs w:val="24"/>
        </w:rPr>
        <w:t>)</w:t>
      </w:r>
      <w:r w:rsidRPr="00200438">
        <w:rPr>
          <w:rFonts w:cstheme="minorHAnsi"/>
          <w:sz w:val="24"/>
          <w:szCs w:val="24"/>
        </w:rPr>
        <w:t xml:space="preserve"> should be initiated. An Assessment Order under s43 CA 1989 allows for the assessment of the child's health and development to determine if the child is suffering or likely to suffer harm. If evidence suggest that the child is in immediate danger, they can be removed to a place of safety with parental consent or </w:t>
      </w:r>
      <w:r w:rsidRPr="00200438">
        <w:rPr>
          <w:rFonts w:cstheme="minorHAnsi"/>
          <w:sz w:val="24"/>
          <w:szCs w:val="24"/>
        </w:rPr>
        <w:lastRenderedPageBreak/>
        <w:t>an Emergency Protection Order (EPO), s44 CA 1989. If an EPO is delayed, Police Power of Protection can be used for 72 hours. The offender can also be removed using Exclusion Orders.</w:t>
      </w:r>
    </w:p>
    <w:p w:rsidR="00123F72" w:rsidRPr="00200438" w:rsidRDefault="00123F72" w:rsidP="00123F72">
      <w:pPr>
        <w:spacing w:line="360" w:lineRule="auto"/>
        <w:jc w:val="both"/>
        <w:rPr>
          <w:rFonts w:cstheme="minorHAnsi"/>
          <w:sz w:val="24"/>
          <w:szCs w:val="24"/>
        </w:rPr>
      </w:pPr>
    </w:p>
    <w:p w:rsidR="00123F72" w:rsidRDefault="00123F72" w:rsidP="00123F72">
      <w:pPr>
        <w:spacing w:line="360" w:lineRule="auto"/>
        <w:jc w:val="both"/>
        <w:rPr>
          <w:rFonts w:cstheme="minorHAnsi"/>
          <w:sz w:val="24"/>
          <w:szCs w:val="24"/>
        </w:rPr>
      </w:pPr>
      <w:r w:rsidRPr="00200438">
        <w:rPr>
          <w:rFonts w:cstheme="minorHAnsi"/>
          <w:sz w:val="24"/>
          <w:szCs w:val="24"/>
        </w:rPr>
        <w:t>If the outcome of the strategy discussion is s47 enquiries, then more information is gathered from the child, parents/carers and other professionals such as the school, police, health and other relevant partners. When engaging with the child, a child-centred approach is essential, their views, feelings and outcomes should be obtained (WSP</w:t>
      </w:r>
      <w:r>
        <w:rPr>
          <w:rFonts w:cstheme="minorHAnsi"/>
          <w:sz w:val="24"/>
          <w:szCs w:val="24"/>
        </w:rPr>
        <w:t>,</w:t>
      </w:r>
      <w:r w:rsidRPr="00200438">
        <w:rPr>
          <w:rFonts w:cstheme="minorHAnsi"/>
          <w:sz w:val="24"/>
          <w:szCs w:val="24"/>
        </w:rPr>
        <w:t xml:space="preserve"> 2019). Information gathered should be necessary, proportionate, relevant, adequate and accurate and should be shared and recorded securely as guided by </w:t>
      </w:r>
      <w:r>
        <w:rPr>
          <w:rFonts w:cstheme="minorHAnsi"/>
          <w:sz w:val="24"/>
          <w:szCs w:val="24"/>
        </w:rPr>
        <w:t>the GDPR</w:t>
      </w:r>
      <w:r w:rsidRPr="00200438">
        <w:rPr>
          <w:rFonts w:cstheme="minorHAnsi"/>
          <w:sz w:val="24"/>
          <w:szCs w:val="24"/>
        </w:rPr>
        <w:t xml:space="preserve"> 2018. </w:t>
      </w:r>
    </w:p>
    <w:p w:rsidR="00123F72" w:rsidRPr="00200438" w:rsidRDefault="00123F72" w:rsidP="00123F72">
      <w:pPr>
        <w:spacing w:line="360" w:lineRule="auto"/>
        <w:jc w:val="both"/>
        <w:rPr>
          <w:rFonts w:cstheme="minorHAnsi"/>
          <w:sz w:val="24"/>
          <w:szCs w:val="24"/>
        </w:rPr>
      </w:pPr>
    </w:p>
    <w:p w:rsidR="00123F72" w:rsidRDefault="00123F72" w:rsidP="00123F72">
      <w:pPr>
        <w:spacing w:line="360" w:lineRule="auto"/>
        <w:jc w:val="both"/>
        <w:rPr>
          <w:rFonts w:cstheme="minorHAnsi"/>
          <w:sz w:val="24"/>
          <w:szCs w:val="24"/>
        </w:rPr>
      </w:pPr>
      <w:r w:rsidRPr="00200438">
        <w:rPr>
          <w:rFonts w:cstheme="minorHAnsi"/>
          <w:sz w:val="24"/>
          <w:szCs w:val="24"/>
        </w:rPr>
        <w:t xml:space="preserve">If the determination of s47 is that a child may be at risk of significant harm, a Child Protection Conference (CPC) should be held with 15 working days and decisions to safeguard and promote the child's wellbeing considered. If review of evidence suggest that a child continues to suffer significant harm, their name is placed on the Child Protection Register (CPR). A core group of practitioners develop actions for the protection plan. When the child is on the CPR, an initial review conference is held. If the review conference determines that a child is no longer at risk of suffering harm, they can be removed from the CPR. However, if there is no significant improvement a Supervision Order can be obtained and the child can remain with family, this is </w:t>
      </w:r>
      <w:r>
        <w:rPr>
          <w:rFonts w:cstheme="minorHAnsi"/>
          <w:sz w:val="24"/>
          <w:szCs w:val="24"/>
        </w:rPr>
        <w:t xml:space="preserve">in </w:t>
      </w:r>
      <w:r w:rsidRPr="00200438">
        <w:rPr>
          <w:rFonts w:cstheme="minorHAnsi"/>
          <w:sz w:val="24"/>
          <w:szCs w:val="24"/>
        </w:rPr>
        <w:t>line with article 8 'respect for private and family life' (Human Rights Act</w:t>
      </w:r>
      <w:r>
        <w:rPr>
          <w:rFonts w:cstheme="minorHAnsi"/>
          <w:sz w:val="24"/>
          <w:szCs w:val="24"/>
        </w:rPr>
        <w:t>,</w:t>
      </w:r>
      <w:r w:rsidRPr="00200438">
        <w:rPr>
          <w:rFonts w:cstheme="minorHAnsi"/>
          <w:sz w:val="24"/>
          <w:szCs w:val="24"/>
        </w:rPr>
        <w:t xml:space="preserve"> 1998). Under the Care Order s31 CA 1989, the child becomes looked after by the local authority. </w:t>
      </w:r>
    </w:p>
    <w:p w:rsidR="00123F72" w:rsidRPr="00200438" w:rsidRDefault="00123F72" w:rsidP="00123F72">
      <w:pPr>
        <w:spacing w:line="360" w:lineRule="auto"/>
        <w:jc w:val="both"/>
        <w:rPr>
          <w:rFonts w:cstheme="minorHAnsi"/>
          <w:sz w:val="24"/>
          <w:szCs w:val="24"/>
        </w:rPr>
      </w:pPr>
    </w:p>
    <w:p w:rsidR="00123F72" w:rsidRPr="00200438" w:rsidRDefault="00123F72" w:rsidP="00123F72">
      <w:pPr>
        <w:spacing w:line="276" w:lineRule="auto"/>
        <w:jc w:val="both"/>
        <w:rPr>
          <w:rFonts w:cstheme="minorHAnsi"/>
          <w:sz w:val="24"/>
          <w:szCs w:val="24"/>
        </w:rPr>
      </w:pPr>
      <w:r w:rsidRPr="00200438">
        <w:rPr>
          <w:rFonts w:cstheme="minorHAnsi"/>
          <w:sz w:val="24"/>
          <w:szCs w:val="24"/>
        </w:rPr>
        <w:t>Word count 551</w:t>
      </w:r>
    </w:p>
    <w:p w:rsidR="00DD31B6" w:rsidRDefault="005E059F"/>
    <w:p w:rsidR="005E059F" w:rsidRDefault="005E059F"/>
    <w:p w:rsidR="005E059F" w:rsidRDefault="005E059F"/>
    <w:p w:rsidR="005E059F" w:rsidRDefault="005E059F" w:rsidP="005E059F">
      <w:pPr>
        <w:jc w:val="both"/>
        <w:rPr>
          <w:b/>
          <w:sz w:val="24"/>
          <w:szCs w:val="24"/>
        </w:rPr>
      </w:pPr>
    </w:p>
    <w:p w:rsidR="005E059F" w:rsidRDefault="005E059F" w:rsidP="005E059F">
      <w:pPr>
        <w:jc w:val="both"/>
        <w:rPr>
          <w:b/>
          <w:sz w:val="24"/>
          <w:szCs w:val="24"/>
        </w:rPr>
      </w:pPr>
    </w:p>
    <w:p w:rsidR="005E059F" w:rsidRDefault="005E059F" w:rsidP="005E059F">
      <w:pPr>
        <w:jc w:val="both"/>
        <w:rPr>
          <w:b/>
          <w:sz w:val="24"/>
          <w:szCs w:val="24"/>
        </w:rPr>
      </w:pPr>
    </w:p>
    <w:p w:rsidR="005E059F" w:rsidRDefault="005E059F" w:rsidP="005E059F">
      <w:pPr>
        <w:jc w:val="both"/>
        <w:rPr>
          <w:b/>
          <w:sz w:val="24"/>
          <w:szCs w:val="24"/>
        </w:rPr>
      </w:pPr>
    </w:p>
    <w:p w:rsidR="005E059F" w:rsidRDefault="005E059F" w:rsidP="005E059F">
      <w:pPr>
        <w:jc w:val="both"/>
        <w:rPr>
          <w:b/>
          <w:sz w:val="24"/>
          <w:szCs w:val="24"/>
        </w:rPr>
      </w:pPr>
    </w:p>
    <w:p w:rsidR="005E059F" w:rsidRDefault="005E059F" w:rsidP="005E059F">
      <w:pPr>
        <w:jc w:val="both"/>
        <w:rPr>
          <w:b/>
          <w:sz w:val="24"/>
          <w:szCs w:val="24"/>
        </w:rPr>
      </w:pPr>
    </w:p>
    <w:p w:rsidR="005E059F" w:rsidRDefault="005E059F" w:rsidP="005E059F">
      <w:pPr>
        <w:jc w:val="both"/>
        <w:rPr>
          <w:b/>
          <w:sz w:val="24"/>
          <w:szCs w:val="24"/>
        </w:rPr>
      </w:pPr>
    </w:p>
    <w:p w:rsidR="005E059F" w:rsidRDefault="005E059F" w:rsidP="005E059F">
      <w:pPr>
        <w:jc w:val="both"/>
        <w:rPr>
          <w:b/>
          <w:sz w:val="24"/>
          <w:szCs w:val="24"/>
        </w:rPr>
      </w:pPr>
    </w:p>
    <w:p w:rsidR="005E059F" w:rsidRDefault="005E059F" w:rsidP="005E059F">
      <w:pPr>
        <w:jc w:val="both"/>
        <w:rPr>
          <w:b/>
          <w:sz w:val="24"/>
          <w:szCs w:val="24"/>
        </w:rPr>
      </w:pPr>
    </w:p>
    <w:p w:rsidR="005E059F" w:rsidRDefault="005E059F" w:rsidP="005E059F">
      <w:pPr>
        <w:jc w:val="both"/>
        <w:rPr>
          <w:b/>
          <w:sz w:val="24"/>
          <w:szCs w:val="24"/>
        </w:rPr>
      </w:pPr>
    </w:p>
    <w:p w:rsidR="005E059F" w:rsidRDefault="005E059F" w:rsidP="005E059F">
      <w:pPr>
        <w:jc w:val="both"/>
        <w:rPr>
          <w:b/>
          <w:sz w:val="24"/>
          <w:szCs w:val="24"/>
        </w:rPr>
      </w:pPr>
    </w:p>
    <w:p w:rsidR="005E059F" w:rsidRDefault="005E059F" w:rsidP="005E059F">
      <w:pPr>
        <w:jc w:val="both"/>
        <w:rPr>
          <w:b/>
          <w:sz w:val="24"/>
          <w:szCs w:val="24"/>
        </w:rPr>
      </w:pPr>
    </w:p>
    <w:p w:rsidR="005E059F" w:rsidRPr="00EB695F" w:rsidRDefault="005E059F" w:rsidP="005E059F">
      <w:pPr>
        <w:jc w:val="both"/>
        <w:rPr>
          <w:b/>
          <w:sz w:val="24"/>
          <w:szCs w:val="24"/>
        </w:rPr>
      </w:pPr>
      <w:r w:rsidRPr="00EB695F">
        <w:rPr>
          <w:b/>
          <w:sz w:val="24"/>
          <w:szCs w:val="24"/>
        </w:rPr>
        <w:t>Question</w:t>
      </w:r>
      <w:r>
        <w:rPr>
          <w:b/>
          <w:sz w:val="24"/>
          <w:szCs w:val="24"/>
        </w:rPr>
        <w:t xml:space="preserve"> b</w:t>
      </w:r>
      <w:r w:rsidRPr="00EB695F">
        <w:rPr>
          <w:b/>
          <w:sz w:val="24"/>
          <w:szCs w:val="24"/>
        </w:rPr>
        <w:t>:</w:t>
      </w:r>
    </w:p>
    <w:p w:rsidR="005E059F" w:rsidRDefault="005E059F" w:rsidP="005E059F">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work</w:t>
      </w:r>
      <w:r>
        <w:rPr>
          <w:sz w:val="24"/>
          <w:szCs w:val="24"/>
        </w:rPr>
        <w:t>.</w:t>
      </w:r>
    </w:p>
    <w:p w:rsidR="005E059F" w:rsidRDefault="005E059F" w:rsidP="005E059F">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rsidR="005E059F" w:rsidRDefault="005E059F" w:rsidP="005E059F">
      <w:pPr>
        <w:jc w:val="both"/>
        <w:rPr>
          <w:sz w:val="24"/>
          <w:szCs w:val="24"/>
        </w:rPr>
      </w:pPr>
    </w:p>
    <w:p w:rsidR="005E059F" w:rsidRDefault="005E059F" w:rsidP="005E059F">
      <w:pPr>
        <w:jc w:val="both"/>
        <w:rPr>
          <w:sz w:val="24"/>
          <w:szCs w:val="24"/>
        </w:rPr>
      </w:pPr>
    </w:p>
    <w:p w:rsidR="005E059F" w:rsidRDefault="005E059F" w:rsidP="005E059F">
      <w:pPr>
        <w:spacing w:line="360" w:lineRule="auto"/>
        <w:jc w:val="both"/>
        <w:rPr>
          <w:sz w:val="24"/>
          <w:szCs w:val="24"/>
        </w:rPr>
      </w:pPr>
    </w:p>
    <w:p w:rsidR="005E059F" w:rsidRDefault="005E059F" w:rsidP="005E059F">
      <w:pPr>
        <w:spacing w:line="360" w:lineRule="auto"/>
        <w:jc w:val="both"/>
        <w:rPr>
          <w:sz w:val="24"/>
          <w:szCs w:val="24"/>
        </w:rPr>
      </w:pPr>
    </w:p>
    <w:p w:rsidR="005E059F" w:rsidRDefault="005E059F" w:rsidP="005E059F">
      <w:pPr>
        <w:spacing w:line="360" w:lineRule="auto"/>
        <w:jc w:val="both"/>
        <w:rPr>
          <w:sz w:val="24"/>
          <w:szCs w:val="24"/>
        </w:rPr>
      </w:pPr>
      <w:r w:rsidRPr="00014373">
        <w:rPr>
          <w:sz w:val="24"/>
          <w:szCs w:val="24"/>
        </w:rPr>
        <w:t>One of the notable differences between safeguarding adults and children is that safeguarding children is embedded in the culture of social work practice, it is a fundamental part of the wellbeing duty (Williams</w:t>
      </w:r>
      <w:r>
        <w:rPr>
          <w:sz w:val="24"/>
          <w:szCs w:val="24"/>
        </w:rPr>
        <w:t>,</w:t>
      </w:r>
      <w:r w:rsidRPr="00014373">
        <w:rPr>
          <w:sz w:val="24"/>
          <w:szCs w:val="24"/>
        </w:rPr>
        <w:t xml:space="preserve"> 2018). For this reason the policy and process for safeguarding children is clear and robust. For example, when a reports for safeguarding concerns for a child and adult are received, the child has to be see</w:t>
      </w:r>
      <w:r>
        <w:rPr>
          <w:sz w:val="24"/>
          <w:szCs w:val="24"/>
        </w:rPr>
        <w:t>n within 24 hours and yet,</w:t>
      </w:r>
      <w:r w:rsidRPr="00014373">
        <w:rPr>
          <w:sz w:val="24"/>
          <w:szCs w:val="24"/>
        </w:rPr>
        <w:t xml:space="preserve"> take up to 48 for the adult to be seen. </w:t>
      </w:r>
    </w:p>
    <w:p w:rsidR="005E059F" w:rsidRPr="00014373" w:rsidRDefault="005E059F" w:rsidP="005E059F">
      <w:pPr>
        <w:spacing w:line="360" w:lineRule="auto"/>
        <w:jc w:val="both"/>
        <w:rPr>
          <w:sz w:val="24"/>
          <w:szCs w:val="24"/>
        </w:rPr>
      </w:pPr>
    </w:p>
    <w:p w:rsidR="005E059F" w:rsidRDefault="005E059F" w:rsidP="005E059F">
      <w:pPr>
        <w:spacing w:line="360" w:lineRule="auto"/>
        <w:jc w:val="both"/>
        <w:rPr>
          <w:sz w:val="24"/>
          <w:szCs w:val="24"/>
        </w:rPr>
      </w:pPr>
      <w:r w:rsidRPr="00014373">
        <w:rPr>
          <w:sz w:val="24"/>
          <w:szCs w:val="24"/>
        </w:rPr>
        <w:t xml:space="preserve">Safeguarding children is everyone's business s1 WSP (2019). Anybody suspecting that a child under the age of 18 is suffering or at risk of suffering abuse or neglect as described under s3 WSP (2019) and s47 of the children's Act 1989, they have a duty to report their concerns to relevant authorities. If it's established that the child is suffering significant harm relevant authorities can ask the abuser to leave the premises or remove the child to a place of safety with parental consent. </w:t>
      </w:r>
      <w:r>
        <w:rPr>
          <w:sz w:val="24"/>
          <w:szCs w:val="24"/>
        </w:rPr>
        <w:t xml:space="preserve">However, under the Gillick competency guidelines, a child with maturity can make their own decisions (NSPCC, 2022). </w:t>
      </w:r>
      <w:r w:rsidRPr="00014373">
        <w:rPr>
          <w:sz w:val="24"/>
          <w:szCs w:val="24"/>
        </w:rPr>
        <w:t xml:space="preserve">As the welfare and safety of the child is paramount, if </w:t>
      </w:r>
      <w:r>
        <w:rPr>
          <w:sz w:val="24"/>
          <w:szCs w:val="24"/>
        </w:rPr>
        <w:t xml:space="preserve">the child cannot make their own decision and </w:t>
      </w:r>
      <w:r w:rsidRPr="00014373">
        <w:rPr>
          <w:sz w:val="24"/>
          <w:szCs w:val="24"/>
        </w:rPr>
        <w:t>obtaining parental consent proves difficult, emergency protection order could be used to remove the child to safety (WSP 2019).</w:t>
      </w:r>
      <w:r>
        <w:rPr>
          <w:sz w:val="24"/>
          <w:szCs w:val="24"/>
        </w:rPr>
        <w:t xml:space="preserve"> </w:t>
      </w:r>
    </w:p>
    <w:p w:rsidR="005E059F" w:rsidRPr="00014373" w:rsidRDefault="005E059F" w:rsidP="005E059F">
      <w:pPr>
        <w:spacing w:line="360" w:lineRule="auto"/>
        <w:jc w:val="both"/>
        <w:rPr>
          <w:sz w:val="24"/>
          <w:szCs w:val="24"/>
        </w:rPr>
      </w:pPr>
    </w:p>
    <w:p w:rsidR="005E059F" w:rsidRDefault="005E059F" w:rsidP="005E059F">
      <w:pPr>
        <w:spacing w:line="360" w:lineRule="auto"/>
        <w:jc w:val="both"/>
        <w:rPr>
          <w:sz w:val="24"/>
          <w:szCs w:val="24"/>
        </w:rPr>
      </w:pPr>
      <w:r w:rsidRPr="00014373">
        <w:rPr>
          <w:sz w:val="24"/>
          <w:szCs w:val="24"/>
        </w:rPr>
        <w:t xml:space="preserve">For adults at risk as described in s126 SSWBA 2014, one has a right to make their own decision and may choose to refuse intervention from the local authority to protect them from abuse or neglect. Without consent, the local authority has no power to make referrals to partner agencies for their involvement or to remove the perpetrator from the property. However, in Wales an Adult Protection and Support Order (APSO) can be used to gain entry to a property if access is not possible and there is need to speak to the individual and protect them from harm (Williams 2018). Options that are less interfering should be exhausted before applying to court for an APSO. However, if the adult has been assessed as lacking mental capacity to make the specific decision </w:t>
      </w:r>
      <w:r w:rsidRPr="00014373">
        <w:rPr>
          <w:sz w:val="24"/>
          <w:szCs w:val="24"/>
        </w:rPr>
        <w:lastRenderedPageBreak/>
        <w:t>about their safety, decisions are made on th</w:t>
      </w:r>
      <w:r>
        <w:rPr>
          <w:sz w:val="24"/>
          <w:szCs w:val="24"/>
        </w:rPr>
        <w:t xml:space="preserve">eir behalf. The MCA </w:t>
      </w:r>
      <w:r w:rsidRPr="00014373">
        <w:rPr>
          <w:sz w:val="24"/>
          <w:szCs w:val="24"/>
        </w:rPr>
        <w:t>stresses that decision</w:t>
      </w:r>
      <w:r>
        <w:rPr>
          <w:sz w:val="24"/>
          <w:szCs w:val="24"/>
        </w:rPr>
        <w:t>s</w:t>
      </w:r>
      <w:r w:rsidRPr="00014373">
        <w:rPr>
          <w:sz w:val="24"/>
          <w:szCs w:val="24"/>
        </w:rPr>
        <w:t xml:space="preserve"> made on someone's behalf should be in their best interes</w:t>
      </w:r>
      <w:r>
        <w:rPr>
          <w:sz w:val="24"/>
          <w:szCs w:val="24"/>
        </w:rPr>
        <w:t>t and least restrictive (200</w:t>
      </w:r>
      <w:r w:rsidRPr="00014373">
        <w:rPr>
          <w:sz w:val="24"/>
          <w:szCs w:val="24"/>
        </w:rPr>
        <w:t>5).</w:t>
      </w:r>
    </w:p>
    <w:p w:rsidR="005E059F" w:rsidRPr="00014373" w:rsidRDefault="005E059F" w:rsidP="005E059F">
      <w:pPr>
        <w:spacing w:line="360" w:lineRule="auto"/>
        <w:jc w:val="both"/>
        <w:rPr>
          <w:sz w:val="24"/>
          <w:szCs w:val="24"/>
        </w:rPr>
      </w:pPr>
    </w:p>
    <w:p w:rsidR="005E059F" w:rsidRDefault="005E059F" w:rsidP="005E059F">
      <w:pPr>
        <w:spacing w:line="360" w:lineRule="auto"/>
        <w:jc w:val="both"/>
        <w:rPr>
          <w:sz w:val="24"/>
          <w:szCs w:val="24"/>
        </w:rPr>
      </w:pPr>
      <w:r w:rsidRPr="00014373">
        <w:rPr>
          <w:sz w:val="24"/>
          <w:szCs w:val="24"/>
        </w:rPr>
        <w:t>There is also some difference in Legislation and policy. Though Social Services and Wellbeing (Wales) Act 2014 and the Wales Safeguarding Procedures 2019 protect the wellbeing of adults and children in Wales, the Children's Act 1989 is central to safeguarding children.</w:t>
      </w:r>
    </w:p>
    <w:p w:rsidR="005E059F" w:rsidRDefault="005E059F" w:rsidP="005E059F">
      <w:pPr>
        <w:spacing w:line="360" w:lineRule="auto"/>
        <w:jc w:val="both"/>
        <w:rPr>
          <w:sz w:val="24"/>
          <w:szCs w:val="24"/>
        </w:rPr>
      </w:pPr>
    </w:p>
    <w:p w:rsidR="005E059F" w:rsidRPr="00014373" w:rsidRDefault="005E059F" w:rsidP="005E059F">
      <w:pPr>
        <w:spacing w:line="360" w:lineRule="auto"/>
        <w:jc w:val="both"/>
        <w:rPr>
          <w:sz w:val="24"/>
          <w:szCs w:val="24"/>
        </w:rPr>
      </w:pPr>
      <w:r>
        <w:rPr>
          <w:sz w:val="24"/>
          <w:szCs w:val="24"/>
        </w:rPr>
        <w:t>Word Count: 424</w:t>
      </w:r>
    </w:p>
    <w:p w:rsidR="005E059F" w:rsidRPr="00014373" w:rsidRDefault="005E059F" w:rsidP="005E059F">
      <w:pPr>
        <w:jc w:val="both"/>
        <w:rPr>
          <w:sz w:val="24"/>
          <w:szCs w:val="24"/>
        </w:rPr>
      </w:pPr>
    </w:p>
    <w:p w:rsidR="005E059F" w:rsidRPr="00014373" w:rsidRDefault="005E059F" w:rsidP="005E059F">
      <w:pPr>
        <w:jc w:val="both"/>
        <w:rPr>
          <w:sz w:val="24"/>
          <w:szCs w:val="24"/>
        </w:rPr>
      </w:pPr>
    </w:p>
    <w:p w:rsidR="005E059F" w:rsidRDefault="005E059F" w:rsidP="005E059F">
      <w:pPr>
        <w:jc w:val="both"/>
        <w:rPr>
          <w:sz w:val="24"/>
          <w:szCs w:val="24"/>
        </w:rPr>
      </w:pPr>
    </w:p>
    <w:p w:rsidR="005E059F" w:rsidRDefault="005E059F"/>
    <w:sectPr w:rsidR="005E05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3F72"/>
    <w:rsid w:val="00123F72"/>
    <w:rsid w:val="005E059F"/>
    <w:rsid w:val="00E4023F"/>
    <w:rsid w:val="00E40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3B5B1"/>
  <w15:chartTrackingRefBased/>
  <w15:docId w15:val="{9BB333C1-CFE2-4CB9-8055-DA2C7F32C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23F72"/>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971</Words>
  <Characters>5537</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6496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Emelia Kalongo</dc:creator>
  <cp:keywords/>
  <dc:description/>
  <cp:lastModifiedBy>Emelia Kalongo</cp:lastModifiedBy>
  <cp:revision>2</cp:revision>
  <dcterms:created xsi:type="dcterms:W3CDTF">2023-02-26T15:01:00Z</dcterms:created>
  <dcterms:modified xsi:type="dcterms:W3CDTF">2023-02-26T15:01:00Z</dcterms:modified>
</cp:coreProperties>
</file>