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97D" w:rsidRDefault="00C578FC" w:rsidP="00E83D8B">
      <w:pPr>
        <w:jc w:val="center"/>
        <w:rPr>
          <w:rFonts w:ascii="Arial" w:hAnsi="Arial" w:cs="Arial"/>
          <w:b/>
          <w:sz w:val="32"/>
          <w:u w:val="single"/>
        </w:rPr>
      </w:pPr>
      <w:r w:rsidRPr="00C578FC">
        <w:rPr>
          <w:rFonts w:ascii="Arial" w:hAnsi="Arial" w:cs="Arial"/>
          <w:b/>
          <w:sz w:val="32"/>
          <w:u w:val="single"/>
        </w:rPr>
        <w:t>Bayeux Tapestry - Scene 23: Harold swearing oath on holy relics to William, Duke of Normandy</w:t>
      </w:r>
    </w:p>
    <w:p w:rsidR="00C578FC" w:rsidRDefault="00583BE9" w:rsidP="00E83D8B">
      <w:pPr>
        <w:jc w:val="center"/>
        <w:rPr>
          <w:rFonts w:ascii="Arial" w:hAnsi="Arial" w:cs="Arial"/>
          <w:b/>
          <w:sz w:val="32"/>
          <w:u w:val="single"/>
        </w:rPr>
      </w:pPr>
      <w:r>
        <w:rPr>
          <w:rFonts w:ascii="Arial" w:hAnsi="Arial" w:cs="Arial"/>
          <w:noProof/>
          <w:sz w:val="24"/>
          <w:lang w:val="en-US"/>
        </w:rPr>
        <w:drawing>
          <wp:anchor distT="0" distB="0" distL="114300" distR="114300" simplePos="0" relativeHeight="251658240" behindDoc="0" locked="0" layoutInCell="1" allowOverlap="1" wp14:anchorId="7468521C" wp14:editId="6123042A">
            <wp:simplePos x="0" y="0"/>
            <wp:positionH relativeFrom="column">
              <wp:posOffset>666750</wp:posOffset>
            </wp:positionH>
            <wp:positionV relativeFrom="paragraph">
              <wp:posOffset>59690</wp:posOffset>
            </wp:positionV>
            <wp:extent cx="4762500" cy="246253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9px-Bayeux_Tapestry_scene23_Harold_oath_William.jpg"/>
                    <pic:cNvPicPr/>
                  </pic:nvPicPr>
                  <pic:blipFill rotWithShape="1">
                    <a:blip r:embed="rId8" cstate="print">
                      <a:extLst>
                        <a:ext uri="{28A0092B-C50C-407E-A947-70E740481C1C}">
                          <a14:useLocalDpi xmlns:a14="http://schemas.microsoft.com/office/drawing/2010/main" val="0"/>
                        </a:ext>
                      </a:extLst>
                    </a:blip>
                    <a:srcRect r="18930"/>
                    <a:stretch/>
                  </pic:blipFill>
                  <pic:spPr bwMode="auto">
                    <a:xfrm>
                      <a:off x="0" y="0"/>
                      <a:ext cx="4762500" cy="2462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78FC" w:rsidRDefault="00C578FC" w:rsidP="00E83D8B">
      <w:pPr>
        <w:jc w:val="center"/>
        <w:rPr>
          <w:rFonts w:ascii="Arial" w:hAnsi="Arial" w:cs="Arial"/>
          <w:b/>
          <w:sz w:val="32"/>
          <w:u w:val="single"/>
        </w:rPr>
      </w:pPr>
    </w:p>
    <w:p w:rsidR="00C578FC" w:rsidRDefault="00C578FC" w:rsidP="00E83D8B">
      <w:pPr>
        <w:jc w:val="center"/>
        <w:rPr>
          <w:rFonts w:ascii="Arial" w:hAnsi="Arial" w:cs="Arial"/>
          <w:b/>
          <w:sz w:val="32"/>
          <w:u w:val="single"/>
        </w:rPr>
      </w:pPr>
    </w:p>
    <w:p w:rsidR="00C578FC" w:rsidRDefault="00C578FC" w:rsidP="00E83D8B">
      <w:pPr>
        <w:jc w:val="center"/>
        <w:rPr>
          <w:rFonts w:ascii="Arial" w:hAnsi="Arial" w:cs="Arial"/>
          <w:b/>
          <w:sz w:val="32"/>
          <w:u w:val="single"/>
        </w:rPr>
      </w:pPr>
    </w:p>
    <w:p w:rsidR="00C578FC" w:rsidRDefault="00C578FC" w:rsidP="00E83D8B">
      <w:pPr>
        <w:jc w:val="center"/>
        <w:rPr>
          <w:rFonts w:ascii="Arial" w:hAnsi="Arial" w:cs="Arial"/>
          <w:b/>
          <w:sz w:val="32"/>
          <w:u w:val="single"/>
        </w:rPr>
      </w:pPr>
    </w:p>
    <w:p w:rsidR="00C578FC" w:rsidRDefault="00C578FC" w:rsidP="00E83D8B">
      <w:pPr>
        <w:jc w:val="center"/>
        <w:rPr>
          <w:rFonts w:ascii="Arial" w:hAnsi="Arial" w:cs="Arial"/>
          <w:b/>
          <w:sz w:val="32"/>
          <w:u w:val="single"/>
        </w:rPr>
      </w:pPr>
    </w:p>
    <w:p w:rsidR="00C578FC" w:rsidRPr="00583BE9" w:rsidRDefault="00583BE9" w:rsidP="00E83D8B">
      <w:pPr>
        <w:jc w:val="center"/>
        <w:rPr>
          <w:rFonts w:ascii="Arial" w:hAnsi="Arial" w:cs="Arial"/>
          <w:sz w:val="24"/>
          <w:u w:val="single"/>
        </w:rPr>
      </w:pPr>
      <w:r w:rsidRPr="00583BE9">
        <w:rPr>
          <w:rFonts w:ascii="Arial" w:hAnsi="Arial" w:cs="Arial"/>
          <w:sz w:val="24"/>
          <w:u w:val="single"/>
        </w:rPr>
        <w:t xml:space="preserve">Image </w:t>
      </w:r>
      <w:proofErr w:type="gramStart"/>
      <w:r w:rsidRPr="00583BE9">
        <w:rPr>
          <w:rFonts w:ascii="Arial" w:hAnsi="Arial" w:cs="Arial"/>
          <w:sz w:val="24"/>
          <w:u w:val="single"/>
        </w:rPr>
        <w:t>I</w:t>
      </w:r>
      <w:proofErr w:type="gramEnd"/>
      <w:r>
        <w:rPr>
          <w:rFonts w:ascii="Arial" w:hAnsi="Arial" w:cs="Arial"/>
          <w:sz w:val="24"/>
          <w:u w:val="single"/>
        </w:rPr>
        <w:t>:</w:t>
      </w:r>
    </w:p>
    <w:p w:rsidR="00583BE9" w:rsidRDefault="00583BE9" w:rsidP="00C578FC">
      <w:pPr>
        <w:rPr>
          <w:rFonts w:ascii="Arial" w:hAnsi="Arial" w:cs="Arial"/>
          <w:sz w:val="24"/>
        </w:rPr>
      </w:pPr>
    </w:p>
    <w:p w:rsidR="00C578FC" w:rsidRDefault="006F779D" w:rsidP="00C578FC">
      <w:pPr>
        <w:rPr>
          <w:rFonts w:ascii="Arial" w:hAnsi="Arial" w:cs="Arial"/>
          <w:sz w:val="24"/>
        </w:rPr>
      </w:pPr>
      <w:r>
        <w:rPr>
          <w:rFonts w:ascii="Arial" w:hAnsi="Arial" w:cs="Arial"/>
          <w:sz w:val="24"/>
        </w:rPr>
        <w:t xml:space="preserve">The Bayeux Tapestry </w:t>
      </w:r>
      <w:r w:rsidR="005F41FB">
        <w:rPr>
          <w:rFonts w:ascii="Arial" w:hAnsi="Arial" w:cs="Arial"/>
          <w:sz w:val="24"/>
        </w:rPr>
        <w:t xml:space="preserve">is </w:t>
      </w:r>
      <w:proofErr w:type="gramStart"/>
      <w:r w:rsidR="005F41FB">
        <w:rPr>
          <w:rFonts w:ascii="Arial" w:hAnsi="Arial" w:cs="Arial"/>
          <w:sz w:val="24"/>
        </w:rPr>
        <w:t>a 224</w:t>
      </w:r>
      <w:proofErr w:type="gramEnd"/>
      <w:r w:rsidR="005F41FB">
        <w:rPr>
          <w:rFonts w:ascii="Arial" w:hAnsi="Arial" w:cs="Arial"/>
          <w:sz w:val="24"/>
        </w:rPr>
        <w:t xml:space="preserve"> fee</w:t>
      </w:r>
      <w:r w:rsidR="003C4D94">
        <w:rPr>
          <w:rFonts w:ascii="Arial" w:hAnsi="Arial" w:cs="Arial"/>
          <w:sz w:val="24"/>
        </w:rPr>
        <w:t xml:space="preserve">t long </w:t>
      </w:r>
      <w:r w:rsidR="00FF275B">
        <w:rPr>
          <w:rFonts w:ascii="Arial" w:hAnsi="Arial" w:cs="Arial"/>
          <w:sz w:val="24"/>
        </w:rPr>
        <w:t>narrative embroidery</w:t>
      </w:r>
      <w:r w:rsidR="00FF275B">
        <w:rPr>
          <w:rStyle w:val="FootnoteReference"/>
          <w:rFonts w:ascii="Arial" w:hAnsi="Arial" w:cs="Arial"/>
          <w:sz w:val="24"/>
        </w:rPr>
        <w:footnoteReference w:id="1"/>
      </w:r>
      <w:r w:rsidR="00FF275B">
        <w:rPr>
          <w:rFonts w:ascii="Arial" w:hAnsi="Arial" w:cs="Arial"/>
          <w:sz w:val="24"/>
        </w:rPr>
        <w:t xml:space="preserve"> probably commissioned in the 11</w:t>
      </w:r>
      <w:r w:rsidR="00FF275B" w:rsidRPr="00FF275B">
        <w:rPr>
          <w:rFonts w:ascii="Arial" w:hAnsi="Arial" w:cs="Arial"/>
          <w:sz w:val="24"/>
          <w:vertAlign w:val="superscript"/>
        </w:rPr>
        <w:t>th</w:t>
      </w:r>
      <w:r w:rsidR="00FF275B">
        <w:rPr>
          <w:rFonts w:ascii="Arial" w:hAnsi="Arial" w:cs="Arial"/>
          <w:sz w:val="24"/>
        </w:rPr>
        <w:t xml:space="preserve"> C</w:t>
      </w:r>
      <w:r w:rsidR="005F41FB">
        <w:rPr>
          <w:rFonts w:ascii="Arial" w:hAnsi="Arial" w:cs="Arial"/>
          <w:sz w:val="24"/>
        </w:rPr>
        <w:t xml:space="preserve">entury by </w:t>
      </w:r>
      <w:proofErr w:type="spellStart"/>
      <w:r w:rsidR="005F41FB">
        <w:rPr>
          <w:rFonts w:ascii="Arial" w:hAnsi="Arial" w:cs="Arial"/>
          <w:sz w:val="24"/>
        </w:rPr>
        <w:t>Odo</w:t>
      </w:r>
      <w:proofErr w:type="spellEnd"/>
      <w:r w:rsidR="005F41FB">
        <w:rPr>
          <w:rFonts w:ascii="Arial" w:hAnsi="Arial" w:cs="Arial"/>
          <w:sz w:val="24"/>
        </w:rPr>
        <w:t>, Bishop of Bayeux to decorate the nave of his new cathedral, Notre-Dame de Bayeux.</w:t>
      </w:r>
      <w:r w:rsidR="00E8036F">
        <w:rPr>
          <w:rStyle w:val="FootnoteReference"/>
          <w:rFonts w:ascii="Arial" w:hAnsi="Arial" w:cs="Arial"/>
          <w:sz w:val="24"/>
        </w:rPr>
        <w:footnoteReference w:id="2"/>
      </w:r>
      <w:r w:rsidR="006C7445">
        <w:rPr>
          <w:rFonts w:ascii="Arial" w:hAnsi="Arial" w:cs="Arial"/>
          <w:sz w:val="24"/>
        </w:rPr>
        <w:t xml:space="preserve"> It tells the story of the conquest of England by William, Duke of Normandy</w:t>
      </w:r>
      <w:r w:rsidR="00317EBC">
        <w:rPr>
          <w:rFonts w:ascii="Arial" w:hAnsi="Arial" w:cs="Arial"/>
          <w:sz w:val="24"/>
        </w:rPr>
        <w:t>, later King William I or the Conqueror</w:t>
      </w:r>
      <w:r w:rsidR="003A2A32">
        <w:rPr>
          <w:rFonts w:ascii="Arial" w:hAnsi="Arial" w:cs="Arial"/>
          <w:sz w:val="24"/>
        </w:rPr>
        <w:t>.</w:t>
      </w:r>
      <w:r w:rsidR="003A2A32">
        <w:rPr>
          <w:rStyle w:val="FootnoteReference"/>
          <w:rFonts w:ascii="Arial" w:hAnsi="Arial" w:cs="Arial"/>
          <w:sz w:val="24"/>
        </w:rPr>
        <w:footnoteReference w:id="3"/>
      </w:r>
      <w:r w:rsidR="003A2A32">
        <w:rPr>
          <w:rFonts w:ascii="Arial" w:hAnsi="Arial" w:cs="Arial"/>
          <w:sz w:val="24"/>
        </w:rPr>
        <w:t xml:space="preserve"> </w:t>
      </w:r>
      <w:proofErr w:type="spellStart"/>
      <w:r w:rsidR="003A2A32">
        <w:rPr>
          <w:rFonts w:ascii="Arial" w:hAnsi="Arial" w:cs="Arial"/>
          <w:sz w:val="24"/>
        </w:rPr>
        <w:t>Odo</w:t>
      </w:r>
      <w:proofErr w:type="spellEnd"/>
      <w:r w:rsidR="003A2A32">
        <w:rPr>
          <w:rFonts w:ascii="Arial" w:hAnsi="Arial" w:cs="Arial"/>
          <w:sz w:val="24"/>
        </w:rPr>
        <w:t xml:space="preserve"> was William’s half-brother by the same mother</w:t>
      </w:r>
      <w:r w:rsidR="003A2A32">
        <w:rPr>
          <w:rStyle w:val="FootnoteReference"/>
          <w:rFonts w:ascii="Arial" w:hAnsi="Arial" w:cs="Arial"/>
          <w:sz w:val="24"/>
        </w:rPr>
        <w:footnoteReference w:id="4"/>
      </w:r>
      <w:r w:rsidR="00D54462">
        <w:rPr>
          <w:rFonts w:ascii="Arial" w:hAnsi="Arial" w:cs="Arial"/>
          <w:sz w:val="24"/>
        </w:rPr>
        <w:t xml:space="preserve"> and was raised to the position of Bishop of Bayeux in 1049</w:t>
      </w:r>
      <w:r w:rsidR="00D25109">
        <w:rPr>
          <w:rFonts w:ascii="Arial" w:hAnsi="Arial" w:cs="Arial"/>
          <w:sz w:val="24"/>
        </w:rPr>
        <w:t xml:space="preserve"> AD</w:t>
      </w:r>
      <w:r w:rsidR="00D54462">
        <w:rPr>
          <w:rFonts w:ascii="Arial" w:hAnsi="Arial" w:cs="Arial"/>
          <w:sz w:val="24"/>
        </w:rPr>
        <w:t>.</w:t>
      </w:r>
      <w:r w:rsidR="00D54462">
        <w:rPr>
          <w:rStyle w:val="FootnoteReference"/>
          <w:rFonts w:ascii="Arial" w:hAnsi="Arial" w:cs="Arial"/>
          <w:sz w:val="24"/>
        </w:rPr>
        <w:footnoteReference w:id="5"/>
      </w:r>
      <w:r w:rsidR="00D54462">
        <w:rPr>
          <w:rFonts w:ascii="Arial" w:hAnsi="Arial" w:cs="Arial"/>
          <w:sz w:val="24"/>
        </w:rPr>
        <w:t xml:space="preserve"> </w:t>
      </w:r>
      <w:proofErr w:type="spellStart"/>
      <w:r w:rsidR="00D54462">
        <w:rPr>
          <w:rFonts w:ascii="Arial" w:hAnsi="Arial" w:cs="Arial"/>
          <w:sz w:val="24"/>
        </w:rPr>
        <w:t>Odo</w:t>
      </w:r>
      <w:proofErr w:type="spellEnd"/>
      <w:r w:rsidR="00D54462">
        <w:rPr>
          <w:rFonts w:ascii="Arial" w:hAnsi="Arial" w:cs="Arial"/>
          <w:sz w:val="24"/>
        </w:rPr>
        <w:t xml:space="preserve"> also fought at the Battle of Hastings and was made Earl of Kent in 1067</w:t>
      </w:r>
      <w:r w:rsidR="00D25109">
        <w:rPr>
          <w:rFonts w:ascii="Arial" w:hAnsi="Arial" w:cs="Arial"/>
          <w:sz w:val="24"/>
        </w:rPr>
        <w:t xml:space="preserve"> AD</w:t>
      </w:r>
      <w:r w:rsidR="00D54462">
        <w:rPr>
          <w:rFonts w:ascii="Arial" w:hAnsi="Arial" w:cs="Arial"/>
          <w:sz w:val="24"/>
        </w:rPr>
        <w:t>.</w:t>
      </w:r>
      <w:r w:rsidR="00D54462">
        <w:rPr>
          <w:rStyle w:val="FootnoteReference"/>
          <w:rFonts w:ascii="Arial" w:hAnsi="Arial" w:cs="Arial"/>
          <w:sz w:val="24"/>
        </w:rPr>
        <w:footnoteReference w:id="6"/>
      </w:r>
    </w:p>
    <w:p w:rsidR="00AE1418" w:rsidRDefault="00AE1418" w:rsidP="00C578FC">
      <w:pPr>
        <w:rPr>
          <w:rFonts w:ascii="Arial" w:hAnsi="Arial" w:cs="Arial"/>
          <w:sz w:val="24"/>
        </w:rPr>
      </w:pPr>
      <w:r>
        <w:rPr>
          <w:rFonts w:ascii="Arial" w:hAnsi="Arial" w:cs="Arial"/>
          <w:sz w:val="24"/>
        </w:rPr>
        <w:t xml:space="preserve">The Tapestry recounts the events leading up to the Battle of Hasting in 1066 AD and the subsequent conquest of England almost entirely through pictures. Although there is </w:t>
      </w:r>
      <w:r>
        <w:rPr>
          <w:rFonts w:ascii="Arial" w:hAnsi="Arial" w:cs="Arial"/>
          <w:sz w:val="24"/>
        </w:rPr>
        <w:lastRenderedPageBreak/>
        <w:t xml:space="preserve">some text running across the top of the scenes, this is there to explain roughly what is happening in the embroidery while the images themselves give any detail. The possible reason for this format can be deduced from the exhibition of the Tapestry. It was displayed in the nave of Notre-Dame de Bayeux, </w:t>
      </w:r>
      <w:proofErr w:type="spellStart"/>
      <w:r>
        <w:rPr>
          <w:rFonts w:ascii="Arial" w:hAnsi="Arial" w:cs="Arial"/>
          <w:sz w:val="24"/>
        </w:rPr>
        <w:t>Odo’s</w:t>
      </w:r>
      <w:proofErr w:type="spellEnd"/>
      <w:r>
        <w:rPr>
          <w:rFonts w:ascii="Arial" w:hAnsi="Arial" w:cs="Arial"/>
          <w:sz w:val="24"/>
        </w:rPr>
        <w:t xml:space="preserve"> cathedral.</w:t>
      </w:r>
      <w:r w:rsidR="002F0FF3">
        <w:rPr>
          <w:rStyle w:val="FootnoteReference"/>
          <w:rFonts w:ascii="Arial" w:hAnsi="Arial" w:cs="Arial"/>
          <w:sz w:val="24"/>
        </w:rPr>
        <w:footnoteReference w:id="7"/>
      </w:r>
      <w:r>
        <w:rPr>
          <w:rFonts w:ascii="Arial" w:hAnsi="Arial" w:cs="Arial"/>
          <w:sz w:val="24"/>
        </w:rPr>
        <w:t xml:space="preserve"> The nave is the main body of a church where the congregation sits during services</w:t>
      </w:r>
      <w:r w:rsidR="00DB01F5">
        <w:rPr>
          <w:rFonts w:ascii="Arial" w:hAnsi="Arial" w:cs="Arial"/>
          <w:sz w:val="24"/>
        </w:rPr>
        <w:t xml:space="preserve">, </w:t>
      </w:r>
      <w:r>
        <w:rPr>
          <w:rStyle w:val="FootnoteReference"/>
          <w:rFonts w:ascii="Arial" w:hAnsi="Arial" w:cs="Arial"/>
          <w:sz w:val="24"/>
        </w:rPr>
        <w:footnoteReference w:id="8"/>
      </w:r>
      <w:r>
        <w:rPr>
          <w:rFonts w:ascii="Arial" w:hAnsi="Arial" w:cs="Arial"/>
          <w:sz w:val="24"/>
        </w:rPr>
        <w:t xml:space="preserve">as such </w:t>
      </w:r>
      <w:r w:rsidR="00DB01F5">
        <w:rPr>
          <w:rFonts w:ascii="Arial" w:hAnsi="Arial" w:cs="Arial"/>
          <w:sz w:val="24"/>
        </w:rPr>
        <w:t xml:space="preserve">the Tapestry would have been visible to any person who came into the Cathedral. </w:t>
      </w:r>
      <w:r w:rsidR="00483650">
        <w:rPr>
          <w:rFonts w:ascii="Arial" w:hAnsi="Arial" w:cs="Arial"/>
          <w:sz w:val="24"/>
        </w:rPr>
        <w:t xml:space="preserve">Given that the majority of people in medieval </w:t>
      </w:r>
      <w:r w:rsidR="00CE57C6">
        <w:rPr>
          <w:rFonts w:ascii="Arial" w:hAnsi="Arial" w:cs="Arial"/>
          <w:sz w:val="24"/>
        </w:rPr>
        <w:t>Western</w:t>
      </w:r>
      <w:r w:rsidR="003B73DC">
        <w:rPr>
          <w:rFonts w:ascii="Arial" w:hAnsi="Arial" w:cs="Arial"/>
          <w:sz w:val="24"/>
        </w:rPr>
        <w:t xml:space="preserve"> Europe</w:t>
      </w:r>
      <w:r w:rsidR="00483650">
        <w:rPr>
          <w:rFonts w:ascii="Arial" w:hAnsi="Arial" w:cs="Arial"/>
          <w:sz w:val="24"/>
        </w:rPr>
        <w:t xml:space="preserve"> could not read</w:t>
      </w:r>
      <w:r w:rsidR="003B73DC">
        <w:rPr>
          <w:rFonts w:ascii="Arial" w:hAnsi="Arial" w:cs="Arial"/>
          <w:sz w:val="24"/>
        </w:rPr>
        <w:t xml:space="preserve"> – literacy rates being under twenty percent</w:t>
      </w:r>
      <w:r w:rsidR="003B73DC">
        <w:rPr>
          <w:rStyle w:val="FootnoteReference"/>
          <w:rFonts w:ascii="Arial" w:hAnsi="Arial" w:cs="Arial"/>
          <w:sz w:val="24"/>
        </w:rPr>
        <w:footnoteReference w:id="9"/>
      </w:r>
      <w:r w:rsidR="003B73DC">
        <w:rPr>
          <w:rFonts w:ascii="Arial" w:hAnsi="Arial" w:cs="Arial"/>
          <w:sz w:val="24"/>
        </w:rPr>
        <w:t xml:space="preserve"> - </w:t>
      </w:r>
      <w:r w:rsidR="002F0FF3">
        <w:rPr>
          <w:rFonts w:ascii="Arial" w:hAnsi="Arial" w:cs="Arial"/>
          <w:sz w:val="24"/>
        </w:rPr>
        <w:t>this visual retelling of William’s achievements meant that even common folk could understand what it was about, not to mention the fact that the tapestry is very striking to look at.</w:t>
      </w:r>
    </w:p>
    <w:p w:rsidR="00143146" w:rsidRDefault="00143146" w:rsidP="00C578FC">
      <w:pPr>
        <w:rPr>
          <w:rFonts w:ascii="Arial" w:hAnsi="Arial" w:cs="Arial"/>
          <w:sz w:val="24"/>
        </w:rPr>
      </w:pPr>
      <w:r>
        <w:rPr>
          <w:rFonts w:ascii="Arial" w:hAnsi="Arial" w:cs="Arial"/>
          <w:sz w:val="24"/>
        </w:rPr>
        <w:t xml:space="preserve">The scene </w:t>
      </w:r>
      <w:r w:rsidR="00583BE9">
        <w:rPr>
          <w:rFonts w:ascii="Arial" w:hAnsi="Arial" w:cs="Arial"/>
          <w:sz w:val="24"/>
        </w:rPr>
        <w:t>discussed here (image I)</w:t>
      </w:r>
      <w:r w:rsidR="002762B0">
        <w:rPr>
          <w:rFonts w:ascii="Arial" w:hAnsi="Arial" w:cs="Arial"/>
          <w:sz w:val="24"/>
        </w:rPr>
        <w:t xml:space="preserve"> is the twenty third</w:t>
      </w:r>
      <w:r w:rsidR="00D25109">
        <w:rPr>
          <w:rFonts w:ascii="Arial" w:hAnsi="Arial" w:cs="Arial"/>
          <w:sz w:val="24"/>
        </w:rPr>
        <w:t xml:space="preserve"> in the tapestry and depicts Harold Godwinson swearing an oath to Duke William</w:t>
      </w:r>
      <w:r w:rsidR="00583BE9">
        <w:rPr>
          <w:rFonts w:ascii="Arial" w:hAnsi="Arial" w:cs="Arial"/>
          <w:sz w:val="24"/>
        </w:rPr>
        <w:t>, with his hands on holy relics.</w:t>
      </w:r>
      <w:r w:rsidR="00D06283">
        <w:rPr>
          <w:rFonts w:ascii="Arial" w:hAnsi="Arial" w:cs="Arial"/>
          <w:sz w:val="24"/>
        </w:rPr>
        <w:t xml:space="preserve"> This is apparent from the Latin caption at the top of the scene, reading: ‘</w:t>
      </w:r>
      <w:r w:rsidR="00D06283" w:rsidRPr="00D06283">
        <w:rPr>
          <w:rFonts w:ascii="Arial" w:hAnsi="Arial" w:cs="Arial"/>
          <w:sz w:val="24"/>
        </w:rPr>
        <w:t>HAROLD SACRAMENTUM FECIT VVILLELMO DUCI</w:t>
      </w:r>
      <w:r w:rsidR="00D06283">
        <w:rPr>
          <w:rFonts w:ascii="Arial" w:hAnsi="Arial" w:cs="Arial"/>
          <w:sz w:val="24"/>
        </w:rPr>
        <w:t>.’ In English this says ‘Harold made an oath to Duke William’</w:t>
      </w:r>
      <w:r w:rsidR="00B757FF">
        <w:rPr>
          <w:rFonts w:ascii="Arial" w:hAnsi="Arial" w:cs="Arial"/>
          <w:sz w:val="24"/>
        </w:rPr>
        <w:t>;</w:t>
      </w:r>
      <w:r w:rsidR="00D06283">
        <w:rPr>
          <w:rStyle w:val="FootnoteReference"/>
          <w:rFonts w:ascii="Arial" w:hAnsi="Arial" w:cs="Arial"/>
          <w:sz w:val="24"/>
        </w:rPr>
        <w:footnoteReference w:id="10"/>
      </w:r>
      <w:r w:rsidR="00B757FF">
        <w:rPr>
          <w:rFonts w:ascii="Arial" w:hAnsi="Arial" w:cs="Arial"/>
          <w:sz w:val="24"/>
        </w:rPr>
        <w:t xml:space="preserve"> a simple description of a complicated event. The caption itself is a short way of not only explaining the event unfolding in the embroidery</w:t>
      </w:r>
      <w:r w:rsidR="009F3B7C">
        <w:rPr>
          <w:rFonts w:ascii="Arial" w:hAnsi="Arial" w:cs="Arial"/>
          <w:sz w:val="24"/>
        </w:rPr>
        <w:t>,</w:t>
      </w:r>
      <w:r w:rsidR="00B757FF">
        <w:rPr>
          <w:rFonts w:ascii="Arial" w:hAnsi="Arial" w:cs="Arial"/>
          <w:sz w:val="24"/>
        </w:rPr>
        <w:t xml:space="preserve"> but also siting the viewer as to</w:t>
      </w:r>
      <w:r w:rsidR="009F3B7C">
        <w:rPr>
          <w:rFonts w:ascii="Arial" w:hAnsi="Arial" w:cs="Arial"/>
          <w:sz w:val="24"/>
        </w:rPr>
        <w:t xml:space="preserve"> where in the story they are. Presumably the reason for this brevity is first to minimise the amount of embroidery required for words and second so as to leave more space for the pictorial scene. </w:t>
      </w:r>
    </w:p>
    <w:p w:rsidR="002762B0" w:rsidRDefault="00711E21" w:rsidP="00C578FC">
      <w:pPr>
        <w:rPr>
          <w:rFonts w:ascii="Arial" w:hAnsi="Arial" w:cs="Arial"/>
          <w:sz w:val="24"/>
        </w:rPr>
      </w:pPr>
      <w:r>
        <w:rPr>
          <w:rFonts w:ascii="Arial" w:hAnsi="Arial" w:cs="Arial"/>
          <w:sz w:val="24"/>
        </w:rPr>
        <w:t>It is this pictorial scene tha</w:t>
      </w:r>
      <w:r w:rsidR="002748CC">
        <w:rPr>
          <w:rFonts w:ascii="Arial" w:hAnsi="Arial" w:cs="Arial"/>
          <w:sz w:val="24"/>
        </w:rPr>
        <w:t>t is of interest as the event it</w:t>
      </w:r>
      <w:r w:rsidR="0056044F">
        <w:rPr>
          <w:rFonts w:ascii="Arial" w:hAnsi="Arial" w:cs="Arial"/>
          <w:sz w:val="24"/>
        </w:rPr>
        <w:t xml:space="preserve"> displays is contentio</w:t>
      </w:r>
      <w:r w:rsidR="00DA70A1">
        <w:rPr>
          <w:rFonts w:ascii="Arial" w:hAnsi="Arial" w:cs="Arial"/>
          <w:sz w:val="24"/>
        </w:rPr>
        <w:t>us.</w:t>
      </w:r>
      <w:r w:rsidR="00920D1C">
        <w:rPr>
          <w:rFonts w:ascii="Arial" w:hAnsi="Arial" w:cs="Arial"/>
          <w:sz w:val="24"/>
        </w:rPr>
        <w:t xml:space="preserve"> </w:t>
      </w:r>
      <w:r w:rsidR="00DA70A1">
        <w:rPr>
          <w:rFonts w:ascii="Arial" w:hAnsi="Arial" w:cs="Arial"/>
          <w:sz w:val="24"/>
        </w:rPr>
        <w:t xml:space="preserve">The main source which recounts Harold’s oath is </w:t>
      </w:r>
      <w:r w:rsidR="00994FF3">
        <w:rPr>
          <w:rFonts w:ascii="Arial" w:hAnsi="Arial" w:cs="Arial"/>
          <w:sz w:val="24"/>
        </w:rPr>
        <w:t xml:space="preserve">William of Poitiers’ panegyric the </w:t>
      </w:r>
      <w:proofErr w:type="spellStart"/>
      <w:r w:rsidR="00994FF3">
        <w:rPr>
          <w:rFonts w:ascii="Arial" w:hAnsi="Arial" w:cs="Arial"/>
          <w:sz w:val="24"/>
        </w:rPr>
        <w:t>Gesta</w:t>
      </w:r>
      <w:proofErr w:type="spellEnd"/>
      <w:r w:rsidR="00994FF3">
        <w:rPr>
          <w:rFonts w:ascii="Arial" w:hAnsi="Arial" w:cs="Arial"/>
          <w:sz w:val="24"/>
        </w:rPr>
        <w:t xml:space="preserve"> </w:t>
      </w:r>
      <w:proofErr w:type="spellStart"/>
      <w:r w:rsidR="00994FF3">
        <w:rPr>
          <w:rFonts w:ascii="Arial" w:hAnsi="Arial" w:cs="Arial"/>
          <w:sz w:val="24"/>
        </w:rPr>
        <w:t>Willelmi</w:t>
      </w:r>
      <w:proofErr w:type="spellEnd"/>
      <w:r w:rsidR="00994FF3">
        <w:rPr>
          <w:rFonts w:ascii="Arial" w:hAnsi="Arial" w:cs="Arial"/>
          <w:sz w:val="24"/>
        </w:rPr>
        <w:t xml:space="preserve"> or </w:t>
      </w:r>
      <w:r w:rsidR="00DA70A1">
        <w:rPr>
          <w:rFonts w:ascii="Arial" w:hAnsi="Arial" w:cs="Arial"/>
          <w:sz w:val="24"/>
        </w:rPr>
        <w:t xml:space="preserve">the </w:t>
      </w:r>
      <w:r w:rsidR="00994FF3">
        <w:rPr>
          <w:rFonts w:ascii="Arial" w:hAnsi="Arial" w:cs="Arial"/>
          <w:sz w:val="24"/>
        </w:rPr>
        <w:t>Deeds of William</w:t>
      </w:r>
      <w:r w:rsidR="00DA70A1">
        <w:rPr>
          <w:rFonts w:ascii="Arial" w:hAnsi="Arial" w:cs="Arial"/>
          <w:sz w:val="24"/>
        </w:rPr>
        <w:t xml:space="preserve">. William of Poitiers was the Conqueror’s chaplain and Archdeacon of </w:t>
      </w:r>
      <w:proofErr w:type="spellStart"/>
      <w:r w:rsidR="00DA70A1">
        <w:rPr>
          <w:rFonts w:ascii="Arial" w:hAnsi="Arial" w:cs="Arial"/>
          <w:sz w:val="24"/>
        </w:rPr>
        <w:t>Liseux</w:t>
      </w:r>
      <w:proofErr w:type="spellEnd"/>
      <w:r w:rsidR="00DA70A1">
        <w:rPr>
          <w:rFonts w:ascii="Arial" w:hAnsi="Arial" w:cs="Arial"/>
          <w:sz w:val="24"/>
        </w:rPr>
        <w:t xml:space="preserve"> in Normandy</w:t>
      </w:r>
      <w:proofErr w:type="gramStart"/>
      <w:r w:rsidR="00DA70A1">
        <w:rPr>
          <w:rFonts w:ascii="Arial" w:hAnsi="Arial" w:cs="Arial"/>
          <w:sz w:val="24"/>
        </w:rPr>
        <w:t>,</w:t>
      </w:r>
      <w:proofErr w:type="gramEnd"/>
      <w:r w:rsidR="00DA70A1">
        <w:rPr>
          <w:rStyle w:val="FootnoteReference"/>
          <w:rFonts w:ascii="Arial" w:hAnsi="Arial" w:cs="Arial"/>
          <w:sz w:val="24"/>
        </w:rPr>
        <w:footnoteReference w:id="11"/>
      </w:r>
      <w:r w:rsidR="00DA70A1">
        <w:rPr>
          <w:rFonts w:ascii="Arial" w:hAnsi="Arial" w:cs="Arial"/>
          <w:sz w:val="24"/>
        </w:rPr>
        <w:t xml:space="preserve">and began writing the </w:t>
      </w:r>
      <w:proofErr w:type="spellStart"/>
      <w:r w:rsidR="00DA70A1">
        <w:rPr>
          <w:rFonts w:ascii="Arial" w:hAnsi="Arial" w:cs="Arial"/>
          <w:sz w:val="24"/>
        </w:rPr>
        <w:t>Gesta</w:t>
      </w:r>
      <w:proofErr w:type="spellEnd"/>
      <w:r w:rsidR="00DA70A1">
        <w:rPr>
          <w:rFonts w:ascii="Arial" w:hAnsi="Arial" w:cs="Arial"/>
          <w:sz w:val="24"/>
        </w:rPr>
        <w:t xml:space="preserve"> in 1072 AD.</w:t>
      </w:r>
      <w:r w:rsidR="00DA70A1">
        <w:rPr>
          <w:rStyle w:val="FootnoteReference"/>
          <w:rFonts w:ascii="Arial" w:hAnsi="Arial" w:cs="Arial"/>
          <w:sz w:val="24"/>
        </w:rPr>
        <w:footnoteReference w:id="12"/>
      </w:r>
      <w:r w:rsidR="00994FF3">
        <w:rPr>
          <w:rFonts w:ascii="Arial" w:hAnsi="Arial" w:cs="Arial"/>
          <w:sz w:val="24"/>
        </w:rPr>
        <w:t xml:space="preserve"> </w:t>
      </w:r>
      <w:r w:rsidR="00DA70A1">
        <w:rPr>
          <w:rFonts w:ascii="Arial" w:hAnsi="Arial" w:cs="Arial"/>
          <w:sz w:val="24"/>
        </w:rPr>
        <w:t xml:space="preserve">Near the beginning of the </w:t>
      </w:r>
      <w:proofErr w:type="spellStart"/>
      <w:r w:rsidR="00DA70A1">
        <w:rPr>
          <w:rFonts w:ascii="Arial" w:hAnsi="Arial" w:cs="Arial"/>
          <w:sz w:val="24"/>
        </w:rPr>
        <w:t>Gesta</w:t>
      </w:r>
      <w:proofErr w:type="spellEnd"/>
      <w:r w:rsidR="00DA70A1">
        <w:rPr>
          <w:rFonts w:ascii="Arial" w:hAnsi="Arial" w:cs="Arial"/>
          <w:sz w:val="24"/>
        </w:rPr>
        <w:t xml:space="preserve"> </w:t>
      </w:r>
      <w:proofErr w:type="spellStart"/>
      <w:r w:rsidR="00DA70A1">
        <w:rPr>
          <w:rFonts w:ascii="Arial" w:hAnsi="Arial" w:cs="Arial"/>
          <w:sz w:val="24"/>
        </w:rPr>
        <w:t>Willelmi</w:t>
      </w:r>
      <w:proofErr w:type="spellEnd"/>
      <w:r w:rsidR="00DA70A1">
        <w:rPr>
          <w:rFonts w:ascii="Arial" w:hAnsi="Arial" w:cs="Arial"/>
          <w:sz w:val="24"/>
        </w:rPr>
        <w:t xml:space="preserve">, </w:t>
      </w:r>
      <w:proofErr w:type="spellStart"/>
      <w:r w:rsidR="00DA70A1">
        <w:rPr>
          <w:rFonts w:ascii="Arial" w:hAnsi="Arial" w:cs="Arial"/>
          <w:sz w:val="24"/>
        </w:rPr>
        <w:t>Willaim</w:t>
      </w:r>
      <w:proofErr w:type="spellEnd"/>
      <w:r w:rsidR="00DA70A1">
        <w:rPr>
          <w:rFonts w:ascii="Arial" w:hAnsi="Arial" w:cs="Arial"/>
          <w:sz w:val="24"/>
        </w:rPr>
        <w:t xml:space="preserve"> of Poitiers recalls how </w:t>
      </w:r>
      <w:r w:rsidR="00994FF3">
        <w:rPr>
          <w:rFonts w:ascii="Arial" w:hAnsi="Arial" w:cs="Arial"/>
          <w:sz w:val="24"/>
        </w:rPr>
        <w:t>Harold</w:t>
      </w:r>
      <w:r w:rsidR="00FF483B">
        <w:rPr>
          <w:rFonts w:ascii="Arial" w:hAnsi="Arial" w:cs="Arial"/>
          <w:sz w:val="24"/>
        </w:rPr>
        <w:t xml:space="preserve"> Godwinson</w:t>
      </w:r>
      <w:r w:rsidR="00994FF3">
        <w:rPr>
          <w:rFonts w:ascii="Arial" w:hAnsi="Arial" w:cs="Arial"/>
          <w:sz w:val="24"/>
        </w:rPr>
        <w:t xml:space="preserve"> ‘of his own free will’</w:t>
      </w:r>
      <w:r w:rsidR="00994FF3">
        <w:rPr>
          <w:rStyle w:val="FootnoteReference"/>
          <w:rFonts w:ascii="Arial" w:hAnsi="Arial" w:cs="Arial"/>
          <w:sz w:val="24"/>
        </w:rPr>
        <w:footnoteReference w:id="13"/>
      </w:r>
      <w:r w:rsidR="00994FF3">
        <w:rPr>
          <w:rFonts w:ascii="Arial" w:hAnsi="Arial" w:cs="Arial"/>
          <w:sz w:val="24"/>
        </w:rPr>
        <w:t xml:space="preserve"> swore that he would recognise and support Duke William’s claim to the English throne.</w:t>
      </w:r>
      <w:r w:rsidR="00994FF3">
        <w:rPr>
          <w:rStyle w:val="FootnoteReference"/>
          <w:rFonts w:ascii="Arial" w:hAnsi="Arial" w:cs="Arial"/>
          <w:sz w:val="24"/>
        </w:rPr>
        <w:footnoteReference w:id="14"/>
      </w:r>
      <w:r w:rsidR="00DA70A1">
        <w:rPr>
          <w:rFonts w:ascii="Arial" w:hAnsi="Arial" w:cs="Arial"/>
          <w:sz w:val="24"/>
        </w:rPr>
        <w:t xml:space="preserve"> The Bayeux Tapestry largely follows </w:t>
      </w:r>
      <w:r w:rsidR="00FF483B">
        <w:rPr>
          <w:rFonts w:ascii="Arial" w:hAnsi="Arial" w:cs="Arial"/>
          <w:sz w:val="24"/>
        </w:rPr>
        <w:t xml:space="preserve">William of Poitiers’ version </w:t>
      </w:r>
      <w:r w:rsidR="00FF483B">
        <w:rPr>
          <w:rFonts w:ascii="Arial" w:hAnsi="Arial" w:cs="Arial"/>
          <w:sz w:val="24"/>
        </w:rPr>
        <w:lastRenderedPageBreak/>
        <w:t>of events</w:t>
      </w:r>
      <w:r w:rsidR="007C658C">
        <w:rPr>
          <w:rFonts w:ascii="Arial" w:hAnsi="Arial" w:cs="Arial"/>
          <w:sz w:val="24"/>
        </w:rPr>
        <w:t xml:space="preserve"> and they both agree that this oath took place. However, it should be noted that the primary English source for this period, the Anglo Saxon Chronicle makes no mention of any oath from Harold to Duke William.</w:t>
      </w:r>
      <w:r w:rsidR="007C658C">
        <w:rPr>
          <w:rStyle w:val="FootnoteReference"/>
          <w:rFonts w:ascii="Arial" w:hAnsi="Arial" w:cs="Arial"/>
          <w:sz w:val="24"/>
        </w:rPr>
        <w:footnoteReference w:id="15"/>
      </w:r>
      <w:r w:rsidR="00726AC9">
        <w:rPr>
          <w:rFonts w:ascii="Arial" w:hAnsi="Arial" w:cs="Arial"/>
          <w:sz w:val="24"/>
        </w:rPr>
        <w:t xml:space="preserve"> It could be argued that the English writing the Chronicle would wish to uphold their native King’s claim to the throne</w:t>
      </w:r>
      <w:r w:rsidR="00880F18">
        <w:rPr>
          <w:rFonts w:ascii="Arial" w:hAnsi="Arial" w:cs="Arial"/>
          <w:sz w:val="24"/>
        </w:rPr>
        <w:t xml:space="preserve"> and so chose to omit this oath, but the Anglo Saxon Chronicle does not even record Harold’s journey to Normandy</w:t>
      </w:r>
      <w:r w:rsidR="00880F18">
        <w:rPr>
          <w:rStyle w:val="FootnoteReference"/>
          <w:rFonts w:ascii="Arial" w:hAnsi="Arial" w:cs="Arial"/>
          <w:sz w:val="24"/>
        </w:rPr>
        <w:footnoteReference w:id="16"/>
      </w:r>
      <w:r w:rsidR="00A05CB3">
        <w:rPr>
          <w:rFonts w:ascii="Arial" w:hAnsi="Arial" w:cs="Arial"/>
          <w:sz w:val="24"/>
        </w:rPr>
        <w:t xml:space="preserve"> despite the self same document </w:t>
      </w:r>
      <w:r w:rsidR="002762B0">
        <w:rPr>
          <w:rFonts w:ascii="Arial" w:hAnsi="Arial" w:cs="Arial"/>
          <w:sz w:val="24"/>
        </w:rPr>
        <w:t>noting Harold’s travels into Wales in 1063 and 1065 AD.</w:t>
      </w:r>
      <w:r w:rsidR="002762B0">
        <w:rPr>
          <w:rStyle w:val="FootnoteReference"/>
          <w:rFonts w:ascii="Arial" w:hAnsi="Arial" w:cs="Arial"/>
          <w:sz w:val="24"/>
        </w:rPr>
        <w:footnoteReference w:id="17"/>
      </w:r>
      <w:r w:rsidR="002762B0">
        <w:rPr>
          <w:rFonts w:ascii="Arial" w:hAnsi="Arial" w:cs="Arial"/>
          <w:sz w:val="24"/>
        </w:rPr>
        <w:t xml:space="preserve"> Odd that the Anglo Saxon Chronicle should forget to recount how an English Earl was shipwrecked and fought well in Brittany</w:t>
      </w:r>
      <w:r w:rsidR="002762B0">
        <w:rPr>
          <w:rStyle w:val="FootnoteReference"/>
          <w:rFonts w:ascii="Arial" w:hAnsi="Arial" w:cs="Arial"/>
          <w:sz w:val="24"/>
        </w:rPr>
        <w:footnoteReference w:id="18"/>
      </w:r>
      <w:r w:rsidR="002762B0">
        <w:rPr>
          <w:rFonts w:ascii="Arial" w:hAnsi="Arial" w:cs="Arial"/>
          <w:sz w:val="24"/>
        </w:rPr>
        <w:t xml:space="preserve"> but the Norman sources remembered to note it. </w:t>
      </w:r>
    </w:p>
    <w:p w:rsidR="00920D1C" w:rsidRDefault="002762B0" w:rsidP="00C578FC">
      <w:pPr>
        <w:rPr>
          <w:rFonts w:ascii="Arial" w:hAnsi="Arial" w:cs="Arial"/>
          <w:sz w:val="24"/>
        </w:rPr>
      </w:pPr>
      <w:r>
        <w:rPr>
          <w:rFonts w:ascii="Arial" w:hAnsi="Arial" w:cs="Arial"/>
          <w:sz w:val="24"/>
        </w:rPr>
        <w:t>What’s more, the manner in which the Bayeux Tapestry depicts this oath is also noteworthy. On the left of the panel sits Duke William of Normandy</w:t>
      </w:r>
      <w:r>
        <w:rPr>
          <w:rStyle w:val="FootnoteReference"/>
          <w:rFonts w:ascii="Arial" w:hAnsi="Arial" w:cs="Arial"/>
          <w:sz w:val="24"/>
        </w:rPr>
        <w:footnoteReference w:id="19"/>
      </w:r>
      <w:r w:rsidR="00466545">
        <w:rPr>
          <w:rFonts w:ascii="Arial" w:hAnsi="Arial" w:cs="Arial"/>
          <w:sz w:val="24"/>
        </w:rPr>
        <w:t xml:space="preserve"> resplendent on his throne and with a sword clasped in his right fist.</w:t>
      </w:r>
      <w:r w:rsidR="00466545">
        <w:rPr>
          <w:rStyle w:val="FootnoteReference"/>
          <w:rFonts w:ascii="Arial" w:hAnsi="Arial" w:cs="Arial"/>
          <w:sz w:val="24"/>
        </w:rPr>
        <w:footnoteReference w:id="20"/>
      </w:r>
      <w:r w:rsidR="00466545">
        <w:rPr>
          <w:rFonts w:ascii="Arial" w:hAnsi="Arial" w:cs="Arial"/>
          <w:sz w:val="24"/>
        </w:rPr>
        <w:t xml:space="preserve"> Opposite him is the figure of Harold Godwinson, stooping slightly to lay his hands on two boxes.</w:t>
      </w:r>
      <w:r w:rsidR="00466545">
        <w:rPr>
          <w:rStyle w:val="FootnoteReference"/>
          <w:rFonts w:ascii="Arial" w:hAnsi="Arial" w:cs="Arial"/>
          <w:sz w:val="24"/>
        </w:rPr>
        <w:footnoteReference w:id="21"/>
      </w:r>
      <w:r w:rsidR="00672920">
        <w:rPr>
          <w:rFonts w:ascii="Arial" w:hAnsi="Arial" w:cs="Arial"/>
          <w:sz w:val="24"/>
        </w:rPr>
        <w:t xml:space="preserve"> To begin with, the power dynamic in the scene is very apparent: William is not only seated but his throne is raised on three steps placing him distinctly above Harold. In addition, Harold’s stooped stance can be interpreted either as a necessary way to stand to touch both boxes</w:t>
      </w:r>
      <w:r w:rsidR="00185B86">
        <w:rPr>
          <w:rFonts w:ascii="Arial" w:hAnsi="Arial" w:cs="Arial"/>
          <w:sz w:val="24"/>
        </w:rPr>
        <w:t>,</w:t>
      </w:r>
      <w:r w:rsidR="00672920">
        <w:rPr>
          <w:rFonts w:ascii="Arial" w:hAnsi="Arial" w:cs="Arial"/>
          <w:sz w:val="24"/>
        </w:rPr>
        <w:t xml:space="preserve"> or that his head is bowed in deference to William – which seems more likely. William’s sword</w:t>
      </w:r>
      <w:r w:rsidR="00185B86">
        <w:rPr>
          <w:rFonts w:ascii="Arial" w:hAnsi="Arial" w:cs="Arial"/>
          <w:sz w:val="24"/>
        </w:rPr>
        <w:t xml:space="preserve"> too is suggestive as a symbol of both his martial prowess and his authority; especially as other people on the tapestry hold swords to demonstrate their power – like Harold at his coronation.</w:t>
      </w:r>
      <w:r w:rsidR="00185B86">
        <w:rPr>
          <w:rStyle w:val="FootnoteReference"/>
          <w:rFonts w:ascii="Arial" w:hAnsi="Arial" w:cs="Arial"/>
          <w:sz w:val="24"/>
        </w:rPr>
        <w:footnoteReference w:id="22"/>
      </w:r>
      <w:r w:rsidR="00185B86">
        <w:rPr>
          <w:rFonts w:ascii="Arial" w:hAnsi="Arial" w:cs="Arial"/>
          <w:sz w:val="24"/>
        </w:rPr>
        <w:t xml:space="preserve"> The two boxes Harold is resting his hands on are presumably reliquary boxes, containing holy relics.</w:t>
      </w:r>
      <w:r w:rsidR="007E4637">
        <w:rPr>
          <w:rStyle w:val="FootnoteReference"/>
          <w:rFonts w:ascii="Arial" w:hAnsi="Arial" w:cs="Arial"/>
          <w:sz w:val="24"/>
        </w:rPr>
        <w:footnoteReference w:id="23"/>
      </w:r>
      <w:r w:rsidR="00185B86">
        <w:rPr>
          <w:rFonts w:ascii="Arial" w:hAnsi="Arial" w:cs="Arial"/>
          <w:sz w:val="24"/>
        </w:rPr>
        <w:t xml:space="preserve"> </w:t>
      </w:r>
      <w:r w:rsidR="007E4637">
        <w:rPr>
          <w:rFonts w:ascii="Arial" w:hAnsi="Arial" w:cs="Arial"/>
          <w:sz w:val="24"/>
        </w:rPr>
        <w:t>This assumption is made for a few reasons</w:t>
      </w:r>
      <w:r w:rsidR="00D71CAF">
        <w:rPr>
          <w:rFonts w:ascii="Arial" w:hAnsi="Arial" w:cs="Arial"/>
          <w:sz w:val="24"/>
        </w:rPr>
        <w:t>. First, the Tapestry includes a lot of detail on the boxes, particularly the crosses on the left hand of the two.</w:t>
      </w:r>
      <w:r w:rsidR="00D71CAF">
        <w:rPr>
          <w:rStyle w:val="FootnoteReference"/>
          <w:rFonts w:ascii="Arial" w:hAnsi="Arial" w:cs="Arial"/>
          <w:sz w:val="24"/>
        </w:rPr>
        <w:footnoteReference w:id="24"/>
      </w:r>
      <w:r w:rsidR="00D71CAF">
        <w:rPr>
          <w:rFonts w:ascii="Arial" w:hAnsi="Arial" w:cs="Arial"/>
          <w:sz w:val="24"/>
        </w:rPr>
        <w:t xml:space="preserve"> This detail would be painstaking to include, thus the boxes must be important to the scene or they wouldn’t have been included. Second, Harold </w:t>
      </w:r>
      <w:r w:rsidR="005467E1">
        <w:rPr>
          <w:rFonts w:ascii="Arial" w:hAnsi="Arial" w:cs="Arial"/>
          <w:sz w:val="24"/>
        </w:rPr>
        <w:t>has laid his hands on these boxes while he makes his oath, which implies they have some bearing on this promise.</w:t>
      </w:r>
      <w:r w:rsidR="00876E4A">
        <w:rPr>
          <w:rFonts w:ascii="Arial" w:hAnsi="Arial" w:cs="Arial"/>
          <w:sz w:val="24"/>
        </w:rPr>
        <w:t xml:space="preserve"> When describing Harold’s oath, William of Poitiers observes that is was done in the Christian way</w:t>
      </w:r>
      <w:r w:rsidR="001C2405">
        <w:rPr>
          <w:rFonts w:ascii="Arial" w:hAnsi="Arial" w:cs="Arial"/>
          <w:sz w:val="24"/>
        </w:rPr>
        <w:t>,</w:t>
      </w:r>
      <w:r w:rsidR="00876E4A">
        <w:rPr>
          <w:rStyle w:val="FootnoteReference"/>
          <w:rFonts w:ascii="Arial" w:hAnsi="Arial" w:cs="Arial"/>
          <w:sz w:val="24"/>
        </w:rPr>
        <w:footnoteReference w:id="25"/>
      </w:r>
      <w:r w:rsidR="001C2405">
        <w:rPr>
          <w:rFonts w:ascii="Arial" w:hAnsi="Arial" w:cs="Arial"/>
          <w:sz w:val="24"/>
        </w:rPr>
        <w:t xml:space="preserve"> suggesting</w:t>
      </w:r>
      <w:r w:rsidR="00322D7D">
        <w:rPr>
          <w:rFonts w:ascii="Arial" w:hAnsi="Arial" w:cs="Arial"/>
          <w:sz w:val="24"/>
        </w:rPr>
        <w:t xml:space="preserve"> that it was made on holy relics to reinforce the </w:t>
      </w:r>
      <w:r w:rsidR="00322D7D">
        <w:rPr>
          <w:rFonts w:ascii="Arial" w:hAnsi="Arial" w:cs="Arial"/>
          <w:sz w:val="24"/>
        </w:rPr>
        <w:lastRenderedPageBreak/>
        <w:t>promise.</w:t>
      </w:r>
      <w:r w:rsidR="00180821">
        <w:rPr>
          <w:rFonts w:ascii="Arial" w:hAnsi="Arial" w:cs="Arial"/>
          <w:sz w:val="24"/>
        </w:rPr>
        <w:t xml:space="preserve"> Taking William of Poitiers’ account and the Tapestry together the idea of the boxes being holy relics is quite convincing. </w:t>
      </w:r>
    </w:p>
    <w:p w:rsidR="00200D0B" w:rsidRDefault="00DF11F9" w:rsidP="00C578FC">
      <w:pPr>
        <w:rPr>
          <w:rFonts w:ascii="Arial" w:hAnsi="Arial" w:cs="Arial"/>
          <w:sz w:val="24"/>
        </w:rPr>
      </w:pPr>
      <w:r>
        <w:rPr>
          <w:rFonts w:ascii="Arial" w:hAnsi="Arial" w:cs="Arial"/>
          <w:sz w:val="24"/>
        </w:rPr>
        <w:t>Aside from telling the story of the Norman Conquest in an accessible and visual way, the Bayeux Tapestry is also a pot</w:t>
      </w:r>
      <w:r>
        <w:rPr>
          <w:rFonts w:ascii="Arial" w:hAnsi="Arial" w:cs="Arial"/>
          <w:sz w:val="24"/>
        </w:rPr>
        <w:t>ent piece of Norman propaganda. This scene (Image I) is a good example of this. Here is a very clear depiction of Harold swearing an oath of allegiance to William, later in the tapestry Harold is crowned King of England</w:t>
      </w:r>
      <w:r w:rsidR="00200D0B">
        <w:rPr>
          <w:rFonts w:ascii="Arial" w:hAnsi="Arial" w:cs="Arial"/>
          <w:sz w:val="24"/>
        </w:rPr>
        <w:t xml:space="preserve"> despite this oath</w:t>
      </w:r>
      <w:r w:rsidR="00CF4DF1">
        <w:rPr>
          <w:rFonts w:ascii="Arial" w:hAnsi="Arial" w:cs="Arial"/>
          <w:sz w:val="24"/>
        </w:rPr>
        <w:t>.</w:t>
      </w:r>
      <w:r w:rsidR="00CF4DF1">
        <w:rPr>
          <w:rStyle w:val="FootnoteReference"/>
          <w:rFonts w:ascii="Arial" w:hAnsi="Arial" w:cs="Arial"/>
          <w:sz w:val="24"/>
        </w:rPr>
        <w:footnoteReference w:id="26"/>
      </w:r>
      <w:r w:rsidR="00CF4DF1">
        <w:rPr>
          <w:rFonts w:ascii="Arial" w:hAnsi="Arial" w:cs="Arial"/>
          <w:sz w:val="24"/>
        </w:rPr>
        <w:t xml:space="preserve"> William of Poitiers does recall that Edward the Confessor, King of England before Harold, had promised the crown to Duke William and that Harold’s oath was to uphold this claim.</w:t>
      </w:r>
      <w:r w:rsidR="00CF4DF1">
        <w:rPr>
          <w:rStyle w:val="FootnoteReference"/>
          <w:rFonts w:ascii="Arial" w:hAnsi="Arial" w:cs="Arial"/>
          <w:sz w:val="24"/>
        </w:rPr>
        <w:footnoteReference w:id="27"/>
      </w:r>
      <w:r w:rsidR="00CF4DF1">
        <w:rPr>
          <w:rFonts w:ascii="Arial" w:hAnsi="Arial" w:cs="Arial"/>
          <w:sz w:val="24"/>
        </w:rPr>
        <w:t xml:space="preserve"> Therefore, the Bayeux Tapestry very distinctly shows how Harold had broken this oath, reinforcing the legitimacy of William’</w:t>
      </w:r>
      <w:r w:rsidR="00EB47E0">
        <w:rPr>
          <w:rFonts w:ascii="Arial" w:hAnsi="Arial" w:cs="Arial"/>
          <w:sz w:val="24"/>
        </w:rPr>
        <w:t>s claim. More than just this though, the Tapestry was displayed in the nave of Notre Dame de Bayeux.</w:t>
      </w:r>
      <w:r w:rsidR="00EB47E0">
        <w:rPr>
          <w:rStyle w:val="FootnoteReference"/>
          <w:rFonts w:ascii="Arial" w:hAnsi="Arial" w:cs="Arial"/>
          <w:sz w:val="24"/>
        </w:rPr>
        <w:footnoteReference w:id="28"/>
      </w:r>
      <w:r w:rsidR="00EB47E0">
        <w:rPr>
          <w:rFonts w:ascii="Arial" w:hAnsi="Arial" w:cs="Arial"/>
          <w:sz w:val="24"/>
        </w:rPr>
        <w:t xml:space="preserve"> As well as the aforementioned common people who would see the Tapestry, members of the nobility would likely attend services in a cathedral also seeing these scenes displayed. In essence, the Bayeux </w:t>
      </w:r>
      <w:r w:rsidR="007E1249">
        <w:rPr>
          <w:rFonts w:ascii="Arial" w:hAnsi="Arial" w:cs="Arial"/>
          <w:sz w:val="24"/>
        </w:rPr>
        <w:t xml:space="preserve">tapestry continually shows visitors to the cathedral the success </w:t>
      </w:r>
      <w:bookmarkStart w:id="0" w:name="_GoBack"/>
      <w:bookmarkEnd w:id="0"/>
      <w:r w:rsidR="007E1249">
        <w:rPr>
          <w:rFonts w:ascii="Arial" w:hAnsi="Arial" w:cs="Arial"/>
          <w:sz w:val="24"/>
        </w:rPr>
        <w:t xml:space="preserve">of Duke William (and Bishop </w:t>
      </w:r>
      <w:proofErr w:type="spellStart"/>
      <w:r w:rsidR="007E1249">
        <w:rPr>
          <w:rFonts w:ascii="Arial" w:hAnsi="Arial" w:cs="Arial"/>
          <w:sz w:val="24"/>
        </w:rPr>
        <w:t>Odo</w:t>
      </w:r>
      <w:proofErr w:type="spellEnd"/>
      <w:r w:rsidR="007E1249">
        <w:rPr>
          <w:rFonts w:ascii="Arial" w:hAnsi="Arial" w:cs="Arial"/>
          <w:sz w:val="24"/>
        </w:rPr>
        <w:t xml:space="preserve"> who features prominently)</w:t>
      </w:r>
      <w:r w:rsidR="007E1249">
        <w:rPr>
          <w:rStyle w:val="FootnoteReference"/>
          <w:rFonts w:ascii="Arial" w:hAnsi="Arial" w:cs="Arial"/>
          <w:sz w:val="24"/>
        </w:rPr>
        <w:footnoteReference w:id="29"/>
      </w:r>
      <w:r w:rsidR="00FC51F7">
        <w:rPr>
          <w:rFonts w:ascii="Arial" w:hAnsi="Arial" w:cs="Arial"/>
          <w:sz w:val="24"/>
        </w:rPr>
        <w:t xml:space="preserve"> alongside the betrayal of Harold who had made clear oaths on relics. Visitors to a cathedral would also likely recognise the reliquaries employed by Harold in his oath and understand the severity of his transgressions as the Normans presented them.</w:t>
      </w:r>
    </w:p>
    <w:p w:rsidR="00913689" w:rsidRDefault="00913689" w:rsidP="00C578FC">
      <w:pPr>
        <w:rPr>
          <w:rFonts w:ascii="Arial" w:hAnsi="Arial" w:cs="Arial"/>
          <w:sz w:val="24"/>
        </w:rPr>
      </w:pPr>
    </w:p>
    <w:p w:rsidR="00913689" w:rsidRPr="00E05847" w:rsidRDefault="00913689" w:rsidP="00913689">
      <w:pPr>
        <w:jc w:val="center"/>
        <w:rPr>
          <w:rFonts w:ascii="Arial" w:hAnsi="Arial" w:cs="Arial"/>
          <w:b/>
          <w:sz w:val="32"/>
          <w:u w:val="single"/>
        </w:rPr>
      </w:pPr>
      <w:r w:rsidRPr="00E05847">
        <w:rPr>
          <w:rFonts w:ascii="Arial" w:hAnsi="Arial" w:cs="Arial"/>
          <w:b/>
          <w:sz w:val="32"/>
          <w:u w:val="single"/>
        </w:rPr>
        <w:t>Appendices</w:t>
      </w:r>
    </w:p>
    <w:p w:rsidR="00913689" w:rsidRPr="00E05847" w:rsidRDefault="00913689" w:rsidP="00913689">
      <w:pPr>
        <w:jc w:val="center"/>
        <w:rPr>
          <w:rFonts w:ascii="Arial" w:hAnsi="Arial" w:cs="Arial"/>
          <w:b/>
          <w:sz w:val="28"/>
          <w:u w:val="single"/>
        </w:rPr>
      </w:pPr>
      <w:r w:rsidRPr="00E05847">
        <w:rPr>
          <w:rFonts w:ascii="Arial" w:hAnsi="Arial" w:cs="Arial"/>
          <w:b/>
          <w:sz w:val="28"/>
          <w:u w:val="single"/>
        </w:rPr>
        <w:t>List of Illustrations</w:t>
      </w:r>
    </w:p>
    <w:p w:rsidR="00913689" w:rsidRDefault="00913689" w:rsidP="00913689">
      <w:pPr>
        <w:pStyle w:val="ListParagraph"/>
        <w:numPr>
          <w:ilvl w:val="0"/>
          <w:numId w:val="1"/>
        </w:numPr>
        <w:spacing w:after="200" w:line="276" w:lineRule="auto"/>
        <w:rPr>
          <w:rFonts w:ascii="Arial" w:hAnsi="Arial" w:cs="Arial"/>
          <w:sz w:val="24"/>
        </w:rPr>
      </w:pPr>
      <w:proofErr w:type="spellStart"/>
      <w:r>
        <w:rPr>
          <w:rFonts w:ascii="Arial" w:hAnsi="Arial" w:cs="Arial"/>
          <w:sz w:val="24"/>
        </w:rPr>
        <w:t>Myrabella</w:t>
      </w:r>
      <w:proofErr w:type="spellEnd"/>
      <w:r>
        <w:rPr>
          <w:rFonts w:ascii="Arial" w:hAnsi="Arial" w:cs="Arial"/>
          <w:sz w:val="24"/>
        </w:rPr>
        <w:t>, ‘</w:t>
      </w:r>
      <w:r w:rsidRPr="00C74E44">
        <w:rPr>
          <w:rFonts w:ascii="Arial" w:hAnsi="Arial" w:cs="Arial"/>
          <w:sz w:val="24"/>
        </w:rPr>
        <w:t>Bayeux Tapestry - Scene 23: Harold swearing oath on holy relics to William, Duke of Normandy</w:t>
      </w:r>
      <w:r>
        <w:rPr>
          <w:rFonts w:ascii="Arial" w:hAnsi="Arial" w:cs="Arial"/>
          <w:sz w:val="24"/>
        </w:rPr>
        <w:t xml:space="preserve">’, located: </w:t>
      </w:r>
      <w:hyperlink r:id="rId9" w:history="1">
        <w:r w:rsidRPr="00AE4D49">
          <w:rPr>
            <w:rStyle w:val="Hyperlink"/>
            <w:rFonts w:ascii="Arial" w:hAnsi="Arial" w:cs="Arial"/>
            <w:sz w:val="24"/>
          </w:rPr>
          <w:t>https://commons.wikimedia.org/wiki/File:Bayeux_Tapestry_scene23_Harold_oath_William.jpg</w:t>
        </w:r>
      </w:hyperlink>
      <w:r>
        <w:rPr>
          <w:rFonts w:ascii="Arial" w:hAnsi="Arial" w:cs="Arial"/>
          <w:sz w:val="24"/>
        </w:rPr>
        <w:t>; [accessed 30</w:t>
      </w:r>
      <w:r w:rsidRPr="00C74E44">
        <w:rPr>
          <w:rFonts w:ascii="Arial" w:hAnsi="Arial" w:cs="Arial"/>
          <w:sz w:val="24"/>
          <w:vertAlign w:val="superscript"/>
        </w:rPr>
        <w:t>th</w:t>
      </w:r>
      <w:r>
        <w:rPr>
          <w:rFonts w:ascii="Arial" w:hAnsi="Arial" w:cs="Arial"/>
          <w:sz w:val="24"/>
        </w:rPr>
        <w:t xml:space="preserve"> January 2023]</w:t>
      </w:r>
    </w:p>
    <w:p w:rsidR="00913689" w:rsidRDefault="00913689" w:rsidP="00913689">
      <w:pPr>
        <w:jc w:val="center"/>
        <w:rPr>
          <w:rFonts w:ascii="Arial" w:hAnsi="Arial" w:cs="Arial"/>
          <w:b/>
          <w:bCs/>
          <w:sz w:val="32"/>
          <w:szCs w:val="32"/>
          <w:u w:val="single"/>
        </w:rPr>
      </w:pPr>
      <w:r w:rsidRPr="00B77C0C">
        <w:rPr>
          <w:rFonts w:ascii="Arial" w:hAnsi="Arial" w:cs="Arial"/>
          <w:b/>
          <w:bCs/>
          <w:sz w:val="32"/>
          <w:szCs w:val="32"/>
          <w:u w:val="single"/>
        </w:rPr>
        <w:t>Bibliography</w:t>
      </w:r>
    </w:p>
    <w:p w:rsidR="00913689" w:rsidRPr="00AC6FE4" w:rsidRDefault="00913689" w:rsidP="00913689">
      <w:pPr>
        <w:jc w:val="center"/>
        <w:rPr>
          <w:rFonts w:ascii="Arial" w:hAnsi="Arial" w:cs="Arial"/>
          <w:bCs/>
          <w:sz w:val="28"/>
          <w:szCs w:val="32"/>
          <w:u w:val="single"/>
        </w:rPr>
      </w:pPr>
      <w:r w:rsidRPr="00AC6FE4">
        <w:rPr>
          <w:rFonts w:ascii="Arial" w:hAnsi="Arial" w:cs="Arial"/>
          <w:bCs/>
          <w:sz w:val="28"/>
          <w:szCs w:val="32"/>
          <w:u w:val="single"/>
        </w:rPr>
        <w:t>Primary Sources</w:t>
      </w:r>
    </w:p>
    <w:p w:rsidR="00913689" w:rsidRDefault="00913689" w:rsidP="00913689">
      <w:pPr>
        <w:rPr>
          <w:rFonts w:ascii="Arial" w:hAnsi="Arial" w:cs="Arial"/>
          <w:bCs/>
          <w:sz w:val="24"/>
          <w:szCs w:val="32"/>
        </w:rPr>
      </w:pPr>
      <w:r>
        <w:rPr>
          <w:rFonts w:ascii="Arial" w:hAnsi="Arial" w:cs="Arial"/>
          <w:bCs/>
          <w:i/>
          <w:sz w:val="24"/>
          <w:szCs w:val="32"/>
        </w:rPr>
        <w:t xml:space="preserve">The Anglo Saxon Chronicle, </w:t>
      </w:r>
      <w:r>
        <w:rPr>
          <w:rFonts w:ascii="Arial" w:hAnsi="Arial" w:cs="Arial"/>
          <w:bCs/>
          <w:sz w:val="24"/>
          <w:szCs w:val="32"/>
        </w:rPr>
        <w:t xml:space="preserve">trans. James Ingram, (USA, Project </w:t>
      </w:r>
      <w:proofErr w:type="spellStart"/>
      <w:r>
        <w:rPr>
          <w:rFonts w:ascii="Arial" w:hAnsi="Arial" w:cs="Arial"/>
          <w:bCs/>
          <w:sz w:val="24"/>
          <w:szCs w:val="32"/>
        </w:rPr>
        <w:t>Gutenburg</w:t>
      </w:r>
      <w:proofErr w:type="spellEnd"/>
      <w:r>
        <w:rPr>
          <w:rFonts w:ascii="Arial" w:hAnsi="Arial" w:cs="Arial"/>
          <w:bCs/>
          <w:sz w:val="24"/>
          <w:szCs w:val="32"/>
        </w:rPr>
        <w:t>, 1996)</w:t>
      </w:r>
    </w:p>
    <w:p w:rsidR="00913689" w:rsidRPr="00B1494B" w:rsidRDefault="00913689" w:rsidP="00913689">
      <w:pPr>
        <w:rPr>
          <w:rFonts w:ascii="Arial" w:hAnsi="Arial" w:cs="Arial"/>
          <w:bCs/>
          <w:sz w:val="24"/>
          <w:szCs w:val="32"/>
        </w:rPr>
      </w:pPr>
      <w:r>
        <w:rPr>
          <w:rFonts w:ascii="Arial" w:hAnsi="Arial" w:cs="Arial"/>
          <w:bCs/>
          <w:sz w:val="24"/>
          <w:szCs w:val="32"/>
        </w:rPr>
        <w:t xml:space="preserve">William of Poitiers, </w:t>
      </w:r>
      <w:proofErr w:type="spellStart"/>
      <w:r>
        <w:rPr>
          <w:rFonts w:ascii="Arial" w:hAnsi="Arial" w:cs="Arial"/>
          <w:bCs/>
          <w:i/>
          <w:sz w:val="24"/>
          <w:szCs w:val="32"/>
        </w:rPr>
        <w:t>Gesta</w:t>
      </w:r>
      <w:proofErr w:type="spellEnd"/>
      <w:r>
        <w:rPr>
          <w:rFonts w:ascii="Arial" w:hAnsi="Arial" w:cs="Arial"/>
          <w:bCs/>
          <w:i/>
          <w:sz w:val="24"/>
          <w:szCs w:val="32"/>
        </w:rPr>
        <w:t xml:space="preserve"> </w:t>
      </w:r>
      <w:proofErr w:type="spellStart"/>
      <w:r>
        <w:rPr>
          <w:rFonts w:ascii="Arial" w:hAnsi="Arial" w:cs="Arial"/>
          <w:bCs/>
          <w:i/>
          <w:sz w:val="24"/>
          <w:szCs w:val="32"/>
        </w:rPr>
        <w:t>Willelmi</w:t>
      </w:r>
      <w:proofErr w:type="spellEnd"/>
      <w:r>
        <w:rPr>
          <w:rFonts w:ascii="Arial" w:hAnsi="Arial" w:cs="Arial"/>
          <w:bCs/>
          <w:i/>
          <w:sz w:val="24"/>
          <w:szCs w:val="32"/>
        </w:rPr>
        <w:t>,</w:t>
      </w:r>
      <w:r>
        <w:rPr>
          <w:rFonts w:ascii="Arial" w:hAnsi="Arial" w:cs="Arial"/>
          <w:bCs/>
          <w:sz w:val="24"/>
          <w:szCs w:val="32"/>
        </w:rPr>
        <w:t xml:space="preserve"> </w:t>
      </w:r>
      <w:proofErr w:type="spellStart"/>
      <w:r>
        <w:rPr>
          <w:rFonts w:ascii="Arial" w:hAnsi="Arial" w:cs="Arial"/>
          <w:bCs/>
          <w:sz w:val="24"/>
          <w:szCs w:val="32"/>
        </w:rPr>
        <w:t>eds</w:t>
      </w:r>
      <w:proofErr w:type="spellEnd"/>
      <w:r>
        <w:rPr>
          <w:rFonts w:ascii="Arial" w:hAnsi="Arial" w:cs="Arial"/>
          <w:bCs/>
          <w:sz w:val="24"/>
          <w:szCs w:val="32"/>
        </w:rPr>
        <w:t xml:space="preserve">, and trans. </w:t>
      </w:r>
      <w:r w:rsidRPr="00B1494B">
        <w:rPr>
          <w:rFonts w:ascii="Arial" w:hAnsi="Arial" w:cs="Arial"/>
          <w:bCs/>
          <w:sz w:val="24"/>
          <w:szCs w:val="32"/>
        </w:rPr>
        <w:t>Ralph Henry Carless Dav</w:t>
      </w:r>
      <w:r>
        <w:rPr>
          <w:rFonts w:ascii="Arial" w:hAnsi="Arial" w:cs="Arial"/>
          <w:bCs/>
          <w:sz w:val="24"/>
          <w:szCs w:val="32"/>
        </w:rPr>
        <w:t xml:space="preserve">is, Marjorie </w:t>
      </w:r>
      <w:proofErr w:type="spellStart"/>
      <w:r>
        <w:rPr>
          <w:rFonts w:ascii="Arial" w:hAnsi="Arial" w:cs="Arial"/>
          <w:bCs/>
          <w:sz w:val="24"/>
          <w:szCs w:val="32"/>
        </w:rPr>
        <w:t>Chibnall</w:t>
      </w:r>
      <w:proofErr w:type="spellEnd"/>
      <w:r>
        <w:rPr>
          <w:rFonts w:ascii="Arial" w:hAnsi="Arial" w:cs="Arial"/>
          <w:bCs/>
          <w:sz w:val="24"/>
          <w:szCs w:val="32"/>
        </w:rPr>
        <w:t xml:space="preserve">, and </w:t>
      </w:r>
      <w:r w:rsidRPr="00B1494B">
        <w:rPr>
          <w:rFonts w:ascii="Arial" w:hAnsi="Arial" w:cs="Arial"/>
          <w:bCs/>
          <w:sz w:val="24"/>
          <w:szCs w:val="32"/>
        </w:rPr>
        <w:t>R</w:t>
      </w:r>
      <w:r>
        <w:rPr>
          <w:rFonts w:ascii="Arial" w:hAnsi="Arial" w:cs="Arial"/>
          <w:bCs/>
          <w:sz w:val="24"/>
          <w:szCs w:val="32"/>
        </w:rPr>
        <w:t>.</w:t>
      </w:r>
      <w:r w:rsidRPr="00B1494B">
        <w:rPr>
          <w:rFonts w:ascii="Arial" w:hAnsi="Arial" w:cs="Arial"/>
          <w:bCs/>
          <w:sz w:val="24"/>
          <w:szCs w:val="32"/>
        </w:rPr>
        <w:t xml:space="preserve"> H</w:t>
      </w:r>
      <w:r>
        <w:rPr>
          <w:rFonts w:ascii="Arial" w:hAnsi="Arial" w:cs="Arial"/>
          <w:bCs/>
          <w:sz w:val="24"/>
          <w:szCs w:val="32"/>
        </w:rPr>
        <w:t>.</w:t>
      </w:r>
      <w:r w:rsidRPr="00B1494B">
        <w:rPr>
          <w:rFonts w:ascii="Arial" w:hAnsi="Arial" w:cs="Arial"/>
          <w:bCs/>
          <w:sz w:val="24"/>
          <w:szCs w:val="32"/>
        </w:rPr>
        <w:t xml:space="preserve"> C</w:t>
      </w:r>
      <w:r>
        <w:rPr>
          <w:rFonts w:ascii="Arial" w:hAnsi="Arial" w:cs="Arial"/>
          <w:bCs/>
          <w:sz w:val="24"/>
          <w:szCs w:val="32"/>
        </w:rPr>
        <w:t>.</w:t>
      </w:r>
      <w:r w:rsidRPr="00B1494B">
        <w:rPr>
          <w:rFonts w:ascii="Arial" w:hAnsi="Arial" w:cs="Arial"/>
          <w:bCs/>
          <w:sz w:val="24"/>
          <w:szCs w:val="32"/>
        </w:rPr>
        <w:t xml:space="preserve"> Davis</w:t>
      </w:r>
      <w:r>
        <w:rPr>
          <w:rFonts w:ascii="Arial" w:hAnsi="Arial" w:cs="Arial"/>
          <w:bCs/>
          <w:sz w:val="24"/>
          <w:szCs w:val="32"/>
        </w:rPr>
        <w:t>, (Oxford, Clarendon Press, 1998)</w:t>
      </w:r>
    </w:p>
    <w:p w:rsidR="00913689" w:rsidRPr="00AC6FE4" w:rsidRDefault="00913689" w:rsidP="00913689">
      <w:pPr>
        <w:jc w:val="center"/>
        <w:rPr>
          <w:rFonts w:ascii="Arial" w:hAnsi="Arial" w:cs="Arial"/>
          <w:bCs/>
          <w:sz w:val="28"/>
          <w:szCs w:val="32"/>
          <w:u w:val="single"/>
        </w:rPr>
      </w:pPr>
      <w:r>
        <w:rPr>
          <w:rFonts w:ascii="Arial" w:hAnsi="Arial" w:cs="Arial"/>
          <w:bCs/>
          <w:sz w:val="28"/>
          <w:szCs w:val="32"/>
          <w:u w:val="single"/>
        </w:rPr>
        <w:lastRenderedPageBreak/>
        <w:t>Secondary Sources</w:t>
      </w:r>
    </w:p>
    <w:p w:rsidR="00913689" w:rsidRPr="00DB4290" w:rsidRDefault="00913689" w:rsidP="00913689">
      <w:pPr>
        <w:rPr>
          <w:rFonts w:ascii="Arial" w:hAnsi="Arial" w:cs="Arial"/>
          <w:sz w:val="24"/>
          <w:szCs w:val="24"/>
        </w:rPr>
      </w:pPr>
      <w:r>
        <w:rPr>
          <w:rFonts w:ascii="Arial" w:hAnsi="Arial" w:cs="Arial"/>
          <w:sz w:val="24"/>
          <w:szCs w:val="24"/>
        </w:rPr>
        <w:t xml:space="preserve">Ashley, Maurice, </w:t>
      </w:r>
      <w:proofErr w:type="gramStart"/>
      <w:r>
        <w:rPr>
          <w:rFonts w:ascii="Arial" w:hAnsi="Arial" w:cs="Arial"/>
          <w:i/>
          <w:sz w:val="24"/>
          <w:szCs w:val="24"/>
        </w:rPr>
        <w:t>The</w:t>
      </w:r>
      <w:proofErr w:type="gramEnd"/>
      <w:r>
        <w:rPr>
          <w:rFonts w:ascii="Arial" w:hAnsi="Arial" w:cs="Arial"/>
          <w:i/>
          <w:sz w:val="24"/>
          <w:szCs w:val="24"/>
        </w:rPr>
        <w:t xml:space="preserve"> Life and Times of William I,</w:t>
      </w:r>
      <w:r>
        <w:rPr>
          <w:rFonts w:ascii="Arial" w:hAnsi="Arial" w:cs="Arial"/>
          <w:sz w:val="24"/>
          <w:szCs w:val="24"/>
        </w:rPr>
        <w:t xml:space="preserve"> (London, Book Club Associates, 1973)</w:t>
      </w:r>
    </w:p>
    <w:p w:rsidR="00913689" w:rsidRDefault="00913689" w:rsidP="00913689">
      <w:pPr>
        <w:rPr>
          <w:rFonts w:ascii="Arial" w:hAnsi="Arial" w:cs="Arial"/>
          <w:sz w:val="24"/>
          <w:szCs w:val="24"/>
        </w:rPr>
      </w:pPr>
      <w:proofErr w:type="spellStart"/>
      <w:r>
        <w:rPr>
          <w:rFonts w:ascii="Arial" w:hAnsi="Arial" w:cs="Arial"/>
          <w:sz w:val="24"/>
          <w:szCs w:val="24"/>
        </w:rPr>
        <w:t>Eskelon</w:t>
      </w:r>
      <w:proofErr w:type="spellEnd"/>
      <w:r>
        <w:rPr>
          <w:rFonts w:ascii="Arial" w:hAnsi="Arial" w:cs="Arial"/>
          <w:sz w:val="24"/>
          <w:szCs w:val="24"/>
        </w:rPr>
        <w:t>, Tyrel C., ‘</w:t>
      </w:r>
      <w:r w:rsidRPr="00A176B2">
        <w:rPr>
          <w:rFonts w:ascii="Arial" w:hAnsi="Arial" w:cs="Arial"/>
          <w:sz w:val="24"/>
          <w:szCs w:val="24"/>
        </w:rPr>
        <w:t>States, Institutions, and Literac</w:t>
      </w:r>
      <w:r>
        <w:rPr>
          <w:rFonts w:ascii="Arial" w:hAnsi="Arial" w:cs="Arial"/>
          <w:sz w:val="24"/>
          <w:szCs w:val="24"/>
        </w:rPr>
        <w:t xml:space="preserve">y Rates in Early-Modern Western </w:t>
      </w:r>
      <w:r w:rsidRPr="00A176B2">
        <w:rPr>
          <w:rFonts w:ascii="Arial" w:hAnsi="Arial" w:cs="Arial"/>
          <w:sz w:val="24"/>
          <w:szCs w:val="24"/>
        </w:rPr>
        <w:t>Europe</w:t>
      </w:r>
      <w:r>
        <w:rPr>
          <w:rFonts w:ascii="Arial" w:hAnsi="Arial" w:cs="Arial"/>
          <w:sz w:val="24"/>
          <w:szCs w:val="24"/>
        </w:rPr>
        <w:t>’,</w:t>
      </w:r>
      <w:r w:rsidRPr="00A176B2">
        <w:t xml:space="preserve"> </w:t>
      </w:r>
      <w:r w:rsidRPr="00A176B2">
        <w:rPr>
          <w:i/>
        </w:rPr>
        <w:t>J</w:t>
      </w:r>
      <w:r w:rsidRPr="00A176B2">
        <w:rPr>
          <w:rFonts w:ascii="Arial" w:hAnsi="Arial" w:cs="Arial"/>
          <w:i/>
          <w:sz w:val="24"/>
          <w:szCs w:val="24"/>
        </w:rPr>
        <w:t>ournal of Education and Learning</w:t>
      </w:r>
      <w:r>
        <w:rPr>
          <w:rFonts w:ascii="Arial" w:hAnsi="Arial" w:cs="Arial"/>
          <w:sz w:val="24"/>
          <w:szCs w:val="24"/>
        </w:rPr>
        <w:t>, Vol. 10, No. 2,</w:t>
      </w:r>
      <w:r w:rsidRPr="00A176B2">
        <w:rPr>
          <w:rFonts w:ascii="Arial" w:hAnsi="Arial" w:cs="Arial"/>
          <w:sz w:val="24"/>
          <w:szCs w:val="24"/>
        </w:rPr>
        <w:t xml:space="preserve"> </w:t>
      </w:r>
      <w:r>
        <w:rPr>
          <w:rFonts w:ascii="Arial" w:hAnsi="Arial" w:cs="Arial"/>
          <w:sz w:val="24"/>
          <w:szCs w:val="24"/>
        </w:rPr>
        <w:t>(</w:t>
      </w:r>
      <w:r w:rsidRPr="00A176B2">
        <w:rPr>
          <w:rFonts w:ascii="Arial" w:hAnsi="Arial" w:cs="Arial"/>
          <w:sz w:val="24"/>
          <w:szCs w:val="24"/>
        </w:rPr>
        <w:t>2021</w:t>
      </w:r>
      <w:r>
        <w:rPr>
          <w:rFonts w:ascii="Arial" w:hAnsi="Arial" w:cs="Arial"/>
          <w:sz w:val="24"/>
          <w:szCs w:val="24"/>
        </w:rPr>
        <w:t>), 109-123</w:t>
      </w:r>
    </w:p>
    <w:p w:rsidR="00913689" w:rsidRPr="006F7DDF" w:rsidRDefault="00913689" w:rsidP="00913689">
      <w:pPr>
        <w:rPr>
          <w:rFonts w:ascii="Arial" w:hAnsi="Arial" w:cs="Arial"/>
          <w:sz w:val="24"/>
          <w:szCs w:val="24"/>
        </w:rPr>
      </w:pPr>
      <w:proofErr w:type="spellStart"/>
      <w:r>
        <w:rPr>
          <w:rFonts w:ascii="Arial" w:hAnsi="Arial" w:cs="Arial"/>
          <w:sz w:val="24"/>
          <w:szCs w:val="24"/>
        </w:rPr>
        <w:t>Jestice</w:t>
      </w:r>
      <w:proofErr w:type="spellEnd"/>
      <w:r>
        <w:rPr>
          <w:rFonts w:ascii="Arial" w:hAnsi="Arial" w:cs="Arial"/>
          <w:sz w:val="24"/>
          <w:szCs w:val="24"/>
        </w:rPr>
        <w:t>, Phyllis,</w:t>
      </w:r>
      <w:r>
        <w:rPr>
          <w:rFonts w:ascii="Arial" w:hAnsi="Arial" w:cs="Arial"/>
          <w:i/>
          <w:sz w:val="24"/>
          <w:szCs w:val="24"/>
        </w:rPr>
        <w:t xml:space="preserve"> Knights of the Medieval World: from household guard to courtly lover,</w:t>
      </w:r>
      <w:r>
        <w:rPr>
          <w:rFonts w:ascii="Arial" w:hAnsi="Arial" w:cs="Arial"/>
          <w:sz w:val="24"/>
          <w:szCs w:val="24"/>
        </w:rPr>
        <w:t xml:space="preserve"> (London, Amber Books, 2018)</w:t>
      </w:r>
    </w:p>
    <w:p w:rsidR="00913689" w:rsidRPr="00AC6FE4" w:rsidRDefault="00913689" w:rsidP="00913689">
      <w:pPr>
        <w:rPr>
          <w:rFonts w:ascii="Arial" w:hAnsi="Arial" w:cs="Arial"/>
          <w:sz w:val="24"/>
          <w:szCs w:val="24"/>
        </w:rPr>
      </w:pPr>
      <w:r>
        <w:rPr>
          <w:rFonts w:ascii="Arial" w:hAnsi="Arial" w:cs="Arial"/>
          <w:sz w:val="24"/>
          <w:szCs w:val="24"/>
        </w:rPr>
        <w:t xml:space="preserve">Simpson, J. A., and E.S.C. Weiner, (eds.), </w:t>
      </w:r>
      <w:r>
        <w:rPr>
          <w:rFonts w:ascii="Arial" w:hAnsi="Arial" w:cs="Arial"/>
          <w:i/>
          <w:sz w:val="24"/>
          <w:szCs w:val="24"/>
        </w:rPr>
        <w:t xml:space="preserve">The Oxford English Dictionary: Volume X </w:t>
      </w:r>
      <w:proofErr w:type="spellStart"/>
      <w:r>
        <w:rPr>
          <w:rFonts w:ascii="Arial" w:hAnsi="Arial" w:cs="Arial"/>
          <w:i/>
          <w:sz w:val="24"/>
          <w:szCs w:val="24"/>
        </w:rPr>
        <w:t>Moul</w:t>
      </w:r>
      <w:proofErr w:type="spellEnd"/>
      <w:r>
        <w:rPr>
          <w:rFonts w:ascii="Arial" w:hAnsi="Arial" w:cs="Arial"/>
          <w:i/>
          <w:sz w:val="24"/>
          <w:szCs w:val="24"/>
        </w:rPr>
        <w:t>-Ovum,</w:t>
      </w:r>
      <w:r>
        <w:rPr>
          <w:rFonts w:ascii="Arial" w:hAnsi="Arial" w:cs="Arial"/>
          <w:sz w:val="24"/>
          <w:szCs w:val="24"/>
        </w:rPr>
        <w:t xml:space="preserve"> 2</w:t>
      </w:r>
      <w:r w:rsidRPr="00AC6FE4">
        <w:rPr>
          <w:rFonts w:ascii="Arial" w:hAnsi="Arial" w:cs="Arial"/>
          <w:sz w:val="24"/>
          <w:szCs w:val="24"/>
          <w:vertAlign w:val="superscript"/>
        </w:rPr>
        <w:t>nd</w:t>
      </w:r>
      <w:r>
        <w:rPr>
          <w:rFonts w:ascii="Arial" w:hAnsi="Arial" w:cs="Arial"/>
          <w:sz w:val="24"/>
          <w:szCs w:val="24"/>
        </w:rPr>
        <w:t xml:space="preserve"> </w:t>
      </w:r>
      <w:proofErr w:type="spellStart"/>
      <w:proofErr w:type="gramStart"/>
      <w:r>
        <w:rPr>
          <w:rFonts w:ascii="Arial" w:hAnsi="Arial" w:cs="Arial"/>
          <w:sz w:val="24"/>
          <w:szCs w:val="24"/>
        </w:rPr>
        <w:t>edn</w:t>
      </w:r>
      <w:proofErr w:type="spellEnd"/>
      <w:r>
        <w:rPr>
          <w:rFonts w:ascii="Arial" w:hAnsi="Arial" w:cs="Arial"/>
          <w:sz w:val="24"/>
          <w:szCs w:val="24"/>
        </w:rPr>
        <w:t>.,</w:t>
      </w:r>
      <w:proofErr w:type="gramEnd"/>
      <w:r>
        <w:rPr>
          <w:rFonts w:ascii="Arial" w:hAnsi="Arial" w:cs="Arial"/>
          <w:sz w:val="24"/>
          <w:szCs w:val="24"/>
        </w:rPr>
        <w:t xml:space="preserve"> (Oxford, Clarendon Press, 1989)</w:t>
      </w:r>
    </w:p>
    <w:p w:rsidR="00913689" w:rsidRPr="00B77C0C" w:rsidRDefault="00913689" w:rsidP="00913689">
      <w:pPr>
        <w:rPr>
          <w:rFonts w:ascii="Arial" w:hAnsi="Arial" w:cs="Arial"/>
          <w:bCs/>
          <w:sz w:val="24"/>
          <w:szCs w:val="32"/>
        </w:rPr>
      </w:pPr>
    </w:p>
    <w:p w:rsidR="00913689" w:rsidRPr="00B77C0C" w:rsidRDefault="00913689" w:rsidP="00913689">
      <w:pPr>
        <w:jc w:val="center"/>
        <w:rPr>
          <w:rFonts w:ascii="Arial" w:hAnsi="Arial" w:cs="Arial"/>
          <w:b/>
          <w:bCs/>
          <w:sz w:val="32"/>
          <w:szCs w:val="32"/>
          <w:u w:val="single"/>
        </w:rPr>
      </w:pPr>
      <w:r w:rsidRPr="00B77C0C">
        <w:rPr>
          <w:rFonts w:ascii="Arial" w:hAnsi="Arial" w:cs="Arial"/>
          <w:b/>
          <w:bCs/>
          <w:sz w:val="32"/>
          <w:szCs w:val="32"/>
          <w:u w:val="single"/>
        </w:rPr>
        <w:t>Webliography</w:t>
      </w:r>
    </w:p>
    <w:p w:rsidR="00913689" w:rsidRDefault="00913689" w:rsidP="00913689">
      <w:pPr>
        <w:rPr>
          <w:rFonts w:ascii="Arial" w:hAnsi="Arial" w:cs="Arial"/>
          <w:sz w:val="24"/>
          <w:szCs w:val="24"/>
        </w:rPr>
      </w:pPr>
      <w:r>
        <w:rPr>
          <w:rFonts w:ascii="Arial" w:hAnsi="Arial" w:cs="Arial"/>
          <w:sz w:val="24"/>
          <w:szCs w:val="24"/>
        </w:rPr>
        <w:t>The Editors of Encyclopaedia Britannica, ‘</w:t>
      </w:r>
      <w:proofErr w:type="spellStart"/>
      <w:r>
        <w:rPr>
          <w:rFonts w:ascii="Arial" w:hAnsi="Arial" w:cs="Arial"/>
          <w:sz w:val="24"/>
          <w:szCs w:val="24"/>
        </w:rPr>
        <w:t>Odo</w:t>
      </w:r>
      <w:proofErr w:type="spellEnd"/>
      <w:r>
        <w:rPr>
          <w:rFonts w:ascii="Arial" w:hAnsi="Arial" w:cs="Arial"/>
          <w:sz w:val="24"/>
          <w:szCs w:val="24"/>
        </w:rPr>
        <w:t xml:space="preserve"> of Bayeux’, from: </w:t>
      </w:r>
      <w:hyperlink r:id="rId10" w:history="1">
        <w:r w:rsidRPr="00AE4D49">
          <w:rPr>
            <w:rStyle w:val="Hyperlink"/>
            <w:rFonts w:ascii="Arial" w:hAnsi="Arial" w:cs="Arial"/>
            <w:sz w:val="24"/>
            <w:szCs w:val="24"/>
          </w:rPr>
          <w:t>https://www.britannica.com/biography/Odo-of-Bayeux</w:t>
        </w:r>
      </w:hyperlink>
      <w:r>
        <w:rPr>
          <w:rFonts w:ascii="Arial" w:hAnsi="Arial" w:cs="Arial"/>
          <w:sz w:val="24"/>
          <w:szCs w:val="24"/>
        </w:rPr>
        <w:t>; [accessed 31</w:t>
      </w:r>
      <w:r w:rsidRPr="00CA77B5">
        <w:rPr>
          <w:rFonts w:ascii="Arial" w:hAnsi="Arial" w:cs="Arial"/>
          <w:sz w:val="24"/>
          <w:szCs w:val="24"/>
          <w:vertAlign w:val="superscript"/>
        </w:rPr>
        <w:t>st</w:t>
      </w:r>
      <w:r>
        <w:rPr>
          <w:rFonts w:ascii="Arial" w:hAnsi="Arial" w:cs="Arial"/>
          <w:sz w:val="24"/>
          <w:szCs w:val="24"/>
        </w:rPr>
        <w:t xml:space="preserve"> January 2023]</w:t>
      </w:r>
    </w:p>
    <w:p w:rsidR="00913689" w:rsidRDefault="00913689" w:rsidP="00913689">
      <w:pPr>
        <w:rPr>
          <w:rFonts w:ascii="Arial" w:hAnsi="Arial" w:cs="Arial"/>
          <w:sz w:val="24"/>
          <w:szCs w:val="24"/>
        </w:rPr>
      </w:pPr>
      <w:r>
        <w:rPr>
          <w:rFonts w:ascii="Arial" w:hAnsi="Arial" w:cs="Arial"/>
          <w:sz w:val="24"/>
          <w:szCs w:val="24"/>
        </w:rPr>
        <w:t xml:space="preserve">La </w:t>
      </w:r>
      <w:proofErr w:type="spellStart"/>
      <w:r>
        <w:rPr>
          <w:rFonts w:ascii="Arial" w:hAnsi="Arial" w:cs="Arial"/>
          <w:sz w:val="24"/>
          <w:szCs w:val="24"/>
        </w:rPr>
        <w:t>Tapisserie</w:t>
      </w:r>
      <w:proofErr w:type="spellEnd"/>
      <w:r>
        <w:rPr>
          <w:rFonts w:ascii="Arial" w:hAnsi="Arial" w:cs="Arial"/>
          <w:sz w:val="24"/>
          <w:szCs w:val="24"/>
        </w:rPr>
        <w:t xml:space="preserve"> de Bayeux, ‘Explore the Bayeux Tapestry online’, from: </w:t>
      </w:r>
      <w:hyperlink r:id="rId11" w:history="1">
        <w:r w:rsidRPr="00AE4D49">
          <w:rPr>
            <w:rStyle w:val="Hyperlink"/>
            <w:rFonts w:ascii="Arial" w:hAnsi="Arial" w:cs="Arial"/>
            <w:sz w:val="24"/>
            <w:szCs w:val="24"/>
          </w:rPr>
          <w:t>https://www.bayeuxmuseum.com/en/the-bayeux-tapestry/discover-the-bayeux-tapestry/explore-online/</w:t>
        </w:r>
      </w:hyperlink>
      <w:r>
        <w:rPr>
          <w:rFonts w:ascii="Arial" w:hAnsi="Arial" w:cs="Arial"/>
          <w:sz w:val="24"/>
          <w:szCs w:val="24"/>
        </w:rPr>
        <w:t>; [accessed 1</w:t>
      </w:r>
      <w:r w:rsidRPr="00BD6883">
        <w:rPr>
          <w:rFonts w:ascii="Arial" w:hAnsi="Arial" w:cs="Arial"/>
          <w:sz w:val="24"/>
          <w:szCs w:val="24"/>
          <w:vertAlign w:val="superscript"/>
        </w:rPr>
        <w:t>st</w:t>
      </w:r>
      <w:r>
        <w:rPr>
          <w:rFonts w:ascii="Arial" w:hAnsi="Arial" w:cs="Arial"/>
          <w:sz w:val="24"/>
          <w:szCs w:val="24"/>
        </w:rPr>
        <w:t xml:space="preserve"> February 2023]</w:t>
      </w:r>
    </w:p>
    <w:p w:rsidR="00913689" w:rsidRDefault="00913689" w:rsidP="00913689">
      <w:pPr>
        <w:rPr>
          <w:rFonts w:ascii="Arial" w:hAnsi="Arial" w:cs="Arial"/>
          <w:sz w:val="24"/>
          <w:szCs w:val="24"/>
        </w:rPr>
      </w:pPr>
      <w:r>
        <w:rPr>
          <w:rFonts w:ascii="Arial" w:hAnsi="Arial" w:cs="Arial"/>
          <w:sz w:val="24"/>
          <w:szCs w:val="24"/>
        </w:rPr>
        <w:t xml:space="preserve">La </w:t>
      </w:r>
      <w:proofErr w:type="spellStart"/>
      <w:r>
        <w:rPr>
          <w:rFonts w:ascii="Arial" w:hAnsi="Arial" w:cs="Arial"/>
          <w:sz w:val="24"/>
          <w:szCs w:val="24"/>
        </w:rPr>
        <w:t>Tapisserie</w:t>
      </w:r>
      <w:proofErr w:type="spellEnd"/>
      <w:r>
        <w:rPr>
          <w:rFonts w:ascii="Arial" w:hAnsi="Arial" w:cs="Arial"/>
          <w:sz w:val="24"/>
          <w:szCs w:val="24"/>
        </w:rPr>
        <w:t xml:space="preserve"> de Bayeux, ‘From </w:t>
      </w:r>
      <w:proofErr w:type="spellStart"/>
      <w:r>
        <w:rPr>
          <w:rFonts w:ascii="Arial" w:hAnsi="Arial" w:cs="Arial"/>
          <w:sz w:val="24"/>
          <w:szCs w:val="24"/>
        </w:rPr>
        <w:t>Odo’s</w:t>
      </w:r>
      <w:proofErr w:type="spellEnd"/>
      <w:r>
        <w:rPr>
          <w:rFonts w:ascii="Arial" w:hAnsi="Arial" w:cs="Arial"/>
          <w:sz w:val="24"/>
          <w:szCs w:val="24"/>
        </w:rPr>
        <w:t xml:space="preserve"> Cathedral to the Louvre’, from: </w:t>
      </w:r>
      <w:hyperlink r:id="rId12" w:history="1">
        <w:r w:rsidRPr="00AE4D49">
          <w:rPr>
            <w:rStyle w:val="Hyperlink"/>
            <w:rFonts w:ascii="Arial" w:hAnsi="Arial" w:cs="Arial"/>
            <w:sz w:val="24"/>
            <w:szCs w:val="24"/>
          </w:rPr>
          <w:t>https://www.bayeuxmuseum.com/en/the-bayeux-tapestry/over-the-centuries/from-the-cathedral-to-the-louvre/</w:t>
        </w:r>
      </w:hyperlink>
      <w:r>
        <w:rPr>
          <w:rFonts w:ascii="Arial" w:hAnsi="Arial" w:cs="Arial"/>
          <w:sz w:val="24"/>
          <w:szCs w:val="24"/>
        </w:rPr>
        <w:t>; [accessed 30</w:t>
      </w:r>
      <w:r w:rsidRPr="001B0F18">
        <w:rPr>
          <w:rFonts w:ascii="Arial" w:hAnsi="Arial" w:cs="Arial"/>
          <w:sz w:val="24"/>
          <w:szCs w:val="24"/>
          <w:vertAlign w:val="superscript"/>
        </w:rPr>
        <w:t>th</w:t>
      </w:r>
      <w:r>
        <w:rPr>
          <w:rFonts w:ascii="Arial" w:hAnsi="Arial" w:cs="Arial"/>
          <w:sz w:val="24"/>
          <w:szCs w:val="24"/>
        </w:rPr>
        <w:t xml:space="preserve"> January 2023]</w:t>
      </w:r>
    </w:p>
    <w:p w:rsidR="00913689" w:rsidRDefault="00913689" w:rsidP="00913689">
      <w:pPr>
        <w:rPr>
          <w:rFonts w:ascii="Arial" w:hAnsi="Arial" w:cs="Arial"/>
          <w:sz w:val="24"/>
          <w:szCs w:val="24"/>
        </w:rPr>
      </w:pPr>
      <w:r>
        <w:rPr>
          <w:rFonts w:ascii="Arial" w:hAnsi="Arial" w:cs="Arial"/>
          <w:sz w:val="24"/>
          <w:szCs w:val="24"/>
        </w:rPr>
        <w:t xml:space="preserve">La </w:t>
      </w:r>
      <w:proofErr w:type="spellStart"/>
      <w:r>
        <w:rPr>
          <w:rFonts w:ascii="Arial" w:hAnsi="Arial" w:cs="Arial"/>
          <w:sz w:val="24"/>
          <w:szCs w:val="24"/>
        </w:rPr>
        <w:t>Tapisserie</w:t>
      </w:r>
      <w:proofErr w:type="spellEnd"/>
      <w:r>
        <w:rPr>
          <w:rFonts w:ascii="Arial" w:hAnsi="Arial" w:cs="Arial"/>
          <w:sz w:val="24"/>
          <w:szCs w:val="24"/>
        </w:rPr>
        <w:t xml:space="preserve"> de Bayeux, ‘Tapestry or Embroidery’, from: </w:t>
      </w:r>
      <w:hyperlink r:id="rId13" w:history="1">
        <w:r w:rsidRPr="00AE4D49">
          <w:rPr>
            <w:rStyle w:val="Hyperlink"/>
            <w:rFonts w:ascii="Arial" w:hAnsi="Arial" w:cs="Arial"/>
            <w:sz w:val="24"/>
            <w:szCs w:val="24"/>
          </w:rPr>
          <w:t>https://www.bayeuxmuseum.com/en/the-bayeux-tapestry/discover-the-bayeux-tapestry/tapestry-or-embroidery/</w:t>
        </w:r>
      </w:hyperlink>
      <w:r>
        <w:rPr>
          <w:rFonts w:ascii="Arial" w:hAnsi="Arial" w:cs="Arial"/>
          <w:sz w:val="24"/>
          <w:szCs w:val="24"/>
        </w:rPr>
        <w:t>; [accessed 30</w:t>
      </w:r>
      <w:r w:rsidRPr="00906BC4">
        <w:rPr>
          <w:rFonts w:ascii="Arial" w:hAnsi="Arial" w:cs="Arial"/>
          <w:sz w:val="24"/>
          <w:szCs w:val="24"/>
          <w:vertAlign w:val="superscript"/>
        </w:rPr>
        <w:t>th</w:t>
      </w:r>
      <w:r>
        <w:rPr>
          <w:rFonts w:ascii="Arial" w:hAnsi="Arial" w:cs="Arial"/>
          <w:sz w:val="24"/>
          <w:szCs w:val="24"/>
        </w:rPr>
        <w:t xml:space="preserve"> January 2023]</w:t>
      </w:r>
    </w:p>
    <w:p w:rsidR="00913689" w:rsidRPr="00920D1C" w:rsidRDefault="00913689" w:rsidP="00C578FC">
      <w:pPr>
        <w:rPr>
          <w:rFonts w:ascii="Arial" w:hAnsi="Arial" w:cs="Arial"/>
          <w:sz w:val="24"/>
        </w:rPr>
      </w:pPr>
    </w:p>
    <w:sectPr w:rsidR="00913689" w:rsidRPr="00920D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3FA" w:rsidRDefault="002133FA" w:rsidP="00FF275B">
      <w:pPr>
        <w:spacing w:after="0" w:line="240" w:lineRule="auto"/>
      </w:pPr>
      <w:r>
        <w:separator/>
      </w:r>
    </w:p>
  </w:endnote>
  <w:endnote w:type="continuationSeparator" w:id="0">
    <w:p w:rsidR="002133FA" w:rsidRDefault="002133FA" w:rsidP="00FF2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3FA" w:rsidRDefault="002133FA" w:rsidP="00FF275B">
      <w:pPr>
        <w:spacing w:after="0" w:line="240" w:lineRule="auto"/>
      </w:pPr>
      <w:r>
        <w:separator/>
      </w:r>
    </w:p>
  </w:footnote>
  <w:footnote w:type="continuationSeparator" w:id="0">
    <w:p w:rsidR="002133FA" w:rsidRDefault="002133FA" w:rsidP="00FF275B">
      <w:pPr>
        <w:spacing w:after="0" w:line="240" w:lineRule="auto"/>
      </w:pPr>
      <w:r>
        <w:continuationSeparator/>
      </w:r>
    </w:p>
  </w:footnote>
  <w:footnote w:id="1">
    <w:p w:rsidR="00FF275B" w:rsidRPr="00FF275B" w:rsidRDefault="00FF275B" w:rsidP="00FF275B">
      <w:pPr>
        <w:rPr>
          <w:rFonts w:ascii="Arial" w:hAnsi="Arial" w:cs="Arial"/>
          <w:sz w:val="24"/>
          <w:szCs w:val="24"/>
        </w:rPr>
      </w:pPr>
      <w:r>
        <w:rPr>
          <w:rStyle w:val="FootnoteReference"/>
        </w:rPr>
        <w:footnoteRef/>
      </w:r>
      <w:r>
        <w:t xml:space="preserve"> </w:t>
      </w:r>
      <w:r w:rsidRPr="00FF275B">
        <w:rPr>
          <w:rFonts w:ascii="Arial" w:hAnsi="Arial" w:cs="Arial"/>
          <w:sz w:val="20"/>
          <w:szCs w:val="24"/>
        </w:rPr>
        <w:t xml:space="preserve">La </w:t>
      </w:r>
      <w:proofErr w:type="spellStart"/>
      <w:r w:rsidRPr="00FF275B">
        <w:rPr>
          <w:rFonts w:ascii="Arial" w:hAnsi="Arial" w:cs="Arial"/>
          <w:sz w:val="20"/>
          <w:szCs w:val="24"/>
        </w:rPr>
        <w:t>Tapisserie</w:t>
      </w:r>
      <w:proofErr w:type="spellEnd"/>
      <w:r w:rsidRPr="00FF275B">
        <w:rPr>
          <w:rFonts w:ascii="Arial" w:hAnsi="Arial" w:cs="Arial"/>
          <w:sz w:val="20"/>
          <w:szCs w:val="24"/>
        </w:rPr>
        <w:t xml:space="preserve"> de Bayeux, ‘Tapestry or Embroidery’, from: </w:t>
      </w:r>
      <w:hyperlink r:id="rId1" w:history="1">
        <w:r w:rsidRPr="00FF275B">
          <w:rPr>
            <w:rStyle w:val="Hyperlink"/>
            <w:rFonts w:ascii="Arial" w:hAnsi="Arial" w:cs="Arial"/>
            <w:sz w:val="20"/>
            <w:szCs w:val="24"/>
          </w:rPr>
          <w:t>https://www.bayeuxmuseum.com/en/the-bayeux-tapestry/discover-the-bayeux-tapestry/tapestry-or-embroidery/</w:t>
        </w:r>
      </w:hyperlink>
      <w:r w:rsidRPr="00FF275B">
        <w:rPr>
          <w:rFonts w:ascii="Arial" w:hAnsi="Arial" w:cs="Arial"/>
          <w:sz w:val="20"/>
          <w:szCs w:val="24"/>
        </w:rPr>
        <w:t>; [accessed 30</w:t>
      </w:r>
      <w:r w:rsidRPr="00FF275B">
        <w:rPr>
          <w:rFonts w:ascii="Arial" w:hAnsi="Arial" w:cs="Arial"/>
          <w:sz w:val="20"/>
          <w:szCs w:val="24"/>
          <w:vertAlign w:val="superscript"/>
        </w:rPr>
        <w:t>th</w:t>
      </w:r>
      <w:r w:rsidRPr="00FF275B">
        <w:rPr>
          <w:rFonts w:ascii="Arial" w:hAnsi="Arial" w:cs="Arial"/>
          <w:sz w:val="20"/>
          <w:szCs w:val="24"/>
        </w:rPr>
        <w:t xml:space="preserve"> January 2023]</w:t>
      </w:r>
    </w:p>
  </w:footnote>
  <w:footnote w:id="2">
    <w:p w:rsidR="00E8036F" w:rsidRPr="00E8036F" w:rsidRDefault="00E8036F" w:rsidP="00E8036F">
      <w:pPr>
        <w:rPr>
          <w:rFonts w:ascii="Arial" w:hAnsi="Arial" w:cs="Arial"/>
          <w:sz w:val="24"/>
          <w:szCs w:val="24"/>
        </w:rPr>
      </w:pPr>
      <w:r>
        <w:rPr>
          <w:rStyle w:val="FootnoteReference"/>
        </w:rPr>
        <w:footnoteRef/>
      </w:r>
      <w:r>
        <w:t xml:space="preserve"> </w:t>
      </w:r>
      <w:r w:rsidRPr="00E8036F">
        <w:rPr>
          <w:rFonts w:ascii="Arial" w:hAnsi="Arial" w:cs="Arial"/>
          <w:sz w:val="20"/>
          <w:szCs w:val="24"/>
        </w:rPr>
        <w:t xml:space="preserve">La </w:t>
      </w:r>
      <w:proofErr w:type="spellStart"/>
      <w:r w:rsidRPr="00E8036F">
        <w:rPr>
          <w:rFonts w:ascii="Arial" w:hAnsi="Arial" w:cs="Arial"/>
          <w:sz w:val="20"/>
          <w:szCs w:val="24"/>
        </w:rPr>
        <w:t>Tapisserie</w:t>
      </w:r>
      <w:proofErr w:type="spellEnd"/>
      <w:r w:rsidRPr="00E8036F">
        <w:rPr>
          <w:rFonts w:ascii="Arial" w:hAnsi="Arial" w:cs="Arial"/>
          <w:sz w:val="20"/>
          <w:szCs w:val="24"/>
        </w:rPr>
        <w:t xml:space="preserve"> de Bayeux, ‘From </w:t>
      </w:r>
      <w:proofErr w:type="spellStart"/>
      <w:r w:rsidRPr="00E8036F">
        <w:rPr>
          <w:rFonts w:ascii="Arial" w:hAnsi="Arial" w:cs="Arial"/>
          <w:sz w:val="20"/>
          <w:szCs w:val="24"/>
        </w:rPr>
        <w:t>Odo’s</w:t>
      </w:r>
      <w:proofErr w:type="spellEnd"/>
      <w:r w:rsidRPr="00E8036F">
        <w:rPr>
          <w:rFonts w:ascii="Arial" w:hAnsi="Arial" w:cs="Arial"/>
          <w:sz w:val="20"/>
          <w:szCs w:val="24"/>
        </w:rPr>
        <w:t xml:space="preserve"> Cathedral to the Louvre’, from: </w:t>
      </w:r>
      <w:hyperlink r:id="rId2" w:history="1">
        <w:r w:rsidRPr="00E8036F">
          <w:rPr>
            <w:rStyle w:val="Hyperlink"/>
            <w:rFonts w:ascii="Arial" w:hAnsi="Arial" w:cs="Arial"/>
            <w:sz w:val="20"/>
            <w:szCs w:val="24"/>
          </w:rPr>
          <w:t>https://www.bayeuxmuseum.com/en/the-bayeux-tapestry/over-the-centuries/from-the-cathedral-to-the-louvre/</w:t>
        </w:r>
      </w:hyperlink>
      <w:r w:rsidRPr="00E8036F">
        <w:rPr>
          <w:rFonts w:ascii="Arial" w:hAnsi="Arial" w:cs="Arial"/>
          <w:sz w:val="20"/>
          <w:szCs w:val="24"/>
        </w:rPr>
        <w:t>; [accessed 30</w:t>
      </w:r>
      <w:r w:rsidRPr="00E8036F">
        <w:rPr>
          <w:rFonts w:ascii="Arial" w:hAnsi="Arial" w:cs="Arial"/>
          <w:sz w:val="20"/>
          <w:szCs w:val="24"/>
          <w:vertAlign w:val="superscript"/>
        </w:rPr>
        <w:t>th</w:t>
      </w:r>
      <w:r w:rsidRPr="00E8036F">
        <w:rPr>
          <w:rFonts w:ascii="Arial" w:hAnsi="Arial" w:cs="Arial"/>
          <w:sz w:val="20"/>
          <w:szCs w:val="24"/>
        </w:rPr>
        <w:t xml:space="preserve"> January 2023]</w:t>
      </w:r>
    </w:p>
  </w:footnote>
  <w:footnote w:id="3">
    <w:p w:rsidR="003A2A32" w:rsidRPr="00002882" w:rsidRDefault="003A2A32" w:rsidP="00002882">
      <w:pPr>
        <w:rPr>
          <w:rFonts w:ascii="Arial" w:hAnsi="Arial" w:cs="Arial"/>
          <w:sz w:val="24"/>
          <w:szCs w:val="24"/>
        </w:rPr>
      </w:pPr>
      <w:r>
        <w:rPr>
          <w:rStyle w:val="FootnoteReference"/>
        </w:rPr>
        <w:footnoteRef/>
      </w:r>
      <w:r>
        <w:t xml:space="preserve"> </w:t>
      </w:r>
      <w:r w:rsidR="00002882" w:rsidRPr="00002882">
        <w:rPr>
          <w:rFonts w:ascii="Arial" w:hAnsi="Arial" w:cs="Arial"/>
          <w:sz w:val="20"/>
          <w:szCs w:val="24"/>
        </w:rPr>
        <w:t>Phyllis</w:t>
      </w:r>
      <w:r w:rsidR="00002882">
        <w:rPr>
          <w:rFonts w:ascii="Arial" w:hAnsi="Arial" w:cs="Arial"/>
          <w:sz w:val="20"/>
          <w:szCs w:val="24"/>
        </w:rPr>
        <w:t xml:space="preserve"> </w:t>
      </w:r>
      <w:proofErr w:type="spellStart"/>
      <w:r w:rsidR="00002882">
        <w:rPr>
          <w:rFonts w:ascii="Arial" w:hAnsi="Arial" w:cs="Arial"/>
          <w:sz w:val="20"/>
          <w:szCs w:val="24"/>
        </w:rPr>
        <w:t>Jestice</w:t>
      </w:r>
      <w:proofErr w:type="spellEnd"/>
      <w:r w:rsidR="00002882" w:rsidRPr="00002882">
        <w:rPr>
          <w:rFonts w:ascii="Arial" w:hAnsi="Arial" w:cs="Arial"/>
          <w:sz w:val="20"/>
          <w:szCs w:val="24"/>
        </w:rPr>
        <w:t>,</w:t>
      </w:r>
      <w:r w:rsidR="00002882" w:rsidRPr="00002882">
        <w:rPr>
          <w:rFonts w:ascii="Arial" w:hAnsi="Arial" w:cs="Arial"/>
          <w:i/>
          <w:sz w:val="20"/>
          <w:szCs w:val="24"/>
        </w:rPr>
        <w:t xml:space="preserve"> Knights of the Medieval World: from household guard to courtly lover,</w:t>
      </w:r>
      <w:r w:rsidR="00002882" w:rsidRPr="00002882">
        <w:rPr>
          <w:rFonts w:ascii="Arial" w:hAnsi="Arial" w:cs="Arial"/>
          <w:sz w:val="20"/>
          <w:szCs w:val="24"/>
        </w:rPr>
        <w:t xml:space="preserve"> (London, Amber Books, 2018)</w:t>
      </w:r>
      <w:r w:rsidR="00002882">
        <w:rPr>
          <w:rFonts w:ascii="Arial" w:hAnsi="Arial" w:cs="Arial"/>
          <w:sz w:val="20"/>
          <w:szCs w:val="24"/>
        </w:rPr>
        <w:t>, (p. 24)</w:t>
      </w:r>
    </w:p>
  </w:footnote>
  <w:footnote w:id="4">
    <w:p w:rsidR="003A2A32" w:rsidRPr="00992306" w:rsidRDefault="003A2A32" w:rsidP="00992306">
      <w:pPr>
        <w:rPr>
          <w:rFonts w:ascii="Arial" w:hAnsi="Arial" w:cs="Arial"/>
          <w:sz w:val="24"/>
          <w:szCs w:val="24"/>
        </w:rPr>
      </w:pPr>
      <w:r>
        <w:rPr>
          <w:rStyle w:val="FootnoteReference"/>
        </w:rPr>
        <w:footnoteRef/>
      </w:r>
      <w:r>
        <w:t xml:space="preserve"> </w:t>
      </w:r>
      <w:r w:rsidR="007B1E22">
        <w:rPr>
          <w:rFonts w:ascii="Arial" w:hAnsi="Arial" w:cs="Arial"/>
          <w:sz w:val="20"/>
          <w:szCs w:val="24"/>
        </w:rPr>
        <w:t xml:space="preserve">Maurice </w:t>
      </w:r>
      <w:r w:rsidR="00002882">
        <w:rPr>
          <w:rFonts w:ascii="Arial" w:hAnsi="Arial" w:cs="Arial"/>
          <w:sz w:val="20"/>
          <w:szCs w:val="24"/>
        </w:rPr>
        <w:t xml:space="preserve">Ashley, </w:t>
      </w:r>
      <w:r w:rsidR="00992306" w:rsidRPr="00992306">
        <w:rPr>
          <w:rFonts w:ascii="Arial" w:hAnsi="Arial" w:cs="Arial"/>
          <w:i/>
          <w:sz w:val="20"/>
          <w:szCs w:val="24"/>
        </w:rPr>
        <w:t>The Life and Times of William I,</w:t>
      </w:r>
      <w:r w:rsidR="00992306" w:rsidRPr="00992306">
        <w:rPr>
          <w:rFonts w:ascii="Arial" w:hAnsi="Arial" w:cs="Arial"/>
          <w:sz w:val="20"/>
          <w:szCs w:val="24"/>
        </w:rPr>
        <w:t xml:space="preserve"> (London, Book Club Associates, 1973)</w:t>
      </w:r>
      <w:r w:rsidR="00992306">
        <w:rPr>
          <w:rFonts w:ascii="Arial" w:hAnsi="Arial" w:cs="Arial"/>
          <w:sz w:val="20"/>
          <w:szCs w:val="24"/>
        </w:rPr>
        <w:t>, (p. 52-53)</w:t>
      </w:r>
    </w:p>
  </w:footnote>
  <w:footnote w:id="5">
    <w:p w:rsidR="00D54462" w:rsidRPr="00287C74" w:rsidRDefault="00D54462" w:rsidP="00287C74">
      <w:pPr>
        <w:rPr>
          <w:rFonts w:ascii="Arial" w:hAnsi="Arial" w:cs="Arial"/>
          <w:sz w:val="24"/>
          <w:szCs w:val="24"/>
        </w:rPr>
      </w:pPr>
      <w:r>
        <w:rPr>
          <w:rStyle w:val="FootnoteReference"/>
        </w:rPr>
        <w:footnoteRef/>
      </w:r>
      <w:r>
        <w:t xml:space="preserve"> </w:t>
      </w:r>
      <w:r w:rsidR="00287C74" w:rsidRPr="00287C74">
        <w:rPr>
          <w:rFonts w:ascii="Arial" w:hAnsi="Arial" w:cs="Arial"/>
          <w:sz w:val="20"/>
          <w:szCs w:val="24"/>
        </w:rPr>
        <w:t>The Editors of Encyclopaedia Britannica, ‘</w:t>
      </w:r>
      <w:proofErr w:type="spellStart"/>
      <w:r w:rsidR="00287C74" w:rsidRPr="00287C74">
        <w:rPr>
          <w:rFonts w:ascii="Arial" w:hAnsi="Arial" w:cs="Arial"/>
          <w:sz w:val="20"/>
          <w:szCs w:val="24"/>
        </w:rPr>
        <w:t>Odo</w:t>
      </w:r>
      <w:proofErr w:type="spellEnd"/>
      <w:r w:rsidR="00287C74" w:rsidRPr="00287C74">
        <w:rPr>
          <w:rFonts w:ascii="Arial" w:hAnsi="Arial" w:cs="Arial"/>
          <w:sz w:val="20"/>
          <w:szCs w:val="24"/>
        </w:rPr>
        <w:t xml:space="preserve"> of Bayeux’, from: </w:t>
      </w:r>
      <w:hyperlink r:id="rId3" w:history="1">
        <w:r w:rsidR="00287C74" w:rsidRPr="00287C74">
          <w:rPr>
            <w:rStyle w:val="Hyperlink"/>
            <w:rFonts w:ascii="Arial" w:hAnsi="Arial" w:cs="Arial"/>
            <w:sz w:val="20"/>
            <w:szCs w:val="24"/>
          </w:rPr>
          <w:t>https://www.britannica.com/biography/Odo-of-Bayeux</w:t>
        </w:r>
      </w:hyperlink>
      <w:r w:rsidR="00287C74" w:rsidRPr="00287C74">
        <w:rPr>
          <w:rFonts w:ascii="Arial" w:hAnsi="Arial" w:cs="Arial"/>
          <w:sz w:val="20"/>
          <w:szCs w:val="24"/>
        </w:rPr>
        <w:t>; [accessed 31</w:t>
      </w:r>
      <w:r w:rsidR="00287C74" w:rsidRPr="00287C74">
        <w:rPr>
          <w:rFonts w:ascii="Arial" w:hAnsi="Arial" w:cs="Arial"/>
          <w:sz w:val="20"/>
          <w:szCs w:val="24"/>
          <w:vertAlign w:val="superscript"/>
        </w:rPr>
        <w:t>st</w:t>
      </w:r>
      <w:r w:rsidR="00287C74" w:rsidRPr="00287C74">
        <w:rPr>
          <w:rFonts w:ascii="Arial" w:hAnsi="Arial" w:cs="Arial"/>
          <w:sz w:val="20"/>
          <w:szCs w:val="24"/>
        </w:rPr>
        <w:t xml:space="preserve"> January 2023]</w:t>
      </w:r>
    </w:p>
  </w:footnote>
  <w:footnote w:id="6">
    <w:p w:rsidR="00D54462" w:rsidRPr="00772BFD" w:rsidRDefault="00D54462">
      <w:pPr>
        <w:pStyle w:val="FootnoteText"/>
        <w:rPr>
          <w:lang w:val="en-US"/>
        </w:rPr>
      </w:pPr>
      <w:r>
        <w:rPr>
          <w:rStyle w:val="FootnoteReference"/>
        </w:rPr>
        <w:footnoteRef/>
      </w:r>
      <w:r>
        <w:t xml:space="preserve"> </w:t>
      </w:r>
      <w:r w:rsidR="00772BFD">
        <w:rPr>
          <w:rFonts w:ascii="Arial" w:hAnsi="Arial" w:cs="Arial"/>
          <w:szCs w:val="24"/>
        </w:rPr>
        <w:t xml:space="preserve">Ashley, </w:t>
      </w:r>
      <w:r w:rsidR="00772BFD" w:rsidRPr="00992306">
        <w:rPr>
          <w:rFonts w:ascii="Arial" w:hAnsi="Arial" w:cs="Arial"/>
          <w:i/>
          <w:szCs w:val="24"/>
        </w:rPr>
        <w:t>The Life and Times of William I,</w:t>
      </w:r>
      <w:r w:rsidR="00772BFD">
        <w:rPr>
          <w:rFonts w:ascii="Arial" w:hAnsi="Arial" w:cs="Arial"/>
          <w:szCs w:val="24"/>
        </w:rPr>
        <w:t xml:space="preserve"> (p. 78)</w:t>
      </w:r>
    </w:p>
  </w:footnote>
  <w:footnote w:id="7">
    <w:p w:rsidR="002F0FF3" w:rsidRPr="002F0FF3" w:rsidRDefault="002F0FF3" w:rsidP="002F0FF3">
      <w:pPr>
        <w:rPr>
          <w:rFonts w:ascii="Arial" w:hAnsi="Arial" w:cs="Arial"/>
          <w:sz w:val="24"/>
          <w:szCs w:val="24"/>
        </w:rPr>
      </w:pPr>
      <w:r>
        <w:rPr>
          <w:rStyle w:val="FootnoteReference"/>
        </w:rPr>
        <w:footnoteRef/>
      </w:r>
      <w:r>
        <w:t xml:space="preserve"> </w:t>
      </w:r>
      <w:r w:rsidRPr="002F0FF3">
        <w:rPr>
          <w:rFonts w:ascii="Arial" w:hAnsi="Arial" w:cs="Arial"/>
          <w:sz w:val="20"/>
          <w:szCs w:val="24"/>
        </w:rPr>
        <w:t xml:space="preserve">La </w:t>
      </w:r>
      <w:proofErr w:type="spellStart"/>
      <w:r w:rsidRPr="002F0FF3">
        <w:rPr>
          <w:rFonts w:ascii="Arial" w:hAnsi="Arial" w:cs="Arial"/>
          <w:sz w:val="20"/>
          <w:szCs w:val="24"/>
        </w:rPr>
        <w:t>Tapisserie</w:t>
      </w:r>
      <w:proofErr w:type="spellEnd"/>
      <w:r w:rsidRPr="002F0FF3">
        <w:rPr>
          <w:rFonts w:ascii="Arial" w:hAnsi="Arial" w:cs="Arial"/>
          <w:sz w:val="20"/>
          <w:szCs w:val="24"/>
        </w:rPr>
        <w:t xml:space="preserve"> de Bayeux, ‘From </w:t>
      </w:r>
      <w:proofErr w:type="spellStart"/>
      <w:r w:rsidRPr="002F0FF3">
        <w:rPr>
          <w:rFonts w:ascii="Arial" w:hAnsi="Arial" w:cs="Arial"/>
          <w:sz w:val="20"/>
          <w:szCs w:val="24"/>
        </w:rPr>
        <w:t>Odo’s</w:t>
      </w:r>
      <w:proofErr w:type="spellEnd"/>
      <w:r w:rsidRPr="002F0FF3">
        <w:rPr>
          <w:rFonts w:ascii="Arial" w:hAnsi="Arial" w:cs="Arial"/>
          <w:sz w:val="20"/>
          <w:szCs w:val="24"/>
        </w:rPr>
        <w:t xml:space="preserve"> Cathedral to the Louvre’</w:t>
      </w:r>
    </w:p>
  </w:footnote>
  <w:footnote w:id="8">
    <w:p w:rsidR="00AE1418" w:rsidRPr="00DB01F5" w:rsidRDefault="00AE1418" w:rsidP="00DB01F5">
      <w:pPr>
        <w:rPr>
          <w:rFonts w:ascii="Arial" w:hAnsi="Arial" w:cs="Arial"/>
          <w:sz w:val="24"/>
          <w:szCs w:val="24"/>
        </w:rPr>
      </w:pPr>
      <w:r>
        <w:rPr>
          <w:rStyle w:val="FootnoteReference"/>
        </w:rPr>
        <w:footnoteRef/>
      </w:r>
      <w:r>
        <w:t xml:space="preserve"> </w:t>
      </w:r>
      <w:r w:rsidR="00DB01F5" w:rsidRPr="00DB01F5">
        <w:rPr>
          <w:rFonts w:ascii="Arial" w:hAnsi="Arial" w:cs="Arial"/>
          <w:sz w:val="20"/>
          <w:szCs w:val="24"/>
        </w:rPr>
        <w:t xml:space="preserve">Simpson, J. A., and E.S.C. Weiner, (eds.), </w:t>
      </w:r>
      <w:r w:rsidR="00DB01F5" w:rsidRPr="00DB01F5">
        <w:rPr>
          <w:rFonts w:ascii="Arial" w:hAnsi="Arial" w:cs="Arial"/>
          <w:i/>
          <w:sz w:val="20"/>
          <w:szCs w:val="24"/>
        </w:rPr>
        <w:t xml:space="preserve">The Oxford English Dictionary: Volume X </w:t>
      </w:r>
      <w:proofErr w:type="spellStart"/>
      <w:r w:rsidR="00DB01F5" w:rsidRPr="00DB01F5">
        <w:rPr>
          <w:rFonts w:ascii="Arial" w:hAnsi="Arial" w:cs="Arial"/>
          <w:i/>
          <w:sz w:val="20"/>
          <w:szCs w:val="24"/>
        </w:rPr>
        <w:t>Moul</w:t>
      </w:r>
      <w:proofErr w:type="spellEnd"/>
      <w:r w:rsidR="00DB01F5" w:rsidRPr="00DB01F5">
        <w:rPr>
          <w:rFonts w:ascii="Arial" w:hAnsi="Arial" w:cs="Arial"/>
          <w:i/>
          <w:sz w:val="20"/>
          <w:szCs w:val="24"/>
        </w:rPr>
        <w:t>-Ovum,</w:t>
      </w:r>
      <w:r w:rsidR="00DB01F5" w:rsidRPr="00DB01F5">
        <w:rPr>
          <w:rFonts w:ascii="Arial" w:hAnsi="Arial" w:cs="Arial"/>
          <w:sz w:val="20"/>
          <w:szCs w:val="24"/>
        </w:rPr>
        <w:t xml:space="preserve"> 2</w:t>
      </w:r>
      <w:r w:rsidR="00DB01F5" w:rsidRPr="00DB01F5">
        <w:rPr>
          <w:rFonts w:ascii="Arial" w:hAnsi="Arial" w:cs="Arial"/>
          <w:sz w:val="20"/>
          <w:szCs w:val="24"/>
          <w:vertAlign w:val="superscript"/>
        </w:rPr>
        <w:t>nd</w:t>
      </w:r>
      <w:r w:rsidR="00DB01F5" w:rsidRPr="00DB01F5">
        <w:rPr>
          <w:rFonts w:ascii="Arial" w:hAnsi="Arial" w:cs="Arial"/>
          <w:sz w:val="20"/>
          <w:szCs w:val="24"/>
        </w:rPr>
        <w:t xml:space="preserve"> </w:t>
      </w:r>
      <w:proofErr w:type="spellStart"/>
      <w:r w:rsidR="00DB01F5" w:rsidRPr="00DB01F5">
        <w:rPr>
          <w:rFonts w:ascii="Arial" w:hAnsi="Arial" w:cs="Arial"/>
          <w:sz w:val="20"/>
          <w:szCs w:val="24"/>
        </w:rPr>
        <w:t>edn</w:t>
      </w:r>
      <w:proofErr w:type="spellEnd"/>
      <w:r w:rsidR="00DB01F5" w:rsidRPr="00DB01F5">
        <w:rPr>
          <w:rFonts w:ascii="Arial" w:hAnsi="Arial" w:cs="Arial"/>
          <w:sz w:val="20"/>
          <w:szCs w:val="24"/>
        </w:rPr>
        <w:t>., (Oxford, Clarendon Press, 1989)</w:t>
      </w:r>
      <w:r w:rsidR="00DB01F5">
        <w:rPr>
          <w:rFonts w:ascii="Arial" w:hAnsi="Arial" w:cs="Arial"/>
          <w:sz w:val="20"/>
          <w:szCs w:val="24"/>
        </w:rPr>
        <w:t>, (p. 256)</w:t>
      </w:r>
    </w:p>
  </w:footnote>
  <w:footnote w:id="9">
    <w:p w:rsidR="003B73DC" w:rsidRPr="003B73DC" w:rsidRDefault="003B73DC" w:rsidP="003B73DC">
      <w:pPr>
        <w:rPr>
          <w:rFonts w:ascii="Arial" w:hAnsi="Arial" w:cs="Arial"/>
          <w:sz w:val="24"/>
          <w:szCs w:val="24"/>
        </w:rPr>
      </w:pPr>
      <w:r>
        <w:rPr>
          <w:rStyle w:val="FootnoteReference"/>
        </w:rPr>
        <w:footnoteRef/>
      </w:r>
      <w:r>
        <w:t xml:space="preserve"> </w:t>
      </w:r>
      <w:proofErr w:type="spellStart"/>
      <w:r w:rsidRPr="003B73DC">
        <w:rPr>
          <w:rFonts w:ascii="Arial" w:hAnsi="Arial" w:cs="Arial"/>
          <w:sz w:val="20"/>
          <w:szCs w:val="24"/>
        </w:rPr>
        <w:t>Eskelon</w:t>
      </w:r>
      <w:proofErr w:type="spellEnd"/>
      <w:r w:rsidRPr="003B73DC">
        <w:rPr>
          <w:rFonts w:ascii="Arial" w:hAnsi="Arial" w:cs="Arial"/>
          <w:sz w:val="20"/>
          <w:szCs w:val="24"/>
        </w:rPr>
        <w:t>, Tyrel C., ‘States, Institutions, and Literacy Rates in Early-Modern Western Europe’,</w:t>
      </w:r>
      <w:r w:rsidRPr="003B73DC">
        <w:rPr>
          <w:sz w:val="18"/>
        </w:rPr>
        <w:t xml:space="preserve"> </w:t>
      </w:r>
      <w:r w:rsidRPr="003B73DC">
        <w:rPr>
          <w:i/>
          <w:sz w:val="18"/>
        </w:rPr>
        <w:t>J</w:t>
      </w:r>
      <w:r w:rsidRPr="003B73DC">
        <w:rPr>
          <w:rFonts w:ascii="Arial" w:hAnsi="Arial" w:cs="Arial"/>
          <w:i/>
          <w:sz w:val="20"/>
          <w:szCs w:val="24"/>
        </w:rPr>
        <w:t>ournal of Education and Learning</w:t>
      </w:r>
      <w:r w:rsidRPr="003B73DC">
        <w:rPr>
          <w:rFonts w:ascii="Arial" w:hAnsi="Arial" w:cs="Arial"/>
          <w:sz w:val="20"/>
          <w:szCs w:val="24"/>
        </w:rPr>
        <w:t>, Vol. 10, No. 2, (2021), 109-123</w:t>
      </w:r>
      <w:r>
        <w:rPr>
          <w:rFonts w:ascii="Arial" w:hAnsi="Arial" w:cs="Arial"/>
          <w:sz w:val="20"/>
          <w:szCs w:val="24"/>
        </w:rPr>
        <w:t>, (p.109)</w:t>
      </w:r>
    </w:p>
  </w:footnote>
  <w:footnote w:id="10">
    <w:p w:rsidR="00D06283" w:rsidRPr="00D06283" w:rsidRDefault="00D06283">
      <w:pPr>
        <w:pStyle w:val="FootnoteText"/>
        <w:rPr>
          <w:lang w:val="en-US"/>
        </w:rPr>
      </w:pPr>
      <w:r>
        <w:rPr>
          <w:rStyle w:val="FootnoteReference"/>
        </w:rPr>
        <w:footnoteRef/>
      </w:r>
      <w:r>
        <w:t xml:space="preserve"> </w:t>
      </w:r>
      <w:r w:rsidRPr="00D06283">
        <w:rPr>
          <w:rFonts w:ascii="Arial" w:hAnsi="Arial" w:cs="Arial"/>
          <w:lang w:val="en-US"/>
        </w:rPr>
        <w:t>Own translation</w:t>
      </w:r>
    </w:p>
  </w:footnote>
  <w:footnote w:id="11">
    <w:p w:rsidR="00DA70A1" w:rsidRPr="00DA70A1" w:rsidRDefault="00DA70A1">
      <w:pPr>
        <w:pStyle w:val="FootnoteText"/>
        <w:rPr>
          <w:lang w:val="en-US"/>
        </w:rPr>
      </w:pPr>
      <w:r>
        <w:rPr>
          <w:rStyle w:val="FootnoteReference"/>
        </w:rPr>
        <w:footnoteRef/>
      </w:r>
      <w:r>
        <w:t xml:space="preserve"> </w:t>
      </w:r>
      <w:r>
        <w:rPr>
          <w:rFonts w:ascii="Arial" w:hAnsi="Arial" w:cs="Arial"/>
          <w:szCs w:val="24"/>
        </w:rPr>
        <w:t xml:space="preserve">Ashley, </w:t>
      </w:r>
      <w:r w:rsidRPr="00992306">
        <w:rPr>
          <w:rFonts w:ascii="Arial" w:hAnsi="Arial" w:cs="Arial"/>
          <w:i/>
          <w:szCs w:val="24"/>
        </w:rPr>
        <w:t>The Life and Times of William I,</w:t>
      </w:r>
      <w:r>
        <w:rPr>
          <w:rFonts w:ascii="Arial" w:hAnsi="Arial" w:cs="Arial"/>
          <w:szCs w:val="24"/>
        </w:rPr>
        <w:t xml:space="preserve"> (p. 20)</w:t>
      </w:r>
    </w:p>
  </w:footnote>
  <w:footnote w:id="12">
    <w:p w:rsidR="00DA70A1" w:rsidRPr="00DA70A1" w:rsidRDefault="00DA70A1">
      <w:pPr>
        <w:pStyle w:val="FootnoteText"/>
        <w:rPr>
          <w:lang w:val="en-US"/>
        </w:rPr>
      </w:pPr>
      <w:r>
        <w:rPr>
          <w:rStyle w:val="FootnoteReference"/>
        </w:rPr>
        <w:footnoteRef/>
      </w:r>
      <w:r>
        <w:t xml:space="preserve"> </w:t>
      </w:r>
      <w:r>
        <w:rPr>
          <w:i/>
          <w:lang w:val="en-US"/>
        </w:rPr>
        <w:t>Ibid.</w:t>
      </w:r>
      <w:r>
        <w:rPr>
          <w:lang w:val="en-US"/>
        </w:rPr>
        <w:t xml:space="preserve"> (p.20)</w:t>
      </w:r>
    </w:p>
  </w:footnote>
  <w:footnote w:id="13">
    <w:p w:rsidR="00994FF3" w:rsidRPr="00994FF3" w:rsidRDefault="00994FF3" w:rsidP="00994FF3">
      <w:pPr>
        <w:rPr>
          <w:rFonts w:ascii="Arial" w:hAnsi="Arial" w:cs="Arial"/>
          <w:bCs/>
          <w:sz w:val="24"/>
          <w:szCs w:val="32"/>
        </w:rPr>
      </w:pPr>
      <w:r>
        <w:rPr>
          <w:rStyle w:val="FootnoteReference"/>
        </w:rPr>
        <w:footnoteRef/>
      </w:r>
      <w:r>
        <w:t xml:space="preserve"> </w:t>
      </w:r>
      <w:r w:rsidRPr="00994FF3">
        <w:rPr>
          <w:rFonts w:ascii="Arial" w:hAnsi="Arial" w:cs="Arial"/>
          <w:bCs/>
          <w:sz w:val="20"/>
          <w:szCs w:val="32"/>
        </w:rPr>
        <w:t xml:space="preserve">William of Poitiers, </w:t>
      </w:r>
      <w:proofErr w:type="spellStart"/>
      <w:r w:rsidRPr="00994FF3">
        <w:rPr>
          <w:rFonts w:ascii="Arial" w:hAnsi="Arial" w:cs="Arial"/>
          <w:bCs/>
          <w:i/>
          <w:sz w:val="20"/>
          <w:szCs w:val="32"/>
        </w:rPr>
        <w:t>Gesta</w:t>
      </w:r>
      <w:proofErr w:type="spellEnd"/>
      <w:r w:rsidRPr="00994FF3">
        <w:rPr>
          <w:rFonts w:ascii="Arial" w:hAnsi="Arial" w:cs="Arial"/>
          <w:bCs/>
          <w:i/>
          <w:sz w:val="20"/>
          <w:szCs w:val="32"/>
        </w:rPr>
        <w:t xml:space="preserve"> </w:t>
      </w:r>
      <w:proofErr w:type="spellStart"/>
      <w:r w:rsidRPr="00994FF3">
        <w:rPr>
          <w:rFonts w:ascii="Arial" w:hAnsi="Arial" w:cs="Arial"/>
          <w:bCs/>
          <w:i/>
          <w:sz w:val="20"/>
          <w:szCs w:val="32"/>
        </w:rPr>
        <w:t>Willelmi</w:t>
      </w:r>
      <w:proofErr w:type="spellEnd"/>
      <w:r w:rsidRPr="00994FF3">
        <w:rPr>
          <w:rFonts w:ascii="Arial" w:hAnsi="Arial" w:cs="Arial"/>
          <w:bCs/>
          <w:i/>
          <w:sz w:val="20"/>
          <w:szCs w:val="32"/>
        </w:rPr>
        <w:t>,</w:t>
      </w:r>
      <w:r w:rsidRPr="00994FF3">
        <w:rPr>
          <w:rFonts w:ascii="Arial" w:hAnsi="Arial" w:cs="Arial"/>
          <w:bCs/>
          <w:sz w:val="20"/>
          <w:szCs w:val="32"/>
        </w:rPr>
        <w:t xml:space="preserve"> </w:t>
      </w:r>
      <w:proofErr w:type="spellStart"/>
      <w:r w:rsidRPr="00994FF3">
        <w:rPr>
          <w:rFonts w:ascii="Arial" w:hAnsi="Arial" w:cs="Arial"/>
          <w:bCs/>
          <w:sz w:val="20"/>
          <w:szCs w:val="32"/>
        </w:rPr>
        <w:t>eds</w:t>
      </w:r>
      <w:proofErr w:type="spellEnd"/>
      <w:r w:rsidRPr="00994FF3">
        <w:rPr>
          <w:rFonts w:ascii="Arial" w:hAnsi="Arial" w:cs="Arial"/>
          <w:bCs/>
          <w:sz w:val="20"/>
          <w:szCs w:val="32"/>
        </w:rPr>
        <w:t xml:space="preserve">, and trans. Ralph Henry Carless Davis, Marjorie </w:t>
      </w:r>
      <w:proofErr w:type="spellStart"/>
      <w:r w:rsidRPr="00994FF3">
        <w:rPr>
          <w:rFonts w:ascii="Arial" w:hAnsi="Arial" w:cs="Arial"/>
          <w:bCs/>
          <w:sz w:val="20"/>
          <w:szCs w:val="32"/>
        </w:rPr>
        <w:t>Chibnall</w:t>
      </w:r>
      <w:proofErr w:type="spellEnd"/>
      <w:r w:rsidRPr="00994FF3">
        <w:rPr>
          <w:rFonts w:ascii="Arial" w:hAnsi="Arial" w:cs="Arial"/>
          <w:bCs/>
          <w:sz w:val="20"/>
          <w:szCs w:val="32"/>
        </w:rPr>
        <w:t>, and R. H. C. Davis, (Oxford, Clarendon Press, 1998)</w:t>
      </w:r>
      <w:r>
        <w:rPr>
          <w:rFonts w:ascii="Arial" w:hAnsi="Arial" w:cs="Arial"/>
          <w:bCs/>
          <w:sz w:val="20"/>
          <w:szCs w:val="32"/>
        </w:rPr>
        <w:t>, (p.4)</w:t>
      </w:r>
    </w:p>
  </w:footnote>
  <w:footnote w:id="14">
    <w:p w:rsidR="00994FF3" w:rsidRPr="00917D8D" w:rsidRDefault="00994FF3">
      <w:pPr>
        <w:pStyle w:val="FootnoteText"/>
        <w:rPr>
          <w:lang w:val="en-US"/>
        </w:rPr>
      </w:pPr>
      <w:r>
        <w:rPr>
          <w:rStyle w:val="FootnoteReference"/>
        </w:rPr>
        <w:footnoteRef/>
      </w:r>
      <w:r>
        <w:t xml:space="preserve"> </w:t>
      </w:r>
      <w:r w:rsidR="00917D8D" w:rsidRPr="00994FF3">
        <w:rPr>
          <w:rFonts w:ascii="Arial" w:hAnsi="Arial" w:cs="Arial"/>
          <w:bCs/>
          <w:szCs w:val="32"/>
        </w:rPr>
        <w:t xml:space="preserve">William of Poitiers, </w:t>
      </w:r>
      <w:proofErr w:type="spellStart"/>
      <w:r w:rsidR="00917D8D" w:rsidRPr="00994FF3">
        <w:rPr>
          <w:rFonts w:ascii="Arial" w:hAnsi="Arial" w:cs="Arial"/>
          <w:bCs/>
          <w:i/>
          <w:szCs w:val="32"/>
        </w:rPr>
        <w:t>Gesta</w:t>
      </w:r>
      <w:proofErr w:type="spellEnd"/>
      <w:r w:rsidR="00917D8D" w:rsidRPr="00994FF3">
        <w:rPr>
          <w:rFonts w:ascii="Arial" w:hAnsi="Arial" w:cs="Arial"/>
          <w:bCs/>
          <w:i/>
          <w:szCs w:val="32"/>
        </w:rPr>
        <w:t xml:space="preserve"> </w:t>
      </w:r>
      <w:proofErr w:type="spellStart"/>
      <w:r w:rsidR="00917D8D" w:rsidRPr="00994FF3">
        <w:rPr>
          <w:rFonts w:ascii="Arial" w:hAnsi="Arial" w:cs="Arial"/>
          <w:bCs/>
          <w:i/>
          <w:szCs w:val="32"/>
        </w:rPr>
        <w:t>Willelmi</w:t>
      </w:r>
      <w:proofErr w:type="spellEnd"/>
      <w:r w:rsidR="00917D8D" w:rsidRPr="00994FF3">
        <w:rPr>
          <w:rFonts w:ascii="Arial" w:hAnsi="Arial" w:cs="Arial"/>
          <w:bCs/>
          <w:i/>
          <w:szCs w:val="32"/>
        </w:rPr>
        <w:t>,</w:t>
      </w:r>
      <w:r w:rsidR="00917D8D">
        <w:rPr>
          <w:rFonts w:ascii="Arial" w:hAnsi="Arial" w:cs="Arial"/>
          <w:bCs/>
          <w:szCs w:val="32"/>
        </w:rPr>
        <w:t xml:space="preserve"> (p.4)</w:t>
      </w:r>
    </w:p>
  </w:footnote>
  <w:footnote w:id="15">
    <w:p w:rsidR="007C658C" w:rsidRPr="007C658C" w:rsidRDefault="007C658C" w:rsidP="007C658C">
      <w:pPr>
        <w:rPr>
          <w:rFonts w:ascii="Arial" w:hAnsi="Arial" w:cs="Arial"/>
          <w:bCs/>
          <w:sz w:val="24"/>
          <w:szCs w:val="32"/>
        </w:rPr>
      </w:pPr>
      <w:r>
        <w:rPr>
          <w:rStyle w:val="FootnoteReference"/>
        </w:rPr>
        <w:footnoteRef/>
      </w:r>
      <w:r>
        <w:t xml:space="preserve"> </w:t>
      </w:r>
      <w:r w:rsidRPr="007C658C">
        <w:rPr>
          <w:rFonts w:ascii="Arial" w:hAnsi="Arial" w:cs="Arial"/>
          <w:bCs/>
          <w:i/>
          <w:sz w:val="20"/>
          <w:szCs w:val="32"/>
        </w:rPr>
        <w:t xml:space="preserve">The Anglo Saxon Chronicle, </w:t>
      </w:r>
      <w:r w:rsidRPr="007C658C">
        <w:rPr>
          <w:rFonts w:ascii="Arial" w:hAnsi="Arial" w:cs="Arial"/>
          <w:bCs/>
          <w:sz w:val="20"/>
          <w:szCs w:val="32"/>
        </w:rPr>
        <w:t xml:space="preserve">trans. James Ingram, (USA, Project </w:t>
      </w:r>
      <w:proofErr w:type="spellStart"/>
      <w:r w:rsidRPr="007C658C">
        <w:rPr>
          <w:rFonts w:ascii="Arial" w:hAnsi="Arial" w:cs="Arial"/>
          <w:bCs/>
          <w:sz w:val="20"/>
          <w:szCs w:val="32"/>
        </w:rPr>
        <w:t>Gutenburg</w:t>
      </w:r>
      <w:proofErr w:type="spellEnd"/>
      <w:r w:rsidRPr="007C658C">
        <w:rPr>
          <w:rFonts w:ascii="Arial" w:hAnsi="Arial" w:cs="Arial"/>
          <w:bCs/>
          <w:sz w:val="20"/>
          <w:szCs w:val="32"/>
        </w:rPr>
        <w:t>, 1996)</w:t>
      </w:r>
      <w:r>
        <w:rPr>
          <w:rFonts w:ascii="Arial" w:hAnsi="Arial" w:cs="Arial"/>
          <w:bCs/>
          <w:sz w:val="20"/>
          <w:szCs w:val="32"/>
        </w:rPr>
        <w:t>, (p. 121)</w:t>
      </w:r>
    </w:p>
  </w:footnote>
  <w:footnote w:id="16">
    <w:p w:rsidR="00880F18" w:rsidRPr="00880F18" w:rsidRDefault="00880F18">
      <w:pPr>
        <w:pStyle w:val="FootnoteText"/>
        <w:rPr>
          <w:lang w:val="en-US"/>
        </w:rPr>
      </w:pPr>
      <w:r>
        <w:rPr>
          <w:rStyle w:val="FootnoteReference"/>
        </w:rPr>
        <w:footnoteRef/>
      </w:r>
      <w:r>
        <w:t xml:space="preserve"> </w:t>
      </w:r>
      <w:r w:rsidRPr="007C658C">
        <w:rPr>
          <w:rFonts w:ascii="Arial" w:hAnsi="Arial" w:cs="Arial"/>
          <w:bCs/>
          <w:i/>
          <w:szCs w:val="32"/>
        </w:rPr>
        <w:t>The Anglo Saxon Chronicle,</w:t>
      </w:r>
      <w:r>
        <w:rPr>
          <w:rFonts w:ascii="Arial" w:hAnsi="Arial" w:cs="Arial"/>
          <w:bCs/>
          <w:szCs w:val="32"/>
        </w:rPr>
        <w:t>(p. 121)</w:t>
      </w:r>
    </w:p>
  </w:footnote>
  <w:footnote w:id="17">
    <w:p w:rsidR="002762B0" w:rsidRPr="002762B0" w:rsidRDefault="002762B0">
      <w:pPr>
        <w:pStyle w:val="FootnoteText"/>
        <w:rPr>
          <w:lang w:val="en-US"/>
        </w:rPr>
      </w:pPr>
      <w:r>
        <w:rPr>
          <w:rStyle w:val="FootnoteReference"/>
        </w:rPr>
        <w:footnoteRef/>
      </w:r>
      <w:r>
        <w:t xml:space="preserve"> </w:t>
      </w:r>
      <w:r>
        <w:rPr>
          <w:i/>
        </w:rPr>
        <w:t xml:space="preserve">Ibid. </w:t>
      </w:r>
      <w:r>
        <w:t>(pp. 120-121)</w:t>
      </w:r>
    </w:p>
  </w:footnote>
  <w:footnote w:id="18">
    <w:p w:rsidR="002762B0" w:rsidRPr="002762B0" w:rsidRDefault="002762B0">
      <w:pPr>
        <w:pStyle w:val="FootnoteText"/>
        <w:rPr>
          <w:lang w:val="en-US"/>
        </w:rPr>
      </w:pPr>
      <w:r>
        <w:rPr>
          <w:rStyle w:val="FootnoteReference"/>
        </w:rPr>
        <w:footnoteRef/>
      </w:r>
      <w:r>
        <w:t xml:space="preserve"> </w:t>
      </w:r>
      <w:r w:rsidRPr="00994FF3">
        <w:rPr>
          <w:rFonts w:ascii="Arial" w:hAnsi="Arial" w:cs="Arial"/>
          <w:bCs/>
          <w:szCs w:val="32"/>
        </w:rPr>
        <w:t xml:space="preserve">William of Poitiers, </w:t>
      </w:r>
      <w:proofErr w:type="spellStart"/>
      <w:r w:rsidRPr="00994FF3">
        <w:rPr>
          <w:rFonts w:ascii="Arial" w:hAnsi="Arial" w:cs="Arial"/>
          <w:bCs/>
          <w:i/>
          <w:szCs w:val="32"/>
        </w:rPr>
        <w:t>Gesta</w:t>
      </w:r>
      <w:proofErr w:type="spellEnd"/>
      <w:r w:rsidRPr="00994FF3">
        <w:rPr>
          <w:rFonts w:ascii="Arial" w:hAnsi="Arial" w:cs="Arial"/>
          <w:bCs/>
          <w:i/>
          <w:szCs w:val="32"/>
        </w:rPr>
        <w:t xml:space="preserve"> </w:t>
      </w:r>
      <w:proofErr w:type="spellStart"/>
      <w:r w:rsidRPr="00994FF3">
        <w:rPr>
          <w:rFonts w:ascii="Arial" w:hAnsi="Arial" w:cs="Arial"/>
          <w:bCs/>
          <w:i/>
          <w:szCs w:val="32"/>
        </w:rPr>
        <w:t>Willelmi</w:t>
      </w:r>
      <w:proofErr w:type="spellEnd"/>
      <w:r w:rsidRPr="00994FF3">
        <w:rPr>
          <w:rFonts w:ascii="Arial" w:hAnsi="Arial" w:cs="Arial"/>
          <w:bCs/>
          <w:i/>
          <w:szCs w:val="32"/>
        </w:rPr>
        <w:t>,</w:t>
      </w:r>
      <w:r>
        <w:rPr>
          <w:rFonts w:ascii="Arial" w:hAnsi="Arial" w:cs="Arial"/>
          <w:bCs/>
          <w:szCs w:val="32"/>
        </w:rPr>
        <w:t xml:space="preserve"> (p</w:t>
      </w:r>
      <w:r>
        <w:rPr>
          <w:rFonts w:ascii="Arial" w:hAnsi="Arial" w:cs="Arial"/>
          <w:bCs/>
          <w:szCs w:val="32"/>
        </w:rPr>
        <w:t>p</w:t>
      </w:r>
      <w:r>
        <w:rPr>
          <w:rFonts w:ascii="Arial" w:hAnsi="Arial" w:cs="Arial"/>
          <w:bCs/>
          <w:szCs w:val="32"/>
        </w:rPr>
        <w:t>.4</w:t>
      </w:r>
      <w:r>
        <w:rPr>
          <w:rFonts w:ascii="Arial" w:hAnsi="Arial" w:cs="Arial"/>
          <w:bCs/>
          <w:szCs w:val="32"/>
        </w:rPr>
        <w:t>-5</w:t>
      </w:r>
      <w:r>
        <w:rPr>
          <w:rFonts w:ascii="Arial" w:hAnsi="Arial" w:cs="Arial"/>
          <w:bCs/>
          <w:szCs w:val="32"/>
        </w:rPr>
        <w:t>)</w:t>
      </w:r>
    </w:p>
  </w:footnote>
  <w:footnote w:id="19">
    <w:p w:rsidR="002762B0" w:rsidRPr="002762B0" w:rsidRDefault="002762B0">
      <w:pPr>
        <w:pStyle w:val="FootnoteText"/>
        <w:rPr>
          <w:lang w:val="en-US"/>
        </w:rPr>
      </w:pPr>
      <w:r>
        <w:rPr>
          <w:rStyle w:val="FootnoteReference"/>
        </w:rPr>
        <w:footnoteRef/>
      </w:r>
      <w:r>
        <w:t xml:space="preserve"> </w:t>
      </w:r>
      <w:r w:rsidR="00466545">
        <w:t xml:space="preserve">See </w:t>
      </w:r>
      <w:r>
        <w:rPr>
          <w:lang w:val="en-US"/>
        </w:rPr>
        <w:t>Image I</w:t>
      </w:r>
    </w:p>
  </w:footnote>
  <w:footnote w:id="20">
    <w:p w:rsidR="00466545" w:rsidRPr="00466545" w:rsidRDefault="00466545">
      <w:pPr>
        <w:pStyle w:val="FootnoteText"/>
        <w:rPr>
          <w:lang w:val="en-US"/>
        </w:rPr>
      </w:pPr>
      <w:r>
        <w:rPr>
          <w:rStyle w:val="FootnoteReference"/>
        </w:rPr>
        <w:footnoteRef/>
      </w:r>
      <w:r>
        <w:t xml:space="preserve"> See </w:t>
      </w:r>
      <w:r>
        <w:rPr>
          <w:lang w:val="en-US"/>
        </w:rPr>
        <w:t>Image I</w:t>
      </w:r>
    </w:p>
  </w:footnote>
  <w:footnote w:id="21">
    <w:p w:rsidR="00466545" w:rsidRPr="00466545" w:rsidRDefault="00466545">
      <w:pPr>
        <w:pStyle w:val="FootnoteText"/>
        <w:rPr>
          <w:lang w:val="en-US"/>
        </w:rPr>
      </w:pPr>
      <w:r>
        <w:rPr>
          <w:rStyle w:val="FootnoteReference"/>
        </w:rPr>
        <w:footnoteRef/>
      </w:r>
      <w:r>
        <w:t xml:space="preserve"> </w:t>
      </w:r>
      <w:r>
        <w:rPr>
          <w:lang w:val="en-US"/>
        </w:rPr>
        <w:t>See Image I</w:t>
      </w:r>
    </w:p>
  </w:footnote>
  <w:footnote w:id="22">
    <w:p w:rsidR="00185B86" w:rsidRPr="00185B86" w:rsidRDefault="00185B86" w:rsidP="00185B86">
      <w:pPr>
        <w:rPr>
          <w:rFonts w:ascii="Arial" w:hAnsi="Arial" w:cs="Arial"/>
          <w:sz w:val="24"/>
          <w:szCs w:val="24"/>
        </w:rPr>
      </w:pPr>
      <w:r>
        <w:rPr>
          <w:rStyle w:val="FootnoteReference"/>
        </w:rPr>
        <w:footnoteRef/>
      </w:r>
      <w:r>
        <w:t xml:space="preserve"> </w:t>
      </w:r>
      <w:r w:rsidRPr="00185B86">
        <w:rPr>
          <w:rFonts w:ascii="Arial" w:hAnsi="Arial" w:cs="Arial"/>
          <w:sz w:val="20"/>
          <w:szCs w:val="24"/>
        </w:rPr>
        <w:t xml:space="preserve">La </w:t>
      </w:r>
      <w:proofErr w:type="spellStart"/>
      <w:r w:rsidRPr="00185B86">
        <w:rPr>
          <w:rFonts w:ascii="Arial" w:hAnsi="Arial" w:cs="Arial"/>
          <w:sz w:val="20"/>
          <w:szCs w:val="24"/>
        </w:rPr>
        <w:t>Tapisserie</w:t>
      </w:r>
      <w:proofErr w:type="spellEnd"/>
      <w:r w:rsidRPr="00185B86">
        <w:rPr>
          <w:rFonts w:ascii="Arial" w:hAnsi="Arial" w:cs="Arial"/>
          <w:sz w:val="20"/>
          <w:szCs w:val="24"/>
        </w:rPr>
        <w:t xml:space="preserve"> de Bayeux, ‘Explore the Bayeux Tapestry online’, from: </w:t>
      </w:r>
      <w:hyperlink r:id="rId4" w:history="1">
        <w:r w:rsidRPr="00185B86">
          <w:rPr>
            <w:rStyle w:val="Hyperlink"/>
            <w:rFonts w:ascii="Arial" w:hAnsi="Arial" w:cs="Arial"/>
            <w:sz w:val="20"/>
            <w:szCs w:val="24"/>
          </w:rPr>
          <w:t>https://www.bayeuxmuseum.com/en/the-bayeux-tapestry/discover-the-bayeux-tapestry/explore-online/</w:t>
        </w:r>
      </w:hyperlink>
      <w:r w:rsidRPr="00185B86">
        <w:rPr>
          <w:rFonts w:ascii="Arial" w:hAnsi="Arial" w:cs="Arial"/>
          <w:sz w:val="20"/>
          <w:szCs w:val="24"/>
        </w:rPr>
        <w:t>; [accessed 1</w:t>
      </w:r>
      <w:r w:rsidRPr="00185B86">
        <w:rPr>
          <w:rFonts w:ascii="Arial" w:hAnsi="Arial" w:cs="Arial"/>
          <w:sz w:val="20"/>
          <w:szCs w:val="24"/>
          <w:vertAlign w:val="superscript"/>
        </w:rPr>
        <w:t>st</w:t>
      </w:r>
      <w:r w:rsidRPr="00185B86">
        <w:rPr>
          <w:rFonts w:ascii="Arial" w:hAnsi="Arial" w:cs="Arial"/>
          <w:sz w:val="20"/>
          <w:szCs w:val="24"/>
        </w:rPr>
        <w:t xml:space="preserve"> February 2023]</w:t>
      </w:r>
    </w:p>
  </w:footnote>
  <w:footnote w:id="23">
    <w:p w:rsidR="007E4637" w:rsidRPr="007E4637" w:rsidRDefault="007E4637">
      <w:pPr>
        <w:pStyle w:val="FootnoteText"/>
        <w:rPr>
          <w:lang w:val="en-US"/>
        </w:rPr>
      </w:pPr>
      <w:r>
        <w:rPr>
          <w:rStyle w:val="FootnoteReference"/>
        </w:rPr>
        <w:footnoteRef/>
      </w:r>
      <w:r>
        <w:t xml:space="preserve"> </w:t>
      </w:r>
      <w:r>
        <w:rPr>
          <w:lang w:val="en-US"/>
        </w:rPr>
        <w:t>See Image I</w:t>
      </w:r>
    </w:p>
  </w:footnote>
  <w:footnote w:id="24">
    <w:p w:rsidR="00D71CAF" w:rsidRPr="00D71CAF" w:rsidRDefault="00D71CAF">
      <w:pPr>
        <w:pStyle w:val="FootnoteText"/>
        <w:rPr>
          <w:lang w:val="en-US"/>
        </w:rPr>
      </w:pPr>
      <w:r>
        <w:rPr>
          <w:rStyle w:val="FootnoteReference"/>
        </w:rPr>
        <w:footnoteRef/>
      </w:r>
      <w:r>
        <w:t xml:space="preserve"> </w:t>
      </w:r>
      <w:r>
        <w:rPr>
          <w:lang w:val="en-US"/>
        </w:rPr>
        <w:t>See Image I</w:t>
      </w:r>
    </w:p>
  </w:footnote>
  <w:footnote w:id="25">
    <w:p w:rsidR="00876E4A" w:rsidRPr="00876E4A" w:rsidRDefault="00876E4A">
      <w:pPr>
        <w:pStyle w:val="FootnoteText"/>
        <w:rPr>
          <w:lang w:val="en-US"/>
        </w:rPr>
      </w:pPr>
      <w:r>
        <w:rPr>
          <w:rStyle w:val="FootnoteReference"/>
        </w:rPr>
        <w:footnoteRef/>
      </w:r>
      <w:r>
        <w:t xml:space="preserve"> </w:t>
      </w:r>
      <w:r w:rsidRPr="00994FF3">
        <w:rPr>
          <w:rFonts w:ascii="Arial" w:hAnsi="Arial" w:cs="Arial"/>
          <w:bCs/>
          <w:szCs w:val="32"/>
        </w:rPr>
        <w:t xml:space="preserve">William of Poitiers, </w:t>
      </w:r>
      <w:proofErr w:type="spellStart"/>
      <w:r w:rsidRPr="00994FF3">
        <w:rPr>
          <w:rFonts w:ascii="Arial" w:hAnsi="Arial" w:cs="Arial"/>
          <w:bCs/>
          <w:i/>
          <w:szCs w:val="32"/>
        </w:rPr>
        <w:t>Gesta</w:t>
      </w:r>
      <w:proofErr w:type="spellEnd"/>
      <w:r w:rsidRPr="00994FF3">
        <w:rPr>
          <w:rFonts w:ascii="Arial" w:hAnsi="Arial" w:cs="Arial"/>
          <w:bCs/>
          <w:i/>
          <w:szCs w:val="32"/>
        </w:rPr>
        <w:t xml:space="preserve"> </w:t>
      </w:r>
      <w:proofErr w:type="spellStart"/>
      <w:r w:rsidRPr="00994FF3">
        <w:rPr>
          <w:rFonts w:ascii="Arial" w:hAnsi="Arial" w:cs="Arial"/>
          <w:bCs/>
          <w:i/>
          <w:szCs w:val="32"/>
        </w:rPr>
        <w:t>Willelmi</w:t>
      </w:r>
      <w:proofErr w:type="spellEnd"/>
      <w:r w:rsidRPr="00994FF3">
        <w:rPr>
          <w:rFonts w:ascii="Arial" w:hAnsi="Arial" w:cs="Arial"/>
          <w:bCs/>
          <w:i/>
          <w:szCs w:val="32"/>
        </w:rPr>
        <w:t>,</w:t>
      </w:r>
      <w:r>
        <w:rPr>
          <w:rFonts w:ascii="Arial" w:hAnsi="Arial" w:cs="Arial"/>
          <w:bCs/>
          <w:szCs w:val="32"/>
        </w:rPr>
        <w:t xml:space="preserve"> (p.4)</w:t>
      </w:r>
    </w:p>
  </w:footnote>
  <w:footnote w:id="26">
    <w:p w:rsidR="00CF4DF1" w:rsidRPr="00CF4DF1" w:rsidRDefault="00CF4DF1">
      <w:pPr>
        <w:pStyle w:val="FootnoteText"/>
        <w:rPr>
          <w:lang w:val="en-US"/>
        </w:rPr>
      </w:pPr>
      <w:r>
        <w:rPr>
          <w:rStyle w:val="FootnoteReference"/>
        </w:rPr>
        <w:footnoteRef/>
      </w:r>
      <w:r>
        <w:t xml:space="preserve"> </w:t>
      </w:r>
      <w:r w:rsidRPr="00185B86">
        <w:rPr>
          <w:rFonts w:ascii="Arial" w:hAnsi="Arial" w:cs="Arial"/>
          <w:szCs w:val="24"/>
        </w:rPr>
        <w:t xml:space="preserve">La </w:t>
      </w:r>
      <w:proofErr w:type="spellStart"/>
      <w:r w:rsidRPr="00185B86">
        <w:rPr>
          <w:rFonts w:ascii="Arial" w:hAnsi="Arial" w:cs="Arial"/>
          <w:szCs w:val="24"/>
        </w:rPr>
        <w:t>Tapisserie</w:t>
      </w:r>
      <w:proofErr w:type="spellEnd"/>
      <w:r w:rsidRPr="00185B86">
        <w:rPr>
          <w:rFonts w:ascii="Arial" w:hAnsi="Arial" w:cs="Arial"/>
          <w:szCs w:val="24"/>
        </w:rPr>
        <w:t xml:space="preserve"> de Bayeux, ‘Explore the Bayeux Tapestry online</w:t>
      </w:r>
      <w:r>
        <w:rPr>
          <w:rFonts w:ascii="Arial" w:hAnsi="Arial" w:cs="Arial"/>
          <w:szCs w:val="24"/>
        </w:rPr>
        <w:t>’</w:t>
      </w:r>
    </w:p>
  </w:footnote>
  <w:footnote w:id="27">
    <w:p w:rsidR="00CF4DF1" w:rsidRPr="00CF4DF1" w:rsidRDefault="00CF4DF1">
      <w:pPr>
        <w:pStyle w:val="FootnoteText"/>
        <w:rPr>
          <w:lang w:val="en-US"/>
        </w:rPr>
      </w:pPr>
      <w:r>
        <w:rPr>
          <w:rStyle w:val="FootnoteReference"/>
        </w:rPr>
        <w:footnoteRef/>
      </w:r>
      <w:r>
        <w:t xml:space="preserve"> </w:t>
      </w:r>
      <w:r w:rsidRPr="00994FF3">
        <w:rPr>
          <w:rFonts w:ascii="Arial" w:hAnsi="Arial" w:cs="Arial"/>
          <w:bCs/>
          <w:szCs w:val="32"/>
        </w:rPr>
        <w:t xml:space="preserve">William of Poitiers, </w:t>
      </w:r>
      <w:proofErr w:type="spellStart"/>
      <w:r w:rsidRPr="00994FF3">
        <w:rPr>
          <w:rFonts w:ascii="Arial" w:hAnsi="Arial" w:cs="Arial"/>
          <w:bCs/>
          <w:i/>
          <w:szCs w:val="32"/>
        </w:rPr>
        <w:t>Gesta</w:t>
      </w:r>
      <w:proofErr w:type="spellEnd"/>
      <w:r w:rsidRPr="00994FF3">
        <w:rPr>
          <w:rFonts w:ascii="Arial" w:hAnsi="Arial" w:cs="Arial"/>
          <w:bCs/>
          <w:i/>
          <w:szCs w:val="32"/>
        </w:rPr>
        <w:t xml:space="preserve"> </w:t>
      </w:r>
      <w:proofErr w:type="spellStart"/>
      <w:r w:rsidRPr="00994FF3">
        <w:rPr>
          <w:rFonts w:ascii="Arial" w:hAnsi="Arial" w:cs="Arial"/>
          <w:bCs/>
          <w:i/>
          <w:szCs w:val="32"/>
        </w:rPr>
        <w:t>Willelmi</w:t>
      </w:r>
      <w:proofErr w:type="spellEnd"/>
      <w:r w:rsidRPr="00994FF3">
        <w:rPr>
          <w:rFonts w:ascii="Arial" w:hAnsi="Arial" w:cs="Arial"/>
          <w:bCs/>
          <w:i/>
          <w:szCs w:val="32"/>
        </w:rPr>
        <w:t>,</w:t>
      </w:r>
      <w:r>
        <w:rPr>
          <w:rFonts w:ascii="Arial" w:hAnsi="Arial" w:cs="Arial"/>
          <w:bCs/>
          <w:szCs w:val="32"/>
        </w:rPr>
        <w:t xml:space="preserve"> (p.4)</w:t>
      </w:r>
    </w:p>
  </w:footnote>
  <w:footnote w:id="28">
    <w:p w:rsidR="00EB47E0" w:rsidRPr="00EB47E0" w:rsidRDefault="00EB47E0">
      <w:pPr>
        <w:pStyle w:val="FootnoteText"/>
        <w:rPr>
          <w:lang w:val="en-US"/>
        </w:rPr>
      </w:pPr>
      <w:r>
        <w:rPr>
          <w:rStyle w:val="FootnoteReference"/>
        </w:rPr>
        <w:footnoteRef/>
      </w:r>
      <w:r>
        <w:t xml:space="preserve"> </w:t>
      </w:r>
      <w:r w:rsidRPr="00E8036F">
        <w:rPr>
          <w:rFonts w:ascii="Arial" w:hAnsi="Arial" w:cs="Arial"/>
          <w:szCs w:val="24"/>
        </w:rPr>
        <w:t xml:space="preserve">La </w:t>
      </w:r>
      <w:proofErr w:type="spellStart"/>
      <w:r w:rsidRPr="00E8036F">
        <w:rPr>
          <w:rFonts w:ascii="Arial" w:hAnsi="Arial" w:cs="Arial"/>
          <w:szCs w:val="24"/>
        </w:rPr>
        <w:t>Tapisserie</w:t>
      </w:r>
      <w:proofErr w:type="spellEnd"/>
      <w:r w:rsidRPr="00E8036F">
        <w:rPr>
          <w:rFonts w:ascii="Arial" w:hAnsi="Arial" w:cs="Arial"/>
          <w:szCs w:val="24"/>
        </w:rPr>
        <w:t xml:space="preserve"> de Bayeux, ‘From </w:t>
      </w:r>
      <w:proofErr w:type="spellStart"/>
      <w:r w:rsidRPr="00E8036F">
        <w:rPr>
          <w:rFonts w:ascii="Arial" w:hAnsi="Arial" w:cs="Arial"/>
          <w:szCs w:val="24"/>
        </w:rPr>
        <w:t>Odo’s</w:t>
      </w:r>
      <w:proofErr w:type="spellEnd"/>
      <w:r w:rsidRPr="00E8036F">
        <w:rPr>
          <w:rFonts w:ascii="Arial" w:hAnsi="Arial" w:cs="Arial"/>
          <w:szCs w:val="24"/>
        </w:rPr>
        <w:t xml:space="preserve"> Cathedral to the Louvre’</w:t>
      </w:r>
    </w:p>
  </w:footnote>
  <w:footnote w:id="29">
    <w:p w:rsidR="007E1249" w:rsidRPr="007E1249" w:rsidRDefault="007E1249">
      <w:pPr>
        <w:pStyle w:val="FootnoteText"/>
        <w:rPr>
          <w:lang w:val="en-US"/>
        </w:rPr>
      </w:pPr>
      <w:r>
        <w:rPr>
          <w:rStyle w:val="FootnoteReference"/>
        </w:rPr>
        <w:footnoteRef/>
      </w:r>
      <w:r>
        <w:t xml:space="preserve"> </w:t>
      </w:r>
      <w:r w:rsidRPr="00E8036F">
        <w:rPr>
          <w:rFonts w:ascii="Arial" w:hAnsi="Arial" w:cs="Arial"/>
          <w:szCs w:val="24"/>
        </w:rPr>
        <w:t xml:space="preserve">La </w:t>
      </w:r>
      <w:proofErr w:type="spellStart"/>
      <w:r w:rsidRPr="00E8036F">
        <w:rPr>
          <w:rFonts w:ascii="Arial" w:hAnsi="Arial" w:cs="Arial"/>
          <w:szCs w:val="24"/>
        </w:rPr>
        <w:t>Tapisserie</w:t>
      </w:r>
      <w:proofErr w:type="spellEnd"/>
      <w:r w:rsidRPr="00E8036F">
        <w:rPr>
          <w:rFonts w:ascii="Arial" w:hAnsi="Arial" w:cs="Arial"/>
          <w:szCs w:val="24"/>
        </w:rPr>
        <w:t xml:space="preserve"> de Bayeux, ‘From </w:t>
      </w:r>
      <w:proofErr w:type="spellStart"/>
      <w:r w:rsidRPr="00E8036F">
        <w:rPr>
          <w:rFonts w:ascii="Arial" w:hAnsi="Arial" w:cs="Arial"/>
          <w:szCs w:val="24"/>
        </w:rPr>
        <w:t>Odo’s</w:t>
      </w:r>
      <w:proofErr w:type="spellEnd"/>
      <w:r w:rsidRPr="00E8036F">
        <w:rPr>
          <w:rFonts w:ascii="Arial" w:hAnsi="Arial" w:cs="Arial"/>
          <w:szCs w:val="24"/>
        </w:rPr>
        <w:t xml:space="preserve"> Cathedral to the Louvre’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540F2"/>
    <w:multiLevelType w:val="hybridMultilevel"/>
    <w:tmpl w:val="593A7076"/>
    <w:lvl w:ilvl="0" w:tplc="A4C83C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FA4"/>
    <w:rsid w:val="00002882"/>
    <w:rsid w:val="00030C0A"/>
    <w:rsid w:val="000E1BD2"/>
    <w:rsid w:val="00143146"/>
    <w:rsid w:val="00180821"/>
    <w:rsid w:val="00185B86"/>
    <w:rsid w:val="001C2405"/>
    <w:rsid w:val="00200D0B"/>
    <w:rsid w:val="002133FA"/>
    <w:rsid w:val="00265670"/>
    <w:rsid w:val="002748CC"/>
    <w:rsid w:val="002762B0"/>
    <w:rsid w:val="00287C74"/>
    <w:rsid w:val="00296D25"/>
    <w:rsid w:val="002C2F2B"/>
    <w:rsid w:val="002C4F95"/>
    <w:rsid w:val="002F0FF3"/>
    <w:rsid w:val="00317EBC"/>
    <w:rsid w:val="00322D7D"/>
    <w:rsid w:val="00381C46"/>
    <w:rsid w:val="003A2A32"/>
    <w:rsid w:val="003B73DC"/>
    <w:rsid w:val="003C4D94"/>
    <w:rsid w:val="003D4041"/>
    <w:rsid w:val="00430C34"/>
    <w:rsid w:val="00466545"/>
    <w:rsid w:val="00483650"/>
    <w:rsid w:val="005467E1"/>
    <w:rsid w:val="0056044F"/>
    <w:rsid w:val="005748CE"/>
    <w:rsid w:val="00583BE9"/>
    <w:rsid w:val="005F41FB"/>
    <w:rsid w:val="00602C9C"/>
    <w:rsid w:val="00630535"/>
    <w:rsid w:val="00672920"/>
    <w:rsid w:val="006C7445"/>
    <w:rsid w:val="006F779D"/>
    <w:rsid w:val="00711E21"/>
    <w:rsid w:val="00726AC9"/>
    <w:rsid w:val="00772BFD"/>
    <w:rsid w:val="007B1E22"/>
    <w:rsid w:val="007C658C"/>
    <w:rsid w:val="007E1249"/>
    <w:rsid w:val="007E4637"/>
    <w:rsid w:val="00876E4A"/>
    <w:rsid w:val="00880F18"/>
    <w:rsid w:val="00887AB6"/>
    <w:rsid w:val="00913689"/>
    <w:rsid w:val="00917D8D"/>
    <w:rsid w:val="00920D1C"/>
    <w:rsid w:val="00940C9B"/>
    <w:rsid w:val="00992306"/>
    <w:rsid w:val="00994FF3"/>
    <w:rsid w:val="009E6FDD"/>
    <w:rsid w:val="009F3B7C"/>
    <w:rsid w:val="00A05CB3"/>
    <w:rsid w:val="00AE1418"/>
    <w:rsid w:val="00B1485F"/>
    <w:rsid w:val="00B757FF"/>
    <w:rsid w:val="00B82FA4"/>
    <w:rsid w:val="00C52424"/>
    <w:rsid w:val="00C578FC"/>
    <w:rsid w:val="00CA54A5"/>
    <w:rsid w:val="00CE57C6"/>
    <w:rsid w:val="00CF4DF1"/>
    <w:rsid w:val="00D06283"/>
    <w:rsid w:val="00D16320"/>
    <w:rsid w:val="00D25109"/>
    <w:rsid w:val="00D47AE1"/>
    <w:rsid w:val="00D54462"/>
    <w:rsid w:val="00D6548C"/>
    <w:rsid w:val="00D71CAF"/>
    <w:rsid w:val="00DA70A1"/>
    <w:rsid w:val="00DB01F5"/>
    <w:rsid w:val="00DF11F9"/>
    <w:rsid w:val="00E8036F"/>
    <w:rsid w:val="00E83D8B"/>
    <w:rsid w:val="00EB47E0"/>
    <w:rsid w:val="00FC51F7"/>
    <w:rsid w:val="00FF275B"/>
    <w:rsid w:val="00FF4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3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D8B"/>
    <w:rPr>
      <w:rFonts w:ascii="Tahoma" w:hAnsi="Tahoma" w:cs="Tahoma"/>
      <w:sz w:val="16"/>
      <w:szCs w:val="16"/>
      <w:lang w:val="en-GB"/>
    </w:rPr>
  </w:style>
  <w:style w:type="paragraph" w:styleId="FootnoteText">
    <w:name w:val="footnote text"/>
    <w:basedOn w:val="Normal"/>
    <w:link w:val="FootnoteTextChar"/>
    <w:uiPriority w:val="99"/>
    <w:semiHidden/>
    <w:unhideWhenUsed/>
    <w:rsid w:val="00FF27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275B"/>
    <w:rPr>
      <w:sz w:val="20"/>
      <w:szCs w:val="20"/>
      <w:lang w:val="en-GB"/>
    </w:rPr>
  </w:style>
  <w:style w:type="character" w:styleId="FootnoteReference">
    <w:name w:val="footnote reference"/>
    <w:basedOn w:val="DefaultParagraphFont"/>
    <w:uiPriority w:val="99"/>
    <w:semiHidden/>
    <w:unhideWhenUsed/>
    <w:rsid w:val="00FF275B"/>
    <w:rPr>
      <w:vertAlign w:val="superscript"/>
    </w:rPr>
  </w:style>
  <w:style w:type="character" w:styleId="Hyperlink">
    <w:name w:val="Hyperlink"/>
    <w:basedOn w:val="DefaultParagraphFont"/>
    <w:uiPriority w:val="99"/>
    <w:unhideWhenUsed/>
    <w:rsid w:val="00FF275B"/>
    <w:rPr>
      <w:color w:val="0000FF" w:themeColor="hyperlink"/>
      <w:u w:val="single"/>
    </w:rPr>
  </w:style>
  <w:style w:type="paragraph" w:styleId="ListParagraph">
    <w:name w:val="List Paragraph"/>
    <w:basedOn w:val="Normal"/>
    <w:uiPriority w:val="34"/>
    <w:qFormat/>
    <w:rsid w:val="00913689"/>
    <w:pPr>
      <w:spacing w:after="160" w:line="259"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3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D8B"/>
    <w:rPr>
      <w:rFonts w:ascii="Tahoma" w:hAnsi="Tahoma" w:cs="Tahoma"/>
      <w:sz w:val="16"/>
      <w:szCs w:val="16"/>
      <w:lang w:val="en-GB"/>
    </w:rPr>
  </w:style>
  <w:style w:type="paragraph" w:styleId="FootnoteText">
    <w:name w:val="footnote text"/>
    <w:basedOn w:val="Normal"/>
    <w:link w:val="FootnoteTextChar"/>
    <w:uiPriority w:val="99"/>
    <w:semiHidden/>
    <w:unhideWhenUsed/>
    <w:rsid w:val="00FF27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275B"/>
    <w:rPr>
      <w:sz w:val="20"/>
      <w:szCs w:val="20"/>
      <w:lang w:val="en-GB"/>
    </w:rPr>
  </w:style>
  <w:style w:type="character" w:styleId="FootnoteReference">
    <w:name w:val="footnote reference"/>
    <w:basedOn w:val="DefaultParagraphFont"/>
    <w:uiPriority w:val="99"/>
    <w:semiHidden/>
    <w:unhideWhenUsed/>
    <w:rsid w:val="00FF275B"/>
    <w:rPr>
      <w:vertAlign w:val="superscript"/>
    </w:rPr>
  </w:style>
  <w:style w:type="character" w:styleId="Hyperlink">
    <w:name w:val="Hyperlink"/>
    <w:basedOn w:val="DefaultParagraphFont"/>
    <w:uiPriority w:val="99"/>
    <w:unhideWhenUsed/>
    <w:rsid w:val="00FF275B"/>
    <w:rPr>
      <w:color w:val="0000FF" w:themeColor="hyperlink"/>
      <w:u w:val="single"/>
    </w:rPr>
  </w:style>
  <w:style w:type="paragraph" w:styleId="ListParagraph">
    <w:name w:val="List Paragraph"/>
    <w:basedOn w:val="Normal"/>
    <w:uiPriority w:val="34"/>
    <w:qFormat/>
    <w:rsid w:val="00913689"/>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ayeuxmuseum.com/en/the-bayeux-tapestry/discover-the-bayeux-tapestry/tapestry-or-embroidery/"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ayeuxmuseum.com/en/the-bayeux-tapestry/over-the-centuries/from-the-cathedral-to-the-louv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ayeuxmuseum.com/en/the-bayeux-tapestry/discover-the-bayeux-tapestry/explore-onlin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ritannica.com/biography/Odo-of-Bayeux" TargetMode="External"/><Relationship Id="rId4" Type="http://schemas.openxmlformats.org/officeDocument/2006/relationships/settings" Target="settings.xml"/><Relationship Id="rId9" Type="http://schemas.openxmlformats.org/officeDocument/2006/relationships/hyperlink" Target="https://commons.wikimedia.org/wiki/File:Bayeux_Tapestry_scene23_Harold_oath_William.jp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biography/Odo-of-Bayeux" TargetMode="External"/><Relationship Id="rId2" Type="http://schemas.openxmlformats.org/officeDocument/2006/relationships/hyperlink" Target="https://www.bayeuxmuseum.com/en/the-bayeux-tapestry/over-the-centuries/from-the-cathedral-to-the-louvre/" TargetMode="External"/><Relationship Id="rId1" Type="http://schemas.openxmlformats.org/officeDocument/2006/relationships/hyperlink" Target="https://www.bayeuxmuseum.com/en/the-bayeux-tapestry/discover-the-bayeux-tapestry/tapestry-or-embroidery/" TargetMode="External"/><Relationship Id="rId4" Type="http://schemas.openxmlformats.org/officeDocument/2006/relationships/hyperlink" Target="https://www.bayeuxmuseum.com/en/the-bayeux-tapestry/discover-the-bayeux-tapestry/explore-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3019</TotalTime>
  <Pages>5</Pages>
  <Words>1572</Words>
  <Characters>7393</Characters>
  <Application>Microsoft Office Word</Application>
  <DocSecurity>0</DocSecurity>
  <Lines>144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Law</dc:creator>
  <cp:lastModifiedBy>Isaac Law</cp:lastModifiedBy>
  <cp:revision>80</cp:revision>
  <dcterms:created xsi:type="dcterms:W3CDTF">2023-01-30T19:39:00Z</dcterms:created>
  <dcterms:modified xsi:type="dcterms:W3CDTF">2023-02-01T22:59:00Z</dcterms:modified>
</cp:coreProperties>
</file>