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5A9A7" w14:textId="3BF6F096" w:rsidR="00DD6E54" w:rsidRDefault="00DD6E54" w:rsidP="00DD6E5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STUDENT NAME: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SALMA BEGUM </w:t>
      </w:r>
    </w:p>
    <w:p w14:paraId="39D6DD0D" w14:textId="6643F33E" w:rsidR="00DD6E54" w:rsidRDefault="00DD6E54" w:rsidP="00DD6E5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STUDENT ID: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2409645</w:t>
      </w:r>
    </w:p>
    <w:p w14:paraId="00132B62" w14:textId="74FCA8F2" w:rsidR="00DD6E54" w:rsidRPr="00DD6E54" w:rsidRDefault="00DD6E54" w:rsidP="00DD6E54">
      <w:pPr>
        <w:ind w:left="2880" w:hanging="288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MODULE C1:</w:t>
      </w:r>
      <w:r>
        <w:rPr>
          <w:rFonts w:ascii="Arial" w:hAnsi="Arial" w:cs="Arial"/>
          <w:sz w:val="22"/>
          <w:szCs w:val="22"/>
        </w:rPr>
        <w:tab/>
      </w:r>
      <w:r w:rsidRPr="00DD6E54">
        <w:rPr>
          <w:rFonts w:ascii="Arial" w:hAnsi="Arial" w:cs="Arial"/>
          <w:sz w:val="22"/>
          <w:szCs w:val="22"/>
        </w:rPr>
        <w:t>Protecting and Supporting Families in Health and Care (BMHP5021)</w:t>
      </w:r>
    </w:p>
    <w:p w14:paraId="540317F7" w14:textId="46EFC782" w:rsidR="00DD6E54" w:rsidRDefault="00DD6E54" w:rsidP="00DD6E54">
      <w:pPr>
        <w:rPr>
          <w:rFonts w:ascii="Arial" w:hAnsi="Arial" w:cs="Arial"/>
          <w:b/>
          <w:bCs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pict w14:anchorId="686D7046">
          <v:rect id="_x0000_i1095" style="width:0;height:1.5pt" o:hralign="center" o:hrstd="t" o:hr="t" fillcolor="#a0a0a0" stroked="f"/>
        </w:pict>
      </w:r>
    </w:p>
    <w:p w14:paraId="7146C1F2" w14:textId="77777777" w:rsidR="00DD6E54" w:rsidRDefault="00DD6E54" w:rsidP="00DD6E54">
      <w:pPr>
        <w:rPr>
          <w:rFonts w:ascii="Arial" w:hAnsi="Arial" w:cs="Arial"/>
          <w:b/>
          <w:bCs/>
          <w:sz w:val="22"/>
          <w:szCs w:val="22"/>
        </w:rPr>
      </w:pPr>
    </w:p>
    <w:p w14:paraId="3949C4C7" w14:textId="1FB8028E" w:rsidR="00DD6E54" w:rsidRPr="00DD6E54" w:rsidRDefault="00DD6E54" w:rsidP="00DD6E54">
      <w:pPr>
        <w:rPr>
          <w:rFonts w:ascii="Arial" w:hAnsi="Arial" w:cs="Arial"/>
          <w:b/>
          <w:bCs/>
          <w:sz w:val="22"/>
          <w:szCs w:val="22"/>
        </w:rPr>
      </w:pPr>
      <w:r w:rsidRPr="00DD6E54">
        <w:rPr>
          <w:rFonts w:ascii="Arial" w:hAnsi="Arial" w:cs="Arial"/>
          <w:b/>
          <w:bCs/>
          <w:sz w:val="22"/>
          <w:szCs w:val="22"/>
        </w:rPr>
        <w:t xml:space="preserve">Panel Discussion Role — Police Officer Perspective </w:t>
      </w:r>
    </w:p>
    <w:p w14:paraId="5E0EDC3C" w14:textId="77777777" w:rsidR="00DD6E54" w:rsidRPr="00DD6E54" w:rsidRDefault="00DD6E54" w:rsidP="00DD6E54">
      <w:pPr>
        <w:rPr>
          <w:rFonts w:ascii="Arial" w:hAnsi="Arial" w:cs="Arial"/>
          <w:b/>
          <w:bCs/>
          <w:sz w:val="22"/>
          <w:szCs w:val="22"/>
        </w:rPr>
      </w:pPr>
      <w:r w:rsidRPr="00DD6E54">
        <w:rPr>
          <w:rFonts w:ascii="Arial" w:hAnsi="Arial" w:cs="Arial"/>
          <w:b/>
          <w:bCs/>
          <w:sz w:val="22"/>
          <w:szCs w:val="22"/>
        </w:rPr>
        <w:t>Opening Professional Statement</w:t>
      </w:r>
    </w:p>
    <w:p w14:paraId="7B23D0BF" w14:textId="77777777" w:rsidR="00DD6E54" w:rsidRPr="00DD6E54" w:rsidRDefault="00DD6E54" w:rsidP="007527FD">
      <w:pPr>
        <w:jc w:val="both"/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>“As a police officer involved in safeguarding, my role is to protect life, prevent harm, and contribute intelligence to multi-agency risk assessment. In this case, although policing involvement was limited, policing systems and processes—particularly information sharing, domestic abuse intelligence, and welfare checks—formed part of the safeguarding network. From a policing perspective, the key issue is whether available risk indicators were recognised, shared, and acted upon early enough to prevent escalation.”</w:t>
      </w:r>
    </w:p>
    <w:p w14:paraId="280C1F42" w14:textId="77777777" w:rsidR="00DD6E54" w:rsidRPr="00DD6E54" w:rsidRDefault="00DD6E54" w:rsidP="00DD6E54">
      <w:p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pict w14:anchorId="528BCCEE">
          <v:rect id="_x0000_i1067" style="width:0;height:1.5pt" o:hralign="center" o:hrstd="t" o:hr="t" fillcolor="#a0a0a0" stroked="f"/>
        </w:pict>
      </w:r>
    </w:p>
    <w:p w14:paraId="7417E1CB" w14:textId="77777777" w:rsidR="00DD6E54" w:rsidRPr="00DD6E54" w:rsidRDefault="00DD6E54" w:rsidP="00DD6E54">
      <w:pPr>
        <w:rPr>
          <w:rFonts w:ascii="Arial" w:hAnsi="Arial" w:cs="Arial"/>
          <w:b/>
          <w:bCs/>
          <w:sz w:val="22"/>
          <w:szCs w:val="22"/>
        </w:rPr>
      </w:pPr>
      <w:r w:rsidRPr="00DD6E54">
        <w:rPr>
          <w:rFonts w:ascii="Arial" w:hAnsi="Arial" w:cs="Arial"/>
          <w:b/>
          <w:bCs/>
          <w:sz w:val="22"/>
          <w:szCs w:val="22"/>
        </w:rPr>
        <w:t>Key Police Concerns Identified</w:t>
      </w:r>
    </w:p>
    <w:p w14:paraId="533E1923" w14:textId="77777777" w:rsidR="00DD6E54" w:rsidRPr="00DD6E54" w:rsidRDefault="00DD6E54" w:rsidP="00DD6E54">
      <w:p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>From a safeguarding policing lens, the case raises four critical concerns:</w:t>
      </w:r>
    </w:p>
    <w:p w14:paraId="10573F3D" w14:textId="77777777" w:rsidR="00DD6E54" w:rsidRPr="00DD6E54" w:rsidRDefault="00DD6E54" w:rsidP="00DD6E54">
      <w:p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b/>
          <w:bCs/>
          <w:sz w:val="22"/>
          <w:szCs w:val="22"/>
        </w:rPr>
        <w:t>1. Risk Recognition</w:t>
      </w:r>
    </w:p>
    <w:p w14:paraId="7E21D3BC" w14:textId="77777777" w:rsidR="00DD6E54" w:rsidRPr="00DD6E54" w:rsidRDefault="00DD6E54" w:rsidP="00DD6E54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>Domestic abuse history</w:t>
      </w:r>
    </w:p>
    <w:p w14:paraId="72C4C58F" w14:textId="77777777" w:rsidR="00DD6E54" w:rsidRPr="00DD6E54" w:rsidRDefault="00DD6E54" w:rsidP="00DD6E54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>Child vulnerability</w:t>
      </w:r>
    </w:p>
    <w:p w14:paraId="01DBFF4E" w14:textId="77777777" w:rsidR="00DD6E54" w:rsidRPr="00DD6E54" w:rsidRDefault="00DD6E54" w:rsidP="00DD6E54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>Emotional harm indicators</w:t>
      </w:r>
      <w:r w:rsidRPr="00DD6E54">
        <w:rPr>
          <w:rFonts w:ascii="Arial" w:hAnsi="Arial" w:cs="Arial"/>
          <w:sz w:val="22"/>
          <w:szCs w:val="22"/>
        </w:rPr>
        <w:br/>
        <w:t>Police guidance stresses that cumulative risk factors must be assessed holistically rather than incident by incident (College of Policing, 2020).</w:t>
      </w:r>
    </w:p>
    <w:p w14:paraId="6FDE0CA7" w14:textId="77777777" w:rsidR="00DD6E54" w:rsidRPr="00DD6E54" w:rsidRDefault="00DD6E54" w:rsidP="00DD6E54">
      <w:p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b/>
          <w:bCs/>
          <w:sz w:val="22"/>
          <w:szCs w:val="22"/>
        </w:rPr>
        <w:t>2. Information-Sharing Failures</w:t>
      </w:r>
    </w:p>
    <w:p w14:paraId="34986126" w14:textId="77777777" w:rsidR="00DD6E54" w:rsidRPr="00DD6E54" w:rsidRDefault="00DD6E54" w:rsidP="00DD6E54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>Poor cross-border transfer of safeguarding information</w:t>
      </w:r>
    </w:p>
    <w:p w14:paraId="54D3D0BC" w14:textId="77777777" w:rsidR="00DD6E54" w:rsidRPr="00DD6E54" w:rsidRDefault="00DD6E54" w:rsidP="00DD6E54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>Delayed awareness by agencies</w:t>
      </w:r>
    </w:p>
    <w:p w14:paraId="5CFBA5A5" w14:textId="77777777" w:rsidR="00DD6E54" w:rsidRPr="00DD6E54" w:rsidRDefault="00DD6E54" w:rsidP="00DD6E54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>Fragmented knowledge across services</w:t>
      </w:r>
      <w:r w:rsidRPr="00DD6E54">
        <w:rPr>
          <w:rFonts w:ascii="Arial" w:hAnsi="Arial" w:cs="Arial"/>
          <w:sz w:val="22"/>
          <w:szCs w:val="22"/>
        </w:rPr>
        <w:br/>
        <w:t>Effective safeguarding depends on timely inter-agency information sharing (HM Government, 2018).</w:t>
      </w:r>
    </w:p>
    <w:p w14:paraId="3D0E939E" w14:textId="77777777" w:rsidR="00DD6E54" w:rsidRPr="00DD6E54" w:rsidRDefault="00DD6E54" w:rsidP="00DD6E54">
      <w:p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b/>
          <w:bCs/>
          <w:sz w:val="22"/>
          <w:szCs w:val="22"/>
        </w:rPr>
        <w:t>3. Missed Opportunities</w:t>
      </w:r>
    </w:p>
    <w:p w14:paraId="7341E4B8" w14:textId="26F21F87" w:rsidR="00DD6E54" w:rsidRPr="00DD6E54" w:rsidRDefault="00DD6E54" w:rsidP="00DD6E54">
      <w:pPr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 xml:space="preserve">Welfare </w:t>
      </w:r>
      <w:r w:rsidRPr="00DD6E54">
        <w:rPr>
          <w:rFonts w:ascii="Arial" w:hAnsi="Arial" w:cs="Arial"/>
          <w:sz w:val="22"/>
          <w:szCs w:val="22"/>
        </w:rPr>
        <w:t>checks</w:t>
      </w:r>
      <w:r w:rsidRPr="00DD6E54">
        <w:rPr>
          <w:rFonts w:ascii="Arial" w:hAnsi="Arial" w:cs="Arial"/>
          <w:sz w:val="22"/>
          <w:szCs w:val="22"/>
        </w:rPr>
        <w:t xml:space="preserve"> where child was not spoken to directly</w:t>
      </w:r>
    </w:p>
    <w:p w14:paraId="41F05C42" w14:textId="77777777" w:rsidR="00DD6E54" w:rsidRPr="00DD6E54" w:rsidRDefault="00DD6E54" w:rsidP="00DD6E54">
      <w:pPr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>Over-reliance on reassurance from third parties</w:t>
      </w:r>
      <w:r w:rsidRPr="00DD6E54">
        <w:rPr>
          <w:rFonts w:ascii="Arial" w:hAnsi="Arial" w:cs="Arial"/>
          <w:sz w:val="22"/>
          <w:szCs w:val="22"/>
        </w:rPr>
        <w:br/>
        <w:t>Best practice states that officers should see and speak to children whenever safeguarding concerns exist (College of Policing, 2020).</w:t>
      </w:r>
    </w:p>
    <w:p w14:paraId="3D101BBB" w14:textId="77777777" w:rsidR="00DD6E54" w:rsidRPr="00DD6E54" w:rsidRDefault="00DD6E54" w:rsidP="00DD6E54">
      <w:p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b/>
          <w:bCs/>
          <w:sz w:val="22"/>
          <w:szCs w:val="22"/>
        </w:rPr>
        <w:lastRenderedPageBreak/>
        <w:t>4. Threshold Decision-Making</w:t>
      </w:r>
      <w:r w:rsidRPr="00DD6E54">
        <w:rPr>
          <w:rFonts w:ascii="Arial" w:hAnsi="Arial" w:cs="Arial"/>
          <w:sz w:val="22"/>
          <w:szCs w:val="22"/>
        </w:rPr>
        <w:br/>
        <w:t>Repeated indicators existed:</w:t>
      </w:r>
    </w:p>
    <w:p w14:paraId="2E04A0EA" w14:textId="77777777" w:rsidR="00DD6E54" w:rsidRPr="00DD6E54" w:rsidRDefault="00DD6E54" w:rsidP="00DD6E54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>999 calls</w:t>
      </w:r>
    </w:p>
    <w:p w14:paraId="029DEB88" w14:textId="77777777" w:rsidR="00DD6E54" w:rsidRPr="00DD6E54" w:rsidRDefault="00DD6E54" w:rsidP="00DD6E54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>hospital admissions</w:t>
      </w:r>
    </w:p>
    <w:p w14:paraId="7F616E8F" w14:textId="77777777" w:rsidR="00DD6E54" w:rsidRPr="00DD6E54" w:rsidRDefault="00DD6E54" w:rsidP="00DD6E54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>treatment non-adherence</w:t>
      </w:r>
      <w:r w:rsidRPr="00DD6E54">
        <w:rPr>
          <w:rFonts w:ascii="Arial" w:hAnsi="Arial" w:cs="Arial"/>
          <w:sz w:val="22"/>
          <w:szCs w:val="22"/>
        </w:rPr>
        <w:br/>
        <w:t>Patterns of concern should trigger escalation even when single incidents appear low-level (Sidebotham et al., 2016).</w:t>
      </w:r>
    </w:p>
    <w:p w14:paraId="57DB5FF5" w14:textId="77777777" w:rsidR="00DD6E54" w:rsidRPr="00DD6E54" w:rsidRDefault="00DD6E54" w:rsidP="00DD6E54">
      <w:p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pict w14:anchorId="5841B20F">
          <v:rect id="_x0000_i1068" style="width:0;height:1.5pt" o:hralign="center" o:hrstd="t" o:hr="t" fillcolor="#a0a0a0" stroked="f"/>
        </w:pict>
      </w:r>
    </w:p>
    <w:p w14:paraId="15FD1C17" w14:textId="77777777" w:rsidR="00DD6E54" w:rsidRPr="00DD6E54" w:rsidRDefault="00DD6E54" w:rsidP="00DD6E54">
      <w:pPr>
        <w:rPr>
          <w:rFonts w:ascii="Arial" w:hAnsi="Arial" w:cs="Arial"/>
          <w:b/>
          <w:bCs/>
          <w:sz w:val="22"/>
          <w:szCs w:val="22"/>
        </w:rPr>
      </w:pPr>
      <w:r w:rsidRPr="00DD6E54">
        <w:rPr>
          <w:rFonts w:ascii="Arial" w:hAnsi="Arial" w:cs="Arial"/>
          <w:b/>
          <w:bCs/>
          <w:sz w:val="22"/>
          <w:szCs w:val="22"/>
        </w:rPr>
        <w:t>Police Analysis of What Went Wrong</w:t>
      </w:r>
    </w:p>
    <w:p w14:paraId="2A2B48EB" w14:textId="77777777" w:rsidR="00DD6E54" w:rsidRPr="00DD6E54" w:rsidRDefault="00DD6E54" w:rsidP="00DD6E54">
      <w:p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>“This case illustrates cumulative harm rather than a single point of failure.”</w:t>
      </w:r>
    </w:p>
    <w:p w14:paraId="59991970" w14:textId="77777777" w:rsidR="00DD6E54" w:rsidRPr="00DD6E54" w:rsidRDefault="00DD6E54" w:rsidP="00DD6E54">
      <w:p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>Safeguarding research shows that serious incidents often arise from:</w:t>
      </w:r>
    </w:p>
    <w:p w14:paraId="6171D51F" w14:textId="77777777" w:rsidR="00DD6E54" w:rsidRPr="00DD6E54" w:rsidRDefault="00DD6E54" w:rsidP="00DD6E54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>fragmented professional knowledge</w:t>
      </w:r>
    </w:p>
    <w:p w14:paraId="6709F4A1" w14:textId="77777777" w:rsidR="00DD6E54" w:rsidRPr="00DD6E54" w:rsidRDefault="00DD6E54" w:rsidP="00DD6E54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>optimism bias</w:t>
      </w:r>
    </w:p>
    <w:p w14:paraId="03FAB3B0" w14:textId="77777777" w:rsidR="00DD6E54" w:rsidRPr="00DD6E54" w:rsidRDefault="00DD6E54" w:rsidP="00DD6E54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>lack of professional curiosity</w:t>
      </w:r>
      <w:r w:rsidRPr="00DD6E54">
        <w:rPr>
          <w:rFonts w:ascii="Arial" w:hAnsi="Arial" w:cs="Arial"/>
          <w:sz w:val="22"/>
          <w:szCs w:val="22"/>
        </w:rPr>
        <w:br/>
        <w:t>(Munro, 2011; Brandon et al., 2020)</w:t>
      </w:r>
    </w:p>
    <w:p w14:paraId="43CC0954" w14:textId="77777777" w:rsidR="00DD6E54" w:rsidRPr="00DD6E54" w:rsidRDefault="00DD6E54" w:rsidP="007527FD">
      <w:pPr>
        <w:jc w:val="both"/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>The child’s disengagement was interpreted behaviourally rather than analytically. However, adolescents with chronic illness frequently display distress, resistance, and non-adherence linked to psychological burden (NICE, 2023).</w:t>
      </w:r>
    </w:p>
    <w:p w14:paraId="058EC3AB" w14:textId="77777777" w:rsidR="00DD6E54" w:rsidRPr="00DD6E54" w:rsidRDefault="00DD6E54" w:rsidP="00DD6E54">
      <w:p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pict w14:anchorId="6B58BCFE">
          <v:rect id="_x0000_i1069" style="width:0;height:1.5pt" o:hralign="center" o:hrstd="t" o:hr="t" fillcolor="#a0a0a0" stroked="f"/>
        </w:pict>
      </w:r>
    </w:p>
    <w:p w14:paraId="50F53D07" w14:textId="77777777" w:rsidR="00DD6E54" w:rsidRPr="00DD6E54" w:rsidRDefault="00DD6E54" w:rsidP="00DD6E54">
      <w:pPr>
        <w:rPr>
          <w:rFonts w:ascii="Arial" w:hAnsi="Arial" w:cs="Arial"/>
          <w:b/>
          <w:bCs/>
          <w:sz w:val="22"/>
          <w:szCs w:val="22"/>
        </w:rPr>
      </w:pPr>
      <w:r w:rsidRPr="00DD6E54">
        <w:rPr>
          <w:rFonts w:ascii="Arial" w:hAnsi="Arial" w:cs="Arial"/>
          <w:b/>
          <w:bCs/>
          <w:sz w:val="22"/>
          <w:szCs w:val="22"/>
        </w:rPr>
        <w:t>What Good Police Practice Should Have Looked Like</w:t>
      </w:r>
    </w:p>
    <w:p w14:paraId="6B332170" w14:textId="77777777" w:rsidR="00DD6E54" w:rsidRPr="00DD6E54" w:rsidRDefault="00DD6E54" w:rsidP="00DD6E54">
      <w:p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>A policing safeguarding response aligned with national guidance would include:</w:t>
      </w:r>
    </w:p>
    <w:p w14:paraId="2396B51C" w14:textId="77777777" w:rsidR="00DD6E54" w:rsidRPr="00DD6E54" w:rsidRDefault="00DD6E54" w:rsidP="00DD6E54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>Direct engagement with child</w:t>
      </w:r>
    </w:p>
    <w:p w14:paraId="67AEAA8B" w14:textId="77777777" w:rsidR="00DD6E54" w:rsidRPr="00DD6E54" w:rsidRDefault="00DD6E54" w:rsidP="00DD6E54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>Recording vulnerability markers</w:t>
      </w:r>
    </w:p>
    <w:p w14:paraId="32D17941" w14:textId="77777777" w:rsidR="00DD6E54" w:rsidRPr="00DD6E54" w:rsidRDefault="00DD6E54" w:rsidP="00DD6E54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>Escalating concerns to multi-agency safeguarding partners</w:t>
      </w:r>
    </w:p>
    <w:p w14:paraId="29257587" w14:textId="77777777" w:rsidR="00DD6E54" w:rsidRPr="00DD6E54" w:rsidRDefault="00DD6E54" w:rsidP="00DD6E54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>Challenging professional assumptions</w:t>
      </w:r>
    </w:p>
    <w:p w14:paraId="1D1A7763" w14:textId="77777777" w:rsidR="00DD6E54" w:rsidRPr="00DD6E54" w:rsidRDefault="00DD6E54" w:rsidP="00DD6E54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>Tracking repeated low-level incidents as a pattern</w:t>
      </w:r>
    </w:p>
    <w:p w14:paraId="1B62E569" w14:textId="77777777" w:rsidR="00DD6E54" w:rsidRPr="00DD6E54" w:rsidRDefault="00DD6E54" w:rsidP="00DD6E54">
      <w:p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 xml:space="preserve">This reflects the principle that safeguarding is a </w:t>
      </w:r>
      <w:r w:rsidRPr="00DD6E54">
        <w:rPr>
          <w:rFonts w:ascii="Arial" w:hAnsi="Arial" w:cs="Arial"/>
          <w:b/>
          <w:bCs/>
          <w:sz w:val="22"/>
          <w:szCs w:val="22"/>
        </w:rPr>
        <w:t>shared responsibility across agencies</w:t>
      </w:r>
      <w:r w:rsidRPr="00DD6E54">
        <w:rPr>
          <w:rFonts w:ascii="Arial" w:hAnsi="Arial" w:cs="Arial"/>
          <w:sz w:val="22"/>
          <w:szCs w:val="22"/>
        </w:rPr>
        <w:t xml:space="preserve"> (DfE, 2018).</w:t>
      </w:r>
    </w:p>
    <w:p w14:paraId="3C07BBD2" w14:textId="77777777" w:rsidR="00DD6E54" w:rsidRPr="00DD6E54" w:rsidRDefault="00DD6E54" w:rsidP="00DD6E54">
      <w:p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pict w14:anchorId="46574A6B">
          <v:rect id="_x0000_i1070" style="width:0;height:1.5pt" o:hralign="center" o:hrstd="t" o:hr="t" fillcolor="#a0a0a0" stroked="f"/>
        </w:pict>
      </w:r>
    </w:p>
    <w:p w14:paraId="0FBD367E" w14:textId="77777777" w:rsidR="00DD6E54" w:rsidRPr="00DD6E54" w:rsidRDefault="00DD6E54" w:rsidP="00DD6E54">
      <w:pPr>
        <w:rPr>
          <w:rFonts w:ascii="Arial" w:hAnsi="Arial" w:cs="Arial"/>
          <w:b/>
          <w:bCs/>
          <w:sz w:val="22"/>
          <w:szCs w:val="22"/>
        </w:rPr>
      </w:pPr>
      <w:r w:rsidRPr="00DD6E54">
        <w:rPr>
          <w:rFonts w:ascii="Arial" w:hAnsi="Arial" w:cs="Arial"/>
          <w:b/>
          <w:bCs/>
          <w:sz w:val="22"/>
          <w:szCs w:val="22"/>
        </w:rPr>
        <w:t>Questions to Other Professionals (Panel Interaction)</w:t>
      </w:r>
    </w:p>
    <w:p w14:paraId="68E03306" w14:textId="77777777" w:rsidR="00DD6E54" w:rsidRPr="00DD6E54" w:rsidRDefault="00DD6E54" w:rsidP="00DD6E54">
      <w:p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b/>
          <w:bCs/>
          <w:sz w:val="22"/>
          <w:szCs w:val="22"/>
        </w:rPr>
        <w:t>To Health:</w:t>
      </w:r>
      <w:r w:rsidRPr="00DD6E54">
        <w:rPr>
          <w:rFonts w:ascii="Arial" w:hAnsi="Arial" w:cs="Arial"/>
          <w:sz w:val="22"/>
          <w:szCs w:val="22"/>
        </w:rPr>
        <w:br/>
        <w:t>“At what stage should treatment non-compliance become a safeguarding referral rather than a clinical issue?”</w:t>
      </w:r>
    </w:p>
    <w:p w14:paraId="7C12504E" w14:textId="77777777" w:rsidR="00DD6E54" w:rsidRPr="00DD6E54" w:rsidRDefault="00DD6E54" w:rsidP="00DD6E54">
      <w:p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b/>
          <w:bCs/>
          <w:sz w:val="22"/>
          <w:szCs w:val="22"/>
        </w:rPr>
        <w:lastRenderedPageBreak/>
        <w:t>To Social Care:</w:t>
      </w:r>
      <w:r w:rsidRPr="00DD6E54">
        <w:rPr>
          <w:rFonts w:ascii="Arial" w:hAnsi="Arial" w:cs="Arial"/>
          <w:sz w:val="22"/>
          <w:szCs w:val="22"/>
        </w:rPr>
        <w:br/>
        <w:t>“What prevented escalation when risk indicators accumulated across agencies?”</w:t>
      </w:r>
    </w:p>
    <w:p w14:paraId="659FCC73" w14:textId="77777777" w:rsidR="00DD6E54" w:rsidRPr="00DD6E54" w:rsidRDefault="00DD6E54" w:rsidP="00DD6E54">
      <w:p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b/>
          <w:bCs/>
          <w:sz w:val="22"/>
          <w:szCs w:val="22"/>
        </w:rPr>
        <w:t>To Mental Health:</w:t>
      </w:r>
      <w:r w:rsidRPr="00DD6E54">
        <w:rPr>
          <w:rFonts w:ascii="Arial" w:hAnsi="Arial" w:cs="Arial"/>
          <w:sz w:val="22"/>
          <w:szCs w:val="22"/>
        </w:rPr>
        <w:br/>
        <w:t>“How can services respond faster when a child with a life-threatening condition shows psychological resistance to treatment?”</w:t>
      </w:r>
    </w:p>
    <w:p w14:paraId="3E734B64" w14:textId="77777777" w:rsidR="00DD6E54" w:rsidRPr="00DD6E54" w:rsidRDefault="00DD6E54" w:rsidP="00DD6E54">
      <w:p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pict w14:anchorId="1DCEC550">
          <v:rect id="_x0000_i1071" style="width:0;height:1.5pt" o:hralign="center" o:hrstd="t" o:hr="t" fillcolor="#a0a0a0" stroked="f"/>
        </w:pict>
      </w:r>
    </w:p>
    <w:p w14:paraId="68201F94" w14:textId="77777777" w:rsidR="00DD6E54" w:rsidRPr="00DD6E54" w:rsidRDefault="00DD6E54" w:rsidP="00DD6E54">
      <w:pPr>
        <w:rPr>
          <w:rFonts w:ascii="Arial" w:hAnsi="Arial" w:cs="Arial"/>
          <w:b/>
          <w:bCs/>
          <w:sz w:val="22"/>
          <w:szCs w:val="22"/>
        </w:rPr>
      </w:pPr>
      <w:r w:rsidRPr="00DD6E54">
        <w:rPr>
          <w:rFonts w:ascii="Arial" w:hAnsi="Arial" w:cs="Arial"/>
          <w:b/>
          <w:bCs/>
          <w:sz w:val="22"/>
          <w:szCs w:val="22"/>
        </w:rPr>
        <w:t>Reflective Police Insight</w:t>
      </w:r>
    </w:p>
    <w:p w14:paraId="33687251" w14:textId="77777777" w:rsidR="00DD6E54" w:rsidRPr="00DD6E54" w:rsidRDefault="00DD6E54" w:rsidP="00DD6E54">
      <w:p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>“Disguised compliance and disengagement are recognised safeguarding indicators, not simply behavioural issues.”</w:t>
      </w:r>
    </w:p>
    <w:p w14:paraId="48F66970" w14:textId="77777777" w:rsidR="00DD6E54" w:rsidRPr="00DD6E54" w:rsidRDefault="00DD6E54" w:rsidP="007527FD">
      <w:pPr>
        <w:jc w:val="both"/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>Research shows that professionals can misinterpret parental cooperation or child silence as reduced risk, when it may conceal harm (Brandon et al., 2020).</w:t>
      </w:r>
    </w:p>
    <w:p w14:paraId="3037C9A0" w14:textId="77777777" w:rsidR="00DD6E54" w:rsidRPr="00DD6E54" w:rsidRDefault="00DD6E54" w:rsidP="00DD6E54">
      <w:p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pict w14:anchorId="20744AC2">
          <v:rect id="_x0000_i1072" style="width:0;height:1.5pt" o:hralign="center" o:hrstd="t" o:hr="t" fillcolor="#a0a0a0" stroked="f"/>
        </w:pict>
      </w:r>
    </w:p>
    <w:p w14:paraId="673ED417" w14:textId="77777777" w:rsidR="00DD6E54" w:rsidRPr="00DD6E54" w:rsidRDefault="00DD6E54" w:rsidP="00DD6E54">
      <w:pPr>
        <w:rPr>
          <w:rFonts w:ascii="Arial" w:hAnsi="Arial" w:cs="Arial"/>
          <w:b/>
          <w:bCs/>
          <w:sz w:val="22"/>
          <w:szCs w:val="22"/>
        </w:rPr>
      </w:pPr>
      <w:r w:rsidRPr="00DD6E54">
        <w:rPr>
          <w:rFonts w:ascii="Arial" w:hAnsi="Arial" w:cs="Arial"/>
          <w:b/>
          <w:bCs/>
          <w:sz w:val="22"/>
          <w:szCs w:val="22"/>
        </w:rPr>
        <w:t>Closing Statement</w:t>
      </w:r>
    </w:p>
    <w:p w14:paraId="705B75CE" w14:textId="77777777" w:rsidR="00DD6E54" w:rsidRPr="00DD6E54" w:rsidRDefault="00DD6E54" w:rsidP="007527FD">
      <w:pPr>
        <w:jc w:val="both"/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>“From a policing safeguarding standpoint, this was a preventable near-fatal incident. Risk rarely appears suddenly—it develops through patterns. When agencies share information, challenge assumptions, and act collectively, those patterns become visible and children become safer.”</w:t>
      </w:r>
    </w:p>
    <w:p w14:paraId="7FC35EE9" w14:textId="77777777" w:rsidR="00DD6E54" w:rsidRPr="00DD6E54" w:rsidRDefault="00DD6E54" w:rsidP="00DD6E54">
      <w:p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pict w14:anchorId="2864ACE6">
          <v:rect id="_x0000_i1073" style="width:0;height:1.5pt" o:hralign="center" o:hrstd="t" o:hr="t" fillcolor="#a0a0a0" stroked="f"/>
        </w:pict>
      </w:r>
    </w:p>
    <w:p w14:paraId="051D1340" w14:textId="77777777" w:rsidR="00DD6E54" w:rsidRPr="00DD6E54" w:rsidRDefault="00DD6E54" w:rsidP="00DD6E54">
      <w:pPr>
        <w:rPr>
          <w:rFonts w:ascii="Arial" w:hAnsi="Arial" w:cs="Arial"/>
          <w:b/>
          <w:bCs/>
          <w:sz w:val="22"/>
          <w:szCs w:val="22"/>
        </w:rPr>
      </w:pPr>
      <w:r w:rsidRPr="00DD6E54">
        <w:rPr>
          <w:rFonts w:ascii="Arial" w:hAnsi="Arial" w:cs="Arial"/>
          <w:b/>
          <w:bCs/>
          <w:sz w:val="22"/>
          <w:szCs w:val="22"/>
        </w:rPr>
        <w:t>Reference List (Harvard Style)</w:t>
      </w:r>
    </w:p>
    <w:p w14:paraId="47782271" w14:textId="77777777" w:rsidR="00DD6E54" w:rsidRPr="00DD6E54" w:rsidRDefault="00DD6E54" w:rsidP="00DD6E54">
      <w:p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 xml:space="preserve">Brandon, M., Sidebotham, P., Bailey, S., Belderson, P., Hawley, C., Ellis, C. and Megson, M. (2020) </w:t>
      </w:r>
      <w:r w:rsidRPr="00DD6E54">
        <w:rPr>
          <w:rFonts w:ascii="Arial" w:hAnsi="Arial" w:cs="Arial"/>
          <w:i/>
          <w:iCs/>
          <w:sz w:val="22"/>
          <w:szCs w:val="22"/>
        </w:rPr>
        <w:t>Complexity and challenge: a triennial analysis of serious case reviews 2014–2017</w:t>
      </w:r>
      <w:r w:rsidRPr="00DD6E54">
        <w:rPr>
          <w:rFonts w:ascii="Arial" w:hAnsi="Arial" w:cs="Arial"/>
          <w:sz w:val="22"/>
          <w:szCs w:val="22"/>
        </w:rPr>
        <w:t>. London: Department for Education.</w:t>
      </w:r>
    </w:p>
    <w:p w14:paraId="66CE189F" w14:textId="77777777" w:rsidR="00DD6E54" w:rsidRPr="00DD6E54" w:rsidRDefault="00DD6E54" w:rsidP="00DD6E54">
      <w:p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 xml:space="preserve">College of Policing (2020) </w:t>
      </w:r>
      <w:r w:rsidRPr="00DD6E54">
        <w:rPr>
          <w:rFonts w:ascii="Arial" w:hAnsi="Arial" w:cs="Arial"/>
          <w:i/>
          <w:iCs/>
          <w:sz w:val="22"/>
          <w:szCs w:val="22"/>
        </w:rPr>
        <w:t>Authorised Professional Practice: Child Abuse and Safeguarding</w:t>
      </w:r>
      <w:r w:rsidRPr="00DD6E54">
        <w:rPr>
          <w:rFonts w:ascii="Arial" w:hAnsi="Arial" w:cs="Arial"/>
          <w:sz w:val="22"/>
          <w:szCs w:val="22"/>
        </w:rPr>
        <w:t>. Coventry: College of Policing.</w:t>
      </w:r>
    </w:p>
    <w:p w14:paraId="0B938839" w14:textId="77777777" w:rsidR="00DD6E54" w:rsidRPr="00DD6E54" w:rsidRDefault="00DD6E54" w:rsidP="00DD6E54">
      <w:p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 xml:space="preserve">Department for Education (2018) </w:t>
      </w:r>
      <w:r w:rsidRPr="00DD6E54">
        <w:rPr>
          <w:rFonts w:ascii="Arial" w:hAnsi="Arial" w:cs="Arial"/>
          <w:i/>
          <w:iCs/>
          <w:sz w:val="22"/>
          <w:szCs w:val="22"/>
        </w:rPr>
        <w:t>Working Together to Safeguard Children</w:t>
      </w:r>
      <w:r w:rsidRPr="00DD6E54">
        <w:rPr>
          <w:rFonts w:ascii="Arial" w:hAnsi="Arial" w:cs="Arial"/>
          <w:sz w:val="22"/>
          <w:szCs w:val="22"/>
        </w:rPr>
        <w:t>. London: HM Government.</w:t>
      </w:r>
    </w:p>
    <w:p w14:paraId="35DD9ADF" w14:textId="77777777" w:rsidR="00DD6E54" w:rsidRPr="00DD6E54" w:rsidRDefault="00DD6E54" w:rsidP="00DD6E54">
      <w:p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 xml:space="preserve">HM Government (2018) </w:t>
      </w:r>
      <w:r w:rsidRPr="00DD6E54">
        <w:rPr>
          <w:rFonts w:ascii="Arial" w:hAnsi="Arial" w:cs="Arial"/>
          <w:i/>
          <w:iCs/>
          <w:sz w:val="22"/>
          <w:szCs w:val="22"/>
        </w:rPr>
        <w:t>Information sharing: advice for practitioners providing safeguarding services</w:t>
      </w:r>
      <w:r w:rsidRPr="00DD6E54">
        <w:rPr>
          <w:rFonts w:ascii="Arial" w:hAnsi="Arial" w:cs="Arial"/>
          <w:sz w:val="22"/>
          <w:szCs w:val="22"/>
        </w:rPr>
        <w:t>. London: HM Government.</w:t>
      </w:r>
    </w:p>
    <w:p w14:paraId="118B1E47" w14:textId="77777777" w:rsidR="00DD6E54" w:rsidRPr="00DD6E54" w:rsidRDefault="00DD6E54" w:rsidP="00DD6E54">
      <w:p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 xml:space="preserve">Munro, E. (2011) </w:t>
      </w:r>
      <w:r w:rsidRPr="00DD6E54">
        <w:rPr>
          <w:rFonts w:ascii="Arial" w:hAnsi="Arial" w:cs="Arial"/>
          <w:i/>
          <w:iCs/>
          <w:sz w:val="22"/>
          <w:szCs w:val="22"/>
        </w:rPr>
        <w:t>The Munro Review of Child Protection: Final Report</w:t>
      </w:r>
      <w:r w:rsidRPr="00DD6E54">
        <w:rPr>
          <w:rFonts w:ascii="Arial" w:hAnsi="Arial" w:cs="Arial"/>
          <w:sz w:val="22"/>
          <w:szCs w:val="22"/>
        </w:rPr>
        <w:t>. London: Department for Education.</w:t>
      </w:r>
    </w:p>
    <w:p w14:paraId="2115454A" w14:textId="77777777" w:rsidR="00DD6E54" w:rsidRPr="00DD6E54" w:rsidRDefault="00DD6E54" w:rsidP="00DD6E54">
      <w:p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 xml:space="preserve">National Institute for Health and Care Excellence (2023) </w:t>
      </w:r>
      <w:r w:rsidRPr="00DD6E54">
        <w:rPr>
          <w:rFonts w:ascii="Arial" w:hAnsi="Arial" w:cs="Arial"/>
          <w:i/>
          <w:iCs/>
          <w:sz w:val="22"/>
          <w:szCs w:val="22"/>
        </w:rPr>
        <w:t>Diabetes (type 1 and type 2) in children and young people: diagnosis and management (NG18)</w:t>
      </w:r>
      <w:r w:rsidRPr="00DD6E54">
        <w:rPr>
          <w:rFonts w:ascii="Arial" w:hAnsi="Arial" w:cs="Arial"/>
          <w:sz w:val="22"/>
          <w:szCs w:val="22"/>
        </w:rPr>
        <w:t>. London: NICE.</w:t>
      </w:r>
    </w:p>
    <w:p w14:paraId="480FE3E6" w14:textId="77777777" w:rsidR="00DD6E54" w:rsidRPr="00DD6E54" w:rsidRDefault="00DD6E54" w:rsidP="00DD6E54">
      <w:p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 xml:space="preserve">Sidebotham, P., Brandon, M., Bailey, S. et al. (2016) </w:t>
      </w:r>
      <w:r w:rsidRPr="00DD6E54">
        <w:rPr>
          <w:rFonts w:ascii="Arial" w:hAnsi="Arial" w:cs="Arial"/>
          <w:i/>
          <w:iCs/>
          <w:sz w:val="22"/>
          <w:szCs w:val="22"/>
        </w:rPr>
        <w:t>Pathways to harm, pathways to protection: a triennial analysis of serious case reviews 2011–2014</w:t>
      </w:r>
      <w:r w:rsidRPr="00DD6E54">
        <w:rPr>
          <w:rFonts w:ascii="Arial" w:hAnsi="Arial" w:cs="Arial"/>
          <w:sz w:val="22"/>
          <w:szCs w:val="22"/>
        </w:rPr>
        <w:t>. London: Department for Education.</w:t>
      </w:r>
    </w:p>
    <w:p w14:paraId="52152CB2" w14:textId="109A0914" w:rsidR="00DD6E54" w:rsidRPr="00E84F7A" w:rsidRDefault="00DD6E54">
      <w:pPr>
        <w:rPr>
          <w:rFonts w:ascii="Arial" w:hAnsi="Arial" w:cs="Arial"/>
          <w:sz w:val="22"/>
          <w:szCs w:val="22"/>
        </w:rPr>
      </w:pPr>
      <w:r w:rsidRPr="00DD6E54">
        <w:rPr>
          <w:rFonts w:ascii="Arial" w:hAnsi="Arial" w:cs="Arial"/>
          <w:sz w:val="22"/>
          <w:szCs w:val="22"/>
        </w:rPr>
        <w:t xml:space="preserve">Stanley, N. (2011) </w:t>
      </w:r>
      <w:r w:rsidRPr="00DD6E54">
        <w:rPr>
          <w:rFonts w:ascii="Arial" w:hAnsi="Arial" w:cs="Arial"/>
          <w:i/>
          <w:iCs/>
          <w:sz w:val="22"/>
          <w:szCs w:val="22"/>
        </w:rPr>
        <w:t>Children experiencing domestic violence: A research review</w:t>
      </w:r>
      <w:r w:rsidRPr="00DD6E54">
        <w:rPr>
          <w:rFonts w:ascii="Arial" w:hAnsi="Arial" w:cs="Arial"/>
          <w:sz w:val="22"/>
          <w:szCs w:val="22"/>
        </w:rPr>
        <w:t>. London: NSPCC.</w:t>
      </w:r>
    </w:p>
    <w:sectPr w:rsidR="00DD6E54" w:rsidRPr="00E84F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C2B6E"/>
    <w:multiLevelType w:val="multilevel"/>
    <w:tmpl w:val="AF781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AA4B89"/>
    <w:multiLevelType w:val="multilevel"/>
    <w:tmpl w:val="098EF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67716D"/>
    <w:multiLevelType w:val="multilevel"/>
    <w:tmpl w:val="4B78C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FA705A"/>
    <w:multiLevelType w:val="multilevel"/>
    <w:tmpl w:val="FD401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A633A3"/>
    <w:multiLevelType w:val="multilevel"/>
    <w:tmpl w:val="47528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43A5FD7"/>
    <w:multiLevelType w:val="multilevel"/>
    <w:tmpl w:val="1F488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6448543">
    <w:abstractNumId w:val="4"/>
  </w:num>
  <w:num w:numId="2" w16cid:durableId="841432814">
    <w:abstractNumId w:val="1"/>
  </w:num>
  <w:num w:numId="3" w16cid:durableId="1201550291">
    <w:abstractNumId w:val="5"/>
  </w:num>
  <w:num w:numId="4" w16cid:durableId="2022585738">
    <w:abstractNumId w:val="3"/>
  </w:num>
  <w:num w:numId="5" w16cid:durableId="260796240">
    <w:abstractNumId w:val="2"/>
  </w:num>
  <w:num w:numId="6" w16cid:durableId="41754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E54"/>
    <w:rsid w:val="00062388"/>
    <w:rsid w:val="007527FD"/>
    <w:rsid w:val="00DD6E54"/>
    <w:rsid w:val="00E8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17FF9"/>
  <w15:chartTrackingRefBased/>
  <w15:docId w15:val="{5C42D703-B90B-4E1E-AFA8-11CA361C6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6E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6E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6E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6E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6E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6E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6E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6E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6E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6E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6E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6E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6E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6E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6E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6E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6E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6E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6E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6E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6E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6E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6E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6E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6E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6E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6E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6E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6E5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735</Words>
  <Characters>4192</Characters>
  <Application>Microsoft Office Word</Application>
  <DocSecurity>0</DocSecurity>
  <Lines>34</Lines>
  <Paragraphs>9</Paragraphs>
  <ScaleCrop>false</ScaleCrop>
  <Company/>
  <LinksUpToDate>false</LinksUpToDate>
  <CharactersWithSpaces>4918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Abs Bashar</dc:creator>
  <cp:keywords/>
  <dc:description/>
  <cp:lastModifiedBy>Abs Bashar</cp:lastModifiedBy>
  <cp:revision>3</cp:revision>
  <dcterms:created xsi:type="dcterms:W3CDTF">2026-02-22T11:14:00Z</dcterms:created>
  <dcterms:modified xsi:type="dcterms:W3CDTF">2026-02-22T11:25:00Z</dcterms:modified>
</cp:coreProperties>
</file>