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A789E">
              <w:rPr>
                <w:rFonts w:ascii="Arial" w:hAnsi="Arial" w:cs="Arial"/>
                <w:b/>
                <w:sz w:val="22"/>
                <w:szCs w:val="22"/>
              </w:rPr>
              <w:t>Thomas Sage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AA789E" w:rsidP="001E57C1">
            <w:pPr>
              <w:spacing w:before="120" w:after="120"/>
              <w:jc w:val="both"/>
              <w:rPr>
                <w:rFonts w:ascii="Arial" w:hAnsi="Arial" w:cs="Arial"/>
                <w:b/>
                <w:sz w:val="22"/>
                <w:szCs w:val="22"/>
              </w:rPr>
            </w:pPr>
            <w:r>
              <w:rPr>
                <w:rFonts w:ascii="Arial" w:hAnsi="Arial" w:cs="Arial"/>
                <w:b/>
                <w:sz w:val="22"/>
                <w:szCs w:val="22"/>
              </w:rPr>
              <w:t>1806599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63C8B" w:rsidP="00152E9D">
            <w:pPr>
              <w:spacing w:before="120" w:after="120"/>
              <w:jc w:val="both"/>
              <w:rPr>
                <w:rFonts w:ascii="Arial" w:hAnsi="Arial" w:cs="Arial"/>
                <w:b/>
                <w:sz w:val="22"/>
                <w:szCs w:val="22"/>
              </w:rPr>
            </w:pPr>
            <w:r>
              <w:rPr>
                <w:rFonts w:ascii="Arial" w:hAnsi="Arial" w:cs="Arial"/>
                <w:b/>
                <w:sz w:val="22"/>
                <w:szCs w:val="22"/>
              </w:rPr>
              <w:t>ECSP700</w:t>
            </w:r>
            <w:r w:rsidR="00003938">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03938" w:rsidP="00E51AAC">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03938" w:rsidRDefault="00003938" w:rsidP="00003938">
            <w:pPr>
              <w:spacing w:before="100" w:beforeAutospacing="1" w:after="100" w:afterAutospacing="1"/>
              <w:rPr>
                <w:sz w:val="22"/>
                <w:szCs w:val="22"/>
              </w:rPr>
            </w:pPr>
            <w:r>
              <w:rPr>
                <w:rFonts w:ascii="Arial" w:hAnsi="Arial" w:cs="Arial"/>
                <w:b/>
                <w:bCs/>
                <w:sz w:val="22"/>
                <w:szCs w:val="22"/>
              </w:rPr>
              <w:t>Investigating Contemporary Issues in Secondary Education</w:t>
            </w:r>
          </w:p>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03938"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January 28th 2019</w:t>
            </w:r>
          </w:p>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003938" w:rsidRDefault="00003938" w:rsidP="00003938">
            <w:pPr>
              <w:spacing w:before="120" w:after="120"/>
              <w:jc w:val="both"/>
              <w:rPr>
                <w:rFonts w:ascii="Arial" w:hAnsi="Arial" w:cs="Arial"/>
                <w:b/>
                <w:sz w:val="22"/>
                <w:szCs w:val="22"/>
                <w:lang w:eastAsia="en-US"/>
              </w:rPr>
            </w:pPr>
            <w:r>
              <w:rPr>
                <w:rFonts w:ascii="Arial" w:hAnsi="Arial" w:cs="Arial"/>
                <w:b/>
                <w:sz w:val="22"/>
                <w:szCs w:val="22"/>
                <w:lang w:eastAsia="en-US"/>
              </w:rPr>
              <w:t>February 19th 2019</w:t>
            </w:r>
          </w:p>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D0E34" w:rsidRPr="001D0E34" w:rsidRDefault="001D0E34" w:rsidP="001D0E34">
      <w:pPr>
        <w:spacing w:after="160" w:line="360" w:lineRule="auto"/>
        <w:rPr>
          <w:rFonts w:ascii="Calibri" w:eastAsia="Calibri" w:hAnsi="Calibri"/>
          <w:b/>
          <w:sz w:val="24"/>
          <w:szCs w:val="24"/>
          <w:u w:val="single"/>
          <w:lang w:eastAsia="en-US"/>
        </w:rPr>
      </w:pPr>
      <w:r w:rsidRPr="001D0E34">
        <w:rPr>
          <w:rFonts w:ascii="Calibri" w:eastAsia="Calibri" w:hAnsi="Calibri"/>
          <w:b/>
          <w:sz w:val="24"/>
          <w:szCs w:val="24"/>
          <w:u w:val="single"/>
          <w:lang w:eastAsia="en-US"/>
        </w:rPr>
        <w:lastRenderedPageBreak/>
        <w:t xml:space="preserve">EPSC7001 Assignment </w:t>
      </w:r>
      <w:r w:rsidR="001A14F5">
        <w:rPr>
          <w:rFonts w:ascii="Calibri" w:eastAsia="Calibri" w:hAnsi="Calibri"/>
          <w:b/>
          <w:sz w:val="24"/>
          <w:szCs w:val="24"/>
          <w:u w:val="single"/>
          <w:lang w:eastAsia="en-US"/>
        </w:rPr>
        <w:t>–</w:t>
      </w:r>
      <w:r w:rsidRPr="001D0E34">
        <w:rPr>
          <w:rFonts w:ascii="Calibri" w:eastAsia="Calibri" w:hAnsi="Calibri"/>
          <w:b/>
          <w:sz w:val="24"/>
          <w:szCs w:val="24"/>
          <w:u w:val="single"/>
          <w:lang w:eastAsia="en-US"/>
        </w:rPr>
        <w:t xml:space="preserve"> </w:t>
      </w:r>
      <w:r w:rsidR="001A14F5">
        <w:rPr>
          <w:rFonts w:ascii="Calibri" w:eastAsia="Calibri" w:hAnsi="Calibri"/>
          <w:b/>
          <w:bCs/>
          <w:sz w:val="24"/>
          <w:szCs w:val="24"/>
          <w:u w:val="single"/>
          <w:lang w:eastAsia="en-US"/>
        </w:rPr>
        <w:t>A report on the inclusion and development of the DCF at School X</w:t>
      </w: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t>Introduction: What is the DCF and why is it important?</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This report will identify, discuss and explain the need for improvement in the inclusion of ICT within the science curriculum at School</w:t>
      </w:r>
      <w:bookmarkStart w:id="0" w:name="_GoBack"/>
      <w:bookmarkEnd w:id="0"/>
      <w:r w:rsidRPr="001D0E34">
        <w:rPr>
          <w:rFonts w:ascii="Calibri" w:eastAsia="Calibri" w:hAnsi="Calibri"/>
          <w:sz w:val="24"/>
          <w:szCs w:val="24"/>
          <w:lang w:eastAsia="en-US"/>
        </w:rPr>
        <w:t xml:space="preserve"> X, specifically in relation to the Digital competence Framework (or DCF); a component of Graham Donaldson’s new curriculum for Wales, which was first proposed in collaboration with welsh government in his report, </w:t>
      </w:r>
      <w:r w:rsidRPr="001D0E34">
        <w:rPr>
          <w:rFonts w:ascii="Calibri" w:eastAsia="Calibri" w:hAnsi="Calibri"/>
          <w:i/>
          <w:sz w:val="24"/>
          <w:szCs w:val="24"/>
          <w:lang w:eastAsia="en-US"/>
        </w:rPr>
        <w:t xml:space="preserve">Successful Futures </w:t>
      </w:r>
      <w:r w:rsidRPr="001D0E34">
        <w:rPr>
          <w:rFonts w:ascii="Calibri" w:eastAsia="Calibri" w:hAnsi="Calibri"/>
          <w:sz w:val="24"/>
          <w:szCs w:val="24"/>
          <w:lang w:eastAsia="en-US"/>
        </w:rPr>
        <w:t xml:space="preserve">(2015). This report outlines a change in the national curriculum in order to produce well rounded individuals who are better prepared for the challenges that await them later in their life. Various indicators such as lower GCSE results than other nations in the United Kingdom and Wales’ Programme for International Student Assessment or PISA score compared to other countries show that the current curriculum is not providing students in Wales with the education that they deserve. The current curriculum is outdated, and the current arrangements for assessment within our nation’s School system are unsatisfactory. </w:t>
      </w:r>
      <w:r w:rsidRPr="001D0E34">
        <w:rPr>
          <w:rFonts w:ascii="Calibri" w:eastAsia="Calibri" w:hAnsi="Calibri"/>
          <w:i/>
          <w:sz w:val="24"/>
          <w:szCs w:val="24"/>
          <w:lang w:eastAsia="en-US"/>
        </w:rPr>
        <w:t>Successful Futures</w:t>
      </w:r>
      <w:r w:rsidRPr="001D0E34">
        <w:rPr>
          <w:rFonts w:ascii="Calibri" w:eastAsia="Calibri" w:hAnsi="Calibri"/>
          <w:sz w:val="24"/>
          <w:szCs w:val="24"/>
          <w:lang w:eastAsia="en-US"/>
        </w:rPr>
        <w:t xml:space="preserve">, outlines the need for change and proposes ideas towards this new “Donaldson” curriculum, which will be commonplace in all Schools in Wales </w:t>
      </w:r>
      <w:r w:rsidR="00D0759D">
        <w:rPr>
          <w:rFonts w:ascii="Calibri" w:eastAsia="Calibri" w:hAnsi="Calibri"/>
          <w:sz w:val="24"/>
          <w:szCs w:val="24"/>
          <w:lang w:eastAsia="en-US"/>
        </w:rPr>
        <w:t>by</w:t>
      </w:r>
      <w:r w:rsidRPr="001D0E34">
        <w:rPr>
          <w:rFonts w:ascii="Calibri" w:eastAsia="Calibri" w:hAnsi="Calibri"/>
          <w:sz w:val="24"/>
          <w:szCs w:val="24"/>
          <w:lang w:eastAsia="en-US"/>
        </w:rPr>
        <w:t xml:space="preserve"> 2022.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The first part of the new curriculum to be rolled out was the DCF in 2016. If a student is digitally competent then they can show that they are creative, confident and critical in their use of digital technology and systems. This implies that they have the relevant knowledge, attitude and set of skills in order to be digitally competent. In our increasingly digital society, Digital Competency is an essential character trait that students need in order to be proficient and achieve success. The aim of the DCF is to prepare students for the digital world and provide them with the tools to thrive in this environment. The DCF like the Literacy and Numeracy Framework (LNF) is a shared cross-curricular responsibility for all subjects within a School, to develop a wide range of digital skills which can then be used by students in the world of work. Therefore digital competence is different to Information and Communications Technology, and should therefore be aimed to be included across the curriculum. However, this does not mean that digital competence should be added as an afterthought when planning lessons; it should be included where it is appropriate. Consequently the DCF outlines ways in which digital competence can be </w:t>
      </w:r>
      <w:r w:rsidRPr="001D0E34">
        <w:rPr>
          <w:rFonts w:ascii="Calibri" w:eastAsia="Calibri" w:hAnsi="Calibri"/>
          <w:sz w:val="24"/>
          <w:szCs w:val="24"/>
          <w:lang w:eastAsia="en-US"/>
        </w:rPr>
        <w:lastRenderedPageBreak/>
        <w:t>included within lessons in a non-artificial and purposeful manner. (Welsh Assembly Government, 2018) The Digital Competence Framework, (Welsh Assembly Government, 2018) is made up of four parts of equal worth:</w:t>
      </w:r>
    </w:p>
    <w:p w:rsidR="001D0E34" w:rsidRPr="001D0E34" w:rsidRDefault="001D0E34" w:rsidP="001D0E34">
      <w:pPr>
        <w:numPr>
          <w:ilvl w:val="0"/>
          <w:numId w:val="25"/>
        </w:num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Citizenship </w:t>
      </w:r>
    </w:p>
    <w:p w:rsidR="001D0E34" w:rsidRPr="001D0E34" w:rsidRDefault="001D0E34" w:rsidP="001D0E34">
      <w:pPr>
        <w:numPr>
          <w:ilvl w:val="0"/>
          <w:numId w:val="26"/>
        </w:num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Interacting and collaborating </w:t>
      </w:r>
    </w:p>
    <w:p w:rsidR="001D0E34" w:rsidRPr="001D0E34" w:rsidRDefault="001D0E34" w:rsidP="001D0E34">
      <w:pPr>
        <w:numPr>
          <w:ilvl w:val="0"/>
          <w:numId w:val="26"/>
        </w:num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Producing </w:t>
      </w:r>
    </w:p>
    <w:p w:rsidR="001D0E34" w:rsidRPr="001D0E34" w:rsidRDefault="001D0E34" w:rsidP="001D0E34">
      <w:pPr>
        <w:numPr>
          <w:ilvl w:val="0"/>
          <w:numId w:val="26"/>
        </w:num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Data and computational thinking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However, this framework acts only as a guideline and it is the responsibility of every School to acquaint themselves with the framework, strategically plan how they will incorporate digital competence across the range of subjects and examine their approach on how to translate this into practice. </w:t>
      </w:r>
    </w:p>
    <w:p w:rsidR="001D0E34" w:rsidRPr="001D0E34" w:rsidRDefault="001D0E34"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t>School X’s Departmental Improvement Plan</w:t>
      </w:r>
    </w:p>
    <w:p w:rsidR="00940097" w:rsidRPr="001D0E34" w:rsidRDefault="001D0E34" w:rsidP="00940097">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The science department at School X have identified some areas for development within their department which are highlighted in the current Departmental Improvement Plan, or DIP (Appendix 1) for 2017 – 2020. There are two strategic objectives identified within the DIP. One of these relates to achievement and standards at key stage 3, 4 and 5, whereby one target to address this is that the standard of achievement will be excellent at all of the key stages. The other target for this objective is that the delivered curriculum will be dynamic, meeting the needs of 21</w:t>
      </w:r>
      <w:r w:rsidRPr="001D0E34">
        <w:rPr>
          <w:rFonts w:ascii="Calibri" w:eastAsia="Calibri" w:hAnsi="Calibri"/>
          <w:sz w:val="24"/>
          <w:szCs w:val="24"/>
          <w:vertAlign w:val="superscript"/>
          <w:lang w:eastAsia="en-US"/>
        </w:rPr>
        <w:t>st</w:t>
      </w:r>
      <w:r w:rsidRPr="001D0E34">
        <w:rPr>
          <w:rFonts w:ascii="Calibri" w:eastAsia="Calibri" w:hAnsi="Calibri"/>
          <w:sz w:val="24"/>
          <w:szCs w:val="24"/>
          <w:lang w:eastAsia="en-US"/>
        </w:rPr>
        <w:t xml:space="preserve"> century students to lead to high standards of achievement at all key stages. Some actions proposed to address this target include but are not limited to, the appointment of coordinators at each key stage to monitor and track the progress of students to implement early interventions of struggling students, review schemes of work for delivery from the start of the academic year onwards and to identify students at risk of underachievement early on within the first term.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The other strategic objective is in regards to teaching for learning, which has been broken down into four success criteria:</w:t>
      </w:r>
    </w:p>
    <w:p w:rsidR="001D0E34" w:rsidRPr="001D0E34" w:rsidRDefault="001D0E34" w:rsidP="001D0E34">
      <w:pPr>
        <w:numPr>
          <w:ilvl w:val="0"/>
          <w:numId w:val="24"/>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lastRenderedPageBreak/>
        <w:t>The Schools ‘Five Principles of Excellence’ will be present within teaching in the science department to lead to consistently ‘good’ or better learning.</w:t>
      </w:r>
    </w:p>
    <w:p w:rsidR="001D0E34" w:rsidRPr="001D0E34" w:rsidRDefault="001D0E34" w:rsidP="001D0E34">
      <w:pPr>
        <w:numPr>
          <w:ilvl w:val="0"/>
          <w:numId w:val="24"/>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The quality of learning experiences will lead to high quality outcomes, through a dynamic curriculum.</w:t>
      </w:r>
    </w:p>
    <w:p w:rsidR="001D0E34" w:rsidRPr="001D0E34" w:rsidRDefault="001D0E34" w:rsidP="001D0E34">
      <w:pPr>
        <w:numPr>
          <w:ilvl w:val="0"/>
          <w:numId w:val="24"/>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Teaching will stretch and challenge students of all abilities to reach their potential.</w:t>
      </w:r>
    </w:p>
    <w:p w:rsidR="001D0E34" w:rsidRPr="001D0E34" w:rsidRDefault="001D0E34" w:rsidP="001D0E34">
      <w:pPr>
        <w:numPr>
          <w:ilvl w:val="0"/>
          <w:numId w:val="24"/>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The department will make the best use of strategies that lead to students developing high quality skills.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Various actions are proposed to achieve the above criteria, but in regards to the final criterion stated above specifically, the following actions have been proposed:</w:t>
      </w:r>
    </w:p>
    <w:p w:rsidR="001D0E34" w:rsidRPr="001D0E34" w:rsidRDefault="001D0E34" w:rsidP="001D0E34">
      <w:pPr>
        <w:numPr>
          <w:ilvl w:val="0"/>
          <w:numId w:val="23"/>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Explore opportunities for student/staff communication via Microsoft teams.</w:t>
      </w:r>
    </w:p>
    <w:p w:rsidR="001D0E34" w:rsidRPr="001D0E34" w:rsidRDefault="001D0E34" w:rsidP="001D0E34">
      <w:pPr>
        <w:numPr>
          <w:ilvl w:val="0"/>
          <w:numId w:val="23"/>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Liaise with the Digital Competency Skills co-ordinator to develop a range of tasks to strengthen the department contribution to the DCF with an emphasis on Citizenship, Interacting and Collaborating and Producing.</w:t>
      </w:r>
    </w:p>
    <w:p w:rsidR="001D0E34" w:rsidRPr="001D0E34" w:rsidRDefault="001D0E34" w:rsidP="001D0E34">
      <w:pPr>
        <w:numPr>
          <w:ilvl w:val="0"/>
          <w:numId w:val="23"/>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Review skills based homework tasks for each topic at KS3 to develop Digital Competency.</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These three actions are only a portion of the eleven proposed actions to address how the science faculty at School X will make the best use of strategies that lead to the student’s development of high quality skills. But these actions all relate to digital competency and therefore the department needs to integrate elements from the DCF within their curriculum through years 7 to 11. However, the science Departmental Improvement Plan does fail to include any mention of the development of Data and Computational thinking, the fourth strand of the DCF, within their proposed actions.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The incorporation of tasks designed to develop digital skills and awareness within lessons across the range of years and classes within the School is not just an area to improve within the science department at School X, it is common throughout all subjects taught at the School. This can be found through examining the School Improvement Plan, or SIP, (Appendix 2) which identifies that in order to improve teaching for learning within the School, each department needs to review their curriculum in line with changes by the Welsh Government, such as the Digital Competence Framework. The SIP also identifies that opportunities should be provided to each department to contribute to the Digital Competency Framework; this could be within the department as well as through sharing </w:t>
      </w:r>
      <w:r w:rsidRPr="001D0E34">
        <w:rPr>
          <w:rFonts w:ascii="Calibri" w:eastAsia="Calibri" w:hAnsi="Calibri"/>
          <w:sz w:val="24"/>
          <w:szCs w:val="24"/>
          <w:lang w:eastAsia="en-US"/>
        </w:rPr>
        <w:lastRenderedPageBreak/>
        <w:t>good practice regarding the DCF with other departments within the school. Since the introduction of a new Head teacher in September 2014, School X has had an awakening in terms of sharing good practice across the school with daily learning walks by members of the senior management team and regular informal observations. (Estyn, 1, 2018) Therefore, in this spirit, best practice regarding ideas and techniques to implement elements of the DCF should also be shared amongst other departments within the School, and co-ordinated by the DCF co-ordinator. This will help to raise the standard of teaching for learning and education across the whole School.</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A suggested action within the SIP in regards to maintaining and improving the standards of achievement at School X, is to review the delivery of Information and Communication Technology (ICT) as a discreet subject at key stage 3. With the incorporation of the DCF the aim is that digital skills, attitudes and awareness will be taught across the curriculum, in every subject. So there is a potential argument that there is no need for separate ICT lessons at key stage 3 as much of the content covered within these lessons will be covered within other subject lessons through implantation of elements from the DCF.</w:t>
      </w:r>
    </w:p>
    <w:p w:rsidR="001D0E34" w:rsidRPr="001D0E34" w:rsidRDefault="001D0E34"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t xml:space="preserve">The importance of strategic planning to secure improvement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val="en" w:eastAsia="en-US"/>
        </w:rPr>
        <w:t>The concept of strategic planning for educational purposes, came about in the late 1980’s after being adopted from the corporate sector. (</w:t>
      </w:r>
      <w:r w:rsidRPr="001D0E34">
        <w:rPr>
          <w:rFonts w:ascii="Calibri" w:eastAsia="Calibri" w:hAnsi="Calibri"/>
          <w:sz w:val="24"/>
          <w:szCs w:val="24"/>
          <w:lang w:eastAsia="en-US"/>
        </w:rPr>
        <w:t>Billingham, 2012) It involves planning to deal with predictable and fundamental issues, which can be dealt with in incremental stages by making changes over a period of a few (3-5) years. (Davies &amp; Ellison, 2003) As highlighted in the review by Rutherford (2009) the strategic planning process can be broken down into three phases:</w:t>
      </w:r>
    </w:p>
    <w:p w:rsidR="001D0E34" w:rsidRPr="001D0E34" w:rsidRDefault="001D0E34" w:rsidP="001D0E34">
      <w:pPr>
        <w:numPr>
          <w:ilvl w:val="0"/>
          <w:numId w:val="28"/>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Initiation – including reflection, planning and all activities that are required before making a change.</w:t>
      </w:r>
    </w:p>
    <w:p w:rsidR="001D0E34" w:rsidRPr="001D0E34" w:rsidRDefault="001D0E34" w:rsidP="001D0E34">
      <w:pPr>
        <w:numPr>
          <w:ilvl w:val="0"/>
          <w:numId w:val="28"/>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Implementation – the enactment of the proposed action from the initial planning/preparation stage.</w:t>
      </w:r>
    </w:p>
    <w:p w:rsidR="001D0E34" w:rsidRPr="001D0E34" w:rsidRDefault="001D0E34" w:rsidP="001D0E34">
      <w:pPr>
        <w:numPr>
          <w:ilvl w:val="0"/>
          <w:numId w:val="28"/>
        </w:numPr>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Institutionalisation – when the change enforced in the previous stage becomes common practice within an organisation/School.</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lastRenderedPageBreak/>
        <w:t xml:space="preserve">With the first initiation/planning stage being identified as the most important phase to integrate a change as common practice. (Berman &amp; McLaughlin, 1976) Examples of educational materials relating to this phase include departmental and school wide improvement plans, as mentioned above for School X. The vast majority of literature, argues in favour of school improvement as a result of strategic planning. In their influential study into school improvement, </w:t>
      </w:r>
      <w:proofErr w:type="spellStart"/>
      <w:r w:rsidRPr="001D0E34">
        <w:rPr>
          <w:rFonts w:ascii="Calibri" w:eastAsia="Calibri" w:hAnsi="Calibri"/>
          <w:sz w:val="24"/>
          <w:szCs w:val="24"/>
          <w:lang w:eastAsia="en-US"/>
        </w:rPr>
        <w:t>Gray</w:t>
      </w:r>
      <w:proofErr w:type="spellEnd"/>
      <w:r w:rsidRPr="001D0E34">
        <w:rPr>
          <w:rFonts w:ascii="Calibri" w:eastAsia="Calibri" w:hAnsi="Calibri"/>
          <w:sz w:val="24"/>
          <w:szCs w:val="24"/>
          <w:lang w:eastAsia="en-US"/>
        </w:rPr>
        <w:t xml:space="preserve"> et al. (1999) identified that schools who took a strategic long term approach, involving policies across the entire school and crafting school development plans showed a more sustained improvement than schools who only utilized short term tactics. However, despite the evidence gathered in favour of strategic planning for school improvement, this study only involved 12 schools, a relatively small sample size over a five year period, which leads to potential questions regarding the reliability and reproducibility of this study. Bryson’s (1995) work agrees with the findings gathered by </w:t>
      </w:r>
      <w:proofErr w:type="spellStart"/>
      <w:r w:rsidRPr="001D0E34">
        <w:rPr>
          <w:rFonts w:ascii="Calibri" w:eastAsia="Calibri" w:hAnsi="Calibri"/>
          <w:sz w:val="24"/>
          <w:szCs w:val="24"/>
          <w:lang w:eastAsia="en-US"/>
        </w:rPr>
        <w:t>Gray</w:t>
      </w:r>
      <w:proofErr w:type="spellEnd"/>
      <w:r w:rsidRPr="001D0E34">
        <w:rPr>
          <w:rFonts w:ascii="Calibri" w:eastAsia="Calibri" w:hAnsi="Calibri"/>
          <w:sz w:val="24"/>
          <w:szCs w:val="24"/>
          <w:lang w:eastAsia="en-US"/>
        </w:rPr>
        <w:t xml:space="preserve"> et al., identifying that strategic planning can lead to improved performance, as well as amend the decision making process for the better and enhance the responsiveness of schools to issues. Although in her discussion of Bryson’s work, Rutherford (2009) elaborates that the use of strategic planning by and of itself does not guarantee success or the benefits described above. Be that as it may, the potential benefits and side products of strategic planning, including a shared focus, meaning that everyone is on the same page and they know what they need to do to improve; and increased connectivity &amp; effective organisation of staff and resources, including money, to reach targets (Ong, 2016), mean that virtually all schools within the UK use strategic planning as a way to endeavour to secure school wide improvement, both in terms of student achievement and standard of teaching.</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In relation to the reason for this report, the incorporation of technology as a main item on an improvement plan, as part of the strategic planning process, is not recommended, as described in work by </w:t>
      </w:r>
      <w:proofErr w:type="spellStart"/>
      <w:r w:rsidRPr="001D0E34">
        <w:rPr>
          <w:rFonts w:ascii="Calibri" w:eastAsia="Calibri" w:hAnsi="Calibri"/>
          <w:sz w:val="24"/>
          <w:szCs w:val="24"/>
          <w:lang w:eastAsia="en-US"/>
        </w:rPr>
        <w:t>Fullan</w:t>
      </w:r>
      <w:proofErr w:type="spellEnd"/>
      <w:r w:rsidRPr="001D0E34">
        <w:rPr>
          <w:rFonts w:ascii="Calibri" w:eastAsia="Calibri" w:hAnsi="Calibri"/>
          <w:sz w:val="24"/>
          <w:szCs w:val="24"/>
          <w:lang w:eastAsia="en-US"/>
        </w:rPr>
        <w:t xml:space="preserve"> (2015). The author outlines that to be successful, targets should be related to pedagogy and that technology should be used as an action to achieve this target, a view reflected in School X’s departmental and School improvement plans, as highlighted above. </w:t>
      </w:r>
    </w:p>
    <w:p w:rsidR="001D0E34" w:rsidRDefault="001D0E34" w:rsidP="001D0E34">
      <w:pPr>
        <w:spacing w:after="160" w:line="360" w:lineRule="auto"/>
        <w:rPr>
          <w:rFonts w:ascii="Calibri" w:eastAsia="Calibri" w:hAnsi="Calibri"/>
          <w:sz w:val="24"/>
          <w:szCs w:val="24"/>
          <w:lang w:eastAsia="en-US"/>
        </w:rPr>
      </w:pPr>
    </w:p>
    <w:p w:rsidR="00940097" w:rsidRPr="001D0E34" w:rsidRDefault="00940097"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lastRenderedPageBreak/>
        <w:t xml:space="preserve">Theories, Academic Opinions and Legislation regarding Digital Competencies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Since being identified by the European Union in 2006, Digital competence has become a focus through further legislation such as the </w:t>
      </w:r>
      <w:proofErr w:type="spellStart"/>
      <w:r w:rsidRPr="001D0E34">
        <w:rPr>
          <w:rFonts w:ascii="Calibri" w:eastAsia="Calibri" w:hAnsi="Calibri"/>
          <w:sz w:val="24"/>
          <w:szCs w:val="24"/>
          <w:lang w:eastAsia="en-US"/>
        </w:rPr>
        <w:t>DigComp</w:t>
      </w:r>
      <w:proofErr w:type="spellEnd"/>
      <w:r w:rsidRPr="001D0E34">
        <w:rPr>
          <w:rFonts w:ascii="Calibri" w:eastAsia="Calibri" w:hAnsi="Calibri"/>
          <w:sz w:val="24"/>
          <w:szCs w:val="24"/>
          <w:lang w:eastAsia="en-US"/>
        </w:rPr>
        <w:t xml:space="preserve"> frameworks. (Plaza-de-La-</w:t>
      </w:r>
      <w:proofErr w:type="spellStart"/>
      <w:r w:rsidRPr="001D0E34">
        <w:rPr>
          <w:rFonts w:ascii="Calibri" w:eastAsia="Calibri" w:hAnsi="Calibri"/>
          <w:sz w:val="24"/>
          <w:szCs w:val="24"/>
          <w:lang w:eastAsia="en-US"/>
        </w:rPr>
        <w:t>Hoz</w:t>
      </w:r>
      <w:proofErr w:type="spellEnd"/>
      <w:r w:rsidRPr="001D0E34">
        <w:rPr>
          <w:rFonts w:ascii="Calibri" w:eastAsia="Calibri" w:hAnsi="Calibri"/>
          <w:sz w:val="24"/>
          <w:szCs w:val="24"/>
          <w:lang w:eastAsia="en-US"/>
        </w:rPr>
        <w:t xml:space="preserve"> et al., 2015)  A study carried out by the EU in 2014 identified that 47% of Europe’s population have an inadequate level of digital skills, whilst 23% have no digital skills at all.</w:t>
      </w:r>
      <w:r w:rsidR="00C77FF5">
        <w:rPr>
          <w:rFonts w:ascii="Calibri" w:eastAsia="Calibri" w:hAnsi="Calibri"/>
          <w:sz w:val="24"/>
          <w:szCs w:val="24"/>
          <w:lang w:eastAsia="en-US"/>
        </w:rPr>
        <w:t xml:space="preserve"> (European Commis</w:t>
      </w:r>
      <w:r w:rsidRPr="001D0E34">
        <w:rPr>
          <w:rFonts w:ascii="Calibri" w:eastAsia="Calibri" w:hAnsi="Calibri"/>
          <w:sz w:val="24"/>
          <w:szCs w:val="24"/>
          <w:lang w:eastAsia="en-US"/>
        </w:rPr>
        <w:t xml:space="preserve">sion, 2014) It is studies like this that have spurred individual nations such as Wales to form their own Digital Competence Frameworks, to provide the next generation with the digital competencies they will need for modern life. A large amount of research, in the scope of education has been carried out in regards to digital competency as highlighted in </w:t>
      </w:r>
      <w:proofErr w:type="spellStart"/>
      <w:r w:rsidRPr="001D0E34">
        <w:rPr>
          <w:rFonts w:ascii="Calibri" w:eastAsia="Calibri" w:hAnsi="Calibri"/>
          <w:sz w:val="24"/>
          <w:szCs w:val="24"/>
          <w:lang w:eastAsia="en-US"/>
        </w:rPr>
        <w:t>Pettersson’s</w:t>
      </w:r>
      <w:proofErr w:type="spellEnd"/>
      <w:r w:rsidRPr="001D0E34">
        <w:rPr>
          <w:rFonts w:ascii="Calibri" w:eastAsia="Calibri" w:hAnsi="Calibri"/>
          <w:sz w:val="24"/>
          <w:szCs w:val="24"/>
          <w:lang w:eastAsia="en-US"/>
        </w:rPr>
        <w:t xml:space="preserve"> review (2017), such as Janssen et al (2013) seminal work, which identifies 12 different areas of digital competency. This report gathered data in a Delphi study from 95 experts however, this method of analysis has some limitations, as the conclusions made were based on opinion rather than data gathered over time. </w:t>
      </w:r>
      <w:proofErr w:type="spellStart"/>
      <w:r w:rsidRPr="001D0E34">
        <w:rPr>
          <w:rFonts w:ascii="Calibri" w:eastAsia="Calibri" w:hAnsi="Calibri"/>
          <w:sz w:val="24"/>
          <w:szCs w:val="24"/>
          <w:lang w:eastAsia="en-US"/>
        </w:rPr>
        <w:t>Pettersson</w:t>
      </w:r>
      <w:proofErr w:type="spellEnd"/>
      <w:r w:rsidRPr="001D0E34">
        <w:rPr>
          <w:rFonts w:ascii="Calibri" w:eastAsia="Calibri" w:hAnsi="Calibri"/>
          <w:sz w:val="24"/>
          <w:szCs w:val="24"/>
          <w:lang w:eastAsia="en-US"/>
        </w:rPr>
        <w:t xml:space="preserve"> (2018) identifies that most research within the field is based in this sphere, with a lack of studies in regards to organisational frameworks for delivering digital competency as part of the curriculum. This point could have potential ramifications for the DCF within Wales, possibly suggesting further amendments to the DCF in response to potential future research, which could in turn lead to changes in the recommendations highlighted by this report for the implementation of the DCF at School X.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Historically, there is evidence in favour of the inclusion of the DCF as part of normal practice within Schools. When new technologies became available, teachers have adopted and made use of them within their everyday practice, such as visualizers, calculators and computers in their teaching, and in doing so they were teaching students how to use these technologies. The nature of teaching means that in order to teach someone a topic, the teacher must be competent/possess the required knowledge about that topic. This principal also applies to digital competency, as highlighted in the large amount of academic research in to teacher’s digital competency mentioned in </w:t>
      </w:r>
      <w:proofErr w:type="spellStart"/>
      <w:r w:rsidRPr="001D0E34">
        <w:rPr>
          <w:rFonts w:ascii="Calibri" w:eastAsia="Calibri" w:hAnsi="Calibri"/>
          <w:sz w:val="24"/>
          <w:szCs w:val="24"/>
          <w:lang w:eastAsia="en-US"/>
        </w:rPr>
        <w:t>Pettersson’s</w:t>
      </w:r>
      <w:proofErr w:type="spellEnd"/>
      <w:r w:rsidRPr="001D0E34">
        <w:rPr>
          <w:rFonts w:ascii="Calibri" w:eastAsia="Calibri" w:hAnsi="Calibri"/>
          <w:sz w:val="24"/>
          <w:szCs w:val="24"/>
          <w:lang w:eastAsia="en-US"/>
        </w:rPr>
        <w:t xml:space="preserve"> (2018) review. So a teacher must be digitally competent in order to teach their students how to be digitally competent. For this to happen in the modern digital world, teachers need to be able to adopt new technologies as they develop. However, some teachers may not be confident in the idea of teaching digital competency to their students, and that in itself is a potential barrier to a </w:t>
      </w:r>
      <w:r w:rsidRPr="001D0E34">
        <w:rPr>
          <w:rFonts w:ascii="Calibri" w:eastAsia="Calibri" w:hAnsi="Calibri"/>
          <w:sz w:val="24"/>
          <w:szCs w:val="24"/>
          <w:lang w:eastAsia="en-US"/>
        </w:rPr>
        <w:lastRenderedPageBreak/>
        <w:t>student’s education regarding digital competency. Adoption curves describe how inclined an individual is to accept new ideas. These curves have a bell like shape and sort people into one of five groups: Innovators, early adopters, early majority, late majority and non-adopters. (</w:t>
      </w:r>
      <w:proofErr w:type="spellStart"/>
      <w:r w:rsidRPr="001D0E34">
        <w:rPr>
          <w:rFonts w:ascii="Calibri" w:eastAsia="Calibri" w:hAnsi="Calibri"/>
          <w:sz w:val="24"/>
          <w:szCs w:val="24"/>
          <w:lang w:eastAsia="en-US"/>
        </w:rPr>
        <w:t>Klitsch</w:t>
      </w:r>
      <w:proofErr w:type="spellEnd"/>
      <w:r w:rsidRPr="001D0E34">
        <w:rPr>
          <w:rFonts w:ascii="Calibri" w:eastAsia="Calibri" w:hAnsi="Calibri"/>
          <w:sz w:val="24"/>
          <w:szCs w:val="24"/>
          <w:lang w:eastAsia="en-US"/>
        </w:rPr>
        <w:t>, 1998) This model was first developed by marketers for insurance but it can also be applied to the willingness of teachers to embrace technology. In order to make sure that teachers are digitally competent and are able to teach their students about digital competency, a school needs to move teachers currently in the late majority and non-adopter end of the curve up towards the other end. To do this, Schools need to provide support and training in this area as well as emphasise the minimum expectations of teachers so that every teacher is digitally competent and are able to teach some aspects from the DCF to their students. Whilst focusing on teachers at the lower end of the curve, Schools also need to use and preserve the zeal of teachers at the upper end of the curve in regards to digital competency, to provide the best standard of education for their students, and to help the teachers at the lower end of the curve within a School to progress.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The incorporation of digital technology within lessons does raise an important question; will incorporating this technology within a task add any value to it? One example of a model to help teachers identify this is the Substitution, Augmentation, Modification and Redefinition or SAMR model, developed by </w:t>
      </w:r>
      <w:proofErr w:type="spellStart"/>
      <w:r w:rsidRPr="001D0E34">
        <w:rPr>
          <w:rFonts w:ascii="Calibri" w:eastAsia="Calibri" w:hAnsi="Calibri"/>
          <w:sz w:val="24"/>
          <w:szCs w:val="24"/>
          <w:lang w:eastAsia="en-US"/>
        </w:rPr>
        <w:t>Puentedura</w:t>
      </w:r>
      <w:proofErr w:type="spellEnd"/>
      <w:r w:rsidRPr="001D0E34">
        <w:rPr>
          <w:rFonts w:ascii="Calibri" w:eastAsia="Calibri" w:hAnsi="Calibri"/>
          <w:sz w:val="24"/>
          <w:szCs w:val="24"/>
          <w:lang w:eastAsia="en-US"/>
        </w:rPr>
        <w:t xml:space="preserve"> (2006). This model represents a method to select and evaluate the use of technology in terms of education. It is often described as a ladder and </w:t>
      </w:r>
      <w:proofErr w:type="spellStart"/>
      <w:r w:rsidRPr="001D0E34">
        <w:rPr>
          <w:rFonts w:ascii="Calibri" w:eastAsia="Calibri" w:hAnsi="Calibri"/>
          <w:sz w:val="24"/>
          <w:szCs w:val="24"/>
          <w:lang w:eastAsia="en-US"/>
        </w:rPr>
        <w:t>Puentedura</w:t>
      </w:r>
      <w:proofErr w:type="spellEnd"/>
      <w:r w:rsidRPr="001D0E34">
        <w:rPr>
          <w:rFonts w:ascii="Calibri" w:eastAsia="Calibri" w:hAnsi="Calibri"/>
          <w:sz w:val="24"/>
          <w:szCs w:val="24"/>
          <w:lang w:eastAsia="en-US"/>
        </w:rPr>
        <w:t xml:space="preserve"> identifies that moving up the ladder from substitution through to redefinition, leads to higher levels of teaching and learning. This model provides a framework or Schools to evaluate the worth of technology, because if you are only substituting technology with another teaching method for a task, then this will not provide as much value as a whole new task which can only be achieved with the use of technology. So this model requires teachers to stop and think, to examine the worth of a technology based task before implementing it within the classroom. The SAMR model does provide a solid framework to evaluate the worth and potential implications for the use of technology within education, however it does have some limitations. Hamilton, et al. (2016) highlight in their review that there is no theoretical evidence to back up this theory, with little connections to prior research. They also infer that this model, with its little guidance for use can be hard to understand/interpret. They identify that this is in part due to the model not </w:t>
      </w:r>
      <w:r w:rsidRPr="001D0E34">
        <w:rPr>
          <w:rFonts w:ascii="Calibri" w:eastAsia="Calibri" w:hAnsi="Calibri"/>
          <w:sz w:val="24"/>
          <w:szCs w:val="24"/>
          <w:lang w:eastAsia="en-US"/>
        </w:rPr>
        <w:lastRenderedPageBreak/>
        <w:t>taking into account different contexts, a factor which is very important in terms of education as every classroom is different, with varying access to technological resources and differing levels of support for teachers in relation to digital competence. It is also due to the model consisting of a strict, laddered structure, which in turn ignores the difficulties associated with using digital technology to assist education as it is too limited, and some situations will lie outside of these four categories.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Another framework to evaluate the value associated with the use of technology which is less restricted and imparts more universal council is the TPACK or Technological, Pedagogical, Content Knowledge model, conceived by Mishra and Koehler (2006) as a development of earlier work by Shulman (1986). This model consists of a three component Venn diagram and in essence, it suggests that using technology within the classroom should only be used if it is linked to pedagogical and content knowledge. As this model doesn’t provide any specific activities or guidelines it therefore, takes into account that every teaching context is different which means that this model can be applied to a greater number of situations. (Hamilton, et al. 2016) However, Mishra and Koehler failed to provide an absolute definition for the central zone which incorporates technological, content, and pedagogical knowledge. In a comprehensive investigation into this model, Cox showed that there were 89 different definitions of this central zone within academic literature. In relation to this other researchers, such as Graham (2011) highlight that more theoretical work needs to be carried out so as to not waste time gathering incoherent research.</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It is the opinion of the writer that although there is evidence to discount these models, School X should still make use of both of these models. Using the TPACK model to inform the choice of implementing the use of technology, only when it can enhance learning in relation to both pedagogy and subject content; and using the SAMR (notably redefinition) model to specifically develop students higher order ICT skills in subjects outside of ICT, to produce digitally competent individuals.</w:t>
      </w:r>
    </w:p>
    <w:p w:rsidR="001D0E34" w:rsidRDefault="001D0E34"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Pr="001D0E34" w:rsidRDefault="00940097"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lastRenderedPageBreak/>
        <w:t>Why does the incorporation of the Digital Competence Framework at School X need to be improved?</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In School X’s most recent inspection, Estyn (2, 2018) made two main recommendations to improve the practice at the School. One of these recommendations was to “Ensure that pupils develop their higher-order information and communication technology (ICT) skills across the curriculum”. As this is across the curriculum this implies that the main recommendation to the School was to implement and integrate elements from the DCF within everyday teaching practice at the School. The inspection identified that the students were ‘digitally literate’, with the students being able to use search engines to find appropriate information, supplement presentations in class visually with the use of PowerPoint, and record visual and auditory media. But the report states that there was little opportunity for the students to access higher order ICT skills within lessons at the School, excluding ICT lessons. (This is an interesting point when compared to the SIP, as this outlines the possibility of removing ICT lessons from the curriculum at KS3, which is clearly counterintuitive to Estyn’s recommendations). These include skills mentioned in the DCF, (Welsh Assembly Government, 2016) such as: </w:t>
      </w:r>
    </w:p>
    <w:p w:rsidR="001D0E34" w:rsidRPr="001D0E34" w:rsidRDefault="001D0E34" w:rsidP="001D0E34">
      <w:pPr>
        <w:numPr>
          <w:ilvl w:val="0"/>
          <w:numId w:val="27"/>
        </w:numPr>
        <w:tabs>
          <w:tab w:val="num" w:pos="720"/>
        </w:tabs>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Data and computational thinking e.g. capturing data and creating a database or spreadsheet.</w:t>
      </w:r>
    </w:p>
    <w:p w:rsidR="001D0E34" w:rsidRPr="001D0E34" w:rsidRDefault="001D0E34" w:rsidP="001D0E34">
      <w:pPr>
        <w:numPr>
          <w:ilvl w:val="0"/>
          <w:numId w:val="27"/>
        </w:numPr>
        <w:tabs>
          <w:tab w:val="num" w:pos="720"/>
        </w:tabs>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Collaboration with others using online collaboration programs.</w:t>
      </w:r>
    </w:p>
    <w:p w:rsidR="001D0E34" w:rsidRPr="001D0E34" w:rsidRDefault="001D0E34" w:rsidP="001D0E34">
      <w:pPr>
        <w:numPr>
          <w:ilvl w:val="0"/>
          <w:numId w:val="27"/>
        </w:numPr>
        <w:tabs>
          <w:tab w:val="num" w:pos="720"/>
        </w:tabs>
        <w:spacing w:after="160" w:line="360" w:lineRule="auto"/>
        <w:contextualSpacing/>
        <w:rPr>
          <w:rFonts w:ascii="Calibri" w:eastAsia="Calibri" w:hAnsi="Calibri"/>
          <w:sz w:val="24"/>
          <w:szCs w:val="24"/>
          <w:lang w:eastAsia="en-US"/>
        </w:rPr>
      </w:pPr>
      <w:r w:rsidRPr="001D0E34">
        <w:rPr>
          <w:rFonts w:ascii="Calibri" w:eastAsia="Calibri" w:hAnsi="Calibri"/>
          <w:sz w:val="24"/>
          <w:szCs w:val="24"/>
          <w:lang w:eastAsia="en-US"/>
        </w:rPr>
        <w:t>Using a variety of complex searches when searching for information e.g. or/and/+/-.</w:t>
      </w:r>
    </w:p>
    <w:p w:rsidR="00A11A29" w:rsidRDefault="00A11A29" w:rsidP="001D0E34">
      <w:pPr>
        <w:spacing w:after="160" w:line="360" w:lineRule="auto"/>
        <w:ind w:firstLine="720"/>
        <w:rPr>
          <w:rFonts w:ascii="Calibri" w:eastAsia="Calibri" w:hAnsi="Calibri"/>
          <w:sz w:val="24"/>
          <w:szCs w:val="24"/>
          <w:lang w:eastAsia="en-US"/>
        </w:rPr>
      </w:pP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However, there could potentially be an argument, in regards </w:t>
      </w:r>
      <w:r w:rsidR="00A11A29">
        <w:rPr>
          <w:rFonts w:ascii="Calibri" w:eastAsia="Calibri" w:hAnsi="Calibri"/>
          <w:sz w:val="24"/>
          <w:szCs w:val="24"/>
          <w:lang w:eastAsia="en-US"/>
        </w:rPr>
        <w:t>to attainment, that there does no</w:t>
      </w:r>
      <w:r w:rsidRPr="001D0E34">
        <w:rPr>
          <w:rFonts w:ascii="Calibri" w:eastAsia="Calibri" w:hAnsi="Calibri"/>
          <w:sz w:val="24"/>
          <w:szCs w:val="24"/>
          <w:lang w:eastAsia="en-US"/>
        </w:rPr>
        <w:t xml:space="preserve">t need to be any work carried out at the School in regards to the implementation of the DCF in order for students to develop higher order ICT skills. As highlighted in the Estyn report cited above, School X performs exceptionally well academically, with 82% of students achieving an A*-C in 5 or more subjects including Mathematics and English at GCSE in the most recent academic year, where 43% of students achieved 5 or more GCSE’s at grade A*/A. (School X, 2018). So there could be an argument that the School does not necessarily need to implement any strands from the DCF, as School X clearly has a system that works, and tampering with it could have a potential negative </w:t>
      </w:r>
      <w:r w:rsidRPr="001D0E34">
        <w:rPr>
          <w:rFonts w:ascii="Calibri" w:eastAsia="Calibri" w:hAnsi="Calibri"/>
          <w:sz w:val="24"/>
          <w:szCs w:val="24"/>
          <w:lang w:eastAsia="en-US"/>
        </w:rPr>
        <w:lastRenderedPageBreak/>
        <w:t>effect on the standard of education that the students receive. But education is not all about grades. The purpose of the DCF is to provide students with the necessary skills, knowledge and attitude to be able to progress in an increasingly digital world. So the incorporation of digital competency across the curriculum in School X needs to be improved. (Welsh Assembly Government, 2018).</w:t>
      </w:r>
    </w:p>
    <w:p w:rsidR="001D0E34" w:rsidRPr="001D0E34" w:rsidRDefault="001D0E34"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t>How is School X responding?</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School X has responded to the actions outlined in the development plans in regards to the implementation of the digital competence framework by assigning a member of staff to become the DCF coordinator for the School at the end of the 2015/16 academic year, in line with recommendations outlined by Welsh government. Much like literacy and numeracy coordinators, the DCF coordinator organises the implementation of the DCF within the School, meeting regularly with other members of staff to assess the development of digital skills, knowledge and attitudes within the School.</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The DCF coordinator started by establishing the current level of digital competencies being developed in the School at the time with the use of a staff questionnaire. This questionnaire identified that a wide range of digital skills and experiences were being taught across the School, but as mentioned earlier, Estyn (2018) reported upon inspection that none of these skills were of a high order. Also, the questionnaire identified that staff wanted training and the freedom to try out different ideas, that only a short amount of staff/departments were using collaboration/sharing tools, and that most staff did not allow their students to use mobile phones as they were unsure on how to utilise these devices within their lessons for the better and not to serve as a distraction.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Subsequently, staff training sessions have been provided to address two areas of the DCF. Firstly, School X acquired table top digital visualizers for every classroom for use as a highly effective tool for evaluating and improving work, such as marking pieces of written work or graphs in science. Evaluating and improving is one of the elements for the producing strand of the DCF, and modelling this using the visualizer then allows students to evaluate and improve their work with justification for their decisions. The use of visualizers within lessons has been taken by teachers as gospel, especially within the science </w:t>
      </w:r>
      <w:r w:rsidRPr="001D0E34">
        <w:rPr>
          <w:rFonts w:ascii="Calibri" w:eastAsia="Calibri" w:hAnsi="Calibri"/>
          <w:sz w:val="24"/>
          <w:szCs w:val="24"/>
          <w:lang w:eastAsia="en-US"/>
        </w:rPr>
        <w:lastRenderedPageBreak/>
        <w:t xml:space="preserve">department which emphasises the role of the teacher as a digital role model for their students.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Secondly to address all elements of the Interacting and Collaborating strand of the DCF, training was provided for staff in </w:t>
      </w:r>
      <w:proofErr w:type="spellStart"/>
      <w:r w:rsidRPr="001D0E34">
        <w:rPr>
          <w:rFonts w:ascii="Calibri" w:eastAsia="Calibri" w:hAnsi="Calibri"/>
          <w:sz w:val="24"/>
          <w:szCs w:val="24"/>
          <w:lang w:eastAsia="en-US"/>
        </w:rPr>
        <w:t>Padlet</w:t>
      </w:r>
      <w:proofErr w:type="spellEnd"/>
      <w:r w:rsidRPr="001D0E34">
        <w:rPr>
          <w:rFonts w:ascii="Calibri" w:eastAsia="Calibri" w:hAnsi="Calibri"/>
          <w:sz w:val="24"/>
          <w:szCs w:val="24"/>
          <w:lang w:eastAsia="en-US"/>
        </w:rPr>
        <w:t xml:space="preserve"> and Microsoft Teams; digital applications which can allow for communication, collaboration and the storing and sharing of work as a class or amongst teachers. However upon inspection, collaboration applications such as these are rarely used within the School, especially within the science department. As of yet, there is no indication of the inclusion of digital tools to aid with interacting and collaborating, within the schemes of work for the science department of School X. Therefore this needs to be rectified to address two of the three actions relating to the DCF in the Departmental Improvement Plan (Appendix 1).</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School X has also developed ICT “placemats” (Appendix 3) to be used by departments to review their current DCF provision against. These placemats are designed to identify opportunities for students to further develop their ICT skills within each department. However, as of the time of writing this report, these ICT placemats have only been developed for key stage three. School X have given no guidance for how to develop digital opportunities within the classroom at key stage 4, even though the DCF is part of Graham Donaldson’s new Curriculum and therefore applies through 3-16 years of age. (Welsh Assembly Government, 2015) So these will need to be developed as guidance for all teachers at Key Stage 4.</w:t>
      </w:r>
    </w:p>
    <w:p w:rsidR="001D0E34" w:rsidRPr="001D0E34" w:rsidRDefault="001D0E34"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t>Recommendations to improve the inclusion of the DCF</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Our first recommendation, not just for the science department but for all subjects at School X is to create ICT development placemats for years ten and eleven, so teachers can identify opportunities for students to further develop their DCF related skills, and to provide structure for teachers to adapt their schemes of work and teaching to include digital competencies at key stage four.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Secondly, licensing and copyright information should be added underneath images used in PowerPoints, to model good practice and make students aware of digital licensing, </w:t>
      </w:r>
      <w:r w:rsidRPr="001D0E34">
        <w:rPr>
          <w:rFonts w:ascii="Calibri" w:eastAsia="Calibri" w:hAnsi="Calibri"/>
          <w:sz w:val="24"/>
          <w:szCs w:val="24"/>
          <w:lang w:eastAsia="en-US"/>
        </w:rPr>
        <w:lastRenderedPageBreak/>
        <w:t xml:space="preserve">rights and ownership under the citizenship branch of the DCF. Doing this will better prepare students for life after secondary education, whether that be through referencing as part of further academic study or through using images in their future places of work. </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Thirdly, advanced searches on search engines should be encouraged within research based lessons to address the planning, sourcing and searching element of the producing strand of the DCF. A significant proportion of science lessons at key stage three either encourage the use of, or can be adapted by teachers into a technology led research lesson. This is great, but when it comes to using search engines for research, students tend to use the first thing that they find and do not evaluate how useful or appropriate the information is, which therefore indicates that a research activity does not generate enough value for the students. The use of advanced searches allows students to filter the results, so they can identify the most appropriate and accurate information for their usage, and so should be encouraged in School X.</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Fourthly, as mentioned in the DIP, the science department at School X needs to integrate the use of Microsoft Teams for example to develop the student’s ability to interact and collaborate digitally. The schemes of work need to be assessed and collaboration needs to be integrated wherever it is appropriate. For example, this could be done through the students collaborating in groups on an experimental write up, whereby teachers can also see the contributions made by each individual student to the piece of work. At key stage four and even into key stage 5, the idea of a flipped classroom could also be done through digital collaboration and sharing tools. A teacher could set work for the students to do in preparation for the lesson, whereby the learning is done outside of the classroom via Microsoft Teams, the students would then come into the lesson for work based around the topic they covered at home or a discussion of the key ideas.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 xml:space="preserve">Although it was not included within the DIP as science lessons by their nature develop student’s data and computational thinking; this area could be further developed by the use of algorithms. An easy way to incorporate this in science is to augment the process of writing a method for a scientific practical investigation into an algorithm, creating algorithmic flowcharts that students will have come across during ICT lessons. This is one </w:t>
      </w:r>
      <w:r w:rsidRPr="001D0E34">
        <w:rPr>
          <w:rFonts w:ascii="Calibri" w:eastAsia="Calibri" w:hAnsi="Calibri"/>
          <w:sz w:val="24"/>
          <w:szCs w:val="24"/>
          <w:lang w:eastAsia="en-US"/>
        </w:rPr>
        <w:lastRenderedPageBreak/>
        <w:t>way in which data and computational thinking can be further developed within science lessons.</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Homework tasks also need to be adapted at key stage three to develop student’s digital competencies. This was a proposed action from the DIP but no time has been made to develop this for the program of science homework at key stage three, so it is our recommendation that this needs to be completed.</w:t>
      </w:r>
    </w:p>
    <w:p w:rsidR="001D0E34" w:rsidRPr="001D0E34" w:rsidRDefault="001D0E34" w:rsidP="001D0E34">
      <w:pPr>
        <w:spacing w:after="160" w:line="360" w:lineRule="auto"/>
        <w:ind w:firstLine="720"/>
        <w:rPr>
          <w:rFonts w:ascii="Calibri" w:eastAsia="Calibri" w:hAnsi="Calibri"/>
          <w:sz w:val="24"/>
          <w:szCs w:val="24"/>
          <w:lang w:eastAsia="en-US"/>
        </w:rPr>
      </w:pPr>
      <w:r w:rsidRPr="001D0E34">
        <w:rPr>
          <w:rFonts w:ascii="Calibri" w:eastAsia="Calibri" w:hAnsi="Calibri"/>
          <w:sz w:val="24"/>
          <w:szCs w:val="24"/>
          <w:lang w:eastAsia="en-US"/>
        </w:rPr>
        <w:t>Finally and most importantly as identified in the above literature review, it is our recommendation that tasks need to be designed to address the redefinition aspect from the SAMR model, so that students can access higher order skills, in line with the recommendations given by Estyn (2, 2018) for School improvement. This involves technology being used to design new tasks for the students to engage with that would be impossible without technology. (</w:t>
      </w:r>
      <w:proofErr w:type="spellStart"/>
      <w:r w:rsidRPr="001D0E34">
        <w:rPr>
          <w:rFonts w:ascii="Calibri" w:eastAsia="Calibri" w:hAnsi="Calibri"/>
          <w:sz w:val="24"/>
          <w:szCs w:val="24"/>
          <w:lang w:eastAsia="en-US"/>
        </w:rPr>
        <w:t>Puentedura</w:t>
      </w:r>
      <w:proofErr w:type="spellEnd"/>
      <w:r w:rsidRPr="001D0E34">
        <w:rPr>
          <w:rFonts w:ascii="Calibri" w:eastAsia="Calibri" w:hAnsi="Calibri"/>
          <w:sz w:val="24"/>
          <w:szCs w:val="24"/>
          <w:lang w:eastAsia="en-US"/>
        </w:rPr>
        <w:t xml:space="preserve">, 2006) Within science this could relate to modelling experiments on a particle level by using and programming simulation software, with students controlling parameters that they wouldn’t be able to control in normal scientific practical lessons; or through the creation of an </w:t>
      </w:r>
      <w:proofErr w:type="spellStart"/>
      <w:r w:rsidRPr="001D0E34">
        <w:rPr>
          <w:rFonts w:ascii="Calibri" w:eastAsia="Calibri" w:hAnsi="Calibri"/>
          <w:sz w:val="24"/>
          <w:szCs w:val="24"/>
          <w:lang w:eastAsia="en-US"/>
        </w:rPr>
        <w:t>ebook</w:t>
      </w:r>
      <w:proofErr w:type="spellEnd"/>
      <w:r w:rsidRPr="001D0E34">
        <w:rPr>
          <w:rFonts w:ascii="Calibri" w:eastAsia="Calibri" w:hAnsi="Calibri"/>
          <w:sz w:val="24"/>
          <w:szCs w:val="24"/>
          <w:lang w:eastAsia="en-US"/>
        </w:rPr>
        <w:t>/audiobook as a summary of a topic, for example.</w:t>
      </w:r>
    </w:p>
    <w:p w:rsidR="001D0E34" w:rsidRDefault="001D0E34"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Default="00940097" w:rsidP="001D0E34">
      <w:pPr>
        <w:spacing w:after="160" w:line="360" w:lineRule="auto"/>
        <w:rPr>
          <w:rFonts w:ascii="Calibri" w:eastAsia="Calibri" w:hAnsi="Calibri"/>
          <w:sz w:val="24"/>
          <w:szCs w:val="24"/>
          <w:lang w:eastAsia="en-US"/>
        </w:rPr>
      </w:pPr>
    </w:p>
    <w:p w:rsidR="00940097" w:rsidRPr="001D0E34" w:rsidRDefault="00940097"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i/>
          <w:sz w:val="24"/>
          <w:szCs w:val="24"/>
          <w:u w:val="single"/>
          <w:lang w:eastAsia="en-US"/>
        </w:rPr>
      </w:pPr>
      <w:r w:rsidRPr="001D0E34">
        <w:rPr>
          <w:rFonts w:ascii="Calibri" w:eastAsia="Calibri" w:hAnsi="Calibri"/>
          <w:i/>
          <w:sz w:val="24"/>
          <w:szCs w:val="24"/>
          <w:u w:val="single"/>
          <w:lang w:eastAsia="en-US"/>
        </w:rPr>
        <w:lastRenderedPageBreak/>
        <w:t>References</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Berman, P. &amp; McLaughlin, M. (1976) “Implementation of educational innovation”, The Educational Forum, 40. </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Billingham, J. (2012) Strategic Planning in Education – 3 Keys to Success [www] </w:t>
      </w:r>
      <w:hyperlink r:id="rId9" w:history="1">
        <w:r w:rsidRPr="001D0E34">
          <w:rPr>
            <w:rFonts w:ascii="Calibri" w:eastAsia="Calibri" w:hAnsi="Calibri"/>
            <w:color w:val="0563C1"/>
            <w:sz w:val="24"/>
            <w:szCs w:val="24"/>
            <w:u w:val="single"/>
            <w:lang w:eastAsia="en-US"/>
          </w:rPr>
          <w:t>https://www.thoughtexchange.com/strategic-planning-in-education-3-keys-to-success/</w:t>
        </w:r>
      </w:hyperlink>
      <w:r w:rsidRPr="001D0E34">
        <w:rPr>
          <w:rFonts w:ascii="Calibri" w:eastAsia="Calibri" w:hAnsi="Calibri"/>
          <w:sz w:val="24"/>
          <w:szCs w:val="24"/>
          <w:lang w:eastAsia="en-US"/>
        </w:rPr>
        <w:t xml:space="preserve"> (date accessed: 15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Bryson, J. (1995) Strategic Planning for Public and Non-profit Organizations. San Francisco: </w:t>
      </w:r>
      <w:proofErr w:type="spellStart"/>
      <w:r w:rsidRPr="001D0E34">
        <w:rPr>
          <w:rFonts w:ascii="Calibri" w:eastAsia="Calibri" w:hAnsi="Calibri"/>
          <w:sz w:val="24"/>
          <w:szCs w:val="24"/>
          <w:lang w:eastAsia="en-US"/>
        </w:rPr>
        <w:t>JosseyBass</w:t>
      </w:r>
      <w:proofErr w:type="spellEnd"/>
      <w:r w:rsidRPr="001D0E34">
        <w:rPr>
          <w:rFonts w:ascii="Calibri" w:eastAsia="Calibri" w:hAnsi="Calibri"/>
          <w:sz w:val="24"/>
          <w:szCs w:val="24"/>
          <w:lang w:eastAsia="en-US"/>
        </w:rPr>
        <w:t>.</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bCs/>
          <w:sz w:val="24"/>
          <w:szCs w:val="24"/>
          <w:lang w:eastAsia="en-US"/>
        </w:rPr>
        <w:t>Davies, B. &amp; Ellison, L. (2003) Strategic Direction and Development of the School: Key Frameworks for School Improvement Planning. London: Routledge.</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Estyn (1, 2018), Leaders and teachers set a good example [www] (date accessed: 11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Estyn (2, 2018), Inspection report School X. Cardiff: Estyn.</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European Commission: Measuring Digital Skills across the EU: EU wide indicators of Digital Competence (2014).</w:t>
      </w:r>
    </w:p>
    <w:p w:rsidR="001D0E34" w:rsidRPr="001D0E34" w:rsidRDefault="001D0E34" w:rsidP="001D0E34">
      <w:pPr>
        <w:spacing w:after="160" w:line="360" w:lineRule="auto"/>
        <w:rPr>
          <w:rFonts w:ascii="Calibri" w:eastAsia="Calibri" w:hAnsi="Calibri"/>
          <w:sz w:val="24"/>
          <w:szCs w:val="24"/>
          <w:lang w:eastAsia="en-US"/>
        </w:rPr>
      </w:pPr>
      <w:proofErr w:type="spellStart"/>
      <w:r w:rsidRPr="001D0E34">
        <w:rPr>
          <w:rFonts w:ascii="Calibri" w:eastAsia="Calibri" w:hAnsi="Calibri"/>
          <w:sz w:val="24"/>
          <w:szCs w:val="24"/>
          <w:lang w:eastAsia="en-US"/>
        </w:rPr>
        <w:t>Fullan</w:t>
      </w:r>
      <w:proofErr w:type="spellEnd"/>
      <w:r w:rsidRPr="001D0E34">
        <w:rPr>
          <w:rFonts w:ascii="Calibri" w:eastAsia="Calibri" w:hAnsi="Calibri"/>
          <w:sz w:val="24"/>
          <w:szCs w:val="24"/>
          <w:lang w:eastAsia="en-US"/>
        </w:rPr>
        <w:t xml:space="preserve">, M. (ed.) (2016) </w:t>
      </w:r>
      <w:proofErr w:type="gramStart"/>
      <w:r w:rsidRPr="001D0E34">
        <w:rPr>
          <w:rFonts w:ascii="Calibri" w:eastAsia="Calibri" w:hAnsi="Calibri"/>
          <w:sz w:val="24"/>
          <w:szCs w:val="24"/>
          <w:lang w:eastAsia="en-US"/>
        </w:rPr>
        <w:t>The</w:t>
      </w:r>
      <w:proofErr w:type="gramEnd"/>
      <w:r w:rsidRPr="001D0E34">
        <w:rPr>
          <w:rFonts w:ascii="Calibri" w:eastAsia="Calibri" w:hAnsi="Calibri"/>
          <w:sz w:val="24"/>
          <w:szCs w:val="24"/>
          <w:lang w:eastAsia="en-US"/>
        </w:rPr>
        <w:t xml:space="preserve"> new meaning of educational change (Fifth edition). London: Teachers College Press.</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Graham, C. R. (2011) “Theoretical considerations for understanding technological pedagogical content knowledge (TPACK)”, Computers &amp; Education., 57, (3), 1953 – 1960.</w:t>
      </w:r>
    </w:p>
    <w:p w:rsidR="001D0E34" w:rsidRPr="001D0E34" w:rsidRDefault="001D0E34" w:rsidP="001D0E34">
      <w:pPr>
        <w:spacing w:after="160" w:line="360" w:lineRule="auto"/>
        <w:rPr>
          <w:rFonts w:ascii="Calibri" w:eastAsia="Calibri" w:hAnsi="Calibri"/>
          <w:sz w:val="24"/>
          <w:szCs w:val="24"/>
          <w:lang w:eastAsia="en-US"/>
        </w:rPr>
      </w:pPr>
      <w:proofErr w:type="spellStart"/>
      <w:r w:rsidRPr="001D0E34">
        <w:rPr>
          <w:rFonts w:ascii="Calibri" w:eastAsia="Calibri" w:hAnsi="Calibri"/>
          <w:sz w:val="24"/>
          <w:szCs w:val="24"/>
          <w:lang w:eastAsia="en-US"/>
        </w:rPr>
        <w:t>Gray</w:t>
      </w:r>
      <w:proofErr w:type="spellEnd"/>
      <w:r w:rsidRPr="001D0E34">
        <w:rPr>
          <w:rFonts w:ascii="Calibri" w:eastAsia="Calibri" w:hAnsi="Calibri"/>
          <w:sz w:val="24"/>
          <w:szCs w:val="24"/>
          <w:lang w:eastAsia="en-US"/>
        </w:rPr>
        <w:t xml:space="preserve">, J., Hopkins, D., Reynolds, D., Wilcox, B., Farrell, S., &amp; </w:t>
      </w:r>
      <w:proofErr w:type="spellStart"/>
      <w:r w:rsidRPr="001D0E34">
        <w:rPr>
          <w:rFonts w:ascii="Calibri" w:eastAsia="Calibri" w:hAnsi="Calibri"/>
          <w:sz w:val="24"/>
          <w:szCs w:val="24"/>
          <w:lang w:eastAsia="en-US"/>
        </w:rPr>
        <w:t>Jesson</w:t>
      </w:r>
      <w:proofErr w:type="spellEnd"/>
      <w:r w:rsidRPr="001D0E34">
        <w:rPr>
          <w:rFonts w:ascii="Calibri" w:eastAsia="Calibri" w:hAnsi="Calibri"/>
          <w:sz w:val="24"/>
          <w:szCs w:val="24"/>
          <w:lang w:eastAsia="en-US"/>
        </w:rPr>
        <w:t>, D. (1999) Improving Schools: Performance and Potential. Buckingham: Open University Press.</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Hamilton, E. R., Rosenberg, J. M., &amp; </w:t>
      </w:r>
      <w:proofErr w:type="spellStart"/>
      <w:r w:rsidRPr="001D0E34">
        <w:rPr>
          <w:rFonts w:ascii="Calibri" w:eastAsia="Calibri" w:hAnsi="Calibri"/>
          <w:sz w:val="24"/>
          <w:szCs w:val="24"/>
          <w:lang w:eastAsia="en-US"/>
        </w:rPr>
        <w:t>Akcaoglu</w:t>
      </w:r>
      <w:proofErr w:type="spellEnd"/>
      <w:r w:rsidRPr="001D0E34">
        <w:rPr>
          <w:rFonts w:ascii="Calibri" w:eastAsia="Calibri" w:hAnsi="Calibri"/>
          <w:sz w:val="24"/>
          <w:szCs w:val="24"/>
          <w:lang w:eastAsia="en-US"/>
        </w:rPr>
        <w:t xml:space="preserve">, M. (2016) “The Substitution Augmentation Modification Redefinition (SAMR) Model: a Critical Review and Suggestions for its Use”, Association for Educational Communications &amp; Technology., 60, (5), 433 – 441. </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Janssen, J., </w:t>
      </w:r>
      <w:proofErr w:type="spellStart"/>
      <w:r w:rsidRPr="001D0E34">
        <w:rPr>
          <w:rFonts w:ascii="Calibri" w:eastAsia="Calibri" w:hAnsi="Calibri"/>
          <w:sz w:val="24"/>
          <w:szCs w:val="24"/>
          <w:lang w:eastAsia="en-US"/>
        </w:rPr>
        <w:t>Stoyanova</w:t>
      </w:r>
      <w:proofErr w:type="spellEnd"/>
      <w:r w:rsidRPr="001D0E34">
        <w:rPr>
          <w:rFonts w:ascii="Calibri" w:eastAsia="Calibri" w:hAnsi="Calibri"/>
          <w:sz w:val="24"/>
          <w:szCs w:val="24"/>
          <w:lang w:eastAsia="en-US"/>
        </w:rPr>
        <w:t xml:space="preserve">, S., Ferrari, A., </w:t>
      </w:r>
      <w:proofErr w:type="spellStart"/>
      <w:r w:rsidRPr="001D0E34">
        <w:rPr>
          <w:rFonts w:ascii="Calibri" w:eastAsia="Calibri" w:hAnsi="Calibri"/>
          <w:sz w:val="24"/>
          <w:szCs w:val="24"/>
          <w:lang w:eastAsia="en-US"/>
        </w:rPr>
        <w:t>Punie</w:t>
      </w:r>
      <w:proofErr w:type="spellEnd"/>
      <w:r w:rsidRPr="001D0E34">
        <w:rPr>
          <w:rFonts w:ascii="Calibri" w:eastAsia="Calibri" w:hAnsi="Calibri"/>
          <w:sz w:val="24"/>
          <w:szCs w:val="24"/>
          <w:lang w:eastAsia="en-US"/>
        </w:rPr>
        <w:t xml:space="preserve">, Y., </w:t>
      </w:r>
      <w:proofErr w:type="spellStart"/>
      <w:r w:rsidRPr="001D0E34">
        <w:rPr>
          <w:rFonts w:ascii="Calibri" w:eastAsia="Calibri" w:hAnsi="Calibri"/>
          <w:sz w:val="24"/>
          <w:szCs w:val="24"/>
          <w:lang w:eastAsia="en-US"/>
        </w:rPr>
        <w:t>Pannekeet</w:t>
      </w:r>
      <w:proofErr w:type="spellEnd"/>
      <w:r w:rsidRPr="001D0E34">
        <w:rPr>
          <w:rFonts w:ascii="Calibri" w:eastAsia="Calibri" w:hAnsi="Calibri"/>
          <w:sz w:val="24"/>
          <w:szCs w:val="24"/>
          <w:lang w:eastAsia="en-US"/>
        </w:rPr>
        <w:t xml:space="preserve">, K., &amp; </w:t>
      </w:r>
      <w:proofErr w:type="spellStart"/>
      <w:r w:rsidRPr="001D0E34">
        <w:rPr>
          <w:rFonts w:ascii="Calibri" w:eastAsia="Calibri" w:hAnsi="Calibri"/>
          <w:sz w:val="24"/>
          <w:szCs w:val="24"/>
          <w:lang w:eastAsia="en-US"/>
        </w:rPr>
        <w:t>Sloep</w:t>
      </w:r>
      <w:proofErr w:type="spellEnd"/>
      <w:r w:rsidRPr="001D0E34">
        <w:rPr>
          <w:rFonts w:ascii="Calibri" w:eastAsia="Calibri" w:hAnsi="Calibri"/>
          <w:sz w:val="24"/>
          <w:szCs w:val="24"/>
          <w:lang w:eastAsia="en-US"/>
        </w:rPr>
        <w:t>, P. (2013) “Experts' views on digital competence: Commonalities and differences”, Computers &amp; Education, 68, 473 – 481.</w:t>
      </w:r>
    </w:p>
    <w:p w:rsidR="001D0E34" w:rsidRPr="001D0E34" w:rsidRDefault="001D0E34" w:rsidP="001D0E34">
      <w:pPr>
        <w:spacing w:after="160" w:line="360" w:lineRule="auto"/>
        <w:rPr>
          <w:rFonts w:ascii="Calibri" w:eastAsia="Calibri" w:hAnsi="Calibri"/>
          <w:sz w:val="24"/>
          <w:szCs w:val="24"/>
          <w:lang w:eastAsia="en-US"/>
        </w:rPr>
      </w:pPr>
      <w:proofErr w:type="spellStart"/>
      <w:r w:rsidRPr="001D0E34">
        <w:rPr>
          <w:rFonts w:ascii="Calibri" w:eastAsia="Calibri" w:hAnsi="Calibri"/>
          <w:sz w:val="24"/>
          <w:szCs w:val="24"/>
          <w:lang w:eastAsia="en-US"/>
        </w:rPr>
        <w:lastRenderedPageBreak/>
        <w:t>Klitsch</w:t>
      </w:r>
      <w:proofErr w:type="spellEnd"/>
      <w:r w:rsidRPr="001D0E34">
        <w:rPr>
          <w:rFonts w:ascii="Calibri" w:eastAsia="Calibri" w:hAnsi="Calibri"/>
          <w:sz w:val="24"/>
          <w:szCs w:val="24"/>
          <w:lang w:eastAsia="en-US"/>
        </w:rPr>
        <w:t xml:space="preserve">, J. (1998) “The adoption curve”, Best's </w:t>
      </w:r>
      <w:proofErr w:type="gramStart"/>
      <w:r w:rsidRPr="001D0E34">
        <w:rPr>
          <w:rFonts w:ascii="Calibri" w:eastAsia="Calibri" w:hAnsi="Calibri"/>
          <w:sz w:val="24"/>
          <w:szCs w:val="24"/>
          <w:lang w:eastAsia="en-US"/>
        </w:rPr>
        <w:t>Review.,</w:t>
      </w:r>
      <w:proofErr w:type="gramEnd"/>
      <w:r w:rsidRPr="001D0E34">
        <w:rPr>
          <w:rFonts w:ascii="Calibri" w:eastAsia="Calibri" w:hAnsi="Calibri"/>
          <w:sz w:val="24"/>
          <w:szCs w:val="24"/>
          <w:lang w:eastAsia="en-US"/>
        </w:rPr>
        <w:t xml:space="preserve"> 99, (2), 81 – 82.</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Mishra, P., &amp; Koehler, M. (2006) “Technological pedagogical content knowledge: a framework for teacher knowledge”, Teachers College Record, 108, (6), 1017 – 1054.</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Ong, C. (2016) 7 Reasons Why Schools Need Strategic Planning [www] </w:t>
      </w:r>
      <w:hyperlink r:id="rId10" w:history="1">
        <w:r w:rsidRPr="001D0E34">
          <w:rPr>
            <w:rFonts w:ascii="Calibri" w:eastAsia="Calibri" w:hAnsi="Calibri"/>
            <w:color w:val="0563C1"/>
            <w:sz w:val="24"/>
            <w:szCs w:val="24"/>
            <w:u w:val="single"/>
            <w:lang w:eastAsia="en-US"/>
          </w:rPr>
          <w:t>https://www.envisio.com/blog/7-reasons-Schools-need-strategic-planning</w:t>
        </w:r>
      </w:hyperlink>
      <w:r w:rsidRPr="001D0E34">
        <w:rPr>
          <w:rFonts w:ascii="Calibri" w:eastAsia="Calibri" w:hAnsi="Calibri"/>
          <w:sz w:val="24"/>
          <w:szCs w:val="24"/>
          <w:lang w:eastAsia="en-US"/>
        </w:rPr>
        <w:t xml:space="preserve"> (date accessed 15 January 2019)</w:t>
      </w:r>
    </w:p>
    <w:p w:rsidR="001D0E34" w:rsidRPr="001D0E34" w:rsidRDefault="001D0E34" w:rsidP="001D0E34">
      <w:pPr>
        <w:spacing w:after="160" w:line="360" w:lineRule="auto"/>
        <w:rPr>
          <w:rFonts w:ascii="Calibri" w:eastAsia="Calibri" w:hAnsi="Calibri"/>
          <w:sz w:val="24"/>
          <w:szCs w:val="24"/>
          <w:lang w:eastAsia="en-US"/>
        </w:rPr>
      </w:pPr>
      <w:proofErr w:type="spellStart"/>
      <w:r w:rsidRPr="001D0E34">
        <w:rPr>
          <w:rFonts w:ascii="Calibri" w:eastAsia="Calibri" w:hAnsi="Calibri"/>
          <w:sz w:val="24"/>
          <w:szCs w:val="24"/>
          <w:lang w:eastAsia="en-US"/>
        </w:rPr>
        <w:t>Pettersson</w:t>
      </w:r>
      <w:proofErr w:type="spellEnd"/>
      <w:r w:rsidRPr="001D0E34">
        <w:rPr>
          <w:rFonts w:ascii="Calibri" w:eastAsia="Calibri" w:hAnsi="Calibri"/>
          <w:sz w:val="24"/>
          <w:szCs w:val="24"/>
          <w:lang w:eastAsia="en-US"/>
        </w:rPr>
        <w:t>, F. (2018) “On the issues of digital competence in educational contexts – a review of literature”, Education and Information Technologies, 23, (3), 1005 – 1021. </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Plaza-de-La-</w:t>
      </w:r>
      <w:proofErr w:type="spellStart"/>
      <w:r w:rsidRPr="001D0E34">
        <w:rPr>
          <w:rFonts w:ascii="Calibri" w:eastAsia="Calibri" w:hAnsi="Calibri"/>
          <w:sz w:val="24"/>
          <w:szCs w:val="24"/>
          <w:lang w:eastAsia="en-US"/>
        </w:rPr>
        <w:t>Hoz</w:t>
      </w:r>
      <w:proofErr w:type="spellEnd"/>
      <w:r w:rsidRPr="001D0E34">
        <w:rPr>
          <w:rFonts w:ascii="Calibri" w:eastAsia="Calibri" w:hAnsi="Calibri"/>
          <w:sz w:val="24"/>
          <w:szCs w:val="24"/>
          <w:lang w:eastAsia="en-US"/>
        </w:rPr>
        <w:t xml:space="preserve">, J., </w:t>
      </w:r>
      <w:proofErr w:type="spellStart"/>
      <w:r w:rsidRPr="001D0E34">
        <w:rPr>
          <w:rFonts w:ascii="Calibri" w:eastAsia="Calibri" w:hAnsi="Calibri"/>
          <w:sz w:val="24"/>
          <w:szCs w:val="24"/>
          <w:lang w:eastAsia="en-US"/>
        </w:rPr>
        <w:t>García</w:t>
      </w:r>
      <w:proofErr w:type="spellEnd"/>
      <w:r w:rsidRPr="001D0E34">
        <w:rPr>
          <w:rFonts w:ascii="Calibri" w:eastAsia="Calibri" w:hAnsi="Calibri"/>
          <w:sz w:val="24"/>
          <w:szCs w:val="24"/>
          <w:lang w:eastAsia="en-US"/>
        </w:rPr>
        <w:t>-Gutiérrez, J. &amp; Moreno-</w:t>
      </w:r>
      <w:proofErr w:type="spellStart"/>
      <w:r w:rsidRPr="001D0E34">
        <w:rPr>
          <w:rFonts w:ascii="Calibri" w:eastAsia="Calibri" w:hAnsi="Calibri"/>
          <w:sz w:val="24"/>
          <w:szCs w:val="24"/>
          <w:lang w:eastAsia="en-US"/>
        </w:rPr>
        <w:t>Mediavilla</w:t>
      </w:r>
      <w:proofErr w:type="spellEnd"/>
      <w:r w:rsidRPr="001D0E34">
        <w:rPr>
          <w:rFonts w:ascii="Calibri" w:eastAsia="Calibri" w:hAnsi="Calibri"/>
          <w:sz w:val="24"/>
          <w:szCs w:val="24"/>
          <w:lang w:eastAsia="en-US"/>
        </w:rPr>
        <w:t>, D. (2015) “</w:t>
      </w:r>
      <w:r w:rsidRPr="001D0E34">
        <w:rPr>
          <w:rFonts w:ascii="Calibri" w:eastAsia="Calibri" w:hAnsi="Calibri"/>
          <w:bCs/>
          <w:sz w:val="24"/>
          <w:szCs w:val="24"/>
          <w:lang w:eastAsia="en-US"/>
        </w:rPr>
        <w:t>How do teachers develop Digital Competence in their students? Appropriations, problematics and perspectives”, 2015 International Symposium on Computers in Education, 38 - 43.</w:t>
      </w:r>
    </w:p>
    <w:p w:rsidR="001D0E34" w:rsidRPr="001D0E34" w:rsidRDefault="001D0E34" w:rsidP="001D0E34">
      <w:pPr>
        <w:spacing w:after="160" w:line="360" w:lineRule="auto"/>
        <w:rPr>
          <w:rFonts w:ascii="Calibri" w:eastAsia="Calibri" w:hAnsi="Calibri"/>
          <w:sz w:val="24"/>
          <w:szCs w:val="24"/>
          <w:lang w:eastAsia="en-US"/>
        </w:rPr>
      </w:pPr>
      <w:proofErr w:type="spellStart"/>
      <w:r w:rsidRPr="001D0E34">
        <w:rPr>
          <w:rFonts w:ascii="Calibri" w:eastAsia="Calibri" w:hAnsi="Calibri"/>
          <w:sz w:val="24"/>
          <w:szCs w:val="24"/>
          <w:lang w:eastAsia="en-US"/>
        </w:rPr>
        <w:t>Puentedura</w:t>
      </w:r>
      <w:proofErr w:type="spellEnd"/>
      <w:r w:rsidRPr="001D0E34">
        <w:rPr>
          <w:rFonts w:ascii="Calibri" w:eastAsia="Calibri" w:hAnsi="Calibri"/>
          <w:sz w:val="24"/>
          <w:szCs w:val="24"/>
          <w:lang w:eastAsia="en-US"/>
        </w:rPr>
        <w:t xml:space="preserve">, R. (2006) Transformation, technology, and education [www] </w:t>
      </w:r>
      <w:hyperlink r:id="rId11" w:history="1">
        <w:r w:rsidRPr="001D0E34">
          <w:rPr>
            <w:rFonts w:ascii="Calibri" w:eastAsia="Calibri" w:hAnsi="Calibri"/>
            <w:color w:val="0563C1"/>
            <w:sz w:val="24"/>
            <w:szCs w:val="24"/>
            <w:u w:val="single"/>
            <w:lang w:eastAsia="en-US"/>
          </w:rPr>
          <w:t>http://hippasus.com/resources/tte/</w:t>
        </w:r>
      </w:hyperlink>
      <w:r w:rsidRPr="001D0E34">
        <w:rPr>
          <w:rFonts w:ascii="Calibri" w:eastAsia="Calibri" w:hAnsi="Calibri"/>
          <w:sz w:val="24"/>
          <w:szCs w:val="24"/>
          <w:lang w:eastAsia="en-US"/>
        </w:rPr>
        <w:t xml:space="preserve"> (date accessed: 12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Rutherford, C. (2009) “Planning to change: Strategic planning and comprehensive School reform”, The Journal of the International Society for Educational Planning,</w:t>
      </w:r>
      <w:r w:rsidRPr="001D0E34">
        <w:rPr>
          <w:rFonts w:ascii="Calibri" w:eastAsia="Calibri" w:hAnsi="Calibri"/>
          <w:i/>
          <w:iCs/>
          <w:sz w:val="24"/>
          <w:szCs w:val="24"/>
          <w:lang w:eastAsia="en-US"/>
        </w:rPr>
        <w:t xml:space="preserve"> </w:t>
      </w:r>
      <w:r w:rsidRPr="001D0E34">
        <w:rPr>
          <w:rFonts w:ascii="Calibri" w:eastAsia="Calibri" w:hAnsi="Calibri"/>
          <w:iCs/>
          <w:sz w:val="24"/>
          <w:szCs w:val="24"/>
          <w:lang w:eastAsia="en-US"/>
        </w:rPr>
        <w:t>18</w:t>
      </w:r>
      <w:r w:rsidRPr="001D0E34">
        <w:rPr>
          <w:rFonts w:ascii="Calibri" w:eastAsia="Calibri" w:hAnsi="Calibri"/>
          <w:sz w:val="24"/>
          <w:szCs w:val="24"/>
          <w:lang w:eastAsia="en-US"/>
        </w:rPr>
        <w:t>, (1), 1 - 10.</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School X (2018) “ANOTHER SET OF STRONG GCSE RESULTS” [www] (date accessed: 12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Shulman, L. S. (1986) “</w:t>
      </w:r>
      <w:r w:rsidRPr="001D0E34">
        <w:rPr>
          <w:rFonts w:ascii="Calibri" w:eastAsia="Calibri" w:hAnsi="Calibri"/>
          <w:bCs/>
          <w:sz w:val="24"/>
          <w:szCs w:val="24"/>
          <w:lang w:eastAsia="en-US"/>
        </w:rPr>
        <w:t>Those who understand: knowledge growth in teaching”,</w:t>
      </w:r>
      <w:r w:rsidRPr="001D0E34">
        <w:rPr>
          <w:rFonts w:ascii="Calibri" w:eastAsia="Calibri" w:hAnsi="Calibri"/>
          <w:sz w:val="24"/>
          <w:szCs w:val="24"/>
          <w:lang w:eastAsia="en-US"/>
        </w:rPr>
        <w:t xml:space="preserve"> Educational Researcher, 15, (2), 4 – 14.</w:t>
      </w:r>
    </w:p>
    <w:p w:rsidR="001D0E34" w:rsidRPr="001D0E34" w:rsidRDefault="001D0E34" w:rsidP="001D0E34">
      <w:pPr>
        <w:spacing w:after="160" w:line="360" w:lineRule="auto"/>
        <w:rPr>
          <w:rFonts w:ascii="Calibri" w:eastAsia="Calibri" w:hAnsi="Calibri"/>
          <w:bCs/>
          <w:sz w:val="24"/>
          <w:szCs w:val="24"/>
          <w:lang w:eastAsia="en-US"/>
        </w:rPr>
      </w:pPr>
      <w:r w:rsidRPr="001D0E34">
        <w:rPr>
          <w:rFonts w:ascii="Calibri" w:eastAsia="Calibri" w:hAnsi="Calibri"/>
          <w:sz w:val="24"/>
          <w:szCs w:val="24"/>
          <w:lang w:eastAsia="en-US"/>
        </w:rPr>
        <w:t xml:space="preserve">Welsh Assembly Government (2016), </w:t>
      </w:r>
      <w:r w:rsidRPr="001D0E34">
        <w:rPr>
          <w:rFonts w:ascii="Calibri" w:eastAsia="Calibri" w:hAnsi="Calibri"/>
          <w:bCs/>
          <w:sz w:val="24"/>
          <w:szCs w:val="24"/>
          <w:lang w:eastAsia="en-US"/>
        </w:rPr>
        <w:t xml:space="preserve">Digital Competence Framework [www] </w:t>
      </w:r>
      <w:hyperlink r:id="rId12" w:history="1">
        <w:r w:rsidRPr="001D0E34">
          <w:rPr>
            <w:rFonts w:ascii="Calibri" w:eastAsia="Calibri" w:hAnsi="Calibri"/>
            <w:bCs/>
            <w:color w:val="0563C1"/>
            <w:sz w:val="24"/>
            <w:szCs w:val="24"/>
            <w:u w:val="single"/>
            <w:lang w:eastAsia="en-US"/>
          </w:rPr>
          <w:t>http://learning.gov.Wales/resources/browse-all/digital-competence-framework/?lang=en</w:t>
        </w:r>
      </w:hyperlink>
      <w:r w:rsidRPr="001D0E34">
        <w:rPr>
          <w:rFonts w:ascii="Calibri" w:eastAsia="Calibri" w:hAnsi="Calibri"/>
          <w:bCs/>
          <w:sz w:val="24"/>
          <w:szCs w:val="24"/>
          <w:lang w:eastAsia="en-US"/>
        </w:rPr>
        <w:t xml:space="preserve"> (date accessed: 11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Welsh Assembly Government (2018), </w:t>
      </w:r>
      <w:r w:rsidRPr="001D0E34">
        <w:rPr>
          <w:rFonts w:ascii="Calibri" w:eastAsia="Calibri" w:hAnsi="Calibri"/>
          <w:bCs/>
          <w:sz w:val="24"/>
          <w:szCs w:val="24"/>
          <w:lang w:eastAsia="en-US"/>
        </w:rPr>
        <w:t>Digital Competence Framework guidance [www]</w:t>
      </w:r>
      <w:r w:rsidRPr="001D0E34">
        <w:rPr>
          <w:rFonts w:ascii="Calibri" w:eastAsia="Calibri" w:hAnsi="Calibri"/>
          <w:sz w:val="24"/>
          <w:szCs w:val="24"/>
          <w:lang w:eastAsia="en-US"/>
        </w:rPr>
        <w:t xml:space="preserve"> </w:t>
      </w:r>
      <w:hyperlink r:id="rId13" w:history="1">
        <w:r w:rsidRPr="001D0E34">
          <w:rPr>
            <w:rFonts w:ascii="Calibri" w:eastAsia="Calibri" w:hAnsi="Calibri"/>
            <w:bCs/>
            <w:color w:val="0563C1"/>
            <w:sz w:val="24"/>
            <w:szCs w:val="24"/>
            <w:u w:val="single"/>
            <w:lang w:eastAsia="en-US"/>
          </w:rPr>
          <w:t>http://learning.gov.Wales/docs/learningWales/publications/180620-dcf-guidance-2018-en.pdf</w:t>
        </w:r>
      </w:hyperlink>
      <w:r w:rsidRPr="001D0E34">
        <w:rPr>
          <w:rFonts w:ascii="Calibri" w:eastAsia="Calibri" w:hAnsi="Calibri"/>
          <w:bCs/>
          <w:sz w:val="24"/>
          <w:szCs w:val="24"/>
          <w:lang w:eastAsia="en-US"/>
        </w:rPr>
        <w:t xml:space="preserve"> (date accessed: 11 January 2019)</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 xml:space="preserve">Welsh Assembly Government (2015), Successful Futures: Independent Review of Curriculum and Assessment Arrangements in Wales [www] </w:t>
      </w:r>
      <w:hyperlink r:id="rId14" w:history="1">
        <w:r w:rsidRPr="001D0E34">
          <w:rPr>
            <w:rFonts w:ascii="Calibri" w:eastAsia="Calibri" w:hAnsi="Calibri"/>
            <w:color w:val="0563C1"/>
            <w:sz w:val="24"/>
            <w:szCs w:val="24"/>
            <w:u w:val="single"/>
            <w:lang w:eastAsia="en-US"/>
          </w:rPr>
          <w:t>http://gov.Wales/docs/dcells/publications/150317-successful-futures-en.pdf</w:t>
        </w:r>
      </w:hyperlink>
      <w:r w:rsidRPr="001D0E34">
        <w:rPr>
          <w:rFonts w:ascii="Calibri" w:eastAsia="Calibri" w:hAnsi="Calibri"/>
          <w:sz w:val="24"/>
          <w:szCs w:val="24"/>
          <w:lang w:eastAsia="en-US"/>
        </w:rPr>
        <w:t xml:space="preserve"> (date accessed: 11 January 2019)</w:t>
      </w:r>
    </w:p>
    <w:p w:rsidR="001D0E34" w:rsidRPr="001D0E34" w:rsidRDefault="001D0E34" w:rsidP="001D0E34">
      <w:pPr>
        <w:spacing w:after="160" w:line="360" w:lineRule="auto"/>
        <w:rPr>
          <w:rFonts w:ascii="Calibri" w:eastAsia="Calibri" w:hAnsi="Calibri"/>
          <w:sz w:val="24"/>
          <w:szCs w:val="24"/>
          <w:lang w:eastAsia="en-US"/>
        </w:rPr>
      </w:pP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i/>
          <w:sz w:val="24"/>
          <w:szCs w:val="24"/>
          <w:u w:val="single"/>
          <w:lang w:eastAsia="en-US"/>
        </w:rPr>
        <w:t>Appendices</w:t>
      </w:r>
      <w:r w:rsidRPr="001D0E34">
        <w:rPr>
          <w:rFonts w:ascii="Calibri" w:eastAsia="Calibri" w:hAnsi="Calibri"/>
          <w:sz w:val="24"/>
          <w:szCs w:val="24"/>
          <w:lang w:eastAsia="en-US"/>
        </w:rPr>
        <w:t xml:space="preserve"> </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Appendix 1 – School X Science Departmental Improvement Plan</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Appendix 2 – School Improvement Plan for School X</w:t>
      </w:r>
    </w:p>
    <w:p w:rsidR="001D0E34" w:rsidRPr="001D0E34" w:rsidRDefault="001D0E34" w:rsidP="001D0E34">
      <w:pPr>
        <w:spacing w:after="160" w:line="360" w:lineRule="auto"/>
        <w:rPr>
          <w:rFonts w:ascii="Calibri" w:eastAsia="Calibri" w:hAnsi="Calibri"/>
          <w:sz w:val="24"/>
          <w:szCs w:val="24"/>
          <w:lang w:eastAsia="en-US"/>
        </w:rPr>
      </w:pPr>
      <w:r w:rsidRPr="001D0E34">
        <w:rPr>
          <w:rFonts w:ascii="Calibri" w:eastAsia="Calibri" w:hAnsi="Calibri"/>
          <w:sz w:val="24"/>
          <w:szCs w:val="24"/>
          <w:lang w:eastAsia="en-US"/>
        </w:rPr>
        <w:t>Appendix 3 – Example ICT development placemat (Year 7)</w:t>
      </w:r>
    </w:p>
    <w:p w:rsidR="0028204E" w:rsidRPr="00A406E5" w:rsidRDefault="0028204E" w:rsidP="00BA1176">
      <w:pPr>
        <w:rPr>
          <w:rFonts w:ascii="Arial" w:hAnsi="Arial" w:cs="Arial"/>
          <w:b/>
        </w:rPr>
      </w:pPr>
    </w:p>
    <w:sectPr w:rsidR="0028204E" w:rsidRPr="00A406E5" w:rsidSect="0043526B">
      <w:headerReference w:type="default" r:id="rId15"/>
      <w:footerReference w:type="default" r:id="rId16"/>
      <w:pgSz w:w="11894" w:h="16834"/>
      <w:pgMar w:top="1440" w:right="1440" w:bottom="1440" w:left="1440" w:header="706" w:footer="454" w:gutter="0"/>
      <w:paperSrc w:first="1" w:other="1"/>
      <w:pgNumType w:start="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539" w:rsidRDefault="007C3539">
      <w:r>
        <w:separator/>
      </w:r>
    </w:p>
  </w:endnote>
  <w:endnote w:type="continuationSeparator" w:id="0">
    <w:p w:rsidR="007C3539" w:rsidRDefault="007C3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2134845"/>
      <w:docPartObj>
        <w:docPartGallery w:val="Page Numbers (Bottom of Page)"/>
        <w:docPartUnique/>
      </w:docPartObj>
    </w:sdtPr>
    <w:sdtEndPr>
      <w:rPr>
        <w:noProof/>
      </w:rPr>
    </w:sdtEndPr>
    <w:sdtContent>
      <w:p w:rsidR="0043526B" w:rsidRDefault="0043526B">
        <w:pPr>
          <w:pStyle w:val="Footer"/>
          <w:jc w:val="right"/>
        </w:pPr>
        <w:r>
          <w:fldChar w:fldCharType="begin"/>
        </w:r>
        <w:r>
          <w:instrText xml:space="preserve"> PAGE   \* MERGEFORMAT </w:instrText>
        </w:r>
        <w:r>
          <w:fldChar w:fldCharType="separate"/>
        </w:r>
        <w:r w:rsidR="001A14F5">
          <w:rPr>
            <w:noProof/>
          </w:rPr>
          <w:t>16</w:t>
        </w:r>
        <w:r>
          <w:rPr>
            <w:noProof/>
          </w:rPr>
          <w:fldChar w:fldCharType="end"/>
        </w:r>
      </w:p>
    </w:sdtContent>
  </w:sdt>
  <w:p w:rsidR="0043526B" w:rsidRDefault="004352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539" w:rsidRDefault="007C3539">
      <w:r>
        <w:separator/>
      </w:r>
    </w:p>
  </w:footnote>
  <w:footnote w:type="continuationSeparator" w:id="0">
    <w:p w:rsidR="007C3539" w:rsidRDefault="007C3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43F" w:rsidRPr="004B243F" w:rsidRDefault="004B243F">
    <w:pPr>
      <w:pStyle w:val="Header"/>
      <w:rPr>
        <w:rFonts w:asciiTheme="majorHAnsi" w:hAnsiTheme="majorHAnsi"/>
      </w:rPr>
    </w:pPr>
    <w:r>
      <w:rPr>
        <w:rFonts w:asciiTheme="majorHAnsi" w:hAnsiTheme="majorHAnsi"/>
      </w:rPr>
      <w:t>1806599</w:t>
    </w:r>
    <w:r>
      <w:rPr>
        <w:rFonts w:asciiTheme="majorHAnsi" w:hAnsiTheme="majorHAnsi"/>
      </w:rPr>
      <w:tab/>
    </w:r>
    <w:r>
      <w:rPr>
        <w:rFonts w:asciiTheme="majorHAnsi" w:hAnsiTheme="majorHAnsi"/>
      </w:rPr>
      <w:tab/>
      <w:t xml:space="preserve">    ECSP7001</w:t>
    </w:r>
  </w:p>
  <w:p w:rsidR="004B243F" w:rsidRDefault="004B24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4108EC"/>
    <w:multiLevelType w:val="hybridMultilevel"/>
    <w:tmpl w:val="F1C6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741AF5"/>
    <w:multiLevelType w:val="hybridMultilevel"/>
    <w:tmpl w:val="BB623B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15C1E"/>
    <w:multiLevelType w:val="hybridMultilevel"/>
    <w:tmpl w:val="5BBA75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F34861"/>
    <w:multiLevelType w:val="hybridMultilevel"/>
    <w:tmpl w:val="9944535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200CF0"/>
    <w:multiLevelType w:val="multilevel"/>
    <w:tmpl w:val="15969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4A3FFF"/>
    <w:multiLevelType w:val="multilevel"/>
    <w:tmpl w:val="C0DC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FF0738"/>
    <w:multiLevelType w:val="hybridMultilevel"/>
    <w:tmpl w:val="4950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D317EE"/>
    <w:multiLevelType w:val="hybridMultilevel"/>
    <w:tmpl w:val="6FF0B7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6"/>
  </w:num>
  <w:num w:numId="4">
    <w:abstractNumId w:val="17"/>
  </w:num>
  <w:num w:numId="5">
    <w:abstractNumId w:val="12"/>
  </w:num>
  <w:num w:numId="6">
    <w:abstractNumId w:val="25"/>
  </w:num>
  <w:num w:numId="7">
    <w:abstractNumId w:val="4"/>
  </w:num>
  <w:num w:numId="8">
    <w:abstractNumId w:val="23"/>
  </w:num>
  <w:num w:numId="9">
    <w:abstractNumId w:val="15"/>
  </w:num>
  <w:num w:numId="10">
    <w:abstractNumId w:val="8"/>
  </w:num>
  <w:num w:numId="11">
    <w:abstractNumId w:val="9"/>
  </w:num>
  <w:num w:numId="12">
    <w:abstractNumId w:val="13"/>
  </w:num>
  <w:num w:numId="13">
    <w:abstractNumId w:val="22"/>
  </w:num>
  <w:num w:numId="14">
    <w:abstractNumId w:val="6"/>
  </w:num>
  <w:num w:numId="15">
    <w:abstractNumId w:val="0"/>
  </w:num>
  <w:num w:numId="16">
    <w:abstractNumId w:val="10"/>
  </w:num>
  <w:num w:numId="17">
    <w:abstractNumId w:val="20"/>
  </w:num>
  <w:num w:numId="18">
    <w:abstractNumId w:val="19"/>
  </w:num>
  <w:num w:numId="19">
    <w:abstractNumId w:val="1"/>
  </w:num>
  <w:num w:numId="20">
    <w:abstractNumId w:val="18"/>
  </w:num>
  <w:num w:numId="21">
    <w:abstractNumId w:val="11"/>
  </w:num>
  <w:num w:numId="22">
    <w:abstractNumId w:val="7"/>
  </w:num>
  <w:num w:numId="23">
    <w:abstractNumId w:val="21"/>
  </w:num>
  <w:num w:numId="24">
    <w:abstractNumId w:val="24"/>
  </w:num>
  <w:num w:numId="25">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16"/>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27">
    <w:abstractNumId w:val="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938"/>
    <w:rsid w:val="00011666"/>
    <w:rsid w:val="00011C22"/>
    <w:rsid w:val="00026B02"/>
    <w:rsid w:val="00050AF9"/>
    <w:rsid w:val="000822E5"/>
    <w:rsid w:val="000971FC"/>
    <w:rsid w:val="000A2A3A"/>
    <w:rsid w:val="000A492A"/>
    <w:rsid w:val="000B6520"/>
    <w:rsid w:val="000C328F"/>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4F5"/>
    <w:rsid w:val="001A1E39"/>
    <w:rsid w:val="001A24F3"/>
    <w:rsid w:val="001B405C"/>
    <w:rsid w:val="001B5F45"/>
    <w:rsid w:val="001D0E34"/>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0F9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6CB"/>
    <w:rsid w:val="00417AE0"/>
    <w:rsid w:val="00423934"/>
    <w:rsid w:val="00426244"/>
    <w:rsid w:val="0043526B"/>
    <w:rsid w:val="00437AA0"/>
    <w:rsid w:val="00443B7F"/>
    <w:rsid w:val="00470A38"/>
    <w:rsid w:val="004874DE"/>
    <w:rsid w:val="004B243F"/>
    <w:rsid w:val="004B5334"/>
    <w:rsid w:val="004B6C14"/>
    <w:rsid w:val="004C4F19"/>
    <w:rsid w:val="004D5E9B"/>
    <w:rsid w:val="004D63D9"/>
    <w:rsid w:val="004E19B4"/>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675C"/>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A31E4"/>
    <w:rsid w:val="007C3539"/>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1CD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0097"/>
    <w:rsid w:val="009433C5"/>
    <w:rsid w:val="00965881"/>
    <w:rsid w:val="009871FF"/>
    <w:rsid w:val="00990799"/>
    <w:rsid w:val="00995D51"/>
    <w:rsid w:val="009A0631"/>
    <w:rsid w:val="009B10ED"/>
    <w:rsid w:val="009D3EA4"/>
    <w:rsid w:val="009D649C"/>
    <w:rsid w:val="009E4BC1"/>
    <w:rsid w:val="009F5CB2"/>
    <w:rsid w:val="00A03BB8"/>
    <w:rsid w:val="00A11A29"/>
    <w:rsid w:val="00A3505D"/>
    <w:rsid w:val="00A4036F"/>
    <w:rsid w:val="00A406E5"/>
    <w:rsid w:val="00A4641C"/>
    <w:rsid w:val="00A55876"/>
    <w:rsid w:val="00A67FB1"/>
    <w:rsid w:val="00A7233E"/>
    <w:rsid w:val="00A85BFE"/>
    <w:rsid w:val="00AA789E"/>
    <w:rsid w:val="00AB6FE7"/>
    <w:rsid w:val="00AB7AD7"/>
    <w:rsid w:val="00AC5F32"/>
    <w:rsid w:val="00AD2430"/>
    <w:rsid w:val="00AE41A6"/>
    <w:rsid w:val="00AF0E34"/>
    <w:rsid w:val="00AF271D"/>
    <w:rsid w:val="00AF56C2"/>
    <w:rsid w:val="00B004E6"/>
    <w:rsid w:val="00B0744D"/>
    <w:rsid w:val="00B10CF0"/>
    <w:rsid w:val="00B50EA8"/>
    <w:rsid w:val="00B538F2"/>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7FF5"/>
    <w:rsid w:val="00C80F0F"/>
    <w:rsid w:val="00C8667A"/>
    <w:rsid w:val="00C93BCB"/>
    <w:rsid w:val="00CC241A"/>
    <w:rsid w:val="00CE4035"/>
    <w:rsid w:val="00CE65AB"/>
    <w:rsid w:val="00CF4266"/>
    <w:rsid w:val="00D0759D"/>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1720"/>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C8B"/>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03938"/>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54013">
      <w:bodyDiv w:val="1"/>
      <w:marLeft w:val="0"/>
      <w:marRight w:val="0"/>
      <w:marTop w:val="0"/>
      <w:marBottom w:val="0"/>
      <w:divBdr>
        <w:top w:val="none" w:sz="0" w:space="0" w:color="auto"/>
        <w:left w:val="none" w:sz="0" w:space="0" w:color="auto"/>
        <w:bottom w:val="none" w:sz="0" w:space="0" w:color="auto"/>
        <w:right w:val="none" w:sz="0" w:space="0" w:color="auto"/>
      </w:divBdr>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9472">
      <w:bodyDiv w:val="1"/>
      <w:marLeft w:val="0"/>
      <w:marRight w:val="0"/>
      <w:marTop w:val="0"/>
      <w:marBottom w:val="0"/>
      <w:divBdr>
        <w:top w:val="none" w:sz="0" w:space="0" w:color="auto"/>
        <w:left w:val="none" w:sz="0" w:space="0" w:color="auto"/>
        <w:bottom w:val="none" w:sz="0" w:space="0" w:color="auto"/>
        <w:right w:val="none" w:sz="0" w:space="0" w:color="auto"/>
      </w:divBdr>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419659">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1558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671267">
      <w:bodyDiv w:val="1"/>
      <w:marLeft w:val="0"/>
      <w:marRight w:val="0"/>
      <w:marTop w:val="0"/>
      <w:marBottom w:val="0"/>
      <w:divBdr>
        <w:top w:val="none" w:sz="0" w:space="0" w:color="auto"/>
        <w:left w:val="none" w:sz="0" w:space="0" w:color="auto"/>
        <w:bottom w:val="none" w:sz="0" w:space="0" w:color="auto"/>
        <w:right w:val="none" w:sz="0" w:space="0" w:color="auto"/>
      </w:divBdr>
    </w:div>
    <w:div w:id="1903983056">
      <w:bodyDiv w:val="1"/>
      <w:marLeft w:val="0"/>
      <w:marRight w:val="0"/>
      <w:marTop w:val="0"/>
      <w:marBottom w:val="0"/>
      <w:divBdr>
        <w:top w:val="none" w:sz="0" w:space="0" w:color="auto"/>
        <w:left w:val="none" w:sz="0" w:space="0" w:color="auto"/>
        <w:bottom w:val="none" w:sz="0" w:space="0" w:color="auto"/>
        <w:right w:val="none" w:sz="0" w:space="0" w:color="auto"/>
      </w:divBdr>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learning.gov.wales/docs/learningwales/publications/180620-dcf-guidance-2018-en.pdf"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resources/browse-all/digital-competence-framework/?lan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ippasus.com/resources/tt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nvisio.com/blog/7-reasons-schools-need-strategic-plann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oughtexchange.com/strategic-planning-in-education-3-keys-to-success/" TargetMode="External"/><Relationship Id="rId14" Type="http://schemas.openxmlformats.org/officeDocument/2006/relationships/hyperlink" Target="http://gov.wales/docs/dcells/publications/150317-successful-futures-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851"/>
    <w:rsid w:val="001A0851"/>
    <w:rsid w:val="003F1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E1E51D93704C0EA8886B8AC74B0CFF">
    <w:name w:val="8DE1E51D93704C0EA8886B8AC74B0CFF"/>
    <w:rsid w:val="001A08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TotalTime>
  <Pages>17</Pages>
  <Words>5290</Words>
  <Characters>30159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35379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Tom Sage</cp:lastModifiedBy>
  <cp:revision>14</cp:revision>
  <cp:lastPrinted>2018-11-05T16:52:00Z</cp:lastPrinted>
  <dcterms:created xsi:type="dcterms:W3CDTF">2019-01-27T14:08:00Z</dcterms:created>
  <dcterms:modified xsi:type="dcterms:W3CDTF">2019-01-27T14:26:00Z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