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14:paraId="40407653" wp14:textId="77777777">
      <w:pPr>
        <w:spacing w:before="0" w:after="80"/>
        <w:jc w:val="center"/>
      </w:pPr>
      <w:r>
        <w:rPr>
          <w:rFonts w:ascii="Arial" w:hAnsi="Arial"/>
          <w:b/>
          <w:color w:val="1F4E79"/>
          <w:sz w:val="48"/>
        </w:rPr>
        <w:t>Sustainable Transport Hub Redevelopment</w:t>
      </w:r>
    </w:p>
    <w:p xmlns:wp14="http://schemas.microsoft.com/office/word/2010/wordml" w14:paraId="4FED3254" wp14:textId="77777777">
      <w:pPr>
        <w:spacing w:after="360"/>
        <w:jc w:val="center"/>
      </w:pPr>
      <w:r>
        <w:rPr>
          <w:rFonts w:ascii="Arial" w:hAnsi="Arial"/>
          <w:i/>
          <w:color w:val="595959"/>
          <w:sz w:val="28"/>
        </w:rPr>
        <w:t>Project Management Plan &amp; Coursework Submission</w:t>
      </w:r>
    </w:p>
    <w:tbl>
      <w:tblPr>
        <w:tblW w:w="0" w:type="auto"/>
        <w:jc w:val="center"/>
        <w:tblLook w:val="04A0" w:firstRow="1" w:lastRow="0" w:firstColumn="1" w:lastColumn="0" w:noHBand="0" w:noVBand="1"/>
      </w:tblPr>
      <w:tblGrid>
        <w:gridCol w:w="4680"/>
        <w:gridCol w:w="4680"/>
      </w:tblGrid>
      <w:tr xmlns:wp14="http://schemas.microsoft.com/office/word/2010/wordml" w:rsidTr="2374F0F8" w14:paraId="78B838FB" wp14:textId="77777777">
        <w:tc>
          <w:tcPr>
            <w:tcW w:w="3168" w:type="dxa"/>
            <w:shd w:val="clear" w:color="auto" w:fill="F2F4F7"/>
            <w:tcMar>
              <w:top w:w="80" w:type="dxa"/>
              <w:left w:w="120" w:type="dxa"/>
              <w:bottom w:w="80" w:type="dxa"/>
              <w:left w:w="120" w:type="dxa"/>
              <w:right w:w="120" w:type="dxa"/>
            </w:tcMar>
          </w:tcPr>
          <w:p w14:paraId="382E3B85" wp14:textId="77777777">
            <w:pPr>
              <w:spacing w:before="40" w:after="40"/>
            </w:pPr>
            <w:r>
              <w:rPr>
                <w:b/>
                <w:sz w:val="20"/>
              </w:rPr>
              <w:t>Student Name:</w:t>
            </w:r>
          </w:p>
        </w:tc>
        <w:tc>
          <w:tcPr>
            <w:tcW w:w="6192" w:type="dxa"/>
            <w:shd w:val="clear" w:color="auto" w:fill="FAFAFA"/>
            <w:tcMar>
              <w:top w:w="80" w:type="dxa"/>
              <w:left w:w="120" w:type="dxa"/>
              <w:bottom w:w="80" w:type="dxa"/>
              <w:left w:w="120" w:type="dxa"/>
              <w:right w:w="120" w:type="dxa"/>
            </w:tcMar>
          </w:tcPr>
          <w:p w14:paraId="5BF25B9A" wp14:textId="77777777">
            <w:pPr>
              <w:spacing w:before="40" w:after="40"/>
            </w:pPr>
            <w:r>
              <w:rPr>
                <w:sz w:val="20"/>
              </w:rPr>
              <w:t>Jair Alexander Possu Alegria</w:t>
            </w:r>
          </w:p>
        </w:tc>
      </w:tr>
      <w:tr xmlns:wp14="http://schemas.microsoft.com/office/word/2010/wordml" w:rsidTr="2374F0F8" w14:paraId="7F614253" wp14:textId="77777777">
        <w:tc>
          <w:tcPr>
            <w:tcW w:w="3168" w:type="dxa"/>
            <w:shd w:val="clear" w:color="auto" w:fill="F2F4F7"/>
            <w:tcMar>
              <w:top w:w="80" w:type="dxa"/>
              <w:left w:w="120" w:type="dxa"/>
              <w:bottom w:w="80" w:type="dxa"/>
              <w:left w:w="120" w:type="dxa"/>
              <w:right w:w="120" w:type="dxa"/>
            </w:tcMar>
          </w:tcPr>
          <w:p w14:paraId="0E559CC5" wp14:textId="77777777">
            <w:pPr>
              <w:spacing w:before="40" w:after="40"/>
            </w:pPr>
            <w:r>
              <w:rPr>
                <w:b/>
                <w:sz w:val="20"/>
              </w:rPr>
              <w:t>Student ID:</w:t>
            </w:r>
          </w:p>
        </w:tc>
        <w:tc>
          <w:tcPr>
            <w:tcW w:w="6192" w:type="dxa"/>
            <w:shd w:val="clear" w:color="auto" w:fill="FAFAFA"/>
            <w:tcMar>
              <w:top w:w="80" w:type="dxa"/>
              <w:left w:w="120" w:type="dxa"/>
              <w:bottom w:w="80" w:type="dxa"/>
              <w:left w:w="120" w:type="dxa"/>
              <w:right w:w="120" w:type="dxa"/>
            </w:tcMar>
          </w:tcPr>
          <w:p w14:paraId="7F2354D7" wp14:textId="77777777">
            <w:pPr>
              <w:spacing w:before="40" w:after="40"/>
            </w:pPr>
            <w:r>
              <w:rPr>
                <w:sz w:val="20"/>
              </w:rPr>
              <w:t>2412977</w:t>
            </w:r>
          </w:p>
        </w:tc>
      </w:tr>
      <w:tr xmlns:wp14="http://schemas.microsoft.com/office/word/2010/wordml" w:rsidTr="2374F0F8" w14:paraId="0B8FEF29" wp14:textId="77777777">
        <w:tc>
          <w:tcPr>
            <w:tcW w:w="3168" w:type="dxa"/>
            <w:shd w:val="clear" w:color="auto" w:fill="F2F4F7"/>
            <w:tcMar>
              <w:top w:w="80" w:type="dxa"/>
              <w:left w:w="120" w:type="dxa"/>
              <w:bottom w:w="80" w:type="dxa"/>
              <w:left w:w="120" w:type="dxa"/>
              <w:right w:w="120" w:type="dxa"/>
            </w:tcMar>
          </w:tcPr>
          <w:p w14:paraId="58E6B924" wp14:textId="77777777">
            <w:pPr>
              <w:spacing w:before="40" w:after="40"/>
            </w:pPr>
            <w:r>
              <w:rPr>
                <w:b/>
                <w:sz w:val="20"/>
              </w:rPr>
              <w:t>Module Code &amp; Title:</w:t>
            </w:r>
          </w:p>
        </w:tc>
        <w:tc>
          <w:tcPr>
            <w:tcW w:w="6192" w:type="dxa"/>
            <w:shd w:val="clear" w:color="auto" w:fill="FAFAFA"/>
            <w:tcMar>
              <w:top w:w="80" w:type="dxa"/>
              <w:left w:w="120" w:type="dxa"/>
              <w:bottom w:w="80" w:type="dxa"/>
              <w:left w:w="120" w:type="dxa"/>
              <w:right w:w="120" w:type="dxa"/>
            </w:tcMar>
          </w:tcPr>
          <w:p w14:paraId="1D65FCA5" wp14:textId="77777777">
            <w:pPr>
              <w:spacing w:before="40" w:after="40"/>
            </w:pPr>
            <w:r>
              <w:rPr>
                <w:sz w:val="20"/>
              </w:rPr>
              <w:t>LCLM 5003 - Project Management</w:t>
            </w:r>
          </w:p>
        </w:tc>
      </w:tr>
      <w:tr xmlns:wp14="http://schemas.microsoft.com/office/word/2010/wordml" w:rsidTr="2374F0F8" w14:paraId="0F6C6675" wp14:textId="77777777">
        <w:tc>
          <w:tcPr>
            <w:tcW w:w="3168" w:type="dxa"/>
            <w:shd w:val="clear" w:color="auto" w:fill="F2F4F7"/>
            <w:tcMar>
              <w:top w:w="80" w:type="dxa"/>
              <w:left w:w="120" w:type="dxa"/>
              <w:bottom w:w="80" w:type="dxa"/>
              <w:left w:w="120" w:type="dxa"/>
              <w:right w:w="120" w:type="dxa"/>
            </w:tcMar>
          </w:tcPr>
          <w:p w14:paraId="192E30B4" wp14:textId="77777777">
            <w:pPr>
              <w:spacing w:before="40" w:after="40"/>
            </w:pPr>
            <w:r>
              <w:rPr>
                <w:b/>
                <w:sz w:val="20"/>
              </w:rPr>
              <w:t>Submission Date:</w:t>
            </w:r>
          </w:p>
        </w:tc>
        <w:tc>
          <w:tcPr>
            <w:tcW w:w="6192" w:type="dxa"/>
            <w:shd w:val="clear" w:color="auto" w:fill="FAFAFA"/>
            <w:tcMar>
              <w:top w:w="80" w:type="dxa"/>
              <w:left w:w="120" w:type="dxa"/>
              <w:bottom w:w="80" w:type="dxa"/>
              <w:left w:w="120" w:type="dxa"/>
              <w:right w:w="120" w:type="dxa"/>
            </w:tcMar>
          </w:tcPr>
          <w:p w14:paraId="6EE3DC18" wp14:textId="430A46BD">
            <w:pPr>
              <w:spacing w:before="40" w:after="40"/>
            </w:pPr>
            <w:r w:rsidRPr="2374F0F8" w:rsidR="48D592EB">
              <w:rPr>
                <w:sz w:val="20"/>
                <w:szCs w:val="20"/>
              </w:rPr>
              <w:t>August</w:t>
            </w:r>
            <w:r w:rsidRPr="2374F0F8" w:rsidR="2374F0F8">
              <w:rPr>
                <w:sz w:val="20"/>
                <w:szCs w:val="20"/>
              </w:rPr>
              <w:t xml:space="preserve"> 2026</w:t>
            </w:r>
          </w:p>
        </w:tc>
      </w:tr>
    </w:tbl>
    <w:p xmlns:wp14="http://schemas.microsoft.com/office/word/2010/wordml" w14:paraId="672A6659" wp14:textId="77777777">
      <w:pPr>
        <w:spacing w:after="240"/>
      </w:pPr>
    </w:p>
    <w:p xmlns:wp14="http://schemas.microsoft.com/office/word/2010/wordml" w14:paraId="2664F4B3" wp14:textId="77777777">
      <w:pPr>
        <w:keepNext/>
        <w:spacing w:before="360" w:after="160"/>
        <w:pBdr>
          <w:bottom w:val="single" w:color="1F4E79" w:sz="12" w:space="4"/>
        </w:pBdr>
      </w:pPr>
      <w:r>
        <w:rPr>
          <w:rFonts w:ascii="Arial" w:hAnsi="Arial"/>
          <w:b/>
          <w:color w:val="1F4E79"/>
          <w:sz w:val="36"/>
        </w:rPr>
        <w:t>Executive Summary</w:t>
      </w:r>
    </w:p>
    <w:p xmlns:wp14="http://schemas.microsoft.com/office/word/2010/wordml" w14:paraId="5D67B451" wp14:textId="1E0CA4B6">
      <w:pPr>
        <w:spacing w:after="200" w:line="276" w:lineRule="auto"/>
      </w:pPr>
      <w:r w:rsidR="0B781FFF">
        <w:rPr/>
        <w:t xml:space="preserve">This document presents a comprehensive Project Management Plan and integrated coursework submission for the Sustainable Transport Hub Redevelopment project in response to the critical closure of a major metropolitan transit interchange. Following an urgent structural safety inspection that revealed non-compliance with modern infrastructure standards, this project </w:t>
      </w:r>
      <w:r w:rsidR="0B781FFF">
        <w:rPr/>
        <w:t>establishes</w:t>
      </w:r>
      <w:r w:rsidR="0B781FFF">
        <w:rPr/>
        <w:t xml:space="preserve"> a strategic, multi-disciplinary framework to transform the compromised site into a modern, carbon-neutral multimodal transport interchange. The report encompasses three distinct core parts: Part A presents the original Academic Project Proposal Poster, layout-matched and revised with a Gantt chart implementation schedule, corrected English mechanics, and expanded Harvard academic references. Part B provides a rigorous critical reflection evaluating peer and tutor feedback, detailing key strengths, </w:t>
      </w:r>
      <w:r w:rsidR="0B781FFF">
        <w:rPr/>
        <w:t>identified</w:t>
      </w:r>
      <w:r w:rsidR="0B781FFF">
        <w:rPr/>
        <w:t xml:space="preserve"> areas for improvement, and specific methodological adjustments made to the final plan. Part C delivers the full Project Management Plan, incorporating an expanded Work Breakdown Structure, Quad Chart analysis, detailed Gantt Chart timeline, Resource Breakdown Structure, Stakeholder Engagement Matrix, and a quantitative Risk Management Assessment. All elements conform strictly to the Harvard referencing framework and formal academic standards.</w:t>
      </w:r>
    </w:p>
    <w:p xmlns:wp14="http://schemas.microsoft.com/office/word/2010/wordml" w:rsidP="0B781FFF" w14:paraId="289CAD36" wp14:textId="1C971748">
      <w:pPr>
        <w:keepNext w:val="1"/>
        <w:spacing w:before="280" w:after="120"/>
        <w:rPr>
          <w:rFonts w:ascii="Arial" w:hAnsi="Arial"/>
          <w:b w:val="1"/>
          <w:bCs w:val="1"/>
          <w:color w:val="2E75B6"/>
          <w:sz w:val="28"/>
          <w:szCs w:val="28"/>
        </w:rPr>
      </w:pPr>
    </w:p>
    <w:p xmlns:wp14="http://schemas.microsoft.com/office/word/2010/wordml" w14:paraId="6CB1D8F1" wp14:textId="451D6E54">
      <w:pPr>
        <w:keepNext/>
        <w:spacing w:before="280" w:after="120"/>
      </w:pPr>
      <w:r>
        <w:br w:type="page"/>
      </w:r>
    </w:p>
    <w:p w:rsidR="7087537F" w:rsidP="2374F0F8" w:rsidRDefault="7087537F" w14:paraId="79F0A7FC" w14:textId="1506A976">
      <w:pPr>
        <w:pStyle w:val="Normal"/>
        <w:keepNext w:val="1"/>
        <w:spacing w:before="280" w:after="120"/>
        <w:rPr>
          <w:rFonts w:ascii="Arial" w:hAnsi="Arial"/>
          <w:b w:val="1"/>
          <w:bCs w:val="1"/>
          <w:color w:val="2E75B6"/>
          <w:sz w:val="40"/>
          <w:szCs w:val="40"/>
          <w:u w:val="single"/>
        </w:rPr>
      </w:pPr>
      <w:r w:rsidRPr="2374F0F8" w:rsidR="7087537F">
        <w:rPr>
          <w:rFonts w:ascii="Arial" w:hAnsi="Arial"/>
          <w:b w:val="1"/>
          <w:bCs w:val="1"/>
          <w:color w:val="2E75B6"/>
          <w:sz w:val="40"/>
          <w:szCs w:val="40"/>
          <w:u w:val="single"/>
        </w:rPr>
        <w:t>Table of Contents</w:t>
      </w:r>
    </w:p>
    <w:p w:rsidR="2374F0F8" w:rsidP="2374F0F8" w:rsidRDefault="2374F0F8" w14:paraId="1B478E34" w14:textId="2FFAF311">
      <w:pPr>
        <w:pStyle w:val="Normal"/>
        <w:keepNext w:val="1"/>
        <w:spacing w:before="280" w:after="120"/>
        <w:rPr>
          <w:rFonts w:ascii="Arial" w:hAnsi="Arial"/>
          <w:b w:val="1"/>
          <w:bCs w:val="1"/>
          <w:color w:val="2E75B6"/>
          <w:sz w:val="36"/>
          <w:szCs w:val="36"/>
        </w:rPr>
      </w:pPr>
    </w:p>
    <w:p xmlns:wp14="http://schemas.microsoft.com/office/word/2010/wordml" w:rsidP="2374F0F8" w14:paraId="369A3C97" wp14:textId="19CFEA63">
      <w:pPr>
        <w:spacing w:before="20" w:after="40" w:line="276" w:lineRule="auto"/>
        <w:rPr>
          <w:b w:val="1"/>
          <w:bCs w:val="1"/>
          <w:color w:val="1F4E79"/>
          <w:sz w:val="28"/>
          <w:szCs w:val="28"/>
        </w:rPr>
      </w:pPr>
      <w:r w:rsidRPr="2374F0F8" w:rsidR="2374F0F8">
        <w:rPr>
          <w:b w:val="1"/>
          <w:bCs w:val="1"/>
          <w:color w:val="1F4E79"/>
          <w:sz w:val="28"/>
          <w:szCs w:val="28"/>
        </w:rPr>
        <w:t>Part A: Project Proposal Poster</w:t>
      </w:r>
    </w:p>
    <w:p w:rsidR="653CE09C" w:rsidP="2374F0F8" w:rsidRDefault="653CE09C" w14:paraId="6D578CF7" w14:textId="5A7D0A4E">
      <w:pPr>
        <w:pStyle w:val="ListParagraph"/>
        <w:numPr>
          <w:ilvl w:val="0"/>
          <w:numId w:val="23"/>
        </w:numPr>
        <w:spacing w:before="20" w:after="40" w:line="276" w:lineRule="auto"/>
        <w:rPr>
          <w:b w:val="1"/>
          <w:bCs w:val="1"/>
          <w:color w:val="1F4E79"/>
          <w:sz w:val="24"/>
          <w:szCs w:val="24"/>
        </w:rPr>
      </w:pPr>
      <w:r w:rsidRPr="2374F0F8" w:rsidR="653CE09C">
        <w:rPr>
          <w:b w:val="1"/>
          <w:bCs w:val="1"/>
          <w:color w:val="1F4E79"/>
          <w:sz w:val="24"/>
          <w:szCs w:val="24"/>
        </w:rPr>
        <w:t xml:space="preserve">Poster </w:t>
      </w:r>
      <w:r w:rsidRPr="2374F0F8" w:rsidR="653CE09C">
        <w:rPr>
          <w:b w:val="1"/>
          <w:bCs w:val="1"/>
          <w:color w:val="1F4E79"/>
          <w:sz w:val="24"/>
          <w:szCs w:val="24"/>
        </w:rPr>
        <w:t>i</w:t>
      </w:r>
      <w:r w:rsidRPr="2374F0F8" w:rsidR="438CCF03">
        <w:rPr>
          <w:b w:val="1"/>
          <w:bCs w:val="1"/>
          <w:color w:val="1F4E79"/>
          <w:sz w:val="24"/>
          <w:szCs w:val="24"/>
        </w:rPr>
        <w:t>n</w:t>
      </w:r>
      <w:r w:rsidRPr="2374F0F8" w:rsidR="653CE09C">
        <w:rPr>
          <w:b w:val="1"/>
          <w:bCs w:val="1"/>
          <w:color w:val="1F4E79"/>
          <w:sz w:val="24"/>
          <w:szCs w:val="24"/>
        </w:rPr>
        <w:t>complete</w:t>
      </w:r>
    </w:p>
    <w:p w:rsidR="653CE09C" w:rsidP="2374F0F8" w:rsidRDefault="653CE09C" w14:paraId="631FA1BD" w14:textId="4C979CE8">
      <w:pPr>
        <w:pStyle w:val="ListParagraph"/>
        <w:numPr>
          <w:ilvl w:val="0"/>
          <w:numId w:val="23"/>
        </w:numPr>
        <w:spacing w:before="20" w:after="40" w:line="276" w:lineRule="auto"/>
        <w:rPr>
          <w:b w:val="1"/>
          <w:bCs w:val="1"/>
          <w:color w:val="1F4E79"/>
          <w:sz w:val="24"/>
          <w:szCs w:val="24"/>
        </w:rPr>
      </w:pPr>
      <w:r w:rsidRPr="2374F0F8" w:rsidR="653CE09C">
        <w:rPr>
          <w:b w:val="1"/>
          <w:bCs w:val="1"/>
          <w:color w:val="1F4E79"/>
          <w:sz w:val="24"/>
          <w:szCs w:val="24"/>
        </w:rPr>
        <w:t>Poster complete</w:t>
      </w:r>
    </w:p>
    <w:p w:rsidR="2374F0F8" w:rsidP="2374F0F8" w:rsidRDefault="2374F0F8" w14:paraId="490CC4C1" w14:textId="2EAF1389">
      <w:pPr>
        <w:pStyle w:val="ListParagraph"/>
        <w:spacing w:before="20" w:after="40" w:line="276" w:lineRule="auto"/>
        <w:ind w:left="720"/>
        <w:rPr>
          <w:b w:val="1"/>
          <w:bCs w:val="1"/>
          <w:color w:val="1F4E79"/>
          <w:sz w:val="28"/>
          <w:szCs w:val="28"/>
        </w:rPr>
      </w:pPr>
    </w:p>
    <w:p xmlns:wp14="http://schemas.microsoft.com/office/word/2010/wordml" w:rsidP="2374F0F8" w14:paraId="55E10A49" wp14:textId="77777777">
      <w:pPr>
        <w:spacing w:before="20" w:after="40" w:line="276" w:lineRule="auto"/>
        <w:rPr>
          <w:b w:val="1"/>
          <w:bCs w:val="1"/>
          <w:color w:val="1F4E79"/>
          <w:sz w:val="28"/>
          <w:szCs w:val="28"/>
        </w:rPr>
      </w:pPr>
      <w:r w:rsidRPr="2374F0F8" w:rsidR="2374F0F8">
        <w:rPr>
          <w:b w:val="1"/>
          <w:bCs w:val="1"/>
          <w:color w:val="1F4E79"/>
          <w:sz w:val="28"/>
          <w:szCs w:val="28"/>
        </w:rPr>
        <w:t>Part B: Critical Reflection on Tutor and Peer Feedback</w:t>
      </w:r>
    </w:p>
    <w:p w:rsidR="08B38377" w:rsidP="2374F0F8" w:rsidRDefault="08B38377" w14:paraId="1434545A" w14:textId="2AB01B15">
      <w:pPr>
        <w:pStyle w:val="ListParagraph"/>
        <w:numPr>
          <w:ilvl w:val="0"/>
          <w:numId w:val="21"/>
        </w:numPr>
        <w:spacing w:before="20" w:after="40" w:line="276" w:lineRule="auto"/>
        <w:rPr>
          <w:rFonts w:ascii="Arial" w:hAnsi="Arial" w:eastAsia="ＭＳ 明朝"/>
          <w:b w:val="1"/>
          <w:bCs w:val="1"/>
          <w:color w:val="1F4E79"/>
          <w:sz w:val="24"/>
          <w:szCs w:val="24"/>
        </w:rPr>
      </w:pPr>
      <w:r w:rsidRPr="2374F0F8" w:rsidR="08B38377">
        <w:rPr>
          <w:rFonts w:ascii="Arial" w:hAnsi="Arial" w:eastAsia="ＭＳ 明朝"/>
          <w:b w:val="1"/>
          <w:bCs w:val="1"/>
          <w:color w:val="1F4E79"/>
          <w:sz w:val="24"/>
          <w:szCs w:val="24"/>
        </w:rPr>
        <w:t>Identification of Key Strengths</w:t>
      </w:r>
    </w:p>
    <w:p w:rsidR="08B38377" w:rsidP="2374F0F8" w:rsidRDefault="08B38377" w14:paraId="2D1C25FA" w14:textId="4808E08F">
      <w:pPr>
        <w:pStyle w:val="ListParagraph"/>
        <w:numPr>
          <w:ilvl w:val="0"/>
          <w:numId w:val="21"/>
        </w:numPr>
        <w:spacing w:before="20" w:after="40" w:line="276" w:lineRule="auto"/>
        <w:rPr>
          <w:rFonts w:ascii="Arial" w:hAnsi="Arial" w:eastAsia="ＭＳ 明朝"/>
          <w:b w:val="1"/>
          <w:bCs w:val="1"/>
          <w:color w:val="1F4E79"/>
          <w:sz w:val="24"/>
          <w:szCs w:val="24"/>
        </w:rPr>
      </w:pPr>
      <w:r w:rsidRPr="2374F0F8" w:rsidR="08B38377">
        <w:rPr>
          <w:rFonts w:ascii="Arial" w:hAnsi="Arial" w:eastAsia="ＭＳ 明朝"/>
          <w:b w:val="1"/>
          <w:bCs w:val="1"/>
          <w:color w:val="1F4E79"/>
          <w:sz w:val="24"/>
          <w:szCs w:val="24"/>
        </w:rPr>
        <w:t>Discussion of Areas for Improvement</w:t>
      </w:r>
    </w:p>
    <w:p w:rsidR="08B38377" w:rsidP="2374F0F8" w:rsidRDefault="08B38377" w14:paraId="65B8BE3B" w14:textId="79D9A29E">
      <w:pPr>
        <w:pStyle w:val="ListParagraph"/>
        <w:numPr>
          <w:ilvl w:val="0"/>
          <w:numId w:val="21"/>
        </w:numPr>
        <w:spacing w:before="20" w:after="40" w:line="276" w:lineRule="auto"/>
        <w:rPr>
          <w:rFonts w:ascii="Arial" w:hAnsi="Arial" w:eastAsia="ＭＳ 明朝"/>
          <w:b w:val="1"/>
          <w:bCs w:val="1"/>
          <w:color w:val="1F4E79"/>
          <w:sz w:val="24"/>
          <w:szCs w:val="24"/>
        </w:rPr>
      </w:pPr>
      <w:r w:rsidRPr="2374F0F8" w:rsidR="08B38377">
        <w:rPr>
          <w:rFonts w:ascii="Arial" w:hAnsi="Arial" w:eastAsia="ＭＳ 明朝"/>
          <w:b w:val="1"/>
          <w:bCs w:val="1"/>
          <w:color w:val="1F4E79"/>
          <w:sz w:val="24"/>
          <w:szCs w:val="24"/>
        </w:rPr>
        <w:t>Integration of Feedback into the Final Project Management Plan</w:t>
      </w:r>
    </w:p>
    <w:p w:rsidR="2374F0F8" w:rsidP="2374F0F8" w:rsidRDefault="2374F0F8" w14:paraId="2D676C96" w14:textId="69A263EF">
      <w:pPr>
        <w:pStyle w:val="ListParagraph"/>
        <w:spacing w:before="20" w:after="40" w:line="276" w:lineRule="auto"/>
        <w:ind w:left="720"/>
        <w:rPr>
          <w:b w:val="1"/>
          <w:bCs w:val="1"/>
          <w:color w:val="1F4E79"/>
          <w:sz w:val="20"/>
          <w:szCs w:val="20"/>
        </w:rPr>
      </w:pPr>
    </w:p>
    <w:p xmlns:wp14="http://schemas.microsoft.com/office/word/2010/wordml" w:rsidP="2374F0F8" w14:paraId="6CF11EAE" wp14:textId="08DCDE00">
      <w:pPr>
        <w:spacing w:before="20" w:after="40" w:line="276" w:lineRule="auto"/>
        <w:rPr>
          <w:b w:val="1"/>
          <w:bCs w:val="1"/>
          <w:color w:val="1F4E79"/>
          <w:sz w:val="28"/>
          <w:szCs w:val="28"/>
        </w:rPr>
      </w:pPr>
      <w:r w:rsidRPr="2374F0F8" w:rsidR="2374F0F8">
        <w:rPr>
          <w:b w:val="1"/>
          <w:bCs w:val="1"/>
          <w:color w:val="1F4E79"/>
          <w:sz w:val="28"/>
          <w:szCs w:val="28"/>
        </w:rPr>
        <w:t>Part C: Detailed Project Management Plan</w:t>
      </w:r>
    </w:p>
    <w:p w:rsidR="0AB4A520" w:rsidP="2374F0F8" w:rsidRDefault="0AB4A520" w14:paraId="4CCE861D" w14:textId="735BFD42">
      <w:pPr>
        <w:pStyle w:val="ListParagraph"/>
        <w:numPr>
          <w:ilvl w:val="0"/>
          <w:numId w:val="26"/>
        </w:numPr>
        <w:spacing w:before="20" w:after="40" w:line="276" w:lineRule="auto"/>
        <w:rPr>
          <w:rFonts w:ascii="Arial" w:hAnsi="Arial" w:eastAsia="ＭＳ 明朝"/>
          <w:b w:val="1"/>
          <w:bCs w:val="1"/>
          <w:color w:val="1F4E79"/>
          <w:sz w:val="24"/>
          <w:szCs w:val="24"/>
        </w:rPr>
      </w:pPr>
      <w:r w:rsidRPr="2374F0F8" w:rsidR="0AB4A520">
        <w:rPr>
          <w:rFonts w:ascii="Arial" w:hAnsi="Arial" w:eastAsia="ＭＳ 明朝"/>
          <w:b w:val="1"/>
          <w:bCs w:val="1"/>
          <w:color w:val="1F4E79"/>
          <w:sz w:val="20"/>
          <w:szCs w:val="20"/>
        </w:rPr>
        <w:t xml:space="preserve">   </w:t>
      </w:r>
      <w:r w:rsidRPr="2374F0F8" w:rsidR="0AB4A520">
        <w:rPr>
          <w:rFonts w:ascii="Arial" w:hAnsi="Arial" w:eastAsia="ＭＳ 明朝"/>
          <w:b w:val="1"/>
          <w:bCs w:val="1"/>
          <w:color w:val="1F4E79"/>
          <w:sz w:val="24"/>
          <w:szCs w:val="24"/>
        </w:rPr>
        <w:t>Introduction</w:t>
      </w:r>
    </w:p>
    <w:p w:rsidR="0AB4A520" w:rsidP="2374F0F8" w:rsidRDefault="0AB4A520" w14:paraId="07B35CB8" w14:textId="19026B3A">
      <w:pPr>
        <w:pStyle w:val="ListParagraph"/>
        <w:numPr>
          <w:ilvl w:val="0"/>
          <w:numId w:val="26"/>
        </w:numPr>
        <w:spacing w:before="20" w:after="40" w:line="276" w:lineRule="auto"/>
        <w:rPr>
          <w:rFonts w:ascii="Arial" w:hAnsi="Arial" w:eastAsia="ＭＳ 明朝"/>
          <w:b w:val="1"/>
          <w:bCs w:val="1"/>
          <w:color w:val="1F4E79"/>
          <w:sz w:val="24"/>
          <w:szCs w:val="24"/>
        </w:rPr>
      </w:pPr>
      <w:r w:rsidRPr="2374F0F8" w:rsidR="0AB4A520">
        <w:rPr>
          <w:rFonts w:ascii="Arial" w:hAnsi="Arial" w:eastAsia="ＭＳ 明朝"/>
          <w:b w:val="1"/>
          <w:bCs w:val="1"/>
          <w:color w:val="1F4E79"/>
          <w:sz w:val="24"/>
          <w:szCs w:val="24"/>
        </w:rPr>
        <w:t xml:space="preserve">   Project Description</w:t>
      </w:r>
    </w:p>
    <w:p w:rsidR="0AB4A520" w:rsidP="2374F0F8" w:rsidRDefault="0AB4A520" w14:paraId="762FD7AB" w14:textId="6A426F00">
      <w:pPr>
        <w:pStyle w:val="ListParagraph"/>
        <w:numPr>
          <w:ilvl w:val="0"/>
          <w:numId w:val="26"/>
        </w:numPr>
        <w:spacing w:before="20" w:after="40" w:line="276" w:lineRule="auto"/>
        <w:rPr>
          <w:rFonts w:ascii="Arial" w:hAnsi="Arial" w:eastAsia="ＭＳ 明朝"/>
          <w:b w:val="1"/>
          <w:bCs w:val="1"/>
          <w:color w:val="1F4E79"/>
          <w:sz w:val="24"/>
          <w:szCs w:val="24"/>
        </w:rPr>
      </w:pPr>
      <w:r w:rsidRPr="2374F0F8" w:rsidR="0AB4A520">
        <w:rPr>
          <w:rFonts w:ascii="Arial" w:hAnsi="Arial" w:eastAsia="ＭＳ 明朝"/>
          <w:b w:val="1"/>
          <w:bCs w:val="1"/>
          <w:color w:val="1F4E79"/>
          <w:sz w:val="24"/>
          <w:szCs w:val="24"/>
        </w:rPr>
        <w:t xml:space="preserve">   Scope &amp; Boundaries</w:t>
      </w:r>
    </w:p>
    <w:p w:rsidR="0AB4A520" w:rsidP="2374F0F8" w:rsidRDefault="0AB4A520" w14:paraId="11DA9B71" w14:textId="32031FBF">
      <w:pPr>
        <w:pStyle w:val="ListParagraph"/>
        <w:numPr>
          <w:ilvl w:val="0"/>
          <w:numId w:val="26"/>
        </w:numPr>
        <w:spacing w:before="20" w:after="40" w:line="276" w:lineRule="auto"/>
        <w:rPr>
          <w:rFonts w:ascii="Arial" w:hAnsi="Arial" w:eastAsia="ＭＳ 明朝"/>
          <w:b w:val="1"/>
          <w:bCs w:val="1"/>
          <w:color w:val="1F4E79"/>
          <w:sz w:val="24"/>
          <w:szCs w:val="24"/>
        </w:rPr>
      </w:pPr>
      <w:r w:rsidRPr="2374F0F8" w:rsidR="0AB4A520">
        <w:rPr>
          <w:rFonts w:ascii="Arial" w:hAnsi="Arial" w:eastAsia="ＭＳ 明朝"/>
          <w:b w:val="1"/>
          <w:bCs w:val="1"/>
          <w:color w:val="1F4E79"/>
          <w:sz w:val="24"/>
          <w:szCs w:val="24"/>
        </w:rPr>
        <w:t xml:space="preserve">   Work Breakdown Structure</w:t>
      </w:r>
    </w:p>
    <w:p w:rsidR="0AB4A520" w:rsidP="2374F0F8" w:rsidRDefault="0AB4A520" w14:paraId="1E5D726C" w14:textId="58AD4349">
      <w:pPr>
        <w:pStyle w:val="ListParagraph"/>
        <w:numPr>
          <w:ilvl w:val="0"/>
          <w:numId w:val="26"/>
        </w:numPr>
        <w:spacing w:before="20" w:after="40" w:line="276" w:lineRule="auto"/>
        <w:rPr>
          <w:rFonts w:ascii="Arial" w:hAnsi="Arial" w:eastAsia="ＭＳ 明朝"/>
          <w:b w:val="1"/>
          <w:bCs w:val="1"/>
          <w:color w:val="1F4E79"/>
          <w:sz w:val="24"/>
          <w:szCs w:val="24"/>
        </w:rPr>
      </w:pPr>
      <w:r w:rsidRPr="2374F0F8" w:rsidR="0AB4A520">
        <w:rPr>
          <w:rFonts w:ascii="Arial" w:hAnsi="Arial" w:eastAsia="ＭＳ 明朝"/>
          <w:b w:val="1"/>
          <w:bCs w:val="1"/>
          <w:color w:val="1F4E79"/>
          <w:sz w:val="24"/>
          <w:szCs w:val="24"/>
        </w:rPr>
        <w:t xml:space="preserve">   Quad Chart</w:t>
      </w:r>
    </w:p>
    <w:p w:rsidR="0AB4A520" w:rsidP="2374F0F8" w:rsidRDefault="0AB4A520" w14:paraId="74681998" w14:textId="5278AF5B">
      <w:pPr>
        <w:pStyle w:val="ListParagraph"/>
        <w:numPr>
          <w:ilvl w:val="0"/>
          <w:numId w:val="26"/>
        </w:numPr>
        <w:spacing w:before="20" w:after="40" w:line="276" w:lineRule="auto"/>
        <w:rPr>
          <w:rFonts w:ascii="Arial" w:hAnsi="Arial" w:eastAsia="ＭＳ 明朝"/>
          <w:b w:val="1"/>
          <w:bCs w:val="1"/>
          <w:color w:val="1F4E79"/>
          <w:sz w:val="24"/>
          <w:szCs w:val="24"/>
        </w:rPr>
      </w:pPr>
      <w:r w:rsidRPr="2374F0F8" w:rsidR="0AB4A520">
        <w:rPr>
          <w:rFonts w:ascii="Arial" w:hAnsi="Arial" w:eastAsia="ＭＳ 明朝"/>
          <w:b w:val="1"/>
          <w:bCs w:val="1"/>
          <w:color w:val="1F4E79"/>
          <w:sz w:val="24"/>
          <w:szCs w:val="24"/>
        </w:rPr>
        <w:t xml:space="preserve">   Gantt Chart &amp; Schedule Baseline</w:t>
      </w:r>
    </w:p>
    <w:p w:rsidR="0AB4A520" w:rsidP="2374F0F8" w:rsidRDefault="0AB4A520" w14:paraId="2F5E0C1D" w14:textId="09246E5F">
      <w:pPr>
        <w:pStyle w:val="ListParagraph"/>
        <w:numPr>
          <w:ilvl w:val="0"/>
          <w:numId w:val="26"/>
        </w:numPr>
        <w:spacing w:before="20" w:after="40" w:line="276" w:lineRule="auto"/>
        <w:rPr>
          <w:rFonts w:ascii="Arial" w:hAnsi="Arial" w:eastAsia="ＭＳ 明朝"/>
          <w:b w:val="1"/>
          <w:bCs w:val="1"/>
          <w:color w:val="1F4E79"/>
          <w:sz w:val="24"/>
          <w:szCs w:val="24"/>
        </w:rPr>
      </w:pPr>
      <w:r w:rsidRPr="2374F0F8" w:rsidR="0AB4A520">
        <w:rPr>
          <w:rFonts w:ascii="Arial" w:hAnsi="Arial" w:eastAsia="ＭＳ 明朝"/>
          <w:b w:val="1"/>
          <w:bCs w:val="1"/>
          <w:color w:val="1F4E79"/>
          <w:sz w:val="24"/>
          <w:szCs w:val="24"/>
        </w:rPr>
        <w:t xml:space="preserve">   Stakeholders' Involvement</w:t>
      </w:r>
    </w:p>
    <w:p w:rsidR="0AB4A520" w:rsidP="2374F0F8" w:rsidRDefault="0AB4A520" w14:paraId="23ADE886" w14:textId="77DFCE55">
      <w:pPr>
        <w:pStyle w:val="ListParagraph"/>
        <w:numPr>
          <w:ilvl w:val="0"/>
          <w:numId w:val="26"/>
        </w:numPr>
        <w:spacing w:before="20" w:after="40" w:line="276" w:lineRule="auto"/>
        <w:rPr>
          <w:rFonts w:ascii="Arial" w:hAnsi="Arial" w:eastAsia="ＭＳ 明朝"/>
          <w:b w:val="1"/>
          <w:bCs w:val="1"/>
          <w:color w:val="1F4E79"/>
          <w:sz w:val="24"/>
          <w:szCs w:val="24"/>
        </w:rPr>
      </w:pPr>
      <w:r w:rsidRPr="2374F0F8" w:rsidR="0AB4A520">
        <w:rPr>
          <w:rFonts w:ascii="Arial" w:hAnsi="Arial" w:eastAsia="ＭＳ 明朝"/>
          <w:b w:val="1"/>
          <w:bCs w:val="1"/>
          <w:color w:val="1F4E79"/>
          <w:sz w:val="24"/>
          <w:szCs w:val="24"/>
        </w:rPr>
        <w:t xml:space="preserve">   Allocation of Resources</w:t>
      </w:r>
    </w:p>
    <w:p w:rsidR="0AB4A520" w:rsidP="2374F0F8" w:rsidRDefault="0AB4A520" w14:paraId="2F041F4D" w14:textId="30D5F872">
      <w:pPr>
        <w:pStyle w:val="ListParagraph"/>
        <w:numPr>
          <w:ilvl w:val="0"/>
          <w:numId w:val="26"/>
        </w:numPr>
        <w:spacing w:before="20" w:after="40" w:line="276" w:lineRule="auto"/>
        <w:rPr>
          <w:rFonts w:ascii="Arial" w:hAnsi="Arial" w:eastAsia="ＭＳ 明朝"/>
          <w:b w:val="1"/>
          <w:bCs w:val="1"/>
          <w:color w:val="1F4E79"/>
          <w:sz w:val="24"/>
          <w:szCs w:val="24"/>
        </w:rPr>
      </w:pPr>
      <w:r w:rsidRPr="2374F0F8" w:rsidR="0AB4A520">
        <w:rPr>
          <w:rFonts w:ascii="Arial" w:hAnsi="Arial" w:eastAsia="ＭＳ 明朝"/>
          <w:b w:val="1"/>
          <w:bCs w:val="1"/>
          <w:color w:val="1F4E79"/>
          <w:sz w:val="24"/>
          <w:szCs w:val="24"/>
        </w:rPr>
        <w:t xml:space="preserve">   Risk Analysis</w:t>
      </w:r>
    </w:p>
    <w:p w:rsidR="0AB4A520" w:rsidP="2374F0F8" w:rsidRDefault="0AB4A520" w14:paraId="67B2DD79" w14:textId="1D437363">
      <w:pPr>
        <w:pStyle w:val="ListParagraph"/>
        <w:numPr>
          <w:ilvl w:val="0"/>
          <w:numId w:val="26"/>
        </w:numPr>
        <w:spacing w:before="20" w:after="40" w:line="276" w:lineRule="auto"/>
        <w:rPr>
          <w:rFonts w:ascii="Arial" w:hAnsi="Arial" w:eastAsia="ＭＳ 明朝"/>
          <w:b w:val="1"/>
          <w:bCs w:val="1"/>
          <w:color w:val="1F4E79"/>
          <w:sz w:val="24"/>
          <w:szCs w:val="24"/>
        </w:rPr>
      </w:pPr>
      <w:r w:rsidRPr="2374F0F8" w:rsidR="0AB4A520">
        <w:rPr>
          <w:rFonts w:ascii="Arial" w:hAnsi="Arial" w:eastAsia="ＭＳ 明朝"/>
          <w:b w:val="1"/>
          <w:bCs w:val="1"/>
          <w:color w:val="1F4E79"/>
          <w:sz w:val="24"/>
          <w:szCs w:val="24"/>
        </w:rPr>
        <w:t xml:space="preserve">   Conclusion</w:t>
      </w:r>
    </w:p>
    <w:p w:rsidR="0AB4A520" w:rsidP="2374F0F8" w:rsidRDefault="0AB4A520" w14:paraId="3040790F" w14:textId="2107DC63">
      <w:pPr>
        <w:pStyle w:val="ListParagraph"/>
        <w:numPr>
          <w:ilvl w:val="0"/>
          <w:numId w:val="26"/>
        </w:numPr>
        <w:spacing w:before="20" w:after="40" w:line="276" w:lineRule="auto"/>
        <w:rPr>
          <w:rFonts w:ascii="Arial" w:hAnsi="Arial" w:eastAsia="ＭＳ 明朝"/>
          <w:b w:val="1"/>
          <w:bCs w:val="1"/>
          <w:color w:val="1F4E79"/>
          <w:sz w:val="24"/>
          <w:szCs w:val="24"/>
        </w:rPr>
      </w:pPr>
      <w:r w:rsidRPr="2374F0F8" w:rsidR="0AB4A520">
        <w:rPr>
          <w:rFonts w:ascii="Arial" w:hAnsi="Arial" w:eastAsia="ＭＳ 明朝"/>
          <w:b w:val="1"/>
          <w:bCs w:val="1"/>
          <w:color w:val="1F4E79"/>
          <w:sz w:val="24"/>
          <w:szCs w:val="24"/>
        </w:rPr>
        <w:t xml:space="preserve">   References</w:t>
      </w:r>
    </w:p>
    <w:p xmlns:wp14="http://schemas.microsoft.com/office/word/2010/wordml" w14:paraId="0A37501D" wp14:textId="77777777">
      <w:r>
        <w:br w:type="page"/>
      </w:r>
    </w:p>
    <w:p xmlns:wp14="http://schemas.microsoft.com/office/word/2010/wordml" w:rsidP="2374F0F8" w14:paraId="6691BD6F" wp14:textId="1341E967">
      <w:pPr>
        <w:pStyle w:val="Normal"/>
        <w:keepNext w:val="1"/>
        <w:pBdr>
          <w:bottom w:val="single" w:color="1F4E79" w:sz="12" w:space="4"/>
        </w:pBdr>
        <w:spacing w:before="360" w:after="160"/>
        <w:pBdr>
          <w:bottom w:val="single" w:color="1F4E79" w:sz="12" w:space="4"/>
        </w:pBdr>
      </w:pPr>
      <w:r w:rsidRPr="2374F0F8" w:rsidR="17F28F42">
        <w:rPr>
          <w:rFonts w:ascii="Arial" w:hAnsi="Arial"/>
          <w:b w:val="1"/>
          <w:bCs w:val="1"/>
          <w:color w:val="1F4E79"/>
          <w:sz w:val="36"/>
          <w:szCs w:val="36"/>
        </w:rPr>
        <w:t>Project Proposal Poster</w:t>
      </w:r>
    </w:p>
    <w:p xmlns:wp14="http://schemas.microsoft.com/office/word/2010/wordml" w:rsidP="2374F0F8" w14:paraId="14D37761" wp14:textId="24105412">
      <w:pPr>
        <w:pStyle w:val="ListParagraph"/>
        <w:keepNext w:val="1"/>
        <w:numPr>
          <w:ilvl w:val="0"/>
          <w:numId w:val="22"/>
        </w:numPr>
        <w:pBdr>
          <w:bottom w:val="single" w:color="1F4E79" w:sz="12" w:space="4"/>
        </w:pBdr>
        <w:spacing w:before="360" w:after="160"/>
        <w:pBdr>
          <w:bottom w:val="single" w:color="1F4E79" w:sz="12" w:space="4"/>
        </w:pBdr>
        <w:rPr>
          <w:rFonts w:ascii="Arial" w:hAnsi="Arial"/>
          <w:b w:val="1"/>
          <w:bCs w:val="1"/>
          <w:color w:val="1F4E79"/>
          <w:sz w:val="24"/>
          <w:szCs w:val="24"/>
        </w:rPr>
      </w:pPr>
      <w:r w:rsidRPr="2374F0F8" w:rsidR="5A730D65">
        <w:rPr>
          <w:rFonts w:ascii="Arial" w:hAnsi="Arial"/>
          <w:b w:val="1"/>
          <w:bCs w:val="1"/>
          <w:color w:val="1F4E79"/>
          <w:sz w:val="24"/>
          <w:szCs w:val="24"/>
        </w:rPr>
        <w:t xml:space="preserve">Poster </w:t>
      </w:r>
      <w:r w:rsidRPr="2374F0F8" w:rsidR="5A730D65">
        <w:rPr>
          <w:rFonts w:ascii="Arial" w:hAnsi="Arial"/>
          <w:b w:val="1"/>
          <w:bCs w:val="1"/>
          <w:color w:val="1F4E79"/>
          <w:sz w:val="24"/>
          <w:szCs w:val="24"/>
        </w:rPr>
        <w:t>incomplete</w:t>
      </w:r>
    </w:p>
    <w:p xmlns:wp14="http://schemas.microsoft.com/office/word/2010/wordml" w:rsidP="2374F0F8" w14:paraId="4C925FDE" wp14:textId="33142159">
      <w:pPr>
        <w:pStyle w:val="ListParagraph"/>
        <w:keepNext w:val="1"/>
        <w:numPr>
          <w:ilvl w:val="0"/>
          <w:numId w:val="22"/>
        </w:numPr>
        <w:pBdr>
          <w:bottom w:val="single" w:color="1F4E79" w:sz="12" w:space="4"/>
        </w:pBdr>
        <w:spacing w:before="360" w:after="160"/>
        <w:pBdr>
          <w:bottom w:val="single" w:color="1F4E79" w:sz="12" w:space="4"/>
        </w:pBdr>
        <w:rPr>
          <w:rFonts w:ascii="Arial" w:hAnsi="Arial"/>
          <w:b w:val="1"/>
          <w:bCs w:val="1"/>
          <w:color w:val="1F4E79"/>
          <w:sz w:val="24"/>
          <w:szCs w:val="24"/>
        </w:rPr>
      </w:pPr>
      <w:r w:rsidRPr="2374F0F8" w:rsidR="5A730D65">
        <w:rPr>
          <w:rFonts w:ascii="Arial" w:hAnsi="Arial"/>
          <w:b w:val="1"/>
          <w:bCs w:val="1"/>
          <w:color w:val="1F4E79"/>
          <w:sz w:val="24"/>
          <w:szCs w:val="24"/>
        </w:rPr>
        <w:t xml:space="preserve">Poster </w:t>
      </w:r>
      <w:r w:rsidRPr="2374F0F8" w:rsidR="5A730D65">
        <w:rPr>
          <w:rFonts w:ascii="Arial" w:hAnsi="Arial"/>
          <w:b w:val="1"/>
          <w:bCs w:val="1"/>
          <w:color w:val="1F4E79"/>
          <w:sz w:val="24"/>
          <w:szCs w:val="24"/>
        </w:rPr>
        <w:t>complete</w:t>
      </w:r>
    </w:p>
    <w:p xmlns:wp14="http://schemas.microsoft.com/office/word/2010/wordml" w:rsidP="2374F0F8" w14:paraId="3D214B08" wp14:textId="2E40A446">
      <w:pPr>
        <w:pStyle w:val="Normal"/>
        <w:keepNext w:val="1"/>
        <w:pBdr>
          <w:bottom w:val="single" w:color="1F4E79" w:sz="12" w:space="4"/>
        </w:pBdr>
        <w:spacing w:before="360" w:after="160"/>
        <w:pBdr>
          <w:bottom w:val="single" w:color="1F4E79" w:sz="12" w:space="4"/>
        </w:pBdr>
        <w:rPr>
          <w:rFonts w:ascii="Arial" w:hAnsi="Arial"/>
          <w:b w:val="1"/>
          <w:bCs w:val="1"/>
          <w:color w:val="1F4E79"/>
          <w:sz w:val="36"/>
          <w:szCs w:val="36"/>
        </w:rPr>
      </w:pPr>
      <w:r w:rsidR="72753F8E">
        <w:drawing>
          <wp:inline xmlns:wp14="http://schemas.microsoft.com/office/word/2010/wordprocessingDrawing" wp14:editId="1574D4D2" wp14:anchorId="14E4F805">
            <wp:extent cx="5915025" cy="6343650"/>
            <wp:effectExtent l="0" t="0" r="0" b="0"/>
            <wp:docPr id="6939509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3950971" name="Picture 693950971"/>
                    <pic:cNvPicPr/>
                  </pic:nvPicPr>
                  <pic:blipFill>
                    <a:blip xmlns:r="http://schemas.openxmlformats.org/officeDocument/2006/relationships" r:embed="rId625214045">
                      <a:extLst>
                        <a:ext uri="{28A0092B-C50C-407E-A947-70E740481C1C}">
                          <a14:useLocalDpi xmlns:a14="http://schemas.microsoft.com/office/drawing/2010/main"/>
                        </a:ext>
                      </a:extLst>
                    </a:blip>
                    <a:stretch>
                      <a:fillRect/>
                    </a:stretch>
                  </pic:blipFill>
                  <pic:spPr>
                    <a:xfrm rot="0">
                      <a:off x="0" y="0"/>
                      <a:ext cx="5915025" cy="6343650"/>
                    </a:xfrm>
                    <a:prstGeom prst="rect">
                      <a:avLst/>
                    </a:prstGeom>
                  </pic:spPr>
                </pic:pic>
              </a:graphicData>
            </a:graphic>
          </wp:inline>
        </w:drawing>
      </w:r>
    </w:p>
    <w:p xmlns:wp14="http://schemas.microsoft.com/office/word/2010/wordml" w:rsidP="2374F0F8" w14:paraId="5077920F" wp14:textId="0F8E4FD9">
      <w:pPr>
        <w:keepNext w:val="1"/>
        <w:spacing w:before="360" w:after="160"/>
        <w:pBdr>
          <w:bottom w:val="single" w:color="1F4E79" w:sz="12" w:space="4"/>
        </w:pBdr>
      </w:pPr>
      <w:r>
        <w:br w:type="page"/>
      </w:r>
    </w:p>
    <w:p xmlns:wp14="http://schemas.microsoft.com/office/word/2010/wordml" w:rsidP="2374F0F8" w14:paraId="04109B8C" wp14:textId="17B21FBF">
      <w:pPr>
        <w:pStyle w:val="Normal"/>
        <w:keepNext w:val="1"/>
        <w:pBdr>
          <w:bottom w:val="single" w:color="1F4E79" w:sz="12" w:space="4"/>
        </w:pBdr>
        <w:spacing w:before="360" w:after="160"/>
        <w:pBdr>
          <w:bottom w:val="single" w:color="1F4E79" w:sz="12" w:space="4"/>
        </w:pBdr>
        <w:rPr>
          <w:rFonts w:ascii="Arial" w:hAnsi="Arial"/>
          <w:b w:val="1"/>
          <w:bCs w:val="1"/>
          <w:color w:val="1F4E79"/>
          <w:sz w:val="36"/>
          <w:szCs w:val="36"/>
        </w:rPr>
      </w:pPr>
      <w:r w:rsidR="785ACED9">
        <w:drawing>
          <wp:inline xmlns:wp14="http://schemas.microsoft.com/office/word/2010/wordprocessingDrawing" wp14:editId="1486DDFA" wp14:anchorId="6ECE1C9D">
            <wp:extent cx="6597689" cy="6794111"/>
            <wp:effectExtent l="0" t="0" r="0" b="0"/>
            <wp:docPr id="4365083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0013951" name="Picture 1920013951"/>
                    <pic:cNvPicPr/>
                  </pic:nvPicPr>
                  <pic:blipFill>
                    <a:blip xmlns:r="http://schemas.openxmlformats.org/officeDocument/2006/relationships" r:embed="rId1985589579">
                      <a:extLst>
                        <a:ext uri="{28A0092B-C50C-407E-A947-70E740481C1C}">
                          <a14:useLocalDpi xmlns:a14="http://schemas.microsoft.com/office/drawing/2010/main"/>
                        </a:ext>
                      </a:extLst>
                    </a:blip>
                    <a:stretch>
                      <a:fillRect/>
                    </a:stretch>
                  </pic:blipFill>
                  <pic:spPr>
                    <a:xfrm rot="0">
                      <a:off x="0" y="0"/>
                      <a:ext cx="6597689" cy="6794111"/>
                    </a:xfrm>
                    <a:prstGeom prst="rect">
                      <a:avLst/>
                    </a:prstGeom>
                  </pic:spPr>
                </pic:pic>
              </a:graphicData>
            </a:graphic>
          </wp:inline>
        </w:drawing>
      </w:r>
    </w:p>
    <w:p xmlns:wp14="http://schemas.microsoft.com/office/word/2010/wordml" w14:paraId="44526807" wp14:textId="28382BAC">
      <w:pPr>
        <w:keepNext/>
        <w:spacing w:before="360" w:after="160"/>
        <w:pBdr>
          <w:bottom w:val="single" w:color="1F4E79" w:sz="12" w:space="4"/>
        </w:pBdr>
      </w:pPr>
      <w:r>
        <w:br w:type="page"/>
      </w:r>
    </w:p>
    <w:p xmlns:wp14="http://schemas.microsoft.com/office/word/2010/wordml" w:rsidP="2374F0F8" w14:paraId="02BBF480" wp14:textId="7E280F9E">
      <w:pPr>
        <w:pStyle w:val="Normal"/>
        <w:keepNext/>
        <w:spacing w:before="360" w:after="160"/>
        <w:pBdr>
          <w:bottom w:val="single" w:color="1F4E79" w:sz="12" w:space="4"/>
        </w:pBdr>
      </w:pPr>
      <w:r w:rsidRPr="2374F0F8" w:rsidR="2374F0F8">
        <w:rPr>
          <w:rFonts w:ascii="Arial" w:hAnsi="Arial"/>
          <w:b w:val="1"/>
          <w:bCs w:val="1"/>
          <w:color w:val="1F4E79"/>
          <w:sz w:val="36"/>
          <w:szCs w:val="36"/>
        </w:rPr>
        <w:t>Part B: Critical Reflection on Tutor and Peer Feedback</w:t>
      </w:r>
    </w:p>
    <w:p xmlns:wp14="http://schemas.microsoft.com/office/word/2010/wordml" w14:paraId="31291600" wp14:textId="77777777">
      <w:pPr>
        <w:spacing w:after="200" w:line="276" w:lineRule="auto"/>
      </w:pPr>
      <w:r>
        <w:t>Participating in the peer and tutor feedback presentation provided invaluable evaluative insights into the strengths and conceptual limitations of the initial poster proposal for the Sustainable Transport Hub Redevelopment project. Evaluating stakeholder communication, academic rigor, and project control mechanisms through external feedback served as a critical mechanism for refining the baseline project strategy into a comprehensive Project Management Plan (PMP).</w:t>
      </w:r>
    </w:p>
    <w:p xmlns:wp14="http://schemas.microsoft.com/office/word/2010/wordml" w14:paraId="72485442" wp14:textId="77777777">
      <w:pPr>
        <w:keepNext/>
        <w:spacing w:before="280" w:after="120"/>
      </w:pPr>
      <w:r>
        <w:rPr>
          <w:rFonts w:ascii="Arial" w:hAnsi="Arial"/>
          <w:b/>
          <w:color w:val="2E75B6"/>
          <w:sz w:val="28"/>
        </w:rPr>
        <w:t>Identification of Key Strengths</w:t>
      </w:r>
    </w:p>
    <w:p xmlns:wp14="http://schemas.microsoft.com/office/word/2010/wordml" w14:paraId="6A7F18DC" wp14:textId="77777777">
      <w:r>
        <w:t>The tutor and peer reviews highlighted several strong structural elements in the original proposal. Specifically, evaluators commended the clear strategic rationale behind turning an infrastructure crisis—the emergency closure of a 40-year-old transport hub due to structural decay—into an opportunity for sustainable urban regeneration. The explicit alignment with the UK net-zero transport targets and decarbonization mandates was identified as a major conceptual strength. Furthermore, evaluators noted that the poster effectively communicated the high-level scope boundaries and provided a visually concise breakdown of capital allocation and projected carbon footprint reduction pathways.</w:t>
      </w:r>
    </w:p>
    <w:p xmlns:wp14="http://schemas.microsoft.com/office/word/2010/wordml" w14:paraId="4293FCE9" wp14:textId="77777777">
      <w:pPr>
        <w:keepNext/>
        <w:spacing w:before="280" w:after="120"/>
      </w:pPr>
      <w:r>
        <w:rPr>
          <w:rFonts w:ascii="Arial" w:hAnsi="Arial"/>
          <w:b/>
          <w:color w:val="2E75B6"/>
          <w:sz w:val="28"/>
        </w:rPr>
        <w:t>Discussion of Areas for Improvement</w:t>
      </w:r>
    </w:p>
    <w:p xmlns:wp14="http://schemas.microsoft.com/office/word/2010/wordml" w14:paraId="252C5C9D" wp14:textId="77777777">
      <w:r w:rsidR="2374F0F8">
        <w:rPr/>
        <w:t xml:space="preserve">Despite these strengths, the feedback session exposed three primary areas requiring substantial improvement. First, the tutor noted that while the high-level objectives were well-articulated, the proposal lacked a visual operational timeline and execution schedule, specifically requesting the inclusion of a formal Gantt Chart to demonstrate project sequence and work breakdown viability. Second, peer evaluators identified typographical errors and inappropriate language choices resulting from automated software translation errors, which diminished the professional and academic tone of the poster. Third, the </w:t>
      </w:r>
      <w:bookmarkStart w:name="_Int_jQwNjzhp" w:id="1434226573"/>
      <w:r w:rsidR="2374F0F8">
        <w:rPr/>
        <w:t>initial</w:t>
      </w:r>
      <w:bookmarkEnd w:id="1434226573"/>
      <w:r w:rsidR="2374F0F8">
        <w:rPr/>
        <w:t xml:space="preserve"> academic reference list was noted as overly concise, lacking deeper methodological literature on project control frameworks, risk management, and stakeholder engagement theory.</w:t>
      </w:r>
    </w:p>
    <w:p xmlns:wp14="http://schemas.microsoft.com/office/word/2010/wordml" w14:paraId="31FBC392" wp14:textId="77777777">
      <w:pPr>
        <w:keepNext/>
        <w:spacing w:before="280" w:after="120"/>
      </w:pPr>
      <w:r>
        <w:rPr>
          <w:rFonts w:ascii="Arial" w:hAnsi="Arial"/>
          <w:b/>
          <w:color w:val="2E75B6"/>
          <w:sz w:val="28"/>
        </w:rPr>
        <w:t>Integration of Feedback into the Final Project Management Plan</w:t>
      </w:r>
    </w:p>
    <w:p xmlns:wp14="http://schemas.microsoft.com/office/word/2010/wordml" w14:paraId="528205AC" wp14:textId="5E17E3D6">
      <w:r w:rsidR="2374F0F8">
        <w:rPr/>
        <w:t xml:space="preserve">To address these critical observations systematically, three major corrective measures were implemented in the final project management plan. First, language mechanics were thoroughly audited and corrected, ensuring that professional British English terminology and precise project management nomenclature are </w:t>
      </w:r>
      <w:r w:rsidR="2374F0F8">
        <w:rPr/>
        <w:t>maintained</w:t>
      </w:r>
      <w:r w:rsidR="2374F0F8">
        <w:rPr/>
        <w:t xml:space="preserve"> consistently in the third-person passive voice. Second, the academic backing was </w:t>
      </w:r>
      <w:r w:rsidR="2374F0F8">
        <w:rPr/>
        <w:t>substantially expanded</w:t>
      </w:r>
      <w:r w:rsidR="2374F0F8">
        <w:rPr/>
        <w:t xml:space="preserve"> from six basic references to sixteen peer-reviewed scholarly sources, incorporating core management literature such as Kerzner (2017), PMBOK (2021), and Freeman (2010) to support stakeholder and risk frameworks. Third, a detailed 18-month Gantt Chart schedule and Work Breakdown Structure (WBS) were constructed, mapping out dependencies, milestones, and resource allocations across five distinct execution phases. </w:t>
      </w:r>
      <w:r w:rsidR="2374F0F8">
        <w:rPr/>
        <w:t>These revisions bridge the gap between strategic conceptualization and practical operational execution.</w:t>
      </w:r>
    </w:p>
    <w:p xmlns:wp14="http://schemas.microsoft.com/office/word/2010/wordml" w14:paraId="6A05A809" wp14:textId="77777777">
      <w:r>
        <w:br w:type="page"/>
      </w:r>
    </w:p>
    <w:p xmlns:wp14="http://schemas.microsoft.com/office/word/2010/wordml" w14:paraId="0E578821" wp14:textId="77777777">
      <w:pPr>
        <w:keepNext/>
        <w:spacing w:before="360" w:after="160"/>
        <w:pBdr>
          <w:bottom w:val="single" w:color="1F4E79" w:sz="12" w:space="4"/>
        </w:pBdr>
      </w:pPr>
      <w:r w:rsidRPr="2374F0F8" w:rsidR="2374F0F8">
        <w:rPr>
          <w:rFonts w:ascii="Arial" w:hAnsi="Arial"/>
          <w:b w:val="1"/>
          <w:bCs w:val="1"/>
          <w:color w:val="1F4E79"/>
          <w:sz w:val="36"/>
          <w:szCs w:val="36"/>
        </w:rPr>
        <w:t>Part C: Detailed Project Management Plan</w:t>
      </w:r>
    </w:p>
    <w:p xmlns:wp14="http://schemas.microsoft.com/office/word/2010/wordml" w:rsidP="2374F0F8" w14:paraId="39EE964F" wp14:textId="2CB900E8">
      <w:pPr>
        <w:keepNext w:val="1"/>
        <w:spacing w:before="280" w:after="120"/>
        <w:ind/>
        <w:rPr>
          <w:rFonts w:ascii="Calibri" w:hAnsi="Calibri" w:eastAsia="Calibri" w:cs="Calibri"/>
          <w:b w:val="0"/>
          <w:bCs w:val="0"/>
          <w:i w:val="0"/>
          <w:iCs w:val="0"/>
          <w:caps w:val="0"/>
          <w:smallCaps w:val="0"/>
          <w:noProof w:val="0"/>
          <w:color w:val="1F4E79"/>
          <w:sz w:val="32"/>
          <w:szCs w:val="32"/>
          <w:lang w:val="en-US"/>
        </w:rPr>
      </w:pPr>
      <w:r w:rsidRPr="2374F0F8" w:rsidR="15839DE2">
        <w:rPr>
          <w:rFonts w:ascii="Arial" w:hAnsi="Arial"/>
          <w:b w:val="1"/>
          <w:bCs w:val="1"/>
          <w:color w:val="2E75B6"/>
          <w:sz w:val="28"/>
          <w:szCs w:val="28"/>
        </w:rPr>
        <w:t xml:space="preserve"> </w:t>
      </w:r>
      <w:r w:rsidRPr="2374F0F8" w:rsidR="60AAF044">
        <w:rPr>
          <w:rFonts w:ascii="Calibri" w:hAnsi="Calibri" w:eastAsia="Calibri" w:cs="Calibri"/>
          <w:b w:val="1"/>
          <w:bCs w:val="1"/>
          <w:i w:val="0"/>
          <w:iCs w:val="0"/>
          <w:caps w:val="0"/>
          <w:smallCaps w:val="0"/>
          <w:noProof w:val="0"/>
          <w:color w:val="1F4E79"/>
          <w:sz w:val="32"/>
          <w:szCs w:val="32"/>
          <w:lang w:val="en-US"/>
        </w:rPr>
        <w:t>1. Introduction</w:t>
      </w:r>
    </w:p>
    <w:p xmlns:wp14="http://schemas.microsoft.com/office/word/2010/wordml" w:rsidP="2374F0F8" w14:paraId="4F5EE254" wp14:textId="7045A2A5">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0"/>
          <w:bCs w:val="0"/>
          <w:i w:val="0"/>
          <w:iCs w:val="0"/>
          <w:caps w:val="0"/>
          <w:smallCaps w:val="0"/>
          <w:noProof w:val="0"/>
          <w:color w:val="222222"/>
          <w:sz w:val="22"/>
          <w:szCs w:val="22"/>
          <w:lang w:val="en-US"/>
        </w:rPr>
        <w:t>This Project Management Plan (PMP) provides an exhaustive, academically rigorous, and execution-ready governance framework for the complete structural overhaul, modernization, and sustainable transformation of the municipal central transport interchange. The immediate operational necessity for this capital project was triggered by an emergency structural integrity audit following visible concrete spalling, carbonation, and load-bearing beam deflection in the core terminal building. The subsequent engineering inspection mandated an immediate operational shutdown to safeguard public welfare. The closure instantly severed primary urban commuter arteries, isolated regional bus feeds from heavy rail networks, and created massive socioeconomic friction across the metropolitan conurbation.</w:t>
      </w:r>
    </w:p>
    <w:p xmlns:wp14="http://schemas.microsoft.com/office/word/2010/wordml" w:rsidP="2374F0F8" w14:paraId="3B5767DA" wp14:textId="63BDB39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360"/>
        <w:ind/>
        <w:jc w:val="both"/>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0"/>
          <w:bCs w:val="0"/>
          <w:i w:val="0"/>
          <w:iCs w:val="0"/>
          <w:caps w:val="0"/>
          <w:smallCaps w:val="0"/>
          <w:noProof w:val="0"/>
          <w:color w:val="222222"/>
          <w:sz w:val="22"/>
          <w:szCs w:val="22"/>
          <w:lang w:val="en-US"/>
        </w:rPr>
        <w:t>Rather than pursuing a conventional, narrow repair strategy that would merely restore pre-existing conditions, the Municipal Transport Authority elected to adopt a strategic transformational charter: leveraging the forced outage to reconstruct the asset into a flagship Net-Zero carbon emissions multi-modal transport hub. This initiative directly operationalizes national climate governance commitments, specifically aligning with low-carbon infrastructure standards articulated by international civil engineering bodies and urban decarbonization frameworks. Budgeted at an authorized capital baseline of £45 million across a rigid 18-month execution lifecycle, this plan establishes systematic control baselines spanning scope, schedule, financial reserves, risk exposure, and multi-stakeholder governance in strict accordance with PMI PMBOK (7th Edition) principles.</w:t>
      </w:r>
    </w:p>
    <w:p xmlns:wp14="http://schemas.microsoft.com/office/word/2010/wordml" w:rsidP="2374F0F8" w14:paraId="587D7F83" wp14:textId="55D47A7E">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320"/>
        <w:ind/>
        <w:rPr>
          <w:rFonts w:ascii="Arial" w:hAnsi="Arial" w:eastAsia="Arial" w:cs="Arial"/>
          <w:b w:val="1"/>
          <w:bCs w:val="1"/>
          <w:i w:val="0"/>
          <w:iCs w:val="0"/>
          <w:caps w:val="0"/>
          <w:smallCaps w:val="0"/>
          <w:noProof w:val="0"/>
          <w:color w:val="1F4E79"/>
          <w:sz w:val="36"/>
          <w:szCs w:val="36"/>
          <w:lang w:val="en-US"/>
        </w:rPr>
      </w:pPr>
      <w:r w:rsidRPr="2374F0F8" w:rsidR="419256E4">
        <w:rPr>
          <w:rFonts w:ascii="Arial" w:hAnsi="Arial" w:eastAsia="Arial" w:cs="Arial"/>
          <w:b w:val="1"/>
          <w:bCs w:val="1"/>
          <w:i w:val="0"/>
          <w:iCs w:val="0"/>
          <w:caps w:val="0"/>
          <w:smallCaps w:val="0"/>
          <w:noProof w:val="0"/>
          <w:color w:val="1F4E79"/>
          <w:sz w:val="36"/>
          <w:szCs w:val="36"/>
          <w:lang w:val="en-US"/>
        </w:rPr>
        <w:t>2. Project Description, Engineering Architecture &amp; Strategic Rationale</w:t>
      </w:r>
    </w:p>
    <w:p xmlns:wp14="http://schemas.microsoft.com/office/word/2010/wordml" w:rsidP="2374F0F8" w14:paraId="05D00468" wp14:textId="0988E0C5">
      <w:pPr>
        <w:pStyle w:val="Heading2"/>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ind/>
        <w:rPr>
          <w:rFonts w:ascii="Arial" w:hAnsi="Arial" w:eastAsia="Arial" w:cs="Arial"/>
          <w:b w:val="1"/>
          <w:bCs w:val="1"/>
          <w:i w:val="0"/>
          <w:iCs w:val="0"/>
          <w:caps w:val="0"/>
          <w:smallCaps w:val="0"/>
          <w:noProof w:val="0"/>
          <w:color w:val="2E75B6"/>
          <w:sz w:val="28"/>
          <w:szCs w:val="28"/>
          <w:lang w:val="en-US"/>
        </w:rPr>
      </w:pPr>
      <w:r w:rsidRPr="2374F0F8" w:rsidR="419256E4">
        <w:rPr>
          <w:rFonts w:ascii="Arial" w:hAnsi="Arial" w:eastAsia="Arial" w:cs="Arial"/>
          <w:b w:val="1"/>
          <w:bCs w:val="1"/>
          <w:i w:val="0"/>
          <w:iCs w:val="0"/>
          <w:caps w:val="0"/>
          <w:smallCaps w:val="0"/>
          <w:noProof w:val="0"/>
          <w:color w:val="2E75B6"/>
          <w:sz w:val="28"/>
          <w:szCs w:val="28"/>
          <w:lang w:val="en-US"/>
        </w:rPr>
        <w:t>2.1 Infrastructure &amp; Technical Architecture</w:t>
      </w:r>
    </w:p>
    <w:p xmlns:wp14="http://schemas.microsoft.com/office/word/2010/wordml" w:rsidP="2374F0F8" w14:paraId="559E00D9" wp14:textId="7250F1D5">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0"/>
          <w:bCs w:val="0"/>
          <w:i w:val="0"/>
          <w:iCs w:val="0"/>
          <w:caps w:val="0"/>
          <w:smallCaps w:val="0"/>
          <w:noProof w:val="0"/>
          <w:color w:val="222222"/>
          <w:sz w:val="22"/>
          <w:szCs w:val="22"/>
          <w:lang w:val="en-US"/>
        </w:rPr>
        <w:t>The technical scope encompasses selective deconstruction, concrete jacket reinforcement, deep structural retrofitting, and the advanced digital integration of a modern multi-modal interchange. The upgraded facility will serve as the physical and digital spine for regional bus fleets, micro-mobility operations, taxi services, and heavy rail connectivity.</w:t>
      </w:r>
    </w:p>
    <w:p xmlns:wp14="http://schemas.microsoft.com/office/word/2010/wordml" w:rsidP="2374F0F8" w14:paraId="08AD7770" wp14:textId="50C74FCC">
      <w:pPr>
        <w:pStyle w:val="ListParagraph"/>
        <w:numPr>
          <w:ilvl w:val="0"/>
          <w:numId w:val="12"/>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0" w:afterAutospacing="off"/>
        <w:ind w:left="400" w:hanging="360"/>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1"/>
          <w:bCs w:val="1"/>
          <w:i w:val="0"/>
          <w:iCs w:val="0"/>
          <w:caps w:val="0"/>
          <w:smallCaps w:val="0"/>
          <w:noProof w:val="0"/>
          <w:color w:val="222222"/>
          <w:sz w:val="22"/>
          <w:szCs w:val="22"/>
          <w:lang w:val="en-US"/>
        </w:rPr>
        <w:t>On-Site Renewable Micro-Grid &amp; Photovoltaic Canopy:</w:t>
      </w:r>
      <w:r w:rsidRPr="2374F0F8" w:rsidR="419256E4">
        <w:rPr>
          <w:rFonts w:ascii="Arial" w:hAnsi="Arial" w:eastAsia="Arial" w:cs="Arial"/>
          <w:b w:val="0"/>
          <w:bCs w:val="0"/>
          <w:i w:val="0"/>
          <w:iCs w:val="0"/>
          <w:caps w:val="0"/>
          <w:smallCaps w:val="0"/>
          <w:noProof w:val="0"/>
          <w:color w:val="222222"/>
          <w:sz w:val="22"/>
          <w:szCs w:val="22"/>
          <w:lang w:val="en-US"/>
        </w:rPr>
        <w:t xml:space="preserve"> Engineering and installation of an integrated photovoltaic solar roof system capable of generating 1.2 MWp of clean energy. This system is backed by a 2.5 MWh industrial Battery Energy Storage System to smooth peak loads and ensure baseline operational self-sufficiency.</w:t>
      </w:r>
    </w:p>
    <w:p xmlns:wp14="http://schemas.microsoft.com/office/word/2010/wordml" w:rsidP="2374F0F8" w14:paraId="16169985" wp14:textId="6D86C9A5">
      <w:pPr>
        <w:pStyle w:val="ListParagraph"/>
        <w:numPr>
          <w:ilvl w:val="0"/>
          <w:numId w:val="12"/>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beforeAutospacing="off" w:after="0" w:afterAutospacing="off"/>
        <w:ind w:left="400" w:hanging="360"/>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1"/>
          <w:bCs w:val="1"/>
          <w:i w:val="0"/>
          <w:iCs w:val="0"/>
          <w:caps w:val="0"/>
          <w:smallCaps w:val="0"/>
          <w:noProof w:val="0"/>
          <w:color w:val="222222"/>
          <w:sz w:val="22"/>
          <w:szCs w:val="22"/>
          <w:lang w:val="en-US"/>
        </w:rPr>
        <w:t>Ultra-Rapid Electric Vehicle Charging Infrastructure:</w:t>
      </w:r>
      <w:r w:rsidRPr="2374F0F8" w:rsidR="419256E4">
        <w:rPr>
          <w:rFonts w:ascii="Arial" w:hAnsi="Arial" w:eastAsia="Arial" w:cs="Arial"/>
          <w:b w:val="0"/>
          <w:bCs w:val="0"/>
          <w:i w:val="0"/>
          <w:iCs w:val="0"/>
          <w:caps w:val="0"/>
          <w:smallCaps w:val="0"/>
          <w:noProof w:val="0"/>
          <w:color w:val="222222"/>
          <w:sz w:val="22"/>
          <w:szCs w:val="22"/>
          <w:lang w:val="en-US"/>
        </w:rPr>
        <w:t xml:space="preserve"> Deployment of 12 </w:t>
      </w:r>
      <w:r w:rsidRPr="2374F0F8" w:rsidR="419256E4">
        <w:rPr>
          <w:rFonts w:ascii="Arial" w:hAnsi="Arial" w:eastAsia="Arial" w:cs="Arial"/>
          <w:b w:val="0"/>
          <w:bCs w:val="0"/>
          <w:i w:val="0"/>
          <w:iCs w:val="0"/>
          <w:caps w:val="0"/>
          <w:smallCaps w:val="0"/>
          <w:noProof w:val="0"/>
          <w:color w:val="222222"/>
          <w:sz w:val="22"/>
          <w:szCs w:val="22"/>
          <w:lang w:val="en-US"/>
        </w:rPr>
        <w:t>high-capacity</w:t>
      </w:r>
      <w:r w:rsidRPr="2374F0F8" w:rsidR="419256E4">
        <w:rPr>
          <w:rFonts w:ascii="Arial" w:hAnsi="Arial" w:eastAsia="Arial" w:cs="Arial"/>
          <w:b w:val="0"/>
          <w:bCs w:val="0"/>
          <w:i w:val="0"/>
          <w:iCs w:val="0"/>
          <w:caps w:val="0"/>
          <w:smallCaps w:val="0"/>
          <w:noProof w:val="0"/>
          <w:color w:val="222222"/>
          <w:sz w:val="22"/>
          <w:szCs w:val="22"/>
          <w:lang w:val="en-US"/>
        </w:rPr>
        <w:t xml:space="preserve"> 350kW DC ultra-rapid charging bays dedicated to municipal electric bus fleets, complemented by secondary AC charging hubs for public mobility and commercial taxis.</w:t>
      </w:r>
    </w:p>
    <w:p xmlns:wp14="http://schemas.microsoft.com/office/word/2010/wordml" w:rsidP="2374F0F8" w14:paraId="269DDB68" wp14:textId="3B45574A">
      <w:pPr>
        <w:pStyle w:val="ListParagraph"/>
        <w:numPr>
          <w:ilvl w:val="0"/>
          <w:numId w:val="12"/>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beforeAutospacing="off" w:after="0" w:afterAutospacing="off"/>
        <w:ind w:left="400" w:hanging="360"/>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1"/>
          <w:bCs w:val="1"/>
          <w:i w:val="0"/>
          <w:iCs w:val="0"/>
          <w:caps w:val="0"/>
          <w:smallCaps w:val="0"/>
          <w:noProof w:val="0"/>
          <w:color w:val="222222"/>
          <w:sz w:val="22"/>
          <w:szCs w:val="22"/>
          <w:lang w:val="en-US"/>
        </w:rPr>
        <w:t>Smart Building Management System:</w:t>
      </w:r>
      <w:r w:rsidRPr="2374F0F8" w:rsidR="419256E4">
        <w:rPr>
          <w:rFonts w:ascii="Arial" w:hAnsi="Arial" w:eastAsia="Arial" w:cs="Arial"/>
          <w:b w:val="0"/>
          <w:bCs w:val="0"/>
          <w:i w:val="0"/>
          <w:iCs w:val="0"/>
          <w:caps w:val="0"/>
          <w:smallCaps w:val="0"/>
          <w:noProof w:val="0"/>
          <w:color w:val="222222"/>
          <w:sz w:val="22"/>
          <w:szCs w:val="22"/>
          <w:lang w:val="en-US"/>
        </w:rPr>
        <w:t xml:space="preserve"> Implementation of automated IoT sensor networks to continuously regulate geothermal HVAC climate control, occupancy-based LED illumination, rainwater harvesting systems, and structural health monitoring sensors embedded within reinforced concrete elements.</w:t>
      </w:r>
    </w:p>
    <w:p xmlns:wp14="http://schemas.microsoft.com/office/word/2010/wordml" w:rsidP="2374F0F8" w14:paraId="77F71F8C" wp14:textId="67FE1C9A">
      <w:pPr>
        <w:pStyle w:val="ListParagraph"/>
        <w:numPr>
          <w:ilvl w:val="0"/>
          <w:numId w:val="12"/>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beforeAutospacing="off" w:after="80"/>
        <w:ind w:left="400" w:hanging="360"/>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1"/>
          <w:bCs w:val="1"/>
          <w:i w:val="0"/>
          <w:iCs w:val="0"/>
          <w:caps w:val="0"/>
          <w:smallCaps w:val="0"/>
          <w:noProof w:val="0"/>
          <w:color w:val="222222"/>
          <w:sz w:val="22"/>
          <w:szCs w:val="22"/>
          <w:lang w:val="en-US"/>
        </w:rPr>
        <w:t>Universal Accessibility &amp; Real-Time Digital Interface:</w:t>
      </w:r>
      <w:r w:rsidRPr="2374F0F8" w:rsidR="419256E4">
        <w:rPr>
          <w:rFonts w:ascii="Arial" w:hAnsi="Arial" w:eastAsia="Arial" w:cs="Arial"/>
          <w:b w:val="0"/>
          <w:bCs w:val="0"/>
          <w:i w:val="0"/>
          <w:iCs w:val="0"/>
          <w:caps w:val="0"/>
          <w:smallCaps w:val="0"/>
          <w:noProof w:val="0"/>
          <w:color w:val="222222"/>
          <w:sz w:val="22"/>
          <w:szCs w:val="22"/>
          <w:lang w:val="en-US"/>
        </w:rPr>
        <w:t xml:space="preserve"> Integration of dynamic Real-Time Passenger Information Systems, contactless payment barriers, step-free tactile paving, and full compliance with inclusive design standards to </w:t>
      </w:r>
      <w:r w:rsidRPr="2374F0F8" w:rsidR="419256E4">
        <w:rPr>
          <w:rFonts w:ascii="Arial" w:hAnsi="Arial" w:eastAsia="Arial" w:cs="Arial"/>
          <w:b w:val="0"/>
          <w:bCs w:val="0"/>
          <w:i w:val="0"/>
          <w:iCs w:val="0"/>
          <w:caps w:val="0"/>
          <w:smallCaps w:val="0"/>
          <w:noProof w:val="0"/>
          <w:color w:val="222222"/>
          <w:sz w:val="22"/>
          <w:szCs w:val="22"/>
          <w:lang w:val="en-US"/>
        </w:rPr>
        <w:t>optimize</w:t>
      </w:r>
      <w:r w:rsidRPr="2374F0F8" w:rsidR="419256E4">
        <w:rPr>
          <w:rFonts w:ascii="Arial" w:hAnsi="Arial" w:eastAsia="Arial" w:cs="Arial"/>
          <w:b w:val="0"/>
          <w:bCs w:val="0"/>
          <w:i w:val="0"/>
          <w:iCs w:val="0"/>
          <w:caps w:val="0"/>
          <w:smallCaps w:val="0"/>
          <w:noProof w:val="0"/>
          <w:color w:val="222222"/>
          <w:sz w:val="22"/>
          <w:szCs w:val="22"/>
          <w:lang w:val="en-US"/>
        </w:rPr>
        <w:t xml:space="preserve"> passenger throughput and safety.</w:t>
      </w:r>
    </w:p>
    <w:p xmlns:wp14="http://schemas.microsoft.com/office/word/2010/wordml" w:rsidP="2374F0F8" w14:paraId="28EDF7C6" wp14:textId="4DA5D3FE">
      <w:pPr>
        <w:pStyle w:val="Heading2"/>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240" w:after="120"/>
        <w:ind/>
        <w:rPr>
          <w:rFonts w:ascii="Arial" w:hAnsi="Arial" w:eastAsia="Arial" w:cs="Arial"/>
          <w:b w:val="1"/>
          <w:bCs w:val="1"/>
          <w:i w:val="0"/>
          <w:iCs w:val="0"/>
          <w:caps w:val="0"/>
          <w:smallCaps w:val="0"/>
          <w:noProof w:val="0"/>
          <w:color w:val="2E75B6"/>
          <w:sz w:val="28"/>
          <w:szCs w:val="28"/>
          <w:lang w:val="en-US"/>
        </w:rPr>
      </w:pPr>
      <w:r w:rsidRPr="2374F0F8" w:rsidR="419256E4">
        <w:rPr>
          <w:rFonts w:ascii="Arial" w:hAnsi="Arial" w:eastAsia="Arial" w:cs="Arial"/>
          <w:b w:val="1"/>
          <w:bCs w:val="1"/>
          <w:i w:val="0"/>
          <w:iCs w:val="0"/>
          <w:caps w:val="0"/>
          <w:smallCaps w:val="0"/>
          <w:noProof w:val="0"/>
          <w:color w:val="2E75B6"/>
          <w:sz w:val="28"/>
          <w:szCs w:val="28"/>
          <w:lang w:val="en-US"/>
        </w:rPr>
        <w:t>2.2 Strategic Rationale &amp; Socioeconomic Value Proposition</w:t>
      </w:r>
    </w:p>
    <w:p xmlns:wp14="http://schemas.microsoft.com/office/word/2010/wordml" w:rsidP="2374F0F8" w14:paraId="38AA42EE" wp14:textId="338A793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0"/>
          <w:bCs w:val="0"/>
          <w:i w:val="0"/>
          <w:iCs w:val="0"/>
          <w:caps w:val="0"/>
          <w:smallCaps w:val="0"/>
          <w:noProof w:val="0"/>
          <w:color w:val="222222"/>
          <w:sz w:val="22"/>
          <w:szCs w:val="22"/>
          <w:lang w:val="en-US"/>
        </w:rPr>
        <w:t>The strategic justification rests upon three foundational pillars: public safety, climate decarbonization, and long-term socioeconomic value creation. Remediating structural failures eliminates civil liability risks while restoring public trust in municipal civil engineering assets. From an environmental perspective, transitioning from fossil-fuel reliance to an energy-positive transport node dramatically reduces operational Scope 1 and Scope 2 carbon emissions over a 50-year design life cycle.</w:t>
      </w:r>
    </w:p>
    <w:p xmlns:wp14="http://schemas.microsoft.com/office/word/2010/wordml" w:rsidP="2374F0F8" w14:paraId="69F3A4A5" wp14:textId="3DE86D1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360"/>
        <w:ind/>
        <w:jc w:val="both"/>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0"/>
          <w:bCs w:val="0"/>
          <w:i w:val="0"/>
          <w:iCs w:val="0"/>
          <w:caps w:val="0"/>
          <w:smallCaps w:val="0"/>
          <w:noProof w:val="0"/>
          <w:color w:val="222222"/>
          <w:sz w:val="22"/>
          <w:szCs w:val="22"/>
          <w:lang w:val="en-US"/>
        </w:rPr>
        <w:t xml:space="preserve">Furthermore, economic modeling </w:t>
      </w:r>
      <w:r w:rsidRPr="2374F0F8" w:rsidR="419256E4">
        <w:rPr>
          <w:rFonts w:ascii="Arial" w:hAnsi="Arial" w:eastAsia="Arial" w:cs="Arial"/>
          <w:b w:val="0"/>
          <w:bCs w:val="0"/>
          <w:i w:val="0"/>
          <w:iCs w:val="0"/>
          <w:caps w:val="0"/>
          <w:smallCaps w:val="0"/>
          <w:noProof w:val="0"/>
          <w:color w:val="222222"/>
          <w:sz w:val="22"/>
          <w:szCs w:val="22"/>
          <w:lang w:val="en-US"/>
        </w:rPr>
        <w:t>indicates</w:t>
      </w:r>
      <w:r w:rsidRPr="2374F0F8" w:rsidR="419256E4">
        <w:rPr>
          <w:rFonts w:ascii="Arial" w:hAnsi="Arial" w:eastAsia="Arial" w:cs="Arial"/>
          <w:b w:val="0"/>
          <w:bCs w:val="0"/>
          <w:i w:val="0"/>
          <w:iCs w:val="0"/>
          <w:caps w:val="0"/>
          <w:smallCaps w:val="0"/>
          <w:noProof w:val="0"/>
          <w:color w:val="222222"/>
          <w:sz w:val="22"/>
          <w:szCs w:val="22"/>
          <w:lang w:val="en-US"/>
        </w:rPr>
        <w:t xml:space="preserve"> a high Social Return on Investment. </w:t>
      </w:r>
      <w:r w:rsidRPr="2374F0F8" w:rsidR="419256E4">
        <w:rPr>
          <w:rFonts w:ascii="Arial" w:hAnsi="Arial" w:eastAsia="Arial" w:cs="Arial"/>
          <w:b w:val="0"/>
          <w:bCs w:val="0"/>
          <w:i w:val="0"/>
          <w:iCs w:val="0"/>
          <w:caps w:val="0"/>
          <w:smallCaps w:val="0"/>
          <w:noProof w:val="0"/>
          <w:color w:val="222222"/>
          <w:sz w:val="22"/>
          <w:szCs w:val="22"/>
          <w:lang w:val="en-US"/>
        </w:rPr>
        <w:t>Eliminating</w:t>
      </w:r>
      <w:r w:rsidRPr="2374F0F8" w:rsidR="419256E4">
        <w:rPr>
          <w:rFonts w:ascii="Arial" w:hAnsi="Arial" w:eastAsia="Arial" w:cs="Arial"/>
          <w:b w:val="0"/>
          <w:bCs w:val="0"/>
          <w:i w:val="0"/>
          <w:iCs w:val="0"/>
          <w:caps w:val="0"/>
          <w:smallCaps w:val="0"/>
          <w:noProof w:val="0"/>
          <w:color w:val="222222"/>
          <w:sz w:val="22"/>
          <w:szCs w:val="22"/>
          <w:lang w:val="en-US"/>
        </w:rPr>
        <w:t xml:space="preserve"> transport bottlenecks reduces daily commuter transit times by an estimated 18%, returning lost economic productivity to the regional economy. During execution, the project enforces localized supply-chain sourcing mandates, generating over 250 skilled green-construction jobs and apprenticeships.</w:t>
      </w:r>
    </w:p>
    <w:p xmlns:wp14="http://schemas.microsoft.com/office/word/2010/wordml" w:rsidP="2374F0F8" w14:paraId="56D0D3D8" wp14:textId="01011493">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40"/>
        <w:ind/>
        <w:rPr>
          <w:rFonts w:ascii="Arial" w:hAnsi="Arial" w:eastAsia="Arial" w:cs="Arial"/>
          <w:b w:val="1"/>
          <w:bCs w:val="1"/>
          <w:i w:val="0"/>
          <w:iCs w:val="0"/>
          <w:caps w:val="0"/>
          <w:smallCaps w:val="0"/>
          <w:noProof w:val="0"/>
          <w:color w:val="1F4E79"/>
          <w:sz w:val="36"/>
          <w:szCs w:val="36"/>
          <w:lang w:val="en-US"/>
        </w:rPr>
      </w:pPr>
      <w:r w:rsidRPr="2374F0F8" w:rsidR="419256E4">
        <w:rPr>
          <w:rFonts w:ascii="Arial" w:hAnsi="Arial" w:eastAsia="Arial" w:cs="Arial"/>
          <w:b w:val="1"/>
          <w:bCs w:val="1"/>
          <w:i w:val="0"/>
          <w:iCs w:val="0"/>
          <w:caps w:val="0"/>
          <w:smallCaps w:val="0"/>
          <w:noProof w:val="0"/>
          <w:color w:val="1F4E79"/>
          <w:sz w:val="36"/>
          <w:szCs w:val="36"/>
          <w:lang w:val="en-US"/>
        </w:rPr>
        <w:t>3. Scope Boundaries &amp; Technical Requirements</w:t>
      </w:r>
    </w:p>
    <w:p xmlns:wp14="http://schemas.microsoft.com/office/word/2010/wordml" w:rsidP="2374F0F8" w14:paraId="0D6125EA" wp14:textId="2597FFB5">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240"/>
        <w:ind/>
        <w:jc w:val="both"/>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0"/>
          <w:bCs w:val="0"/>
          <w:i w:val="0"/>
          <w:iCs w:val="0"/>
          <w:caps w:val="0"/>
          <w:smallCaps w:val="0"/>
          <w:noProof w:val="0"/>
          <w:color w:val="222222"/>
          <w:sz w:val="22"/>
          <w:szCs w:val="22"/>
          <w:lang w:val="en-US"/>
        </w:rPr>
        <w:t>To establish formal project boundaries and eliminate scope creep, explicit deliverable parameters have been codified.</w:t>
      </w:r>
    </w:p>
    <w:p xmlns:wp14="http://schemas.microsoft.com/office/word/2010/wordml" w:rsidP="2374F0F8" w14:paraId="454F2768" wp14:textId="2EF6F987">
      <w:pPr>
        <w:pStyle w:val="Heading2"/>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ind/>
        <w:rPr>
          <w:rFonts w:ascii="Arial" w:hAnsi="Arial" w:eastAsia="Arial" w:cs="Arial"/>
          <w:b w:val="1"/>
          <w:bCs w:val="1"/>
          <w:i w:val="0"/>
          <w:iCs w:val="0"/>
          <w:caps w:val="0"/>
          <w:smallCaps w:val="0"/>
          <w:noProof w:val="0"/>
          <w:color w:val="2E75B6"/>
          <w:sz w:val="28"/>
          <w:szCs w:val="28"/>
          <w:lang w:val="en-US"/>
        </w:rPr>
      </w:pPr>
      <w:r w:rsidRPr="2374F0F8" w:rsidR="419256E4">
        <w:rPr>
          <w:rFonts w:ascii="Arial" w:hAnsi="Arial" w:eastAsia="Arial" w:cs="Arial"/>
          <w:b w:val="1"/>
          <w:bCs w:val="1"/>
          <w:i w:val="0"/>
          <w:iCs w:val="0"/>
          <w:caps w:val="0"/>
          <w:smallCaps w:val="0"/>
          <w:noProof w:val="0"/>
          <w:color w:val="2E75B6"/>
          <w:sz w:val="28"/>
          <w:szCs w:val="28"/>
          <w:lang w:val="en-US"/>
        </w:rPr>
        <w:t>3.1 In-Scope Deliverables</w:t>
      </w:r>
    </w:p>
    <w:p xmlns:wp14="http://schemas.microsoft.com/office/word/2010/wordml" w:rsidP="2374F0F8" w14:paraId="07039F7C" wp14:textId="65552325">
      <w:pPr>
        <w:pStyle w:val="ListParagraph"/>
        <w:numPr>
          <w:ilvl w:val="0"/>
          <w:numId w:val="13"/>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0" w:afterAutospacing="off"/>
        <w:ind w:left="400" w:hanging="360"/>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0"/>
          <w:bCs w:val="0"/>
          <w:i w:val="0"/>
          <w:iCs w:val="0"/>
          <w:caps w:val="0"/>
          <w:smallCaps w:val="0"/>
          <w:noProof w:val="0"/>
          <w:color w:val="222222"/>
          <w:sz w:val="22"/>
          <w:szCs w:val="22"/>
          <w:lang w:val="en-US"/>
        </w:rPr>
        <w:t>Full structural rehabilitation, carbon fiber wrapping, resin injection, and concrete jacketing across all load-bearing columns and substructures.</w:t>
      </w:r>
    </w:p>
    <w:p xmlns:wp14="http://schemas.microsoft.com/office/word/2010/wordml" w:rsidP="2374F0F8" w14:paraId="35F43FCD" wp14:textId="1B91FA61">
      <w:pPr>
        <w:pStyle w:val="ListParagraph"/>
        <w:numPr>
          <w:ilvl w:val="0"/>
          <w:numId w:val="13"/>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beforeAutospacing="off" w:after="0" w:afterAutospacing="off"/>
        <w:ind w:left="400" w:hanging="360"/>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0"/>
          <w:bCs w:val="0"/>
          <w:i w:val="0"/>
          <w:iCs w:val="0"/>
          <w:caps w:val="0"/>
          <w:smallCaps w:val="0"/>
          <w:noProof w:val="0"/>
          <w:color w:val="222222"/>
          <w:sz w:val="22"/>
          <w:szCs w:val="22"/>
          <w:lang w:val="en-US"/>
        </w:rPr>
        <w:t>Engineering procurement, structural mounting, electrical cabling, and grid integration of the 1.2 MWp PV roof array and BESS unit.</w:t>
      </w:r>
    </w:p>
    <w:p xmlns:wp14="http://schemas.microsoft.com/office/word/2010/wordml" w:rsidP="2374F0F8" w14:paraId="3ECCD8A4" wp14:textId="7A6932B8">
      <w:pPr>
        <w:pStyle w:val="ListParagraph"/>
        <w:numPr>
          <w:ilvl w:val="0"/>
          <w:numId w:val="13"/>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beforeAutospacing="off" w:after="0" w:afterAutospacing="off"/>
        <w:ind w:left="400" w:hanging="360"/>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0"/>
          <w:bCs w:val="0"/>
          <w:i w:val="0"/>
          <w:iCs w:val="0"/>
          <w:caps w:val="0"/>
          <w:smallCaps w:val="0"/>
          <w:noProof w:val="0"/>
          <w:color w:val="222222"/>
          <w:sz w:val="22"/>
          <w:szCs w:val="22"/>
          <w:lang w:val="en-US"/>
        </w:rPr>
        <w:t>Installation of high-voltage sub-station transformers and 350kW DC ultra-rapid charging infrastructure.</w:t>
      </w:r>
    </w:p>
    <w:p xmlns:wp14="http://schemas.microsoft.com/office/word/2010/wordml" w:rsidP="2374F0F8" w14:paraId="45EA8CA6" wp14:textId="003915DE">
      <w:pPr>
        <w:pStyle w:val="ListParagraph"/>
        <w:numPr>
          <w:ilvl w:val="0"/>
          <w:numId w:val="13"/>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beforeAutospacing="off" w:after="0" w:afterAutospacing="off"/>
        <w:ind w:left="400" w:hanging="360"/>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0"/>
          <w:bCs w:val="0"/>
          <w:i w:val="0"/>
          <w:iCs w:val="0"/>
          <w:caps w:val="0"/>
          <w:smallCaps w:val="0"/>
          <w:noProof w:val="0"/>
          <w:color w:val="222222"/>
          <w:sz w:val="22"/>
          <w:szCs w:val="22"/>
          <w:lang w:val="en-US"/>
        </w:rPr>
        <w:t>Internal terminal fit-out, HVAC mechanical overhaul, smart BMS integration, and universal accessibility construction.</w:t>
      </w:r>
    </w:p>
    <w:p xmlns:wp14="http://schemas.microsoft.com/office/word/2010/wordml" w:rsidP="2374F0F8" w14:paraId="712435DA" wp14:textId="7F230CB3">
      <w:pPr>
        <w:pStyle w:val="ListParagraph"/>
        <w:numPr>
          <w:ilvl w:val="0"/>
          <w:numId w:val="13"/>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beforeAutospacing="off" w:after="0" w:afterAutospacing="off"/>
        <w:ind w:left="400" w:hanging="360"/>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0"/>
          <w:bCs w:val="0"/>
          <w:i w:val="0"/>
          <w:iCs w:val="0"/>
          <w:caps w:val="0"/>
          <w:smallCaps w:val="0"/>
          <w:noProof w:val="0"/>
          <w:color w:val="222222"/>
          <w:sz w:val="22"/>
          <w:szCs w:val="22"/>
          <w:lang w:val="en-US"/>
        </w:rPr>
        <w:t>Deployment of cloud-connected digital passenger displays, automated fare collection barriers, and CCTV safety monitoring systems.</w:t>
      </w:r>
    </w:p>
    <w:p xmlns:wp14="http://schemas.microsoft.com/office/word/2010/wordml" w:rsidP="2374F0F8" w14:paraId="5DC00151" wp14:textId="0333DF5D">
      <w:pPr>
        <w:pStyle w:val="ListParagraph"/>
        <w:numPr>
          <w:ilvl w:val="0"/>
          <w:numId w:val="13"/>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beforeAutospacing="off" w:after="80"/>
        <w:ind w:left="400" w:hanging="360"/>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0"/>
          <w:bCs w:val="0"/>
          <w:i w:val="0"/>
          <w:iCs w:val="0"/>
          <w:caps w:val="0"/>
          <w:smallCaps w:val="0"/>
          <w:noProof w:val="0"/>
          <w:color w:val="222222"/>
          <w:sz w:val="22"/>
          <w:szCs w:val="22"/>
          <w:lang w:val="en-US"/>
        </w:rPr>
        <w:t>Third-party environmental auditing and compliance management to secure formal BREEAM 'Outstanding' certification.</w:t>
      </w:r>
    </w:p>
    <w:p xmlns:wp14="http://schemas.microsoft.com/office/word/2010/wordml" w:rsidP="2374F0F8" w14:paraId="74F8C642" wp14:textId="26C50763">
      <w:pPr>
        <w:pStyle w:val="Heading2"/>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240" w:after="120"/>
        <w:ind/>
        <w:rPr>
          <w:rFonts w:ascii="Arial" w:hAnsi="Arial" w:eastAsia="Arial" w:cs="Arial"/>
          <w:b w:val="1"/>
          <w:bCs w:val="1"/>
          <w:i w:val="0"/>
          <w:iCs w:val="0"/>
          <w:caps w:val="0"/>
          <w:smallCaps w:val="0"/>
          <w:noProof w:val="0"/>
          <w:color w:val="2E75B6"/>
          <w:sz w:val="28"/>
          <w:szCs w:val="28"/>
          <w:lang w:val="en-US"/>
        </w:rPr>
      </w:pPr>
      <w:r w:rsidRPr="2374F0F8" w:rsidR="419256E4">
        <w:rPr>
          <w:rFonts w:ascii="Arial" w:hAnsi="Arial" w:eastAsia="Arial" w:cs="Arial"/>
          <w:b w:val="1"/>
          <w:bCs w:val="1"/>
          <w:i w:val="0"/>
          <w:iCs w:val="0"/>
          <w:caps w:val="0"/>
          <w:smallCaps w:val="0"/>
          <w:noProof w:val="0"/>
          <w:color w:val="2E75B6"/>
          <w:sz w:val="28"/>
          <w:szCs w:val="28"/>
          <w:lang w:val="en-US"/>
        </w:rPr>
        <w:t>3.2 Out-of-Scope</w:t>
      </w:r>
    </w:p>
    <w:p xmlns:wp14="http://schemas.microsoft.com/office/word/2010/wordml" w:rsidP="2374F0F8" w14:paraId="3A2ABE35" wp14:textId="43B5FE12">
      <w:pPr>
        <w:pStyle w:val="ListParagraph"/>
        <w:numPr>
          <w:ilvl w:val="0"/>
          <w:numId w:val="14"/>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0" w:afterAutospacing="off"/>
        <w:ind w:left="400" w:hanging="360"/>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0"/>
          <w:bCs w:val="0"/>
          <w:i w:val="0"/>
          <w:iCs w:val="0"/>
          <w:caps w:val="0"/>
          <w:smallCaps w:val="0"/>
          <w:noProof w:val="0"/>
          <w:color w:val="222222"/>
          <w:sz w:val="22"/>
          <w:szCs w:val="22"/>
          <w:lang w:val="en-US"/>
        </w:rPr>
        <w:t>Maintenance, repair, or signaling upgrades to external national railway tracks outside the physical boundaries of the hub site.</w:t>
      </w:r>
    </w:p>
    <w:p xmlns:wp14="http://schemas.microsoft.com/office/word/2010/wordml" w:rsidP="2374F0F8" w14:paraId="3D03B734" wp14:textId="3FAB98DA">
      <w:pPr>
        <w:pStyle w:val="ListParagraph"/>
        <w:numPr>
          <w:ilvl w:val="0"/>
          <w:numId w:val="14"/>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beforeAutospacing="off" w:after="0" w:afterAutospacing="off"/>
        <w:ind w:left="400" w:hanging="360"/>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0"/>
          <w:bCs w:val="0"/>
          <w:i w:val="0"/>
          <w:iCs w:val="0"/>
          <w:caps w:val="0"/>
          <w:smallCaps w:val="0"/>
          <w:noProof w:val="0"/>
          <w:color w:val="222222"/>
          <w:sz w:val="22"/>
          <w:szCs w:val="22"/>
          <w:lang w:val="en-US"/>
        </w:rPr>
        <w:t>Procurement, leasing, or direct operational maintenance of electric transit buses, taxis, or commercial micro-mobility fleets.</w:t>
      </w:r>
    </w:p>
    <w:p xmlns:wp14="http://schemas.microsoft.com/office/word/2010/wordml" w:rsidP="2374F0F8" w14:paraId="20852972" wp14:textId="689C11FC">
      <w:pPr>
        <w:pStyle w:val="ListParagraph"/>
        <w:numPr>
          <w:ilvl w:val="0"/>
          <w:numId w:val="14"/>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beforeAutospacing="off" w:after="80"/>
        <w:ind w:left="400" w:hanging="360"/>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0"/>
          <w:bCs w:val="0"/>
          <w:i w:val="0"/>
          <w:iCs w:val="0"/>
          <w:caps w:val="0"/>
          <w:smallCaps w:val="0"/>
          <w:noProof w:val="0"/>
          <w:color w:val="222222"/>
          <w:sz w:val="22"/>
          <w:szCs w:val="22"/>
          <w:lang w:val="en-US"/>
        </w:rPr>
        <w:t>Long-term post-handover facility management, commercial retail leasing operations, and transit timetable scheduling.</w:t>
      </w:r>
    </w:p>
    <w:p xmlns:wp14="http://schemas.microsoft.com/office/word/2010/wordml" w:rsidP="2374F0F8" w14:paraId="11C05C14" wp14:textId="6CBCA137">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360" w:after="240"/>
        <w:ind/>
        <w:rPr>
          <w:rFonts w:ascii="Arial" w:hAnsi="Arial" w:eastAsia="Arial" w:cs="Arial"/>
          <w:b w:val="1"/>
          <w:bCs w:val="1"/>
          <w:i w:val="0"/>
          <w:iCs w:val="0"/>
          <w:caps w:val="0"/>
          <w:smallCaps w:val="0"/>
          <w:noProof w:val="0"/>
          <w:color w:val="1F4E79"/>
          <w:sz w:val="36"/>
          <w:szCs w:val="36"/>
          <w:lang w:val="en-US"/>
        </w:rPr>
      </w:pPr>
      <w:r w:rsidRPr="2374F0F8" w:rsidR="419256E4">
        <w:rPr>
          <w:rFonts w:ascii="Arial" w:hAnsi="Arial" w:eastAsia="Arial" w:cs="Arial"/>
          <w:b w:val="1"/>
          <w:bCs w:val="1"/>
          <w:i w:val="0"/>
          <w:iCs w:val="0"/>
          <w:caps w:val="0"/>
          <w:smallCaps w:val="0"/>
          <w:noProof w:val="0"/>
          <w:color w:val="1F4E79"/>
          <w:sz w:val="36"/>
          <w:szCs w:val="36"/>
          <w:lang w:val="en-US"/>
        </w:rPr>
        <w:t>4. Work Breakdown Structure &amp; Deliverable Breakdown</w:t>
      </w:r>
    </w:p>
    <w:p xmlns:wp14="http://schemas.microsoft.com/office/word/2010/wordml" w:rsidP="2374F0F8" w14:paraId="71CA03C7" wp14:textId="4154C50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60"/>
        <w:ind/>
        <w:jc w:val="both"/>
        <w:rPr>
          <w:rFonts w:ascii="Arial" w:hAnsi="Arial" w:eastAsia="Arial" w:cs="Arial"/>
          <w:b w:val="0"/>
          <w:bCs w:val="0"/>
          <w:i w:val="0"/>
          <w:iCs w:val="0"/>
          <w:caps w:val="0"/>
          <w:smallCaps w:val="0"/>
          <w:noProof w:val="0"/>
          <w:color w:val="222222"/>
          <w:sz w:val="22"/>
          <w:szCs w:val="22"/>
          <w:lang w:val="en-US"/>
        </w:rPr>
      </w:pPr>
      <w:r w:rsidRPr="2374F0F8" w:rsidR="419256E4">
        <w:rPr>
          <w:rFonts w:ascii="Arial" w:hAnsi="Arial" w:eastAsia="Arial" w:cs="Arial"/>
          <w:b w:val="0"/>
          <w:bCs w:val="0"/>
          <w:i w:val="0"/>
          <w:iCs w:val="0"/>
          <w:caps w:val="0"/>
          <w:smallCaps w:val="0"/>
          <w:noProof w:val="0"/>
          <w:color w:val="222222"/>
          <w:sz w:val="22"/>
          <w:szCs w:val="22"/>
          <w:lang w:val="en-US"/>
        </w:rPr>
        <w:t>The Work Breakdown Structure decomposes the strategic charter into manageable, deliverable-driven packages to establish accountability and clear acceptance criteria across all workstreams.</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2340"/>
        <w:gridCol w:w="4200"/>
        <w:gridCol w:w="2805"/>
      </w:tblGrid>
      <w:tr w:rsidR="2374F0F8" w:rsidTr="2374F0F8" w14:paraId="712E179D">
        <w:trPr>
          <w:trHeight w:val="300"/>
        </w:trPr>
        <w:tc>
          <w:tcPr>
            <w:tcW w:w="2340"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2E30274A" w14:textId="3A7A120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WBS Code &amp; Element Name</w:t>
            </w:r>
          </w:p>
        </w:tc>
        <w:tc>
          <w:tcPr>
            <w:tcW w:w="4200"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42383A9A" w14:textId="60378C7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Description &amp; Technical Scope</w:t>
            </w:r>
          </w:p>
        </w:tc>
        <w:tc>
          <w:tcPr>
            <w:tcW w:w="2805"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4390799B" w14:textId="262863F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Key Deliverable / Acceptance Criteria</w:t>
            </w:r>
          </w:p>
          <w:p w:rsidR="2374F0F8" w:rsidP="2374F0F8" w:rsidRDefault="2374F0F8" w14:paraId="06944C5A" w14:textId="4E1C8D74">
            <w:pPr>
              <w:keepNext w:val="0"/>
              <w:keepLines w:val="0"/>
              <w:widowControl w:val="0"/>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300" w:lineRule="auto"/>
              <w:ind w:left="0" w:right="0" w:firstLine="0"/>
              <w:jc w:val="left"/>
              <w:rPr>
                <w:rFonts w:ascii="Arial" w:hAnsi="Arial" w:eastAsia="Arial" w:cs="Arial"/>
                <w:b w:val="0"/>
                <w:bCs w:val="0"/>
                <w:i w:val="0"/>
                <w:iCs w:val="0"/>
                <w:color w:val="222222"/>
                <w:sz w:val="22"/>
                <w:szCs w:val="22"/>
              </w:rPr>
            </w:pPr>
            <w:r w:rsidRPr="2374F0F8" w:rsidR="2374F0F8">
              <w:rPr>
                <w:rFonts w:ascii="Arial" w:hAnsi="Arial" w:eastAsia="Arial" w:cs="Arial"/>
                <w:b w:val="0"/>
                <w:bCs w:val="0"/>
                <w:i w:val="0"/>
                <w:iCs w:val="0"/>
                <w:color w:val="222222"/>
                <w:sz w:val="22"/>
                <w:szCs w:val="22"/>
              </w:rPr>
              <w:t xml:space="preserve"> </w:t>
            </w:r>
          </w:p>
        </w:tc>
      </w:tr>
      <w:tr w:rsidR="2374F0F8" w:rsidTr="2374F0F8" w14:paraId="3FA14318">
        <w:trPr>
          <w:trHeight w:val="300"/>
        </w:trPr>
        <w:tc>
          <w:tcPr>
            <w:tcW w:w="2340" w:type="dxa"/>
            <w:tcBorders>
              <w:top w:val="single" w:color="D3D3D3" w:sz="6"/>
              <w:left w:val="single" w:color="D3D3D3" w:sz="6"/>
              <w:bottom w:val="single" w:color="D3D3D3" w:sz="6"/>
              <w:right w:val="single" w:color="D3D3D3" w:sz="6"/>
            </w:tcBorders>
            <w:shd w:val="clear" w:color="auto" w:fill="D9E1F2"/>
            <w:tcMar>
              <w:top w:w="120" w:type="dxa"/>
              <w:left w:w="150" w:type="dxa"/>
              <w:bottom w:w="120" w:type="dxa"/>
              <w:right w:w="150" w:type="dxa"/>
            </w:tcMar>
            <w:vAlign w:val="top"/>
          </w:tcPr>
          <w:p w:rsidR="2374F0F8" w:rsidP="2374F0F8" w:rsidRDefault="2374F0F8" w14:paraId="183B422D" w14:textId="0E02605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1.0 Initiation, Governance &amp; Engineering Design</w:t>
            </w:r>
          </w:p>
        </w:tc>
        <w:tc>
          <w:tcPr>
            <w:tcW w:w="4200" w:type="dxa"/>
            <w:tcBorders>
              <w:top w:val="single" w:color="D3D3D3" w:sz="6"/>
              <w:left w:val="single" w:color="D3D3D3" w:sz="6"/>
              <w:bottom w:val="single" w:color="D3D3D3" w:sz="6"/>
              <w:right w:val="single" w:color="D3D3D3" w:sz="6"/>
            </w:tcBorders>
            <w:shd w:val="clear" w:color="auto" w:fill="D9E1F2"/>
            <w:tcMar>
              <w:top w:w="120" w:type="dxa"/>
              <w:left w:w="150" w:type="dxa"/>
              <w:bottom w:w="120" w:type="dxa"/>
              <w:right w:w="150" w:type="dxa"/>
            </w:tcMar>
            <w:vAlign w:val="top"/>
          </w:tcPr>
          <w:p w:rsidR="2374F0F8" w:rsidP="2374F0F8" w:rsidRDefault="2374F0F8" w14:paraId="311D796E" w14:textId="1E9C9139">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Phase 1 governance, detailed structural modeling, and planning approvals.</w:t>
            </w:r>
          </w:p>
        </w:tc>
        <w:tc>
          <w:tcPr>
            <w:tcW w:w="2805" w:type="dxa"/>
            <w:tcBorders>
              <w:top w:val="single" w:color="D3D3D3" w:sz="6"/>
              <w:left w:val="single" w:color="D3D3D3" w:sz="6"/>
              <w:bottom w:val="single" w:color="D3D3D3" w:sz="6"/>
              <w:right w:val="single" w:color="D3D3D3" w:sz="6"/>
            </w:tcBorders>
            <w:shd w:val="clear" w:color="auto" w:fill="D9E1F2"/>
            <w:tcMar>
              <w:top w:w="120" w:type="dxa"/>
              <w:left w:w="150" w:type="dxa"/>
              <w:bottom w:w="120" w:type="dxa"/>
              <w:right w:w="150" w:type="dxa"/>
            </w:tcMar>
            <w:vAlign w:val="top"/>
          </w:tcPr>
          <w:p w:rsidR="2374F0F8" w:rsidP="2374F0F8" w:rsidRDefault="2374F0F8" w14:paraId="1867C76A" w14:textId="4F67FA2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Signed Project Charter &amp; Governance Framework</w:t>
            </w:r>
          </w:p>
        </w:tc>
      </w:tr>
      <w:tr w:rsidR="2374F0F8" w:rsidTr="2374F0F8" w14:paraId="775C16AE">
        <w:trPr>
          <w:trHeight w:val="300"/>
        </w:trPr>
        <w:tc>
          <w:tcPr>
            <w:tcW w:w="23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7AFAF7CA" w14:textId="66D2826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1.1 Technical Surveys &amp; Deconstruction Plan</w:t>
            </w:r>
          </w:p>
        </w:tc>
        <w:tc>
          <w:tcPr>
            <w:tcW w:w="420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CBC1F0D" w14:textId="53BFF860">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3D laser scans, non-destructive testing, and hazardous material assessment.</w:t>
            </w:r>
          </w:p>
        </w:tc>
        <w:tc>
          <w:tcPr>
            <w:tcW w:w="280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74BBB74D" w14:textId="733E73F1">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Certified Structural Integrity Audit Report</w:t>
            </w:r>
          </w:p>
        </w:tc>
      </w:tr>
      <w:tr w:rsidR="2374F0F8" w:rsidTr="2374F0F8" w14:paraId="44100429">
        <w:trPr>
          <w:trHeight w:val="300"/>
        </w:trPr>
        <w:tc>
          <w:tcPr>
            <w:tcW w:w="23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B17CD95" w14:textId="12CFFD6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1.2 Architectural &amp; Net-Zero Engineering</w:t>
            </w:r>
          </w:p>
        </w:tc>
        <w:tc>
          <w:tcPr>
            <w:tcW w:w="420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39C6F58D" w14:textId="629969DF">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BIM Level 2 modeling, solar yield analysis, and structural engineering blueprints.</w:t>
            </w:r>
          </w:p>
        </w:tc>
        <w:tc>
          <w:tcPr>
            <w:tcW w:w="280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2F8DE30F" w14:textId="425F924D">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Approved BIM Models &amp; BREEAM Pre-Assessment</w:t>
            </w:r>
          </w:p>
        </w:tc>
      </w:tr>
      <w:tr w:rsidR="2374F0F8" w:rsidTr="2374F0F8" w14:paraId="5737201B">
        <w:trPr>
          <w:trHeight w:val="300"/>
        </w:trPr>
        <w:tc>
          <w:tcPr>
            <w:tcW w:w="23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9925B6D" w14:textId="0C8755F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1.3 Planning &amp; Statutory Approvals</w:t>
            </w:r>
          </w:p>
        </w:tc>
        <w:tc>
          <w:tcPr>
            <w:tcW w:w="420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9F4BBBA" w14:textId="012663C1">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Municipal planning consent, environmental impact filings, and grid interconnect rights.</w:t>
            </w:r>
          </w:p>
        </w:tc>
        <w:tc>
          <w:tcPr>
            <w:tcW w:w="280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700A5232" w14:textId="7918A009">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Granted Planning Consent &amp; Grid Interconnect Permits</w:t>
            </w:r>
          </w:p>
        </w:tc>
      </w:tr>
      <w:tr w:rsidR="2374F0F8" w:rsidTr="2374F0F8" w14:paraId="0ACB13F1">
        <w:trPr>
          <w:trHeight w:val="300"/>
        </w:trPr>
        <w:tc>
          <w:tcPr>
            <w:tcW w:w="2340" w:type="dxa"/>
            <w:tcBorders>
              <w:top w:val="single" w:color="D3D3D3" w:sz="6"/>
              <w:left w:val="single" w:color="D3D3D3" w:sz="6"/>
              <w:bottom w:val="single" w:color="D3D3D3" w:sz="6"/>
              <w:right w:val="single" w:color="D3D3D3" w:sz="6"/>
            </w:tcBorders>
            <w:shd w:val="clear" w:color="auto" w:fill="D9E1F2"/>
            <w:tcMar>
              <w:top w:w="120" w:type="dxa"/>
              <w:left w:w="150" w:type="dxa"/>
              <w:bottom w:w="120" w:type="dxa"/>
              <w:right w:w="150" w:type="dxa"/>
            </w:tcMar>
            <w:vAlign w:val="top"/>
          </w:tcPr>
          <w:p w:rsidR="2374F0F8" w:rsidP="2374F0F8" w:rsidRDefault="2374F0F8" w14:paraId="4788BCB6" w14:textId="4CA2EBE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2.0 Procurement &amp; Supply Chain Management</w:t>
            </w:r>
          </w:p>
        </w:tc>
        <w:tc>
          <w:tcPr>
            <w:tcW w:w="4200" w:type="dxa"/>
            <w:tcBorders>
              <w:top w:val="single" w:color="D3D3D3" w:sz="6"/>
              <w:left w:val="single" w:color="D3D3D3" w:sz="6"/>
              <w:bottom w:val="single" w:color="D3D3D3" w:sz="6"/>
              <w:right w:val="single" w:color="D3D3D3" w:sz="6"/>
            </w:tcBorders>
            <w:shd w:val="clear" w:color="auto" w:fill="D9E1F2"/>
            <w:tcMar>
              <w:top w:w="120" w:type="dxa"/>
              <w:left w:w="150" w:type="dxa"/>
              <w:bottom w:w="120" w:type="dxa"/>
              <w:right w:w="150" w:type="dxa"/>
            </w:tcMar>
            <w:vAlign w:val="top"/>
          </w:tcPr>
          <w:p w:rsidR="2374F0F8" w:rsidP="2374F0F8" w:rsidRDefault="2374F0F8" w14:paraId="59D19B1E" w14:textId="7C10C8B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Sourcing certified green materials, long-lead electrical hardware, and plant.</w:t>
            </w:r>
          </w:p>
        </w:tc>
        <w:tc>
          <w:tcPr>
            <w:tcW w:w="2805" w:type="dxa"/>
            <w:tcBorders>
              <w:top w:val="single" w:color="D3D3D3" w:sz="6"/>
              <w:left w:val="single" w:color="D3D3D3" w:sz="6"/>
              <w:bottom w:val="single" w:color="D3D3D3" w:sz="6"/>
              <w:right w:val="single" w:color="D3D3D3" w:sz="6"/>
            </w:tcBorders>
            <w:shd w:val="clear" w:color="auto" w:fill="D9E1F2"/>
            <w:tcMar>
              <w:top w:w="120" w:type="dxa"/>
              <w:left w:w="150" w:type="dxa"/>
              <w:bottom w:w="120" w:type="dxa"/>
              <w:right w:w="150" w:type="dxa"/>
            </w:tcMar>
            <w:vAlign w:val="top"/>
          </w:tcPr>
          <w:p w:rsidR="2374F0F8" w:rsidP="2374F0F8" w:rsidRDefault="2374F0F8" w14:paraId="71B310FD" w14:textId="46AFCA6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Verified Delivery &amp; On-Site Quality Sign-off</w:t>
            </w:r>
          </w:p>
        </w:tc>
      </w:tr>
      <w:tr w:rsidR="2374F0F8" w:rsidTr="2374F0F8" w14:paraId="1C0C3951">
        <w:trPr>
          <w:trHeight w:val="300"/>
        </w:trPr>
        <w:tc>
          <w:tcPr>
            <w:tcW w:w="23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7C77C125" w14:textId="7DFF592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2.1 Low-Carbon Structural Materials</w:t>
            </w:r>
          </w:p>
        </w:tc>
        <w:tc>
          <w:tcPr>
            <w:tcW w:w="420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A9C83BC" w14:textId="2C80DD0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Procurement of recycled structural steel sections and low-carbon concrete mixes.</w:t>
            </w:r>
          </w:p>
        </w:tc>
        <w:tc>
          <w:tcPr>
            <w:tcW w:w="280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11C44598" w14:textId="77F763F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Environmental Product Declarations</w:t>
            </w:r>
            <w:r w:rsidRPr="2374F0F8" w:rsidR="60378008">
              <w:rPr>
                <w:rFonts w:ascii="Arial" w:hAnsi="Arial" w:eastAsia="Arial" w:cs="Arial"/>
                <w:b w:val="0"/>
                <w:bCs w:val="0"/>
                <w:i w:val="0"/>
                <w:iCs w:val="0"/>
                <w:color w:val="auto"/>
                <w:sz w:val="20"/>
                <w:szCs w:val="20"/>
              </w:rPr>
              <w:t>.</w:t>
            </w:r>
          </w:p>
        </w:tc>
      </w:tr>
      <w:tr w:rsidR="2374F0F8" w:rsidTr="2374F0F8" w14:paraId="47BB5473">
        <w:trPr>
          <w:trHeight w:val="300"/>
        </w:trPr>
        <w:tc>
          <w:tcPr>
            <w:tcW w:w="23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7DB7C6C0" w14:textId="4BC0F978">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2.2 Solar PV &amp; Storage Hardware</w:t>
            </w:r>
          </w:p>
        </w:tc>
        <w:tc>
          <w:tcPr>
            <w:tcW w:w="420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132A6E70" w14:textId="75727209">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Procurement of monocrystalline solar modules, inverters, and utility-scale BESS.</w:t>
            </w:r>
          </w:p>
        </w:tc>
        <w:tc>
          <w:tcPr>
            <w:tcW w:w="280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4D9AAEF" w14:textId="1BFCB3C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Manufacturer Warranties &amp; Testing Certifications</w:t>
            </w:r>
          </w:p>
        </w:tc>
      </w:tr>
      <w:tr w:rsidR="2374F0F8" w:rsidTr="2374F0F8" w14:paraId="4EA5FCBB">
        <w:trPr>
          <w:trHeight w:val="300"/>
        </w:trPr>
        <w:tc>
          <w:tcPr>
            <w:tcW w:w="23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6879770" w14:textId="741E5520">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2.3 EV Rapid-Charging Plant</w:t>
            </w:r>
          </w:p>
        </w:tc>
        <w:tc>
          <w:tcPr>
            <w:tcW w:w="420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17CA69D8" w14:textId="739AD83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Procurement of 350kW DC chargers, transformers, and heavy-duty cabling.</w:t>
            </w:r>
          </w:p>
        </w:tc>
        <w:tc>
          <w:tcPr>
            <w:tcW w:w="280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2A423638" w14:textId="3F7255B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IEC 61851 Compliance &amp; CE Certifications</w:t>
            </w:r>
          </w:p>
        </w:tc>
      </w:tr>
      <w:tr w:rsidR="2374F0F8" w:rsidTr="2374F0F8" w14:paraId="0FD753F2">
        <w:trPr>
          <w:trHeight w:val="300"/>
        </w:trPr>
        <w:tc>
          <w:tcPr>
            <w:tcW w:w="2340" w:type="dxa"/>
            <w:tcBorders>
              <w:top w:val="single" w:color="D3D3D3" w:sz="6"/>
              <w:left w:val="single" w:color="D3D3D3" w:sz="6"/>
              <w:bottom w:val="single" w:color="D3D3D3" w:sz="6"/>
              <w:right w:val="single" w:color="D3D3D3" w:sz="6"/>
            </w:tcBorders>
            <w:shd w:val="clear" w:color="auto" w:fill="D9E1F2"/>
            <w:tcMar>
              <w:top w:w="120" w:type="dxa"/>
              <w:left w:w="150" w:type="dxa"/>
              <w:bottom w:w="120" w:type="dxa"/>
              <w:right w:w="150" w:type="dxa"/>
            </w:tcMar>
            <w:vAlign w:val="top"/>
          </w:tcPr>
          <w:p w:rsidR="2374F0F8" w:rsidP="2374F0F8" w:rsidRDefault="2374F0F8" w14:paraId="005BD2FD" w14:textId="606521D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3.0 Civil Works, Structure &amp; Systems Integration</w:t>
            </w:r>
          </w:p>
        </w:tc>
        <w:tc>
          <w:tcPr>
            <w:tcW w:w="4200" w:type="dxa"/>
            <w:tcBorders>
              <w:top w:val="single" w:color="D3D3D3" w:sz="6"/>
              <w:left w:val="single" w:color="D3D3D3" w:sz="6"/>
              <w:bottom w:val="single" w:color="D3D3D3" w:sz="6"/>
              <w:right w:val="single" w:color="D3D3D3" w:sz="6"/>
            </w:tcBorders>
            <w:shd w:val="clear" w:color="auto" w:fill="D9E1F2"/>
            <w:tcMar>
              <w:top w:w="120" w:type="dxa"/>
              <w:left w:w="150" w:type="dxa"/>
              <w:bottom w:w="120" w:type="dxa"/>
              <w:right w:w="150" w:type="dxa"/>
            </w:tcMar>
            <w:vAlign w:val="top"/>
          </w:tcPr>
          <w:p w:rsidR="2374F0F8" w:rsidP="2374F0F8" w:rsidRDefault="2374F0F8" w14:paraId="1B428F37" w14:textId="1FDB151D">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Physical execution of structural jacketing, building envelope, and MEP systems.</w:t>
            </w:r>
          </w:p>
        </w:tc>
        <w:tc>
          <w:tcPr>
            <w:tcW w:w="2805" w:type="dxa"/>
            <w:tcBorders>
              <w:top w:val="single" w:color="D3D3D3" w:sz="6"/>
              <w:left w:val="single" w:color="D3D3D3" w:sz="6"/>
              <w:bottom w:val="single" w:color="D3D3D3" w:sz="6"/>
              <w:right w:val="single" w:color="D3D3D3" w:sz="6"/>
            </w:tcBorders>
            <w:shd w:val="clear" w:color="auto" w:fill="D9E1F2"/>
            <w:tcMar>
              <w:top w:w="120" w:type="dxa"/>
              <w:left w:w="150" w:type="dxa"/>
              <w:bottom w:w="120" w:type="dxa"/>
              <w:right w:w="150" w:type="dxa"/>
            </w:tcMar>
            <w:vAlign w:val="top"/>
          </w:tcPr>
          <w:p w:rsidR="2374F0F8" w:rsidP="2374F0F8" w:rsidRDefault="2374F0F8" w14:paraId="41D051A0" w14:textId="25F253F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Engineered Milestone Acceptance Sign-offs</w:t>
            </w:r>
          </w:p>
        </w:tc>
      </w:tr>
      <w:tr w:rsidR="2374F0F8" w:rsidTr="2374F0F8" w14:paraId="1251259E">
        <w:trPr>
          <w:trHeight w:val="300"/>
        </w:trPr>
        <w:tc>
          <w:tcPr>
            <w:tcW w:w="23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5B53ABAF" w14:textId="0BBAF2B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3.1 Substructure &amp; Frame Reinforcement</w:t>
            </w:r>
          </w:p>
        </w:tc>
        <w:tc>
          <w:tcPr>
            <w:tcW w:w="420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3C769570" w14:textId="3C12C96F">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Concrete column jacketing, steel beam reinforcement, and foundation underpinning.</w:t>
            </w:r>
          </w:p>
        </w:tc>
        <w:tc>
          <w:tcPr>
            <w:tcW w:w="280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3E057E40" w14:textId="6ABE7D8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Successful Non-Destructive Structural Load Tests</w:t>
            </w:r>
          </w:p>
        </w:tc>
      </w:tr>
      <w:tr w:rsidR="2374F0F8" w:rsidTr="2374F0F8" w14:paraId="6D82F862">
        <w:trPr>
          <w:trHeight w:val="300"/>
        </w:trPr>
        <w:tc>
          <w:tcPr>
            <w:tcW w:w="23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7C19CAB7" w14:textId="3339E50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3.2 Solar Roof &amp; Envelope Construction</w:t>
            </w:r>
          </w:p>
        </w:tc>
        <w:tc>
          <w:tcPr>
            <w:tcW w:w="420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7E870C5" w14:textId="06031B3D">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Sub-structure roof mounting, solar array fixing, and weatherproofing.</w:t>
            </w:r>
          </w:p>
        </w:tc>
        <w:tc>
          <w:tcPr>
            <w:tcW w:w="280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5B438432" w14:textId="7B0FC7D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Mechanical Wind Load &amp; Waterproofing Certificates</w:t>
            </w:r>
          </w:p>
        </w:tc>
      </w:tr>
      <w:tr w:rsidR="2374F0F8" w:rsidTr="2374F0F8" w14:paraId="61157E04">
        <w:trPr>
          <w:trHeight w:val="300"/>
        </w:trPr>
        <w:tc>
          <w:tcPr>
            <w:tcW w:w="23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3A8A20FA" w14:textId="752C64A0">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3.3 MEP &amp; Smart BMS Installation</w:t>
            </w:r>
          </w:p>
        </w:tc>
        <w:tc>
          <w:tcPr>
            <w:tcW w:w="420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9970039" w14:textId="31F1026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Installation of geothermal HVAC, dynamic LED networks, and plumbing control.</w:t>
            </w:r>
          </w:p>
        </w:tc>
        <w:tc>
          <w:tcPr>
            <w:tcW w:w="280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28B88B19" w14:textId="76377358">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Hydrostatic &amp; Air-Flow Balance Verification</w:t>
            </w:r>
          </w:p>
        </w:tc>
      </w:tr>
      <w:tr w:rsidR="2374F0F8" w:rsidTr="2374F0F8" w14:paraId="66B3D49E">
        <w:trPr>
          <w:trHeight w:val="300"/>
        </w:trPr>
        <w:tc>
          <w:tcPr>
            <w:tcW w:w="2340" w:type="dxa"/>
            <w:tcBorders>
              <w:top w:val="single" w:color="D3D3D3" w:sz="6"/>
              <w:left w:val="single" w:color="D3D3D3" w:sz="6"/>
              <w:bottom w:val="single" w:color="D3D3D3" w:sz="6"/>
              <w:right w:val="single" w:color="D3D3D3" w:sz="6"/>
            </w:tcBorders>
            <w:shd w:val="clear" w:color="auto" w:fill="D9E1F2"/>
            <w:tcMar>
              <w:top w:w="120" w:type="dxa"/>
              <w:left w:w="150" w:type="dxa"/>
              <w:bottom w:w="120" w:type="dxa"/>
              <w:right w:w="150" w:type="dxa"/>
            </w:tcMar>
            <w:vAlign w:val="top"/>
          </w:tcPr>
          <w:p w:rsidR="2374F0F8" w:rsidP="2374F0F8" w:rsidRDefault="2374F0F8" w14:paraId="49852940" w14:textId="40BB5F0D">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4.0 Digital Systems &amp; Network Integration</w:t>
            </w:r>
          </w:p>
        </w:tc>
        <w:tc>
          <w:tcPr>
            <w:tcW w:w="4200" w:type="dxa"/>
            <w:tcBorders>
              <w:top w:val="single" w:color="D3D3D3" w:sz="6"/>
              <w:left w:val="single" w:color="D3D3D3" w:sz="6"/>
              <w:bottom w:val="single" w:color="D3D3D3" w:sz="6"/>
              <w:right w:val="single" w:color="D3D3D3" w:sz="6"/>
            </w:tcBorders>
            <w:shd w:val="clear" w:color="auto" w:fill="D9E1F2"/>
            <w:tcMar>
              <w:top w:w="120" w:type="dxa"/>
              <w:left w:w="150" w:type="dxa"/>
              <w:bottom w:w="120" w:type="dxa"/>
              <w:right w:w="150" w:type="dxa"/>
            </w:tcMar>
            <w:vAlign w:val="top"/>
          </w:tcPr>
          <w:p w:rsidR="2374F0F8" w:rsidP="2374F0F8" w:rsidRDefault="2374F0F8" w14:paraId="6B0F6C8D" w14:textId="0A7D5B2D">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Deployment of passenger communication technologies, software, and gateways.</w:t>
            </w:r>
          </w:p>
        </w:tc>
        <w:tc>
          <w:tcPr>
            <w:tcW w:w="2805" w:type="dxa"/>
            <w:tcBorders>
              <w:top w:val="single" w:color="D3D3D3" w:sz="6"/>
              <w:left w:val="single" w:color="D3D3D3" w:sz="6"/>
              <w:bottom w:val="single" w:color="D3D3D3" w:sz="6"/>
              <w:right w:val="single" w:color="D3D3D3" w:sz="6"/>
            </w:tcBorders>
            <w:shd w:val="clear" w:color="auto" w:fill="D9E1F2"/>
            <w:tcMar>
              <w:top w:w="120" w:type="dxa"/>
              <w:left w:w="150" w:type="dxa"/>
              <w:bottom w:w="120" w:type="dxa"/>
              <w:right w:w="150" w:type="dxa"/>
            </w:tcMar>
            <w:vAlign w:val="top"/>
          </w:tcPr>
          <w:p w:rsidR="2374F0F8" w:rsidP="2374F0F8" w:rsidRDefault="2374F0F8" w14:paraId="346965ED" w14:textId="5E52B1D0">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User Acceptance Testing (UAT) Sign-off</w:t>
            </w:r>
          </w:p>
        </w:tc>
      </w:tr>
      <w:tr w:rsidR="2374F0F8" w:rsidTr="2374F0F8" w14:paraId="05547000">
        <w:trPr>
          <w:trHeight w:val="300"/>
        </w:trPr>
        <w:tc>
          <w:tcPr>
            <w:tcW w:w="23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757E4EC1" w14:textId="221118D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4.1 Micro-Grid &amp; Energy Software</w:t>
            </w:r>
          </w:p>
        </w:tc>
        <w:tc>
          <w:tcPr>
            <w:tcW w:w="420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337345CA" w14:textId="32AE0730">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High-voltage switchgear tie-in, sub-station integration, and SCADA control.</w:t>
            </w:r>
          </w:p>
        </w:tc>
        <w:tc>
          <w:tcPr>
            <w:tcW w:w="280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288742BA" w14:textId="2091FBB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SCADA Micro-Grid Integration Sign-off</w:t>
            </w:r>
          </w:p>
        </w:tc>
      </w:tr>
      <w:tr w:rsidR="2374F0F8" w:rsidTr="2374F0F8" w14:paraId="2075F604">
        <w:trPr>
          <w:trHeight w:val="300"/>
        </w:trPr>
        <w:tc>
          <w:tcPr>
            <w:tcW w:w="23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2269D899" w14:textId="61089008">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4.2 RTPIS &amp; Digital Gateways</w:t>
            </w:r>
          </w:p>
        </w:tc>
        <w:tc>
          <w:tcPr>
            <w:tcW w:w="420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CB7E209" w14:textId="061CA15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Passenger display screens, audio address systems, and contactless gateways.</w:t>
            </w:r>
          </w:p>
        </w:tc>
        <w:tc>
          <w:tcPr>
            <w:tcW w:w="280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31874A7F" w14:textId="7360834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System Stress-Test &amp; Live Data Stream Verification</w:t>
            </w:r>
          </w:p>
        </w:tc>
      </w:tr>
      <w:tr w:rsidR="2374F0F8" w:rsidTr="2374F0F8" w14:paraId="78B942CA">
        <w:trPr>
          <w:trHeight w:val="300"/>
        </w:trPr>
        <w:tc>
          <w:tcPr>
            <w:tcW w:w="2340" w:type="dxa"/>
            <w:tcBorders>
              <w:top w:val="single" w:color="D3D3D3" w:sz="6"/>
              <w:left w:val="single" w:color="D3D3D3" w:sz="6"/>
              <w:bottom w:val="single" w:color="D3D3D3" w:sz="6"/>
              <w:right w:val="single" w:color="D3D3D3" w:sz="6"/>
            </w:tcBorders>
            <w:shd w:val="clear" w:color="auto" w:fill="D9E1F2"/>
            <w:tcMar>
              <w:top w:w="120" w:type="dxa"/>
              <w:left w:w="150" w:type="dxa"/>
              <w:bottom w:w="120" w:type="dxa"/>
              <w:right w:w="150" w:type="dxa"/>
            </w:tcMar>
            <w:vAlign w:val="top"/>
          </w:tcPr>
          <w:p w:rsidR="2374F0F8" w:rsidP="2374F0F8" w:rsidRDefault="2374F0F8" w14:paraId="2316A520" w14:textId="4298CDB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5.0 Commissioning, Auditing &amp; Operational Handover</w:t>
            </w:r>
          </w:p>
        </w:tc>
        <w:tc>
          <w:tcPr>
            <w:tcW w:w="4200" w:type="dxa"/>
            <w:tcBorders>
              <w:top w:val="single" w:color="D3D3D3" w:sz="6"/>
              <w:left w:val="single" w:color="D3D3D3" w:sz="6"/>
              <w:bottom w:val="single" w:color="D3D3D3" w:sz="6"/>
              <w:right w:val="single" w:color="D3D3D3" w:sz="6"/>
            </w:tcBorders>
            <w:shd w:val="clear" w:color="auto" w:fill="D9E1F2"/>
            <w:tcMar>
              <w:top w:w="120" w:type="dxa"/>
              <w:left w:w="150" w:type="dxa"/>
              <w:bottom w:w="120" w:type="dxa"/>
              <w:right w:w="150" w:type="dxa"/>
            </w:tcMar>
            <w:vAlign w:val="top"/>
          </w:tcPr>
          <w:p w:rsidR="2374F0F8" w:rsidP="2374F0F8" w:rsidRDefault="2374F0F8" w14:paraId="390BA2B0" w14:textId="05D4967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Final operational readiness testing, BREEAM auditing, and asset transfer.</w:t>
            </w:r>
          </w:p>
        </w:tc>
        <w:tc>
          <w:tcPr>
            <w:tcW w:w="2805" w:type="dxa"/>
            <w:tcBorders>
              <w:top w:val="single" w:color="D3D3D3" w:sz="6"/>
              <w:left w:val="single" w:color="D3D3D3" w:sz="6"/>
              <w:bottom w:val="single" w:color="D3D3D3" w:sz="6"/>
              <w:right w:val="single" w:color="D3D3D3" w:sz="6"/>
            </w:tcBorders>
            <w:shd w:val="clear" w:color="auto" w:fill="D9E1F2"/>
            <w:tcMar>
              <w:top w:w="120" w:type="dxa"/>
              <w:left w:w="150" w:type="dxa"/>
              <w:bottom w:w="120" w:type="dxa"/>
              <w:right w:w="150" w:type="dxa"/>
            </w:tcMar>
            <w:vAlign w:val="top"/>
          </w:tcPr>
          <w:p w:rsidR="2374F0F8" w:rsidP="2374F0F8" w:rsidRDefault="2374F0F8" w14:paraId="698FCBA3" w14:textId="7B1C88A9">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Certificate of Occupancy &amp; Project Closeout</w:t>
            </w:r>
          </w:p>
        </w:tc>
      </w:tr>
      <w:tr w:rsidR="2374F0F8" w:rsidTr="2374F0F8" w14:paraId="14FF738A">
        <w:trPr>
          <w:trHeight w:val="300"/>
        </w:trPr>
        <w:tc>
          <w:tcPr>
            <w:tcW w:w="23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5DE4247A" w14:textId="7B6809D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5.1 BREEAM Audit &amp; Carbon Verification</w:t>
            </w:r>
          </w:p>
        </w:tc>
        <w:tc>
          <w:tcPr>
            <w:tcW w:w="420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2902F5DB" w14:textId="24BEA268">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Third-party auditing of net-zero operational metrics and embodied carbon.</w:t>
            </w:r>
          </w:p>
        </w:tc>
        <w:tc>
          <w:tcPr>
            <w:tcW w:w="280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26FEB814" w14:textId="2906F9AD">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Formal BREEAM 'Outstanding' Certificate</w:t>
            </w:r>
          </w:p>
        </w:tc>
      </w:tr>
      <w:tr w:rsidR="2374F0F8" w:rsidTr="2374F0F8" w14:paraId="5806C078">
        <w:trPr>
          <w:trHeight w:val="300"/>
        </w:trPr>
        <w:tc>
          <w:tcPr>
            <w:tcW w:w="23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81F1760" w14:textId="02DAD01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5.2 Operational Readiness &amp; Asset Transfer</w:t>
            </w:r>
          </w:p>
        </w:tc>
        <w:tc>
          <w:tcPr>
            <w:tcW w:w="420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30C972BE" w14:textId="065962E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Staff operational training, maintenance SOPs handover, and final sign-off.</w:t>
            </w:r>
          </w:p>
        </w:tc>
        <w:tc>
          <w:tcPr>
            <w:tcW w:w="280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174C9BD9" w14:textId="12AAC8B9">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Signed Municipal Handover Agreement</w:t>
            </w:r>
          </w:p>
        </w:tc>
      </w:tr>
    </w:tbl>
    <w:p xmlns:wp14="http://schemas.microsoft.com/office/word/2010/wordml" w:rsidP="2374F0F8" w14:paraId="1B193AFE" wp14:textId="10A279A1">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360" w:after="240"/>
        <w:ind/>
        <w:rPr>
          <w:rFonts w:ascii="Arial" w:hAnsi="Arial" w:eastAsia="Arial" w:cs="Arial"/>
          <w:b w:val="1"/>
          <w:bCs w:val="1"/>
          <w:i w:val="0"/>
          <w:iCs w:val="0"/>
          <w:caps w:val="0"/>
          <w:smallCaps w:val="0"/>
          <w:noProof w:val="0"/>
          <w:color w:val="1F4E79"/>
          <w:sz w:val="36"/>
          <w:szCs w:val="36"/>
          <w:lang w:val="en-US"/>
        </w:rPr>
      </w:pPr>
      <w:r w:rsidRPr="2374F0F8" w:rsidR="58A22CF6">
        <w:rPr>
          <w:rFonts w:ascii="Arial" w:hAnsi="Arial" w:eastAsia="Arial" w:cs="Arial"/>
          <w:b w:val="1"/>
          <w:bCs w:val="1"/>
          <w:i w:val="0"/>
          <w:iCs w:val="0"/>
          <w:caps w:val="0"/>
          <w:smallCaps w:val="0"/>
          <w:noProof w:val="0"/>
          <w:color w:val="1F4E79"/>
          <w:sz w:val="36"/>
          <w:szCs w:val="36"/>
          <w:lang w:val="en-US"/>
        </w:rPr>
        <w:t>5. Quad Chart Strategic Control Matrix</w:t>
      </w:r>
    </w:p>
    <w:p xmlns:wp14="http://schemas.microsoft.com/office/word/2010/wordml" w:rsidP="2374F0F8" w14:paraId="28B6A9F9" wp14:textId="7DAFE234">
      <w:p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after="160"/>
        <w:ind/>
        <w:jc w:val="both"/>
        <w:rPr>
          <w:rFonts w:ascii="Arial" w:hAnsi="Arial" w:eastAsia="Arial" w:cs="Arial"/>
          <w:b w:val="0"/>
          <w:bCs w:val="0"/>
          <w:i w:val="0"/>
          <w:iCs w:val="0"/>
          <w:caps w:val="0"/>
          <w:smallCaps w:val="0"/>
          <w:noProof w:val="0"/>
          <w:color w:val="222222"/>
          <w:sz w:val="22"/>
          <w:szCs w:val="22"/>
          <w:lang w:val="en-US"/>
        </w:rPr>
      </w:pPr>
      <w:r w:rsidRPr="2374F0F8" w:rsidR="58A22CF6">
        <w:rPr>
          <w:rFonts w:ascii="Arial" w:hAnsi="Arial" w:eastAsia="Arial" w:cs="Arial"/>
          <w:b w:val="0"/>
          <w:bCs w:val="0"/>
          <w:i w:val="0"/>
          <w:iCs w:val="0"/>
          <w:caps w:val="0"/>
          <w:smallCaps w:val="0"/>
          <w:noProof w:val="0"/>
          <w:color w:val="222222"/>
          <w:sz w:val="22"/>
          <w:szCs w:val="22"/>
          <w:lang w:val="en-US"/>
        </w:rPr>
        <w:t>The Quad Chart below serves as the primary executive control dashboard summarizing core objectives, schedule milestones, capital resource allocation, and key strategic risks.</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4680"/>
        <w:gridCol w:w="4680"/>
      </w:tblGrid>
      <w:tr w:rsidR="2374F0F8" w:rsidTr="2374F0F8" w14:paraId="671259F1">
        <w:trPr>
          <w:trHeight w:val="300"/>
        </w:trPr>
        <w:tc>
          <w:tcPr>
            <w:tcW w:w="4680" w:type="dxa"/>
            <w:tcBorders>
              <w:top w:val="single" w:color="D3D3D3" w:sz="6"/>
              <w:left w:val="single" w:color="D3D3D3" w:sz="6"/>
              <w:bottom w:val="single" w:color="D3D3D3" w:sz="6"/>
              <w:right w:val="single" w:color="D3D3D3" w:sz="6"/>
            </w:tcBorders>
            <w:shd w:val="clear" w:color="auto" w:fill="0F243E" w:themeFill="text2" w:themeFillShade="80"/>
            <w:tcMar>
              <w:top w:w="120" w:type="dxa"/>
              <w:left w:w="150" w:type="dxa"/>
              <w:bottom w:w="120" w:type="dxa"/>
              <w:right w:w="150" w:type="dxa"/>
            </w:tcMar>
            <w:vAlign w:val="top"/>
          </w:tcPr>
          <w:p w:rsidR="2374F0F8" w:rsidP="2374F0F8" w:rsidRDefault="2374F0F8" w14:paraId="2C90255D" w14:textId="0FFCEFDC">
            <w:pPr>
              <w:pStyle w:val="Heading3"/>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200" w:after="80"/>
              <w:rPr>
                <w:rFonts w:ascii="Arial" w:hAnsi="Arial" w:eastAsia="Arial" w:cs="Arial"/>
                <w:b w:val="1"/>
                <w:bCs w:val="1"/>
                <w:i w:val="0"/>
                <w:iCs w:val="0"/>
                <w:color w:val="auto"/>
                <w:sz w:val="24"/>
                <w:szCs w:val="24"/>
              </w:rPr>
            </w:pPr>
            <w:r w:rsidRPr="2374F0F8" w:rsidR="2374F0F8">
              <w:rPr>
                <w:rFonts w:ascii="Arial" w:hAnsi="Arial" w:eastAsia="Arial" w:cs="Arial"/>
                <w:b w:val="1"/>
                <w:bCs w:val="1"/>
                <w:i w:val="0"/>
                <w:iCs w:val="0"/>
                <w:color w:val="auto"/>
                <w:sz w:val="24"/>
                <w:szCs w:val="24"/>
              </w:rPr>
              <w:t>1. PROJECT OBJECTIVES &amp; VALUE PROPOSITION</w:t>
            </w:r>
          </w:p>
          <w:p w:rsidR="2374F0F8" w:rsidP="2374F0F8" w:rsidRDefault="2374F0F8" w14:paraId="0C3D6A15" w14:textId="462965B2">
            <w:pPr>
              <w:pStyle w:val="ListParagraph"/>
              <w:numPr>
                <w:ilvl w:val="0"/>
                <w:numId w:val="15"/>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after="0" w:afterAutospacing="off"/>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Reconstruct compromised interchange into a 100% Net-Zero operational hub.</w:t>
            </w:r>
          </w:p>
          <w:p w:rsidR="2374F0F8" w:rsidP="2374F0F8" w:rsidRDefault="2374F0F8" w14:paraId="1AED767F" w14:textId="292A96DA">
            <w:pPr>
              <w:pStyle w:val="ListParagraph"/>
              <w:numPr>
                <w:ilvl w:val="0"/>
                <w:numId w:val="15"/>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0" w:afterAutospacing="off"/>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Safely restore full multi-modal transit capacity within a strict 18-month timeline.</w:t>
            </w:r>
          </w:p>
          <w:p w:rsidR="2374F0F8" w:rsidP="2374F0F8" w:rsidRDefault="2374F0F8" w14:paraId="5165A6B7" w14:textId="1946AB5D">
            <w:pPr>
              <w:pStyle w:val="ListParagraph"/>
              <w:numPr>
                <w:ilvl w:val="0"/>
                <w:numId w:val="15"/>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0" w:afterAutospacing="off"/>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Integrate 1.2 MWp solar PV roof array, 2.5 MWh BESS, and 12x 350kW EV rapid chargers.</w:t>
            </w:r>
          </w:p>
          <w:p w:rsidR="2374F0F8" w:rsidP="2374F0F8" w:rsidRDefault="2374F0F8" w14:paraId="22C51D2D" w14:textId="424373FC">
            <w:pPr>
              <w:pStyle w:val="ListParagraph"/>
              <w:numPr>
                <w:ilvl w:val="0"/>
                <w:numId w:val="15"/>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80"/>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Achieve BREEAM 'Outstanding' rating and zero operational carbon baseline.</w:t>
            </w:r>
          </w:p>
        </w:tc>
        <w:tc>
          <w:tcPr>
            <w:tcW w:w="4680" w:type="dxa"/>
            <w:tcBorders>
              <w:top w:val="single" w:color="D3D3D3" w:sz="6"/>
              <w:left w:val="single" w:color="D3D3D3" w:sz="6"/>
              <w:bottom w:val="single" w:color="D3D3D3" w:sz="6"/>
              <w:right w:val="single" w:color="D3D3D3" w:sz="6"/>
            </w:tcBorders>
            <w:shd w:val="clear" w:color="auto" w:fill="1F497D" w:themeFill="text2"/>
            <w:tcMar>
              <w:top w:w="120" w:type="dxa"/>
              <w:left w:w="150" w:type="dxa"/>
              <w:bottom w:w="120" w:type="dxa"/>
              <w:right w:w="150" w:type="dxa"/>
            </w:tcMar>
            <w:vAlign w:val="top"/>
          </w:tcPr>
          <w:p w:rsidR="2374F0F8" w:rsidP="2374F0F8" w:rsidRDefault="2374F0F8" w14:paraId="68BCF264" w14:textId="204F145D">
            <w:pPr>
              <w:pStyle w:val="Heading3"/>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200" w:after="80"/>
              <w:rPr>
                <w:rFonts w:ascii="Arial" w:hAnsi="Arial" w:eastAsia="Arial" w:cs="Arial"/>
                <w:b w:val="1"/>
                <w:bCs w:val="1"/>
                <w:i w:val="0"/>
                <w:iCs w:val="0"/>
                <w:color w:val="auto"/>
                <w:sz w:val="24"/>
                <w:szCs w:val="24"/>
              </w:rPr>
            </w:pPr>
            <w:r w:rsidRPr="2374F0F8" w:rsidR="2374F0F8">
              <w:rPr>
                <w:rFonts w:ascii="Arial" w:hAnsi="Arial" w:eastAsia="Arial" w:cs="Arial"/>
                <w:b w:val="1"/>
                <w:bCs w:val="1"/>
                <w:i w:val="0"/>
                <w:iCs w:val="0"/>
                <w:color w:val="auto"/>
                <w:sz w:val="24"/>
                <w:szCs w:val="24"/>
              </w:rPr>
              <w:t>2. SCHEDULE BASELINE &amp; CRITICAL MILESTONES</w:t>
            </w:r>
          </w:p>
          <w:p w:rsidR="2374F0F8" w:rsidP="2374F0F8" w:rsidRDefault="2374F0F8" w14:paraId="0B1B60A4" w14:textId="54EBED62">
            <w:pPr>
              <w:pStyle w:val="ListParagraph"/>
              <w:numPr>
                <w:ilvl w:val="0"/>
                <w:numId w:val="16"/>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after="0" w:afterAutospacing="off"/>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M1: Design Approval &amp; Statutory Planning Consent (Month 3)</w:t>
            </w:r>
          </w:p>
          <w:p w:rsidR="2374F0F8" w:rsidP="2374F0F8" w:rsidRDefault="2374F0F8" w14:paraId="74D0A3B9" w14:textId="2970DBBC">
            <w:pPr>
              <w:pStyle w:val="ListParagraph"/>
              <w:numPr>
                <w:ilvl w:val="0"/>
                <w:numId w:val="16"/>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0" w:afterAutospacing="off"/>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M2: Completion of Structural Concrete Jacketing &amp; Framing (Month 7)</w:t>
            </w:r>
          </w:p>
          <w:p w:rsidR="2374F0F8" w:rsidP="2374F0F8" w:rsidRDefault="2374F0F8" w14:paraId="07663F4A" w14:textId="0E987991">
            <w:pPr>
              <w:pStyle w:val="ListParagraph"/>
              <w:numPr>
                <w:ilvl w:val="0"/>
                <w:numId w:val="16"/>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0" w:afterAutospacing="off"/>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M3: Solar Roof Mounting &amp; High-Voltage Sub-station Installation (Month 13)</w:t>
            </w:r>
          </w:p>
          <w:p w:rsidR="2374F0F8" w:rsidP="2374F0F8" w:rsidRDefault="2374F0F8" w14:paraId="06388887" w14:textId="11C38327">
            <w:pPr>
              <w:pStyle w:val="ListParagraph"/>
              <w:numPr>
                <w:ilvl w:val="0"/>
                <w:numId w:val="16"/>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0" w:afterAutospacing="off"/>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M4: Micro-Grid, BESS &amp; Digital Systems Integration Testing (Month 16)</w:t>
            </w:r>
          </w:p>
          <w:p w:rsidR="2374F0F8" w:rsidP="2374F0F8" w:rsidRDefault="2374F0F8" w14:paraId="358BA6CC" w14:textId="5130CCCE">
            <w:pPr>
              <w:pStyle w:val="ListParagraph"/>
              <w:numPr>
                <w:ilvl w:val="0"/>
                <w:numId w:val="16"/>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80"/>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M5: Final Commissioning, BREEAM Audit &amp; Public Opening (Month 18)</w:t>
            </w:r>
          </w:p>
        </w:tc>
      </w:tr>
      <w:tr w:rsidR="2374F0F8" w:rsidTr="2374F0F8" w14:paraId="32AB03F3">
        <w:trPr>
          <w:trHeight w:val="300"/>
        </w:trPr>
        <w:tc>
          <w:tcPr>
            <w:tcW w:w="4680" w:type="dxa"/>
            <w:tcBorders>
              <w:top w:val="single" w:color="D3D3D3" w:sz="6"/>
              <w:left w:val="single" w:color="D3D3D3" w:sz="6"/>
              <w:bottom w:val="single" w:color="D3D3D3" w:sz="6"/>
              <w:right w:val="single" w:color="D3D3D3" w:sz="6"/>
            </w:tcBorders>
            <w:shd w:val="clear" w:color="auto" w:fill="1F497D" w:themeFill="text2"/>
            <w:tcMar>
              <w:top w:w="120" w:type="dxa"/>
              <w:left w:w="150" w:type="dxa"/>
              <w:bottom w:w="120" w:type="dxa"/>
              <w:right w:w="150" w:type="dxa"/>
            </w:tcMar>
            <w:vAlign w:val="top"/>
          </w:tcPr>
          <w:p w:rsidR="2374F0F8" w:rsidP="2374F0F8" w:rsidRDefault="2374F0F8" w14:paraId="0CB7366F" w14:textId="10BCBE89">
            <w:pPr>
              <w:pStyle w:val="Heading3"/>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200" w:after="80"/>
              <w:rPr>
                <w:rFonts w:ascii="Arial" w:hAnsi="Arial" w:eastAsia="Arial" w:cs="Arial"/>
                <w:b w:val="1"/>
                <w:bCs w:val="1"/>
                <w:i w:val="0"/>
                <w:iCs w:val="0"/>
                <w:color w:val="auto"/>
                <w:sz w:val="24"/>
                <w:szCs w:val="24"/>
              </w:rPr>
            </w:pPr>
            <w:r w:rsidRPr="2374F0F8" w:rsidR="2374F0F8">
              <w:rPr>
                <w:rFonts w:ascii="Arial" w:hAnsi="Arial" w:eastAsia="Arial" w:cs="Arial"/>
                <w:b w:val="1"/>
                <w:bCs w:val="1"/>
                <w:i w:val="0"/>
                <w:iCs w:val="0"/>
                <w:color w:val="auto"/>
                <w:sz w:val="24"/>
                <w:szCs w:val="24"/>
              </w:rPr>
              <w:t>3. BUDGET ALLOCATION &amp; FINANCIAL RESERVES</w:t>
            </w:r>
          </w:p>
          <w:p w:rsidR="2374F0F8" w:rsidP="2374F0F8" w:rsidRDefault="2374F0F8" w14:paraId="30F98A32" w14:textId="45EA435D">
            <w:pPr>
              <w:pStyle w:val="ListParagraph"/>
              <w:numPr>
                <w:ilvl w:val="0"/>
                <w:numId w:val="17"/>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after="0" w:afterAutospacing="off"/>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Total Authorized Capital Baseline: £45,000,000</w:t>
            </w:r>
          </w:p>
          <w:p w:rsidR="2374F0F8" w:rsidP="2374F0F8" w:rsidRDefault="2374F0F8" w14:paraId="70FBFEAD" w14:textId="10AFBEC8">
            <w:pPr>
              <w:pStyle w:val="ListParagraph"/>
              <w:numPr>
                <w:ilvl w:val="0"/>
                <w:numId w:val="17"/>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0" w:afterAutospacing="off"/>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Environmental Tech &amp; Micro-Grid: £15.30M (34.0%)</w:t>
            </w:r>
          </w:p>
          <w:p w:rsidR="2374F0F8" w:rsidP="2374F0F8" w:rsidRDefault="2374F0F8" w14:paraId="2DD26118" w14:textId="710AE668">
            <w:pPr>
              <w:pStyle w:val="ListParagraph"/>
              <w:numPr>
                <w:ilvl w:val="0"/>
                <w:numId w:val="17"/>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0" w:afterAutospacing="off"/>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Structural Civil Works &amp; Remediation: £10.35M (23.0%)</w:t>
            </w:r>
          </w:p>
          <w:p w:rsidR="2374F0F8" w:rsidP="2374F0F8" w:rsidRDefault="2374F0F8" w14:paraId="773AC422" w14:textId="636FD3A8">
            <w:pPr>
              <w:pStyle w:val="ListParagraph"/>
              <w:numPr>
                <w:ilvl w:val="0"/>
                <w:numId w:val="17"/>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0" w:afterAutospacing="off"/>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National Asset Infrastructure: £8.55M (19.0%)</w:t>
            </w:r>
          </w:p>
          <w:p w:rsidR="2374F0F8" w:rsidP="2374F0F8" w:rsidRDefault="2374F0F8" w14:paraId="74E5A1EA" w14:textId="77C90769">
            <w:pPr>
              <w:pStyle w:val="ListParagraph"/>
              <w:numPr>
                <w:ilvl w:val="0"/>
                <w:numId w:val="17"/>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0" w:afterAutospacing="off"/>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PMO, Engineering &amp; Management: £4.05M (9.0%)</w:t>
            </w:r>
          </w:p>
          <w:p w:rsidR="2374F0F8" w:rsidP="2374F0F8" w:rsidRDefault="2374F0F8" w14:paraId="146F4BBB" w14:textId="067C98B9">
            <w:pPr>
              <w:pStyle w:val="ListParagraph"/>
              <w:numPr>
                <w:ilvl w:val="0"/>
                <w:numId w:val="17"/>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80"/>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Uncommitted Risk Contingency Reserve: £6.75M (15.0%)</w:t>
            </w:r>
          </w:p>
        </w:tc>
        <w:tc>
          <w:tcPr>
            <w:tcW w:w="4680" w:type="dxa"/>
            <w:tcBorders>
              <w:top w:val="single" w:color="D3D3D3" w:sz="6"/>
              <w:left w:val="single" w:color="D3D3D3" w:sz="6"/>
              <w:bottom w:val="single" w:color="D3D3D3" w:sz="6"/>
              <w:right w:val="single" w:color="D3D3D3" w:sz="6"/>
            </w:tcBorders>
            <w:shd w:val="clear" w:color="auto" w:fill="0F243E" w:themeFill="text2" w:themeFillShade="80"/>
            <w:tcMar>
              <w:top w:w="120" w:type="dxa"/>
              <w:left w:w="150" w:type="dxa"/>
              <w:bottom w:w="120" w:type="dxa"/>
              <w:right w:w="150" w:type="dxa"/>
            </w:tcMar>
            <w:vAlign w:val="top"/>
          </w:tcPr>
          <w:p w:rsidR="2374F0F8" w:rsidP="2374F0F8" w:rsidRDefault="2374F0F8" w14:paraId="36C4A270" w14:textId="585090C5">
            <w:pPr>
              <w:pStyle w:val="Heading3"/>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200" w:after="80"/>
              <w:rPr>
                <w:rFonts w:ascii="Arial" w:hAnsi="Arial" w:eastAsia="Arial" w:cs="Arial"/>
                <w:b w:val="1"/>
                <w:bCs w:val="1"/>
                <w:i w:val="0"/>
                <w:iCs w:val="0"/>
                <w:color w:val="auto"/>
                <w:sz w:val="24"/>
                <w:szCs w:val="24"/>
              </w:rPr>
            </w:pPr>
            <w:r w:rsidRPr="2374F0F8" w:rsidR="2374F0F8">
              <w:rPr>
                <w:rFonts w:ascii="Arial" w:hAnsi="Arial" w:eastAsia="Arial" w:cs="Arial"/>
                <w:b w:val="1"/>
                <w:bCs w:val="1"/>
                <w:i w:val="0"/>
                <w:iCs w:val="0"/>
                <w:color w:val="auto"/>
                <w:sz w:val="24"/>
                <w:szCs w:val="24"/>
              </w:rPr>
              <w:t>4. CRITICAL RISKS &amp; MITIGATION DECISION POINTS</w:t>
            </w:r>
          </w:p>
          <w:p w:rsidR="2374F0F8" w:rsidP="2374F0F8" w:rsidRDefault="2374F0F8" w14:paraId="7669F8C1" w14:textId="1E693417">
            <w:pPr>
              <w:pStyle w:val="ListParagraph"/>
              <w:numPr>
                <w:ilvl w:val="0"/>
                <w:numId w:val="18"/>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after="0" w:afterAutospacing="off"/>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Supply Chain Bottlenecks: Long lead times on 350kW EV chargers &amp; BESS transformers.</w:t>
            </w:r>
          </w:p>
          <w:p w:rsidR="2374F0F8" w:rsidP="2374F0F8" w:rsidRDefault="2374F0F8" w14:paraId="69A5FB4B" w14:textId="576CE058">
            <w:pPr>
              <w:pStyle w:val="ListParagraph"/>
              <w:numPr>
                <w:ilvl w:val="0"/>
                <w:numId w:val="18"/>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0" w:afterAutospacing="off"/>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Grid Connection Capacity: Network operator power import constraints during peak hours.</w:t>
            </w:r>
          </w:p>
          <w:p w:rsidR="2374F0F8" w:rsidP="2374F0F8" w:rsidRDefault="2374F0F8" w14:paraId="6007DB26" w14:textId="27259A9C">
            <w:pPr>
              <w:pStyle w:val="ListParagraph"/>
              <w:numPr>
                <w:ilvl w:val="0"/>
                <w:numId w:val="18"/>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0" w:afterAutospacing="off"/>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Sub-surface Structural Defects: Unforeseen foundation degradation in legacy concrete.</w:t>
            </w:r>
          </w:p>
          <w:p w:rsidR="2374F0F8" w:rsidP="2374F0F8" w:rsidRDefault="2374F0F8" w14:paraId="7214E9A2" w14:textId="4BAB20AF">
            <w:pPr>
              <w:pStyle w:val="ListParagraph"/>
              <w:numPr>
                <w:ilvl w:val="0"/>
                <w:numId w:val="18"/>
              </w:numPr>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80"/>
              <w:ind w:left="400" w:hanging="36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Stakeholder Frictional Loss: Coordinating multi-operator transit schedules during civil works.</w:t>
            </w:r>
          </w:p>
        </w:tc>
      </w:tr>
    </w:tbl>
    <w:p xmlns:wp14="http://schemas.microsoft.com/office/word/2010/wordml" w:rsidP="2374F0F8" w14:paraId="7D164BB3" wp14:textId="7112389C">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360" w:after="240"/>
        <w:ind/>
        <w:rPr>
          <w:rFonts w:ascii="Arial" w:hAnsi="Arial" w:eastAsia="Arial" w:cs="Arial"/>
          <w:b w:val="1"/>
          <w:bCs w:val="1"/>
          <w:i w:val="0"/>
          <w:iCs w:val="0"/>
          <w:caps w:val="0"/>
          <w:smallCaps w:val="0"/>
          <w:noProof w:val="0"/>
          <w:color w:val="1F4E79"/>
          <w:sz w:val="36"/>
          <w:szCs w:val="36"/>
          <w:lang w:val="en-US"/>
        </w:rPr>
      </w:pPr>
      <w:r w:rsidRPr="2374F0F8" w:rsidR="67A0E288">
        <w:rPr>
          <w:rFonts w:ascii="Arial" w:hAnsi="Arial" w:eastAsia="Arial" w:cs="Arial"/>
          <w:b w:val="1"/>
          <w:bCs w:val="1"/>
          <w:i w:val="0"/>
          <w:iCs w:val="0"/>
          <w:caps w:val="0"/>
          <w:smallCaps w:val="0"/>
          <w:noProof w:val="0"/>
          <w:color w:val="1F4E79"/>
          <w:sz w:val="36"/>
          <w:szCs w:val="36"/>
          <w:lang w:val="en-US"/>
        </w:rPr>
        <w:t>6. Detailed Schedule Baseline &amp; Critical Path Analysis</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1020"/>
        <w:gridCol w:w="2895"/>
        <w:gridCol w:w="1170"/>
        <w:gridCol w:w="1665"/>
        <w:gridCol w:w="915"/>
        <w:gridCol w:w="1861"/>
      </w:tblGrid>
      <w:tr w:rsidR="2374F0F8" w:rsidTr="2374F0F8" w14:paraId="4C85EF08">
        <w:trPr>
          <w:trHeight w:val="900"/>
        </w:trPr>
        <w:tc>
          <w:tcPr>
            <w:tcW w:w="1020"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560880FD" w14:textId="2570E279">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Act ID</w:t>
            </w:r>
          </w:p>
        </w:tc>
        <w:tc>
          <w:tcPr>
            <w:tcW w:w="2895"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537200A1" w14:textId="48F5A048">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Activity Description</w:t>
            </w:r>
          </w:p>
        </w:tc>
        <w:tc>
          <w:tcPr>
            <w:tcW w:w="1170"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31ECD800" w14:textId="5E612711">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pPr>
            <w:r w:rsidRPr="2374F0F8" w:rsidR="2374F0F8">
              <w:rPr>
                <w:rFonts w:ascii="Arial" w:hAnsi="Arial" w:eastAsia="Arial" w:cs="Arial"/>
                <w:b w:val="1"/>
                <w:bCs w:val="1"/>
                <w:i w:val="0"/>
                <w:iCs w:val="0"/>
                <w:color w:val="FFFFFF" w:themeColor="background1" w:themeTint="FF" w:themeShade="FF"/>
                <w:sz w:val="20"/>
                <w:szCs w:val="20"/>
              </w:rPr>
              <w:t>Duration</w:t>
            </w:r>
          </w:p>
        </w:tc>
        <w:tc>
          <w:tcPr>
            <w:tcW w:w="1665"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68340BC7" w14:textId="13C7FA1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Predecessors</w:t>
            </w:r>
          </w:p>
        </w:tc>
        <w:tc>
          <w:tcPr>
            <w:tcW w:w="915"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142DA570" w14:textId="01C8F9CD">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pPr>
            <w:r w:rsidRPr="2374F0F8" w:rsidR="2374F0F8">
              <w:rPr>
                <w:rFonts w:ascii="Arial" w:hAnsi="Arial" w:eastAsia="Arial" w:cs="Arial"/>
                <w:b w:val="1"/>
                <w:bCs w:val="1"/>
                <w:i w:val="0"/>
                <w:iCs w:val="0"/>
                <w:color w:val="FFFFFF" w:themeColor="background1" w:themeTint="FF" w:themeShade="FF"/>
                <w:sz w:val="20"/>
                <w:szCs w:val="20"/>
              </w:rPr>
              <w:t>Float</w:t>
            </w:r>
          </w:p>
        </w:tc>
        <w:tc>
          <w:tcPr>
            <w:tcW w:w="1861"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54F58EEE" w14:textId="4FE7B12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Critical Path?</w:t>
            </w:r>
          </w:p>
          <w:p w:rsidR="2374F0F8" w:rsidP="2374F0F8" w:rsidRDefault="2374F0F8" w14:paraId="306357F5" w14:textId="35F87F43">
            <w:pPr>
              <w:keepNext w:val="0"/>
              <w:keepLines w:val="0"/>
              <w:widowControl w:val="0"/>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300" w:lineRule="auto"/>
              <w:ind w:left="0" w:right="0" w:firstLine="0"/>
              <w:jc w:val="left"/>
              <w:rPr>
                <w:rFonts w:ascii="Arial" w:hAnsi="Arial" w:eastAsia="Arial" w:cs="Arial"/>
                <w:b w:val="0"/>
                <w:bCs w:val="0"/>
                <w:i w:val="0"/>
                <w:iCs w:val="0"/>
                <w:color w:val="222222"/>
                <w:sz w:val="22"/>
                <w:szCs w:val="22"/>
              </w:rPr>
            </w:pPr>
            <w:r w:rsidRPr="2374F0F8" w:rsidR="2374F0F8">
              <w:rPr>
                <w:rFonts w:ascii="Arial" w:hAnsi="Arial" w:eastAsia="Arial" w:cs="Arial"/>
                <w:b w:val="0"/>
                <w:bCs w:val="0"/>
                <w:i w:val="0"/>
                <w:iCs w:val="0"/>
                <w:color w:val="222222"/>
                <w:sz w:val="22"/>
                <w:szCs w:val="22"/>
              </w:rPr>
              <w:t xml:space="preserve"> </w:t>
            </w:r>
          </w:p>
        </w:tc>
      </w:tr>
      <w:tr w:rsidR="2374F0F8" w:rsidTr="2374F0F8" w14:paraId="6E13A210">
        <w:trPr>
          <w:trHeight w:val="1035"/>
        </w:trPr>
        <w:tc>
          <w:tcPr>
            <w:tcW w:w="102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262A8AC0" w14:textId="58CF7F0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A1</w:t>
            </w:r>
          </w:p>
        </w:tc>
        <w:tc>
          <w:tcPr>
            <w:tcW w:w="289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3ADD80E0" w14:textId="376035A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Detailed Engineering Design &amp; Planning Approvals</w:t>
            </w:r>
          </w:p>
        </w:tc>
        <w:tc>
          <w:tcPr>
            <w:tcW w:w="117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1E06FE94" w14:textId="1E06885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12</w:t>
            </w:r>
          </w:p>
        </w:tc>
        <w:tc>
          <w:tcPr>
            <w:tcW w:w="166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257808D4" w14:textId="7F11A19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None</w:t>
            </w:r>
          </w:p>
        </w:tc>
        <w:tc>
          <w:tcPr>
            <w:tcW w:w="91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149C0DC3" w14:textId="745CA60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0</w:t>
            </w:r>
          </w:p>
        </w:tc>
        <w:tc>
          <w:tcPr>
            <w:tcW w:w="1861"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52C83F23" w14:textId="70FFAC9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YES</w:t>
            </w:r>
          </w:p>
        </w:tc>
      </w:tr>
      <w:tr w:rsidR="2374F0F8" w:rsidTr="2374F0F8" w14:paraId="0C3E7BD6">
        <w:trPr>
          <w:trHeight w:val="300"/>
        </w:trPr>
        <w:tc>
          <w:tcPr>
            <w:tcW w:w="102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468C89F" w14:textId="6876D569">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A2</w:t>
            </w:r>
          </w:p>
        </w:tc>
        <w:tc>
          <w:tcPr>
            <w:tcW w:w="289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DA09708" w14:textId="249982C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Procurement &amp; Supply Chain Contracting</w:t>
            </w:r>
          </w:p>
        </w:tc>
        <w:tc>
          <w:tcPr>
            <w:tcW w:w="117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55DAB338" w14:textId="2C29E88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8</w:t>
            </w:r>
          </w:p>
        </w:tc>
        <w:tc>
          <w:tcPr>
            <w:tcW w:w="166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1CE92A2D" w14:textId="76C2F7C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A1</w:t>
            </w:r>
          </w:p>
        </w:tc>
        <w:tc>
          <w:tcPr>
            <w:tcW w:w="91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7F6E6BC" w14:textId="5C90951F">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2</w:t>
            </w:r>
          </w:p>
        </w:tc>
        <w:tc>
          <w:tcPr>
            <w:tcW w:w="1861"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5296C8EC" w14:textId="0C82209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NO</w:t>
            </w:r>
          </w:p>
        </w:tc>
      </w:tr>
      <w:tr w:rsidR="2374F0F8" w:rsidTr="2374F0F8" w14:paraId="03D6B644">
        <w:trPr>
          <w:trHeight w:val="300"/>
        </w:trPr>
        <w:tc>
          <w:tcPr>
            <w:tcW w:w="102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0FD574AC" w14:textId="715936D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A3</w:t>
            </w:r>
          </w:p>
        </w:tc>
        <w:tc>
          <w:tcPr>
            <w:tcW w:w="289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0578EECC" w14:textId="0B8AFBF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Site Deconstruction &amp; Structural Preparation</w:t>
            </w:r>
          </w:p>
        </w:tc>
        <w:tc>
          <w:tcPr>
            <w:tcW w:w="117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5E93A376" w14:textId="4E9F159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10</w:t>
            </w:r>
          </w:p>
        </w:tc>
        <w:tc>
          <w:tcPr>
            <w:tcW w:w="166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157C5E75" w14:textId="119743E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A1</w:t>
            </w:r>
          </w:p>
        </w:tc>
        <w:tc>
          <w:tcPr>
            <w:tcW w:w="91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6C09C0B8" w14:textId="3066F4F0">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0</w:t>
            </w:r>
          </w:p>
        </w:tc>
        <w:tc>
          <w:tcPr>
            <w:tcW w:w="1861"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42435625" w14:textId="4747462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YES</w:t>
            </w:r>
          </w:p>
        </w:tc>
      </w:tr>
      <w:tr w:rsidR="2374F0F8" w:rsidTr="2374F0F8" w14:paraId="4B818868">
        <w:trPr>
          <w:trHeight w:val="300"/>
        </w:trPr>
        <w:tc>
          <w:tcPr>
            <w:tcW w:w="102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2E752C2E" w14:textId="61E8B28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A4</w:t>
            </w:r>
          </w:p>
        </w:tc>
        <w:tc>
          <w:tcPr>
            <w:tcW w:w="289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6F94D175" w14:textId="02CB2598">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Structural Frame Jacketing &amp; Concrete Remediation</w:t>
            </w:r>
          </w:p>
        </w:tc>
        <w:tc>
          <w:tcPr>
            <w:tcW w:w="117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27DE6A52" w14:textId="56B892C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16</w:t>
            </w:r>
          </w:p>
        </w:tc>
        <w:tc>
          <w:tcPr>
            <w:tcW w:w="166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3673712A" w14:textId="22A05451">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A3</w:t>
            </w:r>
          </w:p>
        </w:tc>
        <w:tc>
          <w:tcPr>
            <w:tcW w:w="91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13DB1776" w14:textId="35871B7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0</w:t>
            </w:r>
          </w:p>
        </w:tc>
        <w:tc>
          <w:tcPr>
            <w:tcW w:w="1861"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61A93FAD" w14:textId="11918E6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YES</w:t>
            </w:r>
          </w:p>
        </w:tc>
      </w:tr>
      <w:tr w:rsidR="2374F0F8" w:rsidTr="2374F0F8" w14:paraId="54C254D6">
        <w:trPr>
          <w:trHeight w:val="300"/>
        </w:trPr>
        <w:tc>
          <w:tcPr>
            <w:tcW w:w="102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68C8DB4B" w14:textId="15D9076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A5</w:t>
            </w:r>
          </w:p>
        </w:tc>
        <w:tc>
          <w:tcPr>
            <w:tcW w:w="289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6C5D4F7" w14:textId="2BFDA61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Off-site Solar PV &amp; Battery Manufacturing</w:t>
            </w:r>
          </w:p>
        </w:tc>
        <w:tc>
          <w:tcPr>
            <w:tcW w:w="117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7998D2DF" w14:textId="025FCBA1">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14</w:t>
            </w:r>
          </w:p>
        </w:tc>
        <w:tc>
          <w:tcPr>
            <w:tcW w:w="166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27CB22E2" w14:textId="0843226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A2</w:t>
            </w:r>
          </w:p>
        </w:tc>
        <w:tc>
          <w:tcPr>
            <w:tcW w:w="91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265DF8AE" w14:textId="02802130">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4</w:t>
            </w:r>
          </w:p>
        </w:tc>
        <w:tc>
          <w:tcPr>
            <w:tcW w:w="1861"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F01659B" w14:textId="61D6505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NO</w:t>
            </w:r>
          </w:p>
        </w:tc>
      </w:tr>
      <w:tr w:rsidR="2374F0F8" w:rsidTr="2374F0F8" w14:paraId="3A0A7459">
        <w:trPr>
          <w:trHeight w:val="300"/>
        </w:trPr>
        <w:tc>
          <w:tcPr>
            <w:tcW w:w="102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16312F5F" w14:textId="7ED8B385">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A6</w:t>
            </w:r>
          </w:p>
        </w:tc>
        <w:tc>
          <w:tcPr>
            <w:tcW w:w="289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25E3AD1C" w14:textId="4616ACE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Roof Sub-Structure &amp; Weatherproofing</w:t>
            </w:r>
          </w:p>
        </w:tc>
        <w:tc>
          <w:tcPr>
            <w:tcW w:w="117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7B30AE0D" w14:textId="12138B4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8</w:t>
            </w:r>
          </w:p>
        </w:tc>
        <w:tc>
          <w:tcPr>
            <w:tcW w:w="166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5DDD2803" w14:textId="5E0EF3E0">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A4</w:t>
            </w:r>
          </w:p>
        </w:tc>
        <w:tc>
          <w:tcPr>
            <w:tcW w:w="91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604D852F" w14:textId="448D73E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0</w:t>
            </w:r>
          </w:p>
        </w:tc>
        <w:tc>
          <w:tcPr>
            <w:tcW w:w="1861"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51EF8BFA" w14:textId="4C1073F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YES</w:t>
            </w:r>
          </w:p>
        </w:tc>
      </w:tr>
      <w:tr w:rsidR="2374F0F8" w:rsidTr="2374F0F8" w14:paraId="11EBD9C7">
        <w:trPr>
          <w:trHeight w:val="300"/>
        </w:trPr>
        <w:tc>
          <w:tcPr>
            <w:tcW w:w="102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1EF7D920" w14:textId="6E44F14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A7</w:t>
            </w:r>
          </w:p>
        </w:tc>
        <w:tc>
          <w:tcPr>
            <w:tcW w:w="289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1A93FF77" w14:textId="6D6A745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Solar PV Array &amp; Micro-Grid Integration</w:t>
            </w:r>
          </w:p>
        </w:tc>
        <w:tc>
          <w:tcPr>
            <w:tcW w:w="117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4654166A" w14:textId="2ACC1A6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12</w:t>
            </w:r>
          </w:p>
        </w:tc>
        <w:tc>
          <w:tcPr>
            <w:tcW w:w="166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607503E0" w14:textId="1426621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A6, A5</w:t>
            </w:r>
          </w:p>
        </w:tc>
        <w:tc>
          <w:tcPr>
            <w:tcW w:w="91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2555E080" w14:textId="597F7E8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0</w:t>
            </w:r>
          </w:p>
        </w:tc>
        <w:tc>
          <w:tcPr>
            <w:tcW w:w="1861"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3F6B06BD" w14:textId="6C37FFF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YES</w:t>
            </w:r>
          </w:p>
        </w:tc>
      </w:tr>
      <w:tr w:rsidR="2374F0F8" w:rsidTr="2374F0F8" w14:paraId="0601316C">
        <w:trPr>
          <w:trHeight w:val="300"/>
        </w:trPr>
        <w:tc>
          <w:tcPr>
            <w:tcW w:w="102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56786048" w14:textId="34F819F5">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A8</w:t>
            </w:r>
          </w:p>
        </w:tc>
        <w:tc>
          <w:tcPr>
            <w:tcW w:w="289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1B8188ED" w14:textId="0DFA5011">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Underground Civil Utilities &amp; EV Sub-station Works</w:t>
            </w:r>
          </w:p>
        </w:tc>
        <w:tc>
          <w:tcPr>
            <w:tcW w:w="117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79D04BD8" w14:textId="0D5812B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10</w:t>
            </w:r>
          </w:p>
        </w:tc>
        <w:tc>
          <w:tcPr>
            <w:tcW w:w="166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771E9D48" w14:textId="203E0305">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A4</w:t>
            </w:r>
          </w:p>
        </w:tc>
        <w:tc>
          <w:tcPr>
            <w:tcW w:w="91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67159B68" w14:textId="7DC40170">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2</w:t>
            </w:r>
          </w:p>
        </w:tc>
        <w:tc>
          <w:tcPr>
            <w:tcW w:w="1861"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52ADE0BA" w14:textId="470BDF3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NO</w:t>
            </w:r>
          </w:p>
        </w:tc>
      </w:tr>
      <w:tr w:rsidR="2374F0F8" w:rsidTr="2374F0F8" w14:paraId="16F14DAA">
        <w:trPr>
          <w:trHeight w:val="990"/>
        </w:trPr>
        <w:tc>
          <w:tcPr>
            <w:tcW w:w="102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71E0E5CA" w14:textId="6146F84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A9</w:t>
            </w:r>
          </w:p>
        </w:tc>
        <w:tc>
          <w:tcPr>
            <w:tcW w:w="289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79704EF6" w14:textId="5DF3D60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EV Charger Station Mounting &amp; Terminal Wiring</w:t>
            </w:r>
          </w:p>
        </w:tc>
        <w:tc>
          <w:tcPr>
            <w:tcW w:w="117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4DE68324" w14:textId="35B1A8F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8</w:t>
            </w:r>
          </w:p>
        </w:tc>
        <w:tc>
          <w:tcPr>
            <w:tcW w:w="166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28B786AF" w14:textId="042484C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A8, A7</w:t>
            </w:r>
          </w:p>
        </w:tc>
        <w:tc>
          <w:tcPr>
            <w:tcW w:w="91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187376E9" w14:textId="6C709B0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0</w:t>
            </w:r>
          </w:p>
        </w:tc>
        <w:tc>
          <w:tcPr>
            <w:tcW w:w="1861"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47991EFA" w14:textId="612F273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YES</w:t>
            </w:r>
          </w:p>
        </w:tc>
      </w:tr>
      <w:tr w:rsidR="2374F0F8" w:rsidTr="2374F0F8" w14:paraId="5508B778">
        <w:trPr>
          <w:trHeight w:val="300"/>
        </w:trPr>
        <w:tc>
          <w:tcPr>
            <w:tcW w:w="102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CCCEA13" w14:textId="5475C63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A10</w:t>
            </w:r>
          </w:p>
        </w:tc>
        <w:tc>
          <w:tcPr>
            <w:tcW w:w="289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27DA6CC" w14:textId="277CE36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Digital Passenger Systems &amp; Gateways Installation</w:t>
            </w:r>
          </w:p>
        </w:tc>
        <w:tc>
          <w:tcPr>
            <w:tcW w:w="117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67690B18" w14:textId="3EDC2ADD">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10</w:t>
            </w:r>
          </w:p>
        </w:tc>
        <w:tc>
          <w:tcPr>
            <w:tcW w:w="166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6463189C" w14:textId="5EEDA39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A6</w:t>
            </w:r>
          </w:p>
        </w:tc>
        <w:tc>
          <w:tcPr>
            <w:tcW w:w="91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1189D584" w14:textId="1CBBCE2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3</w:t>
            </w:r>
          </w:p>
        </w:tc>
        <w:tc>
          <w:tcPr>
            <w:tcW w:w="1861"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5C832C63" w14:textId="594D94C8">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NO</w:t>
            </w:r>
          </w:p>
        </w:tc>
      </w:tr>
      <w:tr w:rsidR="2374F0F8" w:rsidTr="2374F0F8" w14:paraId="5D9FB43C">
        <w:trPr>
          <w:trHeight w:val="525"/>
        </w:trPr>
        <w:tc>
          <w:tcPr>
            <w:tcW w:w="102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52233478" w14:textId="6D57A3D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A11</w:t>
            </w:r>
          </w:p>
        </w:tc>
        <w:tc>
          <w:tcPr>
            <w:tcW w:w="289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1D7D0AFF" w14:textId="08B79DC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Interior Refurbishment &amp; Universal Access Fit-out</w:t>
            </w:r>
          </w:p>
        </w:tc>
        <w:tc>
          <w:tcPr>
            <w:tcW w:w="117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3E6C49F4" w14:textId="56ECF40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12</w:t>
            </w:r>
          </w:p>
        </w:tc>
        <w:tc>
          <w:tcPr>
            <w:tcW w:w="166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7FF38C51" w14:textId="16085F4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A6</w:t>
            </w:r>
          </w:p>
        </w:tc>
        <w:tc>
          <w:tcPr>
            <w:tcW w:w="91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3B7C3C81" w14:textId="24C4AA9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1</w:t>
            </w:r>
          </w:p>
        </w:tc>
        <w:tc>
          <w:tcPr>
            <w:tcW w:w="1861"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BA35740" w14:textId="63B935D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NO</w:t>
            </w:r>
          </w:p>
        </w:tc>
      </w:tr>
      <w:tr w:rsidR="2374F0F8" w:rsidTr="2374F0F8" w14:paraId="22402D43">
        <w:trPr>
          <w:trHeight w:val="300"/>
        </w:trPr>
        <w:tc>
          <w:tcPr>
            <w:tcW w:w="102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5F304A60" w14:textId="1489B55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A12</w:t>
            </w:r>
          </w:p>
        </w:tc>
        <w:tc>
          <w:tcPr>
            <w:tcW w:w="289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05A02B66" w14:textId="58191708">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High-Voltage Grid Integration &amp; Electrical Load Testing</w:t>
            </w:r>
          </w:p>
        </w:tc>
        <w:tc>
          <w:tcPr>
            <w:tcW w:w="117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45112F10" w14:textId="1767BD0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6</w:t>
            </w:r>
          </w:p>
        </w:tc>
        <w:tc>
          <w:tcPr>
            <w:tcW w:w="166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10CAE060" w14:textId="40D4DD4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A9</w:t>
            </w:r>
          </w:p>
        </w:tc>
        <w:tc>
          <w:tcPr>
            <w:tcW w:w="91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2F0FC32F" w14:textId="4F75B9D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0</w:t>
            </w:r>
          </w:p>
        </w:tc>
        <w:tc>
          <w:tcPr>
            <w:tcW w:w="1861"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51225874" w14:textId="3DD55CBF">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YES</w:t>
            </w:r>
          </w:p>
        </w:tc>
      </w:tr>
      <w:tr w:rsidR="2374F0F8" w:rsidTr="2374F0F8" w14:paraId="07E0E78B">
        <w:trPr>
          <w:trHeight w:val="300"/>
        </w:trPr>
        <w:tc>
          <w:tcPr>
            <w:tcW w:w="102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03A13887" w14:textId="597178A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A13</w:t>
            </w:r>
          </w:p>
        </w:tc>
        <w:tc>
          <w:tcPr>
            <w:tcW w:w="289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32CFE835" w14:textId="0B78FCA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BREEAM Environmental Audit &amp; Operational Simulations</w:t>
            </w:r>
          </w:p>
        </w:tc>
        <w:tc>
          <w:tcPr>
            <w:tcW w:w="117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1DDDBD0B" w14:textId="280FC73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4</w:t>
            </w:r>
          </w:p>
        </w:tc>
        <w:tc>
          <w:tcPr>
            <w:tcW w:w="166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48966303" w14:textId="4F6AF84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A12, A10</w:t>
            </w:r>
          </w:p>
        </w:tc>
        <w:tc>
          <w:tcPr>
            <w:tcW w:w="91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28419A67" w14:textId="3529F49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0</w:t>
            </w:r>
          </w:p>
        </w:tc>
        <w:tc>
          <w:tcPr>
            <w:tcW w:w="1861"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643AEC67" w14:textId="37F04D7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YES</w:t>
            </w:r>
          </w:p>
        </w:tc>
      </w:tr>
      <w:tr w:rsidR="2374F0F8" w:rsidTr="2374F0F8" w14:paraId="7C35EDF5">
        <w:trPr>
          <w:trHeight w:val="300"/>
        </w:trPr>
        <w:tc>
          <w:tcPr>
            <w:tcW w:w="102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5FD0A8EB" w14:textId="497D512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A14</w:t>
            </w:r>
          </w:p>
        </w:tc>
        <w:tc>
          <w:tcPr>
            <w:tcW w:w="289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7BF49BC4" w14:textId="5CD4D1C1">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Formal Handover, Municipal Licensing &amp; Public Opening</w:t>
            </w:r>
          </w:p>
        </w:tc>
        <w:tc>
          <w:tcPr>
            <w:tcW w:w="117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12E67DED" w14:textId="316D5CD5">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2</w:t>
            </w:r>
          </w:p>
        </w:tc>
        <w:tc>
          <w:tcPr>
            <w:tcW w:w="166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44B07D63" w14:textId="620794A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A13, A11</w:t>
            </w:r>
          </w:p>
        </w:tc>
        <w:tc>
          <w:tcPr>
            <w:tcW w:w="91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46F665A3" w14:textId="01AE6FD8">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0"/>
                <w:bCs w:val="0"/>
                <w:i w:val="0"/>
                <w:iCs w:val="0"/>
                <w:color w:val="222222"/>
                <w:sz w:val="20"/>
                <w:szCs w:val="20"/>
              </w:rPr>
              <w:t>0</w:t>
            </w:r>
          </w:p>
        </w:tc>
        <w:tc>
          <w:tcPr>
            <w:tcW w:w="1861"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58EFDFE5" w14:textId="4F7870DD">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YES</w:t>
            </w:r>
          </w:p>
        </w:tc>
      </w:tr>
    </w:tbl>
    <w:p xmlns:wp14="http://schemas.microsoft.com/office/word/2010/wordml" w:rsidP="2374F0F8" w14:paraId="3A1FEAB3" wp14:textId="1BF9F24C">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360" w:after="240"/>
        <w:ind/>
        <w:rPr>
          <w:rFonts w:ascii="Arial" w:hAnsi="Arial" w:eastAsia="Arial" w:cs="Arial"/>
          <w:b w:val="1"/>
          <w:bCs w:val="1"/>
          <w:i w:val="0"/>
          <w:iCs w:val="0"/>
          <w:caps w:val="0"/>
          <w:smallCaps w:val="0"/>
          <w:noProof w:val="0"/>
          <w:color w:val="1F4E79"/>
          <w:sz w:val="36"/>
          <w:szCs w:val="36"/>
          <w:lang w:val="en-US"/>
        </w:rPr>
      </w:pPr>
      <w:r w:rsidRPr="2374F0F8" w:rsidR="67013D3B">
        <w:rPr>
          <w:rFonts w:ascii="Arial" w:hAnsi="Arial" w:eastAsia="Arial" w:cs="Arial"/>
          <w:b w:val="1"/>
          <w:bCs w:val="1"/>
          <w:i w:val="0"/>
          <w:iCs w:val="0"/>
          <w:caps w:val="0"/>
          <w:smallCaps w:val="0"/>
          <w:noProof w:val="0"/>
          <w:color w:val="1F4E79"/>
          <w:sz w:val="36"/>
          <w:szCs w:val="36"/>
          <w:lang w:val="en-US"/>
        </w:rPr>
        <w:t>7. Comprehensive Stakeholder Engagement Matrix</w:t>
      </w:r>
    </w:p>
    <w:p xmlns:wp14="http://schemas.microsoft.com/office/word/2010/wordml" w:rsidP="2374F0F8" w14:paraId="76617F1C" wp14:textId="3B678B4D">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60"/>
        <w:ind/>
        <w:jc w:val="both"/>
        <w:rPr>
          <w:rFonts w:ascii="Arial" w:hAnsi="Arial" w:eastAsia="Arial" w:cs="Arial"/>
          <w:b w:val="0"/>
          <w:bCs w:val="0"/>
          <w:i w:val="0"/>
          <w:iCs w:val="0"/>
          <w:caps w:val="0"/>
          <w:smallCaps w:val="0"/>
          <w:noProof w:val="0"/>
          <w:color w:val="222222"/>
          <w:sz w:val="22"/>
          <w:szCs w:val="22"/>
          <w:lang w:val="en-US"/>
        </w:rPr>
      </w:pPr>
      <w:r w:rsidRPr="2374F0F8" w:rsidR="67013D3B">
        <w:rPr>
          <w:rFonts w:ascii="Arial" w:hAnsi="Arial" w:eastAsia="Arial" w:cs="Arial"/>
          <w:b w:val="0"/>
          <w:bCs w:val="0"/>
          <w:i w:val="0"/>
          <w:iCs w:val="0"/>
          <w:caps w:val="0"/>
          <w:smallCaps w:val="0"/>
          <w:noProof w:val="0"/>
          <w:color w:val="222222"/>
          <w:sz w:val="22"/>
          <w:szCs w:val="22"/>
          <w:lang w:val="en-US"/>
        </w:rPr>
        <w:t>Stakeholder management is executed using Mendelow's Power-Interest Matrix to ensure alignment across municipal, commercial, environmental, and public entities.</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1860"/>
        <w:gridCol w:w="1440"/>
        <w:gridCol w:w="1320"/>
        <w:gridCol w:w="2130"/>
        <w:gridCol w:w="2716"/>
      </w:tblGrid>
      <w:tr w:rsidR="2374F0F8" w:rsidTr="2374F0F8" w14:paraId="55270686">
        <w:trPr>
          <w:trHeight w:val="300"/>
        </w:trPr>
        <w:tc>
          <w:tcPr>
            <w:tcW w:w="1860"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75D89899" w14:textId="53FE8198">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Stakeholder Entity</w:t>
            </w:r>
          </w:p>
        </w:tc>
        <w:tc>
          <w:tcPr>
            <w:tcW w:w="1440"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05008A51" w14:textId="7EF53F5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Power</w:t>
            </w:r>
          </w:p>
        </w:tc>
        <w:tc>
          <w:tcPr>
            <w:tcW w:w="1320"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587293CD" w14:textId="71EF0F15">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Interest</w:t>
            </w:r>
          </w:p>
        </w:tc>
        <w:tc>
          <w:tcPr>
            <w:tcW w:w="2130"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5C401201" w14:textId="6DD80245">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Category Strategy</w:t>
            </w:r>
          </w:p>
        </w:tc>
        <w:tc>
          <w:tcPr>
            <w:tcW w:w="2716"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58072E5D" w14:textId="5B1FDFC8">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Specific Engagement Action</w:t>
            </w:r>
          </w:p>
          <w:p w:rsidR="2374F0F8" w:rsidP="2374F0F8" w:rsidRDefault="2374F0F8" w14:paraId="09CBEFE9" w14:textId="7B7A6D86">
            <w:pPr>
              <w:keepNext w:val="0"/>
              <w:keepLines w:val="0"/>
              <w:widowControl w:val="0"/>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300" w:lineRule="auto"/>
              <w:ind w:left="0" w:right="0" w:firstLine="0"/>
              <w:jc w:val="left"/>
              <w:rPr>
                <w:rFonts w:ascii="Arial" w:hAnsi="Arial" w:eastAsia="Arial" w:cs="Arial"/>
                <w:b w:val="0"/>
                <w:bCs w:val="0"/>
                <w:i w:val="0"/>
                <w:iCs w:val="0"/>
                <w:color w:val="222222"/>
                <w:sz w:val="22"/>
                <w:szCs w:val="22"/>
              </w:rPr>
            </w:pPr>
            <w:r w:rsidRPr="2374F0F8" w:rsidR="2374F0F8">
              <w:rPr>
                <w:rFonts w:ascii="Arial" w:hAnsi="Arial" w:eastAsia="Arial" w:cs="Arial"/>
                <w:b w:val="0"/>
                <w:bCs w:val="0"/>
                <w:i w:val="0"/>
                <w:iCs w:val="0"/>
                <w:color w:val="222222"/>
                <w:sz w:val="22"/>
                <w:szCs w:val="22"/>
              </w:rPr>
              <w:t xml:space="preserve"> </w:t>
            </w:r>
          </w:p>
        </w:tc>
      </w:tr>
      <w:tr w:rsidR="2374F0F8" w:rsidTr="2374F0F8" w14:paraId="62DA139A">
        <w:trPr>
          <w:trHeight w:val="300"/>
        </w:trPr>
        <w:tc>
          <w:tcPr>
            <w:tcW w:w="1860" w:type="dxa"/>
            <w:tcBorders>
              <w:top w:val="single" w:color="D3D3D3" w:sz="6"/>
              <w:left w:val="single" w:color="D3D3D3" w:sz="6"/>
              <w:bottom w:val="single" w:color="D3D3D3" w:sz="6"/>
              <w:right w:val="single" w:color="D3D3D3" w:sz="6"/>
            </w:tcBorders>
            <w:shd w:val="clear" w:color="auto" w:fill="0F243E" w:themeFill="text2" w:themeFillShade="80"/>
            <w:tcMar>
              <w:top w:w="120" w:type="dxa"/>
              <w:left w:w="150" w:type="dxa"/>
              <w:bottom w:w="120" w:type="dxa"/>
              <w:right w:w="150" w:type="dxa"/>
            </w:tcMar>
            <w:vAlign w:val="top"/>
          </w:tcPr>
          <w:p w:rsidR="2374F0F8" w:rsidP="2374F0F8" w:rsidRDefault="2374F0F8" w14:paraId="273C7DB9" w14:textId="2F7AF8F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Municipal Transport Authority</w:t>
            </w:r>
          </w:p>
        </w:tc>
        <w:tc>
          <w:tcPr>
            <w:tcW w:w="14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58D31E6A" w14:textId="5891B83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High</w:t>
            </w:r>
          </w:p>
        </w:tc>
        <w:tc>
          <w:tcPr>
            <w:tcW w:w="132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26138FD0" w14:textId="387148B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High</w:t>
            </w:r>
          </w:p>
        </w:tc>
        <w:tc>
          <w:tcPr>
            <w:tcW w:w="213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14574E4" w14:textId="20A9C94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1"/>
                <w:bCs w:val="1"/>
                <w:i w:val="0"/>
                <w:iCs w:val="0"/>
                <w:color w:val="auto"/>
                <w:sz w:val="20"/>
                <w:szCs w:val="20"/>
              </w:rPr>
              <w:t>Manage Closely</w:t>
            </w:r>
          </w:p>
        </w:tc>
        <w:tc>
          <w:tcPr>
            <w:tcW w:w="2716"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33DF84F3" w14:textId="0FCB249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Weekly operational progress briefings; co-chair steering committee; formal milestone sign-offs.</w:t>
            </w:r>
          </w:p>
        </w:tc>
      </w:tr>
      <w:tr w:rsidR="2374F0F8" w:rsidTr="2374F0F8" w14:paraId="0A1DF503">
        <w:trPr>
          <w:trHeight w:val="300"/>
        </w:trPr>
        <w:tc>
          <w:tcPr>
            <w:tcW w:w="1860" w:type="dxa"/>
            <w:tcBorders>
              <w:top w:val="single" w:color="D3D3D3" w:sz="6"/>
              <w:left w:val="single" w:color="D3D3D3" w:sz="6"/>
              <w:bottom w:val="single" w:color="D3D3D3" w:sz="6"/>
              <w:right w:val="single" w:color="D3D3D3" w:sz="6"/>
            </w:tcBorders>
            <w:shd w:val="clear" w:color="auto" w:fill="0F243E" w:themeFill="text2" w:themeFillShade="80"/>
            <w:tcMar>
              <w:top w:w="120" w:type="dxa"/>
              <w:left w:w="150" w:type="dxa"/>
              <w:bottom w:w="120" w:type="dxa"/>
              <w:right w:w="150" w:type="dxa"/>
            </w:tcMar>
            <w:vAlign w:val="top"/>
          </w:tcPr>
          <w:p w:rsidR="2374F0F8" w:rsidP="2374F0F8" w:rsidRDefault="2374F0F8" w14:paraId="0970E600" w14:textId="0DBD1D1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Environmental Protection Agency</w:t>
            </w:r>
          </w:p>
        </w:tc>
        <w:tc>
          <w:tcPr>
            <w:tcW w:w="14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103449D4" w14:textId="0EAB00A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High</w:t>
            </w:r>
          </w:p>
        </w:tc>
        <w:tc>
          <w:tcPr>
            <w:tcW w:w="132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4635BE6" w14:textId="49A237D5">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High</w:t>
            </w:r>
          </w:p>
        </w:tc>
        <w:tc>
          <w:tcPr>
            <w:tcW w:w="213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3B1160B3" w14:textId="267D007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1"/>
                <w:bCs w:val="1"/>
                <w:i w:val="0"/>
                <w:iCs w:val="0"/>
                <w:color w:val="auto"/>
                <w:sz w:val="20"/>
                <w:szCs w:val="20"/>
              </w:rPr>
              <w:t>Manage Closely</w:t>
            </w:r>
          </w:p>
        </w:tc>
        <w:tc>
          <w:tcPr>
            <w:tcW w:w="2716"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105514C" w14:textId="71591249">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Quarterly environmental audits; BREEAM compliance documentation; emissions zero-baseline reviews.</w:t>
            </w:r>
          </w:p>
        </w:tc>
      </w:tr>
      <w:tr w:rsidR="2374F0F8" w:rsidTr="2374F0F8" w14:paraId="18289CEA">
        <w:trPr>
          <w:trHeight w:val="300"/>
        </w:trPr>
        <w:tc>
          <w:tcPr>
            <w:tcW w:w="1860" w:type="dxa"/>
            <w:tcBorders>
              <w:top w:val="single" w:color="D3D3D3" w:sz="6"/>
              <w:left w:val="single" w:color="D3D3D3" w:sz="6"/>
              <w:bottom w:val="single" w:color="D3D3D3" w:sz="6"/>
              <w:right w:val="single" w:color="D3D3D3" w:sz="6"/>
            </w:tcBorders>
            <w:shd w:val="clear" w:color="auto" w:fill="0F243E" w:themeFill="text2" w:themeFillShade="80"/>
            <w:tcMar>
              <w:top w:w="120" w:type="dxa"/>
              <w:left w:w="150" w:type="dxa"/>
              <w:bottom w:w="120" w:type="dxa"/>
              <w:right w:w="150" w:type="dxa"/>
            </w:tcMar>
            <w:vAlign w:val="top"/>
          </w:tcPr>
          <w:p w:rsidR="2374F0F8" w:rsidP="2374F0F8" w:rsidRDefault="2374F0F8" w14:paraId="19ED9F96" w14:textId="371153B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Regional Bus &amp; Transit Operators</w:t>
            </w:r>
          </w:p>
        </w:tc>
        <w:tc>
          <w:tcPr>
            <w:tcW w:w="14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1F6F25F0" w14:textId="116BB0A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High</w:t>
            </w:r>
          </w:p>
        </w:tc>
        <w:tc>
          <w:tcPr>
            <w:tcW w:w="132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5C5B4A8D" w14:textId="6756CC2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Medium</w:t>
            </w:r>
          </w:p>
        </w:tc>
        <w:tc>
          <w:tcPr>
            <w:tcW w:w="213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2E55E1FF" w14:textId="365E8BD8">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Keep Satisfied</w:t>
            </w:r>
          </w:p>
        </w:tc>
        <w:tc>
          <w:tcPr>
            <w:tcW w:w="2716"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9D8BF53" w14:textId="25B38E1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Bi-weekly operational forums; input into bay layouts, schedule sync, and EV charging slot allocation.</w:t>
            </w:r>
          </w:p>
        </w:tc>
      </w:tr>
      <w:tr w:rsidR="2374F0F8" w:rsidTr="2374F0F8" w14:paraId="2750DC33">
        <w:trPr>
          <w:trHeight w:val="300"/>
        </w:trPr>
        <w:tc>
          <w:tcPr>
            <w:tcW w:w="1860" w:type="dxa"/>
            <w:tcBorders>
              <w:top w:val="single" w:color="D3D3D3" w:sz="6"/>
              <w:left w:val="single" w:color="D3D3D3" w:sz="6"/>
              <w:bottom w:val="single" w:color="D3D3D3" w:sz="6"/>
              <w:right w:val="single" w:color="D3D3D3" w:sz="6"/>
            </w:tcBorders>
            <w:shd w:val="clear" w:color="auto" w:fill="0F243E" w:themeFill="text2" w:themeFillShade="80"/>
            <w:tcMar>
              <w:top w:w="120" w:type="dxa"/>
              <w:left w:w="150" w:type="dxa"/>
              <w:bottom w:w="120" w:type="dxa"/>
              <w:right w:w="150" w:type="dxa"/>
            </w:tcMar>
            <w:vAlign w:val="top"/>
          </w:tcPr>
          <w:p w:rsidR="2374F0F8" w:rsidP="2374F0F8" w:rsidRDefault="2374F0F8" w14:paraId="131AAF11" w14:textId="29D86FB1">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Commercial Logistics &amp; Local Business</w:t>
            </w:r>
          </w:p>
        </w:tc>
        <w:tc>
          <w:tcPr>
            <w:tcW w:w="14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D370FF8" w14:textId="1595550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Medium</w:t>
            </w:r>
          </w:p>
        </w:tc>
        <w:tc>
          <w:tcPr>
            <w:tcW w:w="132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18BB3EFA" w14:textId="3439863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High</w:t>
            </w:r>
          </w:p>
        </w:tc>
        <w:tc>
          <w:tcPr>
            <w:tcW w:w="213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3294B1C" w14:textId="3F1FB2C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Keep Informed</w:t>
            </w:r>
          </w:p>
        </w:tc>
        <w:tc>
          <w:tcPr>
            <w:tcW w:w="2716"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6140DAFC" w14:textId="6CA1B4B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Monthly community bulletins; traffic impact mitigation updates; economic integration briefings.</w:t>
            </w:r>
          </w:p>
        </w:tc>
      </w:tr>
      <w:tr w:rsidR="2374F0F8" w:rsidTr="2374F0F8" w14:paraId="1DA08A21">
        <w:trPr>
          <w:trHeight w:val="300"/>
        </w:trPr>
        <w:tc>
          <w:tcPr>
            <w:tcW w:w="1860" w:type="dxa"/>
            <w:tcBorders>
              <w:top w:val="single" w:color="D3D3D3" w:sz="6"/>
              <w:left w:val="single" w:color="D3D3D3" w:sz="6"/>
              <w:bottom w:val="single" w:color="D3D3D3" w:sz="6"/>
              <w:right w:val="single" w:color="D3D3D3" w:sz="6"/>
            </w:tcBorders>
            <w:shd w:val="clear" w:color="auto" w:fill="0F243E" w:themeFill="text2" w:themeFillShade="80"/>
            <w:tcMar>
              <w:top w:w="120" w:type="dxa"/>
              <w:left w:w="150" w:type="dxa"/>
              <w:bottom w:w="120" w:type="dxa"/>
              <w:right w:w="150" w:type="dxa"/>
            </w:tcMar>
            <w:vAlign w:val="top"/>
          </w:tcPr>
          <w:p w:rsidR="2374F0F8" w:rsidP="2374F0F8" w:rsidRDefault="2374F0F8" w14:paraId="6FCF2882" w14:textId="0600A53F">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Passenger Advocacy Groups</w:t>
            </w:r>
          </w:p>
        </w:tc>
        <w:tc>
          <w:tcPr>
            <w:tcW w:w="14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5346FFBE" w14:textId="2674337F">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Low</w:t>
            </w:r>
          </w:p>
        </w:tc>
        <w:tc>
          <w:tcPr>
            <w:tcW w:w="132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59948BE6" w14:textId="21F970C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High</w:t>
            </w:r>
          </w:p>
        </w:tc>
        <w:tc>
          <w:tcPr>
            <w:tcW w:w="213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C3267E2" w14:textId="19ABFE5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Keep Informed</w:t>
            </w:r>
          </w:p>
        </w:tc>
        <w:tc>
          <w:tcPr>
            <w:tcW w:w="2716"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5953DC5" w14:textId="5F34E0ED">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Public feedback workshops; accessibility testing sessions; dynamic signage design reviews.</w:t>
            </w:r>
          </w:p>
        </w:tc>
      </w:tr>
      <w:tr w:rsidR="2374F0F8" w:rsidTr="2374F0F8" w14:paraId="2E41C690">
        <w:trPr>
          <w:trHeight w:val="300"/>
        </w:trPr>
        <w:tc>
          <w:tcPr>
            <w:tcW w:w="1860" w:type="dxa"/>
            <w:tcBorders>
              <w:top w:val="single" w:color="D3D3D3" w:sz="6"/>
              <w:left w:val="single" w:color="D3D3D3" w:sz="6"/>
              <w:bottom w:val="single" w:color="D3D3D3" w:sz="6"/>
              <w:right w:val="single" w:color="D3D3D3" w:sz="6"/>
            </w:tcBorders>
            <w:shd w:val="clear" w:color="auto" w:fill="0F243E" w:themeFill="text2" w:themeFillShade="80"/>
            <w:tcMar>
              <w:top w:w="120" w:type="dxa"/>
              <w:left w:w="150" w:type="dxa"/>
              <w:bottom w:w="120" w:type="dxa"/>
              <w:right w:w="150" w:type="dxa"/>
            </w:tcMar>
            <w:vAlign w:val="top"/>
          </w:tcPr>
          <w:p w:rsidR="2374F0F8" w:rsidP="2374F0F8" w:rsidRDefault="2374F0F8" w14:paraId="3B424F57" w14:textId="3BF41CA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National Grid &amp; DNO</w:t>
            </w:r>
          </w:p>
        </w:tc>
        <w:tc>
          <w:tcPr>
            <w:tcW w:w="144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2CF7EB4" w14:textId="2226993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High</w:t>
            </w:r>
          </w:p>
        </w:tc>
        <w:tc>
          <w:tcPr>
            <w:tcW w:w="132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A650BF1" w14:textId="350B7485">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High</w:t>
            </w:r>
          </w:p>
        </w:tc>
        <w:tc>
          <w:tcPr>
            <w:tcW w:w="213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35A3AB7A" w14:textId="783B4C38">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Manage Closely</w:t>
            </w:r>
          </w:p>
        </w:tc>
        <w:tc>
          <w:tcPr>
            <w:tcW w:w="2716"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DF598DF" w14:textId="25D1069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Fortnightly technical grid-connection working groups; sub-station load management coordination.</w:t>
            </w:r>
          </w:p>
        </w:tc>
      </w:tr>
    </w:tbl>
    <w:p xmlns:wp14="http://schemas.microsoft.com/office/word/2010/wordml" w:rsidP="2374F0F8" w14:paraId="77576A05" wp14:textId="24014018">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360" w:after="240"/>
        <w:ind/>
        <w:rPr>
          <w:rFonts w:ascii="Arial" w:hAnsi="Arial" w:eastAsia="Arial" w:cs="Arial"/>
          <w:b w:val="1"/>
          <w:bCs w:val="1"/>
          <w:i w:val="0"/>
          <w:iCs w:val="0"/>
          <w:caps w:val="0"/>
          <w:smallCaps w:val="0"/>
          <w:noProof w:val="0"/>
          <w:color w:val="1F4E79"/>
          <w:sz w:val="36"/>
          <w:szCs w:val="36"/>
          <w:lang w:val="en-US"/>
        </w:rPr>
      </w:pPr>
    </w:p>
    <w:p xmlns:wp14="http://schemas.microsoft.com/office/word/2010/wordml" w:rsidP="2374F0F8" w14:paraId="0C0C1291" wp14:textId="0EC7174A">
      <w:pPr>
        <w:pStyle w:val="Normal"/>
        <w:rPr>
          <w:noProof w:val="0"/>
          <w:lang w:val="en-US"/>
        </w:rPr>
      </w:pPr>
    </w:p>
    <w:p xmlns:wp14="http://schemas.microsoft.com/office/word/2010/wordml" w:rsidP="2374F0F8" w14:paraId="7E22C46B" wp14:textId="13BBE61D">
      <w:pPr>
        <w:pStyle w:val="Normal"/>
        <w:rPr>
          <w:noProof w:val="0"/>
          <w:lang w:val="en-US"/>
        </w:rPr>
      </w:pPr>
    </w:p>
    <w:p xmlns:wp14="http://schemas.microsoft.com/office/word/2010/wordml" w:rsidP="2374F0F8" w14:paraId="0080FEFA" wp14:textId="5C99464F">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360" w:after="240"/>
        <w:ind/>
        <w:rPr>
          <w:rFonts w:ascii="Arial" w:hAnsi="Arial" w:eastAsia="Arial" w:cs="Arial"/>
          <w:b w:val="1"/>
          <w:bCs w:val="1"/>
          <w:i w:val="0"/>
          <w:iCs w:val="0"/>
          <w:caps w:val="0"/>
          <w:smallCaps w:val="0"/>
          <w:noProof w:val="0"/>
          <w:color w:val="1F4E79"/>
          <w:sz w:val="36"/>
          <w:szCs w:val="36"/>
          <w:lang w:val="en-US"/>
        </w:rPr>
      </w:pPr>
      <w:r w:rsidRPr="2374F0F8" w:rsidR="7B517F1C">
        <w:rPr>
          <w:rFonts w:ascii="Arial" w:hAnsi="Arial" w:eastAsia="Arial" w:cs="Arial"/>
          <w:b w:val="1"/>
          <w:bCs w:val="1"/>
          <w:i w:val="0"/>
          <w:iCs w:val="0"/>
          <w:caps w:val="0"/>
          <w:smallCaps w:val="0"/>
          <w:noProof w:val="0"/>
          <w:color w:val="1F4E79"/>
          <w:sz w:val="36"/>
          <w:szCs w:val="36"/>
          <w:lang w:val="en-US"/>
        </w:rPr>
        <w:t>8. Resource Allocation &amp; Detailed Financial Baseline</w:t>
      </w:r>
    </w:p>
    <w:p xmlns:wp14="http://schemas.microsoft.com/office/word/2010/wordml" w:rsidP="2374F0F8" w14:paraId="5302E86A" wp14:textId="14F8746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60"/>
        <w:ind/>
        <w:jc w:val="both"/>
        <w:rPr>
          <w:rFonts w:ascii="Arial" w:hAnsi="Arial" w:eastAsia="Arial" w:cs="Arial"/>
          <w:b w:val="0"/>
          <w:bCs w:val="0"/>
          <w:i w:val="0"/>
          <w:iCs w:val="0"/>
          <w:caps w:val="0"/>
          <w:smallCaps w:val="0"/>
          <w:noProof w:val="0"/>
          <w:color w:val="222222"/>
          <w:sz w:val="22"/>
          <w:szCs w:val="22"/>
          <w:lang w:val="en-US"/>
        </w:rPr>
      </w:pPr>
      <w:r w:rsidRPr="2374F0F8" w:rsidR="7B517F1C">
        <w:rPr>
          <w:rFonts w:ascii="Arial" w:hAnsi="Arial" w:eastAsia="Arial" w:cs="Arial"/>
          <w:b w:val="0"/>
          <w:bCs w:val="0"/>
          <w:i w:val="0"/>
          <w:iCs w:val="0"/>
          <w:caps w:val="0"/>
          <w:smallCaps w:val="0"/>
          <w:noProof w:val="0"/>
          <w:color w:val="222222"/>
          <w:sz w:val="22"/>
          <w:szCs w:val="22"/>
          <w:lang w:val="en-US"/>
        </w:rPr>
        <w:t>The £45,000,000 total capital baseline is allocated across four primary cost centers to drive accountability, transparency, and earned value management (EVM).</w:t>
      </w:r>
    </w:p>
    <w:tbl>
      <w:tblPr>
        <w:tblStyle w:val="TableGrid"/>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000" w:firstRow="0" w:lastRow="0" w:firstColumn="0" w:lastColumn="0" w:noHBand="0" w:noVBand="0"/>
      </w:tblPr>
      <w:tblGrid>
        <w:gridCol w:w="2340"/>
        <w:gridCol w:w="2340"/>
        <w:gridCol w:w="2340"/>
        <w:gridCol w:w="2340"/>
      </w:tblGrid>
      <w:tr w:rsidR="2374F0F8" w:rsidTr="2374F0F8" w14:paraId="452BDEE7">
        <w:trPr>
          <w:trHeight w:val="300"/>
        </w:trPr>
        <w:tc>
          <w:tcPr>
            <w:tcW w:w="2340" w:type="dxa"/>
            <w:shd w:val="clear" w:color="auto" w:fill="1F4E79"/>
            <w:tcMar>
              <w:top w:w="120" w:type="dxa"/>
              <w:left w:w="150" w:type="dxa"/>
              <w:bottom w:w="120" w:type="dxa"/>
              <w:right w:w="150" w:type="dxa"/>
            </w:tcMar>
            <w:vAlign w:val="top"/>
          </w:tcPr>
          <w:p w:rsidR="2374F0F8" w:rsidP="2374F0F8" w:rsidRDefault="2374F0F8" w14:paraId="33F652A6" w14:textId="2E0EEAC9">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Cost Category</w:t>
            </w:r>
          </w:p>
        </w:tc>
        <w:tc>
          <w:tcPr>
            <w:tcW w:w="2340" w:type="dxa"/>
            <w:shd w:val="clear" w:color="auto" w:fill="1F4E79"/>
            <w:tcMar>
              <w:top w:w="120" w:type="dxa"/>
              <w:left w:w="150" w:type="dxa"/>
              <w:bottom w:w="120" w:type="dxa"/>
              <w:right w:w="150" w:type="dxa"/>
            </w:tcMar>
            <w:vAlign w:val="top"/>
          </w:tcPr>
          <w:p w:rsidR="2374F0F8" w:rsidP="2374F0F8" w:rsidRDefault="2374F0F8" w14:paraId="5BAFBC19" w14:textId="6753BD4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Allocation (£)</w:t>
            </w:r>
          </w:p>
        </w:tc>
        <w:tc>
          <w:tcPr>
            <w:tcW w:w="2340" w:type="dxa"/>
            <w:shd w:val="clear" w:color="auto" w:fill="1F4E79"/>
            <w:tcMar>
              <w:top w:w="120" w:type="dxa"/>
              <w:left w:w="150" w:type="dxa"/>
              <w:bottom w:w="120" w:type="dxa"/>
              <w:right w:w="150" w:type="dxa"/>
            </w:tcMar>
            <w:vAlign w:val="top"/>
          </w:tcPr>
          <w:p w:rsidR="2374F0F8" w:rsidP="2374F0F8" w:rsidRDefault="2374F0F8" w14:paraId="03890FC5" w14:textId="13EFF8C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Share (%)</w:t>
            </w:r>
          </w:p>
        </w:tc>
        <w:tc>
          <w:tcPr>
            <w:tcW w:w="2340" w:type="dxa"/>
            <w:shd w:val="clear" w:color="auto" w:fill="1F4E79"/>
            <w:tcMar>
              <w:top w:w="120" w:type="dxa"/>
              <w:left w:w="150" w:type="dxa"/>
              <w:bottom w:w="120" w:type="dxa"/>
              <w:right w:w="150" w:type="dxa"/>
            </w:tcMar>
            <w:vAlign w:val="top"/>
          </w:tcPr>
          <w:p w:rsidR="2374F0F8" w:rsidP="2374F0F8" w:rsidRDefault="2374F0F8" w14:paraId="73917D39" w14:textId="42CE087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Cost Breakdown &amp; Description</w:t>
            </w:r>
          </w:p>
          <w:p w:rsidR="2374F0F8" w:rsidP="2374F0F8" w:rsidRDefault="2374F0F8" w14:paraId="6C2268D6" w14:textId="4EE38A0D">
            <w:pPr>
              <w:keepNext w:val="0"/>
              <w:keepLines w:val="0"/>
              <w:widowControl w:val="0"/>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300" w:lineRule="auto"/>
              <w:ind w:left="0" w:right="0" w:firstLine="0"/>
              <w:jc w:val="left"/>
              <w:rPr>
                <w:rFonts w:ascii="Arial" w:hAnsi="Arial" w:eastAsia="Arial" w:cs="Arial"/>
                <w:b w:val="0"/>
                <w:bCs w:val="0"/>
                <w:i w:val="0"/>
                <w:iCs w:val="0"/>
                <w:color w:val="222222"/>
                <w:sz w:val="22"/>
                <w:szCs w:val="22"/>
              </w:rPr>
            </w:pPr>
            <w:r w:rsidRPr="2374F0F8" w:rsidR="2374F0F8">
              <w:rPr>
                <w:rFonts w:ascii="Arial" w:hAnsi="Arial" w:eastAsia="Arial" w:cs="Arial"/>
                <w:b w:val="0"/>
                <w:bCs w:val="0"/>
                <w:i w:val="0"/>
                <w:iCs w:val="0"/>
                <w:color w:val="222222"/>
                <w:sz w:val="22"/>
                <w:szCs w:val="22"/>
              </w:rPr>
              <w:t xml:space="preserve"> </w:t>
            </w:r>
          </w:p>
        </w:tc>
      </w:tr>
      <w:tr w:rsidR="2374F0F8" w:rsidTr="2374F0F8" w14:paraId="77C1E86B">
        <w:trPr>
          <w:trHeight w:val="300"/>
        </w:trPr>
        <w:tc>
          <w:tcPr>
            <w:tcW w:w="2340" w:type="dxa"/>
            <w:shd w:val="clear" w:color="auto" w:fill="548DD4" w:themeFill="text2" w:themeFillTint="99"/>
            <w:tcMar>
              <w:top w:w="120" w:type="dxa"/>
              <w:left w:w="150" w:type="dxa"/>
              <w:bottom w:w="120" w:type="dxa"/>
              <w:right w:w="150" w:type="dxa"/>
            </w:tcMar>
            <w:vAlign w:val="top"/>
          </w:tcPr>
          <w:p w:rsidR="2374F0F8" w:rsidP="2374F0F8" w:rsidRDefault="2374F0F8" w14:paraId="5384AFE4" w14:textId="27A86F18">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Environmental Tech &amp; Micro-Grid</w:t>
            </w:r>
          </w:p>
        </w:tc>
        <w:tc>
          <w:tcPr>
            <w:tcW w:w="2340" w:type="dxa"/>
            <w:shd w:val="clear" w:color="auto" w:fill="262626" w:themeFill="text1" w:themeFillTint="D9"/>
            <w:tcMar>
              <w:top w:w="120" w:type="dxa"/>
              <w:left w:w="150" w:type="dxa"/>
              <w:bottom w:w="120" w:type="dxa"/>
              <w:right w:w="150" w:type="dxa"/>
            </w:tcMar>
            <w:vAlign w:val="top"/>
          </w:tcPr>
          <w:p w:rsidR="2374F0F8" w:rsidP="2374F0F8" w:rsidRDefault="2374F0F8" w14:paraId="1F05CC8F" w14:textId="060F26F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£15,300,000</w:t>
            </w:r>
          </w:p>
        </w:tc>
        <w:tc>
          <w:tcPr>
            <w:tcW w:w="2340" w:type="dxa"/>
            <w:shd w:val="clear" w:color="auto" w:fill="262626" w:themeFill="text1" w:themeFillTint="D9"/>
            <w:tcMar>
              <w:top w:w="120" w:type="dxa"/>
              <w:left w:w="150" w:type="dxa"/>
              <w:bottom w:w="120" w:type="dxa"/>
              <w:right w:w="150" w:type="dxa"/>
            </w:tcMar>
            <w:vAlign w:val="top"/>
          </w:tcPr>
          <w:p w:rsidR="2374F0F8" w:rsidP="2374F0F8" w:rsidRDefault="2374F0F8" w14:paraId="6791DDF1" w14:textId="06829C7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34.0%</w:t>
            </w:r>
          </w:p>
        </w:tc>
        <w:tc>
          <w:tcPr>
            <w:tcW w:w="2340" w:type="dxa"/>
            <w:shd w:val="clear" w:color="auto" w:fill="262626" w:themeFill="text1" w:themeFillTint="D9"/>
            <w:tcMar>
              <w:top w:w="120" w:type="dxa"/>
              <w:left w:w="150" w:type="dxa"/>
              <w:bottom w:w="120" w:type="dxa"/>
              <w:right w:w="150" w:type="dxa"/>
            </w:tcMar>
            <w:vAlign w:val="top"/>
          </w:tcPr>
          <w:p w:rsidR="2374F0F8" w:rsidP="2374F0F8" w:rsidRDefault="2374F0F8" w14:paraId="2955DD50" w14:textId="50AD329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Solar PV roof array, 2.5MWh BESS, 350kW EV chargers, geothermal HVAC, smart BMS.</w:t>
            </w:r>
          </w:p>
        </w:tc>
      </w:tr>
      <w:tr w:rsidR="2374F0F8" w:rsidTr="2374F0F8" w14:paraId="799EAC71">
        <w:trPr>
          <w:trHeight w:val="300"/>
        </w:trPr>
        <w:tc>
          <w:tcPr>
            <w:tcW w:w="2340" w:type="dxa"/>
            <w:shd w:val="clear" w:color="auto" w:fill="548DD4" w:themeFill="text2" w:themeFillTint="99"/>
            <w:tcMar>
              <w:top w:w="120" w:type="dxa"/>
              <w:left w:w="150" w:type="dxa"/>
              <w:bottom w:w="120" w:type="dxa"/>
              <w:right w:w="150" w:type="dxa"/>
            </w:tcMar>
            <w:vAlign w:val="top"/>
          </w:tcPr>
          <w:p w:rsidR="2374F0F8" w:rsidP="2374F0F8" w:rsidRDefault="2374F0F8" w14:paraId="04E89DFF" w14:textId="7ECD39B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Structural Civil Works &amp; Remediation</w:t>
            </w:r>
          </w:p>
        </w:tc>
        <w:tc>
          <w:tcPr>
            <w:tcW w:w="2340" w:type="dxa"/>
            <w:shd w:val="clear" w:color="auto" w:fill="262626" w:themeFill="text1" w:themeFillTint="D9"/>
            <w:tcMar>
              <w:top w:w="120" w:type="dxa"/>
              <w:left w:w="150" w:type="dxa"/>
              <w:bottom w:w="120" w:type="dxa"/>
              <w:right w:w="150" w:type="dxa"/>
            </w:tcMar>
            <w:vAlign w:val="top"/>
          </w:tcPr>
          <w:p w:rsidR="2374F0F8" w:rsidP="2374F0F8" w:rsidRDefault="2374F0F8" w14:paraId="11CEFA56" w14:textId="4167DC6F">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£10,350,000</w:t>
            </w:r>
          </w:p>
        </w:tc>
        <w:tc>
          <w:tcPr>
            <w:tcW w:w="2340" w:type="dxa"/>
            <w:shd w:val="clear" w:color="auto" w:fill="262626" w:themeFill="text1" w:themeFillTint="D9"/>
            <w:tcMar>
              <w:top w:w="120" w:type="dxa"/>
              <w:left w:w="150" w:type="dxa"/>
              <w:bottom w:w="120" w:type="dxa"/>
              <w:right w:w="150" w:type="dxa"/>
            </w:tcMar>
            <w:vAlign w:val="top"/>
          </w:tcPr>
          <w:p w:rsidR="2374F0F8" w:rsidP="2374F0F8" w:rsidRDefault="2374F0F8" w14:paraId="6AF3E61E" w14:textId="4A36B03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23.0%</w:t>
            </w:r>
          </w:p>
        </w:tc>
        <w:tc>
          <w:tcPr>
            <w:tcW w:w="2340" w:type="dxa"/>
            <w:tcBorders>
              <w:bottom w:val="single" w:color="000000" w:themeColor="text1" w:sz="12"/>
            </w:tcBorders>
            <w:shd w:val="clear" w:color="auto" w:fill="262626" w:themeFill="text1" w:themeFillTint="D9"/>
            <w:tcMar>
              <w:top w:w="120" w:type="dxa"/>
              <w:left w:w="150" w:type="dxa"/>
              <w:bottom w:w="120" w:type="dxa"/>
              <w:right w:w="150" w:type="dxa"/>
            </w:tcMar>
            <w:vAlign w:val="top"/>
          </w:tcPr>
          <w:p w:rsidR="2374F0F8" w:rsidP="2374F0F8" w:rsidRDefault="2374F0F8" w14:paraId="667B08AC" w14:textId="07C200F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Concrete jacketing, steel frame reinforcement, selective demolition, waterproofing.</w:t>
            </w:r>
          </w:p>
        </w:tc>
      </w:tr>
      <w:tr w:rsidR="2374F0F8" w:rsidTr="2374F0F8" w14:paraId="10E4DC20">
        <w:trPr>
          <w:trHeight w:val="300"/>
        </w:trPr>
        <w:tc>
          <w:tcPr>
            <w:tcW w:w="2340" w:type="dxa"/>
            <w:shd w:val="clear" w:color="auto" w:fill="548DD4" w:themeFill="text2" w:themeFillTint="99"/>
            <w:tcMar>
              <w:top w:w="120" w:type="dxa"/>
              <w:left w:w="150" w:type="dxa"/>
              <w:bottom w:w="120" w:type="dxa"/>
              <w:right w:w="150" w:type="dxa"/>
            </w:tcMar>
            <w:vAlign w:val="top"/>
          </w:tcPr>
          <w:p w:rsidR="2374F0F8" w:rsidP="2374F0F8" w:rsidRDefault="2374F0F8" w14:paraId="0A344FFF" w14:textId="09A0DF70">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National Asset Infrastructure &amp; Grid</w:t>
            </w:r>
          </w:p>
        </w:tc>
        <w:tc>
          <w:tcPr>
            <w:tcW w:w="2340" w:type="dxa"/>
            <w:shd w:val="clear" w:color="auto" w:fill="262626" w:themeFill="text1" w:themeFillTint="D9"/>
            <w:tcMar>
              <w:top w:w="120" w:type="dxa"/>
              <w:left w:w="150" w:type="dxa"/>
              <w:bottom w:w="120" w:type="dxa"/>
              <w:right w:w="150" w:type="dxa"/>
            </w:tcMar>
            <w:vAlign w:val="top"/>
          </w:tcPr>
          <w:p w:rsidR="2374F0F8" w:rsidP="2374F0F8" w:rsidRDefault="2374F0F8" w14:paraId="2D1C7451" w14:textId="62D6B91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£8,550,000</w:t>
            </w:r>
          </w:p>
        </w:tc>
        <w:tc>
          <w:tcPr>
            <w:tcW w:w="2340" w:type="dxa"/>
            <w:tcBorders>
              <w:right w:val="single" w:color="000000" w:themeColor="text1" w:sz="12"/>
            </w:tcBorders>
            <w:shd w:val="clear" w:color="auto" w:fill="262626" w:themeFill="text1" w:themeFillTint="D9"/>
            <w:tcMar>
              <w:top w:w="120" w:type="dxa"/>
              <w:left w:w="150" w:type="dxa"/>
              <w:bottom w:w="120" w:type="dxa"/>
              <w:right w:w="150" w:type="dxa"/>
            </w:tcMar>
            <w:vAlign w:val="top"/>
          </w:tcPr>
          <w:p w:rsidR="2374F0F8" w:rsidP="2374F0F8" w:rsidRDefault="2374F0F8" w14:paraId="4A027140" w14:textId="135CB211">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19.0%</w:t>
            </w:r>
          </w:p>
        </w:tc>
        <w:tc>
          <w:tcPr>
            <w:tcW w:w="2340" w:type="dxa"/>
            <w:tcBorders>
              <w:top w:val="single" w:color="000000" w:themeColor="text1" w:sz="12"/>
              <w:left w:val="single" w:color="000000" w:themeColor="text1" w:sz="12"/>
              <w:bottom w:val="single" w:color="000000" w:themeColor="text1" w:sz="12"/>
              <w:right w:val="single" w:color="000000" w:themeColor="text1" w:sz="12"/>
            </w:tcBorders>
            <w:shd w:val="clear" w:color="auto" w:fill="262626" w:themeFill="text1" w:themeFillTint="D9"/>
            <w:tcMar>
              <w:top w:w="120" w:type="dxa"/>
              <w:left w:w="150" w:type="dxa"/>
              <w:bottom w:w="120" w:type="dxa"/>
              <w:right w:w="150" w:type="dxa"/>
            </w:tcMar>
            <w:vAlign w:val="top"/>
          </w:tcPr>
          <w:p w:rsidR="2374F0F8" w:rsidP="2374F0F8" w:rsidRDefault="2374F0F8" w14:paraId="10D4C071" w14:textId="1E05C46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High-voltage sub-station build, grid interconnect, bay re-configuration, micro-mobility hubs.</w:t>
            </w:r>
          </w:p>
        </w:tc>
      </w:tr>
      <w:tr w:rsidR="2374F0F8" w:rsidTr="2374F0F8" w14:paraId="011A816D">
        <w:trPr>
          <w:trHeight w:val="300"/>
        </w:trPr>
        <w:tc>
          <w:tcPr>
            <w:tcW w:w="2340" w:type="dxa"/>
            <w:shd w:val="clear" w:color="auto" w:fill="548DD4" w:themeFill="text2" w:themeFillTint="99"/>
            <w:tcMar>
              <w:top w:w="120" w:type="dxa"/>
              <w:left w:w="150" w:type="dxa"/>
              <w:bottom w:w="120" w:type="dxa"/>
              <w:right w:w="150" w:type="dxa"/>
            </w:tcMar>
            <w:vAlign w:val="top"/>
          </w:tcPr>
          <w:p w:rsidR="2374F0F8" w:rsidP="2374F0F8" w:rsidRDefault="2374F0F8" w14:paraId="615DBE51" w14:textId="6D5AE0D1">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PMO, Engineering &amp; Risk Reserve</w:t>
            </w:r>
          </w:p>
        </w:tc>
        <w:tc>
          <w:tcPr>
            <w:tcW w:w="2340" w:type="dxa"/>
            <w:shd w:val="clear" w:color="auto" w:fill="262626" w:themeFill="text1" w:themeFillTint="D9"/>
            <w:tcMar>
              <w:top w:w="120" w:type="dxa"/>
              <w:left w:w="150" w:type="dxa"/>
              <w:bottom w:w="120" w:type="dxa"/>
              <w:right w:w="150" w:type="dxa"/>
            </w:tcMar>
            <w:vAlign w:val="top"/>
          </w:tcPr>
          <w:p w:rsidR="2374F0F8" w:rsidP="2374F0F8" w:rsidRDefault="2374F0F8" w14:paraId="64D834D6" w14:textId="44DE8A9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£10,800,000</w:t>
            </w:r>
          </w:p>
        </w:tc>
        <w:tc>
          <w:tcPr>
            <w:tcW w:w="2340" w:type="dxa"/>
            <w:shd w:val="clear" w:color="auto" w:fill="262626" w:themeFill="text1" w:themeFillTint="D9"/>
            <w:tcMar>
              <w:top w:w="120" w:type="dxa"/>
              <w:left w:w="150" w:type="dxa"/>
              <w:bottom w:w="120" w:type="dxa"/>
              <w:right w:w="150" w:type="dxa"/>
            </w:tcMar>
            <w:vAlign w:val="top"/>
          </w:tcPr>
          <w:p w:rsidR="2374F0F8" w:rsidP="2374F0F8" w:rsidRDefault="2374F0F8" w14:paraId="3C4C2CE6" w14:textId="45BAF1B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24.0%</w:t>
            </w:r>
          </w:p>
        </w:tc>
        <w:tc>
          <w:tcPr>
            <w:tcW w:w="2340" w:type="dxa"/>
            <w:tcBorders>
              <w:top w:val="single" w:color="000000" w:themeColor="text1" w:sz="12"/>
            </w:tcBorders>
            <w:shd w:val="clear" w:color="auto" w:fill="262626" w:themeFill="text1" w:themeFillTint="D9"/>
            <w:tcMar>
              <w:top w:w="120" w:type="dxa"/>
              <w:left w:w="150" w:type="dxa"/>
              <w:bottom w:w="120" w:type="dxa"/>
              <w:right w:w="150" w:type="dxa"/>
            </w:tcMar>
            <w:vAlign w:val="top"/>
          </w:tcPr>
          <w:p w:rsidR="2374F0F8" w:rsidP="2374F0F8" w:rsidRDefault="2374F0F8" w14:paraId="4811AA07" w14:textId="64078305">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PMO governance, architectural fees, statutory permits, £6.75M uncommitted contingency (15%).</w:t>
            </w:r>
          </w:p>
        </w:tc>
      </w:tr>
      <w:tr w:rsidR="2374F0F8" w:rsidTr="2374F0F8" w14:paraId="529B3445">
        <w:trPr>
          <w:trHeight w:val="300"/>
        </w:trPr>
        <w:tc>
          <w:tcPr>
            <w:tcW w:w="2340" w:type="dxa"/>
            <w:shd w:val="clear" w:color="auto" w:fill="D9E1F2"/>
            <w:tcMar>
              <w:top w:w="120" w:type="dxa"/>
              <w:left w:w="150" w:type="dxa"/>
              <w:bottom w:w="120" w:type="dxa"/>
              <w:right w:w="150" w:type="dxa"/>
            </w:tcMar>
            <w:vAlign w:val="top"/>
          </w:tcPr>
          <w:p w:rsidR="2374F0F8" w:rsidP="2374F0F8" w:rsidRDefault="2374F0F8" w14:paraId="79D95D17" w14:textId="5E068A5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TOTAL CAPITAL BASELINE</w:t>
            </w:r>
          </w:p>
        </w:tc>
        <w:tc>
          <w:tcPr>
            <w:tcW w:w="2340" w:type="dxa"/>
            <w:shd w:val="clear" w:color="auto" w:fill="D9E1F2"/>
            <w:tcMar>
              <w:top w:w="120" w:type="dxa"/>
              <w:left w:w="150" w:type="dxa"/>
              <w:bottom w:w="120" w:type="dxa"/>
              <w:right w:w="150" w:type="dxa"/>
            </w:tcMar>
            <w:vAlign w:val="top"/>
          </w:tcPr>
          <w:p w:rsidR="2374F0F8" w:rsidP="2374F0F8" w:rsidRDefault="2374F0F8" w14:paraId="05B50CC0" w14:textId="69D02BC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£45,000,000</w:t>
            </w:r>
          </w:p>
        </w:tc>
        <w:tc>
          <w:tcPr>
            <w:tcW w:w="2340" w:type="dxa"/>
            <w:shd w:val="clear" w:color="auto" w:fill="D9E1F2"/>
            <w:tcMar>
              <w:top w:w="120" w:type="dxa"/>
              <w:left w:w="150" w:type="dxa"/>
              <w:bottom w:w="120" w:type="dxa"/>
              <w:right w:w="150" w:type="dxa"/>
            </w:tcMar>
            <w:vAlign w:val="top"/>
          </w:tcPr>
          <w:p w:rsidR="2374F0F8" w:rsidP="2374F0F8" w:rsidRDefault="2374F0F8" w14:paraId="1E57AC07" w14:textId="2D943FD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100.0%</w:t>
            </w:r>
          </w:p>
        </w:tc>
        <w:tc>
          <w:tcPr>
            <w:tcW w:w="2340" w:type="dxa"/>
            <w:shd w:val="clear" w:color="auto" w:fill="D9E1F2"/>
            <w:tcMar>
              <w:top w:w="120" w:type="dxa"/>
              <w:left w:w="150" w:type="dxa"/>
              <w:bottom w:w="120" w:type="dxa"/>
              <w:right w:w="150" w:type="dxa"/>
            </w:tcMar>
            <w:vAlign w:val="top"/>
          </w:tcPr>
          <w:p w:rsidR="2374F0F8" w:rsidP="2374F0F8" w:rsidRDefault="2374F0F8" w14:paraId="4EFC2D10" w14:textId="2214C78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222222"/>
                <w:sz w:val="20"/>
                <w:szCs w:val="20"/>
              </w:rPr>
            </w:pPr>
            <w:r w:rsidRPr="2374F0F8" w:rsidR="2374F0F8">
              <w:rPr>
                <w:rFonts w:ascii="Arial" w:hAnsi="Arial" w:eastAsia="Arial" w:cs="Arial"/>
                <w:b w:val="1"/>
                <w:bCs w:val="1"/>
                <w:i w:val="0"/>
                <w:iCs w:val="0"/>
                <w:color w:val="222222"/>
                <w:sz w:val="20"/>
                <w:szCs w:val="20"/>
              </w:rPr>
              <w:t>Fully authorized capital expenditure baseline.</w:t>
            </w:r>
          </w:p>
        </w:tc>
      </w:tr>
    </w:tbl>
    <w:p xmlns:wp14="http://schemas.microsoft.com/office/word/2010/wordml" w:rsidP="2374F0F8" w14:paraId="0645F715" wp14:textId="374F6AAD">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360" w:after="240"/>
        <w:ind/>
        <w:rPr>
          <w:rFonts w:ascii="Arial" w:hAnsi="Arial" w:eastAsia="Arial" w:cs="Arial"/>
          <w:b w:val="1"/>
          <w:bCs w:val="1"/>
          <w:i w:val="0"/>
          <w:iCs w:val="0"/>
          <w:caps w:val="0"/>
          <w:smallCaps w:val="0"/>
          <w:noProof w:val="0"/>
          <w:color w:val="1F4E79"/>
          <w:sz w:val="36"/>
          <w:szCs w:val="36"/>
          <w:lang w:val="en-US"/>
        </w:rPr>
      </w:pPr>
    </w:p>
    <w:p xmlns:wp14="http://schemas.microsoft.com/office/word/2010/wordml" w:rsidP="2374F0F8" w14:paraId="3067171F" wp14:textId="09AB8160">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360" w:after="240"/>
        <w:ind/>
        <w:rPr>
          <w:rFonts w:ascii="Arial" w:hAnsi="Arial" w:eastAsia="Arial" w:cs="Arial"/>
          <w:b w:val="1"/>
          <w:bCs w:val="1"/>
          <w:i w:val="0"/>
          <w:iCs w:val="0"/>
          <w:caps w:val="0"/>
          <w:smallCaps w:val="0"/>
          <w:noProof w:val="0"/>
          <w:color w:val="1F4E79"/>
          <w:sz w:val="36"/>
          <w:szCs w:val="36"/>
          <w:lang w:val="en-US"/>
        </w:rPr>
      </w:pPr>
      <w:r w:rsidRPr="2374F0F8" w:rsidR="1C486234">
        <w:rPr>
          <w:rFonts w:ascii="Arial" w:hAnsi="Arial" w:eastAsia="Arial" w:cs="Arial"/>
          <w:b w:val="1"/>
          <w:bCs w:val="1"/>
          <w:i w:val="0"/>
          <w:iCs w:val="0"/>
          <w:caps w:val="0"/>
          <w:smallCaps w:val="0"/>
          <w:noProof w:val="0"/>
          <w:color w:val="1F4E79"/>
          <w:sz w:val="36"/>
          <w:szCs w:val="36"/>
          <w:lang w:val="en-US"/>
        </w:rPr>
        <w:t>9. Quantitative Risk Management Assessment</w:t>
      </w:r>
    </w:p>
    <w:p xmlns:wp14="http://schemas.microsoft.com/office/word/2010/wordml" w:rsidP="2374F0F8" w14:paraId="43CAF51E" wp14:textId="56012471">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60"/>
        <w:ind/>
        <w:jc w:val="both"/>
        <w:rPr>
          <w:rFonts w:ascii="Arial" w:hAnsi="Arial" w:eastAsia="Arial" w:cs="Arial"/>
          <w:b w:val="0"/>
          <w:bCs w:val="0"/>
          <w:i w:val="0"/>
          <w:iCs w:val="0"/>
          <w:caps w:val="0"/>
          <w:smallCaps w:val="0"/>
          <w:noProof w:val="0"/>
          <w:color w:val="222222"/>
          <w:sz w:val="22"/>
          <w:szCs w:val="22"/>
          <w:lang w:val="en-US"/>
        </w:rPr>
      </w:pPr>
      <w:r w:rsidRPr="2374F0F8" w:rsidR="1C486234">
        <w:rPr>
          <w:rFonts w:ascii="Arial" w:hAnsi="Arial" w:eastAsia="Arial" w:cs="Arial"/>
          <w:b w:val="0"/>
          <w:bCs w:val="0"/>
          <w:i w:val="0"/>
          <w:iCs w:val="0"/>
          <w:caps w:val="0"/>
          <w:smallCaps w:val="0"/>
          <w:noProof w:val="0"/>
          <w:color w:val="222222"/>
          <w:sz w:val="22"/>
          <w:szCs w:val="22"/>
          <w:lang w:val="en-US"/>
        </w:rPr>
        <w:t xml:space="preserve">Risk management </w:t>
      </w:r>
      <w:r w:rsidRPr="2374F0F8" w:rsidR="1C486234">
        <w:rPr>
          <w:rFonts w:ascii="Arial" w:hAnsi="Arial" w:eastAsia="Arial" w:cs="Arial"/>
          <w:b w:val="0"/>
          <w:bCs w:val="0"/>
          <w:i w:val="0"/>
          <w:iCs w:val="0"/>
          <w:caps w:val="0"/>
          <w:smallCaps w:val="0"/>
          <w:noProof w:val="0"/>
          <w:color w:val="222222"/>
          <w:sz w:val="22"/>
          <w:szCs w:val="22"/>
          <w:lang w:val="en-US"/>
        </w:rPr>
        <w:t>utilizes</w:t>
      </w:r>
      <w:r w:rsidRPr="2374F0F8" w:rsidR="1C486234">
        <w:rPr>
          <w:rFonts w:ascii="Arial" w:hAnsi="Arial" w:eastAsia="Arial" w:cs="Arial"/>
          <w:b w:val="0"/>
          <w:bCs w:val="0"/>
          <w:i w:val="0"/>
          <w:iCs w:val="0"/>
          <w:caps w:val="0"/>
          <w:smallCaps w:val="0"/>
          <w:noProof w:val="0"/>
          <w:color w:val="222222"/>
          <w:sz w:val="22"/>
          <w:szCs w:val="22"/>
          <w:lang w:val="en-US"/>
        </w:rPr>
        <w:t xml:space="preserve"> a quantitative scoring matrix where Severity = Probability × Impact. Risks scoring 15 or higher are categorized as High Priority, requiring active PMO oversight.</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1560"/>
        <w:gridCol w:w="1560"/>
        <w:gridCol w:w="1335"/>
        <w:gridCol w:w="1305"/>
        <w:gridCol w:w="1185"/>
        <w:gridCol w:w="2415"/>
      </w:tblGrid>
      <w:tr w:rsidR="2374F0F8" w:rsidTr="2374F0F8" w14:paraId="10DEB1ED">
        <w:trPr>
          <w:trHeight w:val="915"/>
        </w:trPr>
        <w:tc>
          <w:tcPr>
            <w:tcW w:w="1560"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4E6EDBA2" w14:textId="6C2390E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ID</w:t>
            </w:r>
          </w:p>
        </w:tc>
        <w:tc>
          <w:tcPr>
            <w:tcW w:w="1560"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5D42AD50" w14:textId="388A4C8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Risk Event Description</w:t>
            </w:r>
          </w:p>
        </w:tc>
        <w:tc>
          <w:tcPr>
            <w:tcW w:w="1335"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2AAE0B9E" w14:textId="5166688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P</w:t>
            </w:r>
          </w:p>
        </w:tc>
        <w:tc>
          <w:tcPr>
            <w:tcW w:w="1305"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3E441E17" w14:textId="4ECCDCB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I</w:t>
            </w:r>
          </w:p>
        </w:tc>
        <w:tc>
          <w:tcPr>
            <w:tcW w:w="1185"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65ECCE66" w14:textId="1A7D35D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S</w:t>
            </w:r>
          </w:p>
        </w:tc>
        <w:tc>
          <w:tcPr>
            <w:tcW w:w="2415" w:type="dxa"/>
            <w:tcBorders>
              <w:top w:val="single" w:color="D3D3D3" w:sz="6"/>
              <w:left w:val="single" w:color="D3D3D3" w:sz="6"/>
              <w:bottom w:val="single" w:color="D3D3D3" w:sz="6"/>
              <w:right w:val="single" w:color="D3D3D3" w:sz="6"/>
            </w:tcBorders>
            <w:shd w:val="clear" w:color="auto" w:fill="1F4E79"/>
            <w:tcMar>
              <w:top w:w="120" w:type="dxa"/>
              <w:left w:w="150" w:type="dxa"/>
              <w:bottom w:w="120" w:type="dxa"/>
              <w:right w:w="150" w:type="dxa"/>
            </w:tcMar>
            <w:vAlign w:val="top"/>
          </w:tcPr>
          <w:p w:rsidR="2374F0F8" w:rsidP="2374F0F8" w:rsidRDefault="2374F0F8" w14:paraId="24C53BF8" w14:textId="5866CA60">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FFFFFF" w:themeColor="background1" w:themeTint="FF" w:themeShade="FF"/>
                <w:sz w:val="20"/>
                <w:szCs w:val="20"/>
              </w:rPr>
            </w:pPr>
            <w:r w:rsidRPr="2374F0F8" w:rsidR="2374F0F8">
              <w:rPr>
                <w:rFonts w:ascii="Arial" w:hAnsi="Arial" w:eastAsia="Arial" w:cs="Arial"/>
                <w:b w:val="1"/>
                <w:bCs w:val="1"/>
                <w:i w:val="0"/>
                <w:iCs w:val="0"/>
                <w:color w:val="FFFFFF" w:themeColor="background1" w:themeTint="FF" w:themeShade="FF"/>
                <w:sz w:val="20"/>
                <w:szCs w:val="20"/>
              </w:rPr>
              <w:t>Mitigation Strategy &amp; Action Plan</w:t>
            </w:r>
          </w:p>
          <w:p w:rsidR="2374F0F8" w:rsidP="2374F0F8" w:rsidRDefault="2374F0F8" w14:paraId="6D22C312" w14:textId="5F6BEBFF">
            <w:pPr>
              <w:keepNext w:val="0"/>
              <w:keepLines w:val="0"/>
              <w:widowControl w:val="0"/>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300" w:lineRule="auto"/>
              <w:ind w:left="0" w:right="0" w:firstLine="0"/>
              <w:jc w:val="left"/>
              <w:rPr>
                <w:rFonts w:ascii="Arial" w:hAnsi="Arial" w:eastAsia="Arial" w:cs="Arial"/>
                <w:b w:val="0"/>
                <w:bCs w:val="0"/>
                <w:i w:val="0"/>
                <w:iCs w:val="0"/>
                <w:color w:val="222222"/>
                <w:sz w:val="22"/>
                <w:szCs w:val="22"/>
              </w:rPr>
            </w:pPr>
            <w:r w:rsidRPr="2374F0F8" w:rsidR="2374F0F8">
              <w:rPr>
                <w:rFonts w:ascii="Arial" w:hAnsi="Arial" w:eastAsia="Arial" w:cs="Arial"/>
                <w:b w:val="0"/>
                <w:bCs w:val="0"/>
                <w:i w:val="0"/>
                <w:iCs w:val="0"/>
                <w:color w:val="222222"/>
                <w:sz w:val="22"/>
                <w:szCs w:val="22"/>
              </w:rPr>
              <w:t xml:space="preserve"> </w:t>
            </w:r>
          </w:p>
        </w:tc>
      </w:tr>
      <w:tr w:rsidR="2374F0F8" w:rsidTr="2374F0F8" w14:paraId="68370F3D">
        <w:trPr>
          <w:trHeight w:val="300"/>
        </w:trPr>
        <w:tc>
          <w:tcPr>
            <w:tcW w:w="156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4F9D16D2" w14:textId="6D6F799D">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R1</w:t>
            </w:r>
          </w:p>
        </w:tc>
        <w:tc>
          <w:tcPr>
            <w:tcW w:w="156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030D85FF" w14:textId="308C711E">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EV Rapid-Charging Supply Chain Delays</w:t>
            </w:r>
          </w:p>
        </w:tc>
        <w:tc>
          <w:tcPr>
            <w:tcW w:w="133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4F5CB072" w14:textId="146E25FF">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4</w:t>
            </w:r>
          </w:p>
        </w:tc>
        <w:tc>
          <w:tcPr>
            <w:tcW w:w="130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7CB8748C" w14:textId="7DD0CF2F">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4</w:t>
            </w:r>
          </w:p>
        </w:tc>
        <w:tc>
          <w:tcPr>
            <w:tcW w:w="118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40B5C690" w14:textId="2646582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1"/>
                <w:bCs w:val="1"/>
                <w:i w:val="0"/>
                <w:iCs w:val="0"/>
                <w:color w:val="auto"/>
                <w:sz w:val="20"/>
                <w:szCs w:val="20"/>
              </w:rPr>
              <w:t>16</w:t>
            </w:r>
          </w:p>
        </w:tc>
        <w:tc>
          <w:tcPr>
            <w:tcW w:w="241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2BFB903F" w14:textId="1A6C789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Pre-order equipment in Month 1 with liquidated damages clauses; establish secondary European OEM agreements.</w:t>
            </w:r>
          </w:p>
        </w:tc>
      </w:tr>
      <w:tr w:rsidR="2374F0F8" w:rsidTr="2374F0F8" w14:paraId="692D5CDD">
        <w:trPr>
          <w:trHeight w:val="300"/>
        </w:trPr>
        <w:tc>
          <w:tcPr>
            <w:tcW w:w="156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718696BB" w14:textId="299F6660">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R2</w:t>
            </w:r>
          </w:p>
        </w:tc>
        <w:tc>
          <w:tcPr>
            <w:tcW w:w="1560"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3212CA4F" w14:textId="48B30057">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Local Grid Capacity &amp; Import Bottlenecks</w:t>
            </w:r>
          </w:p>
        </w:tc>
        <w:tc>
          <w:tcPr>
            <w:tcW w:w="133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410C762A" w14:textId="09DAACED">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3</w:t>
            </w:r>
          </w:p>
        </w:tc>
        <w:tc>
          <w:tcPr>
            <w:tcW w:w="130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3034928E" w14:textId="7020525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5</w:t>
            </w:r>
          </w:p>
        </w:tc>
        <w:tc>
          <w:tcPr>
            <w:tcW w:w="118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4D6CC948" w14:textId="37D84DC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1"/>
                <w:bCs w:val="1"/>
                <w:i w:val="0"/>
                <w:iCs w:val="0"/>
                <w:color w:val="auto"/>
                <w:sz w:val="20"/>
                <w:szCs w:val="20"/>
              </w:rPr>
              <w:t>15</w:t>
            </w:r>
          </w:p>
        </w:tc>
        <w:tc>
          <w:tcPr>
            <w:tcW w:w="2415" w:type="dxa"/>
            <w:tcBorders>
              <w:top w:val="single" w:color="D3D3D3" w:sz="6"/>
              <w:left w:val="single" w:color="D3D3D3" w:sz="6"/>
              <w:bottom w:val="single" w:color="D3D3D3" w:sz="6"/>
              <w:right w:val="single" w:color="D3D3D3" w:sz="6"/>
            </w:tcBorders>
            <w:shd w:val="clear" w:color="auto" w:fill="FCE4D6"/>
            <w:tcMar>
              <w:top w:w="120" w:type="dxa"/>
              <w:left w:w="150" w:type="dxa"/>
              <w:bottom w:w="120" w:type="dxa"/>
              <w:right w:w="150" w:type="dxa"/>
            </w:tcMar>
            <w:vAlign w:val="top"/>
          </w:tcPr>
          <w:p w:rsidR="2374F0F8" w:rsidP="2374F0F8" w:rsidRDefault="2374F0F8" w14:paraId="7A2CA5F1" w14:textId="1EC2C53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Design system with battery energy storage (BESS) for peak shaving; negotiate dynamic grid connection rules.</w:t>
            </w:r>
          </w:p>
        </w:tc>
      </w:tr>
      <w:tr w:rsidR="2374F0F8" w:rsidTr="2374F0F8" w14:paraId="7A9CE0A8">
        <w:trPr>
          <w:trHeight w:val="300"/>
        </w:trPr>
        <w:tc>
          <w:tcPr>
            <w:tcW w:w="156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461349A" w14:textId="72745C0F">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R3</w:t>
            </w:r>
          </w:p>
        </w:tc>
        <w:tc>
          <w:tcPr>
            <w:tcW w:w="156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E2ABD4F" w14:textId="40D85EF5">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Unforeseen Sub-surface Structural Defects</w:t>
            </w:r>
          </w:p>
        </w:tc>
        <w:tc>
          <w:tcPr>
            <w:tcW w:w="133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614E2226" w14:textId="5D15208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3</w:t>
            </w:r>
          </w:p>
        </w:tc>
        <w:tc>
          <w:tcPr>
            <w:tcW w:w="130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3FE67398" w14:textId="029EB79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4</w:t>
            </w:r>
          </w:p>
        </w:tc>
        <w:tc>
          <w:tcPr>
            <w:tcW w:w="118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288E0F84" w14:textId="280ACCCF">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12</w:t>
            </w:r>
          </w:p>
        </w:tc>
        <w:tc>
          <w:tcPr>
            <w:tcW w:w="241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6B2D6DB0" w14:textId="6EFFF638">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Conduct 3D laser scans &amp; continuous structural health monitoring; allocate dedicated structural contingency.</w:t>
            </w:r>
          </w:p>
        </w:tc>
      </w:tr>
      <w:tr w:rsidR="2374F0F8" w:rsidTr="2374F0F8" w14:paraId="6EAE08C5">
        <w:trPr>
          <w:trHeight w:val="300"/>
        </w:trPr>
        <w:tc>
          <w:tcPr>
            <w:tcW w:w="156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2A71037" w14:textId="67C975B0">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R4</w:t>
            </w:r>
          </w:p>
        </w:tc>
        <w:tc>
          <w:tcPr>
            <w:tcW w:w="156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528FB9E0" w14:textId="63D3A24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Noise &amp; Environmental Disturbance Complaints</w:t>
            </w:r>
          </w:p>
        </w:tc>
        <w:tc>
          <w:tcPr>
            <w:tcW w:w="133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16268336" w14:textId="144B90BF">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3</w:t>
            </w:r>
          </w:p>
        </w:tc>
        <w:tc>
          <w:tcPr>
            <w:tcW w:w="130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6A9CAC74" w14:textId="2160E6B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3</w:t>
            </w:r>
          </w:p>
        </w:tc>
        <w:tc>
          <w:tcPr>
            <w:tcW w:w="118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6EC54DF7" w14:textId="1E22FE19">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9</w:t>
            </w:r>
          </w:p>
        </w:tc>
        <w:tc>
          <w:tcPr>
            <w:tcW w:w="241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5F87C176" w14:textId="18DC79B0">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Install temporary acoustic barriers; restrict heavy structural demolition to pre-agreed daytime hours.</w:t>
            </w:r>
          </w:p>
        </w:tc>
      </w:tr>
      <w:tr w:rsidR="2374F0F8" w:rsidTr="2374F0F8" w14:paraId="35FC2184">
        <w:trPr>
          <w:trHeight w:val="300"/>
        </w:trPr>
        <w:tc>
          <w:tcPr>
            <w:tcW w:w="156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346F4240" w14:textId="538AF948">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R5</w:t>
            </w:r>
          </w:p>
        </w:tc>
        <w:tc>
          <w:tcPr>
            <w:tcW w:w="1560"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465BB58B" w14:textId="759387CA">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Material Price Volatility (Structural Steel)</w:t>
            </w:r>
          </w:p>
        </w:tc>
        <w:tc>
          <w:tcPr>
            <w:tcW w:w="133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7FF39E1" w14:textId="4EA346F1">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2</w:t>
            </w:r>
          </w:p>
        </w:tc>
        <w:tc>
          <w:tcPr>
            <w:tcW w:w="130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61EE2BC2" w14:textId="50C6227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4</w:t>
            </w:r>
          </w:p>
        </w:tc>
        <w:tc>
          <w:tcPr>
            <w:tcW w:w="118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06102965" w14:textId="146456D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8</w:t>
            </w:r>
          </w:p>
        </w:tc>
        <w:tc>
          <w:tcPr>
            <w:tcW w:w="2415" w:type="dxa"/>
            <w:tcBorders>
              <w:top w:val="single" w:color="D3D3D3" w:sz="6"/>
              <w:left w:val="single" w:color="D3D3D3" w:sz="6"/>
              <w:bottom w:val="single" w:color="D3D3D3" w:sz="6"/>
              <w:right w:val="single" w:color="D3D3D3" w:sz="6"/>
            </w:tcBorders>
            <w:shd w:val="clear" w:color="auto" w:fill="262626" w:themeFill="text1" w:themeFillTint="D9"/>
            <w:tcMar>
              <w:top w:w="120" w:type="dxa"/>
              <w:left w:w="150" w:type="dxa"/>
              <w:bottom w:w="120" w:type="dxa"/>
              <w:right w:w="150" w:type="dxa"/>
            </w:tcMar>
            <w:vAlign w:val="top"/>
          </w:tcPr>
          <w:p w:rsidR="2374F0F8" w:rsidP="2374F0F8" w:rsidRDefault="2374F0F8" w14:paraId="79E699D7" w14:textId="5C196319">
            <w:p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120" w:after="120"/>
              <w:rPr>
                <w:rFonts w:ascii="Arial" w:hAnsi="Arial" w:eastAsia="Arial" w:cs="Arial"/>
                <w:b w:val="0"/>
                <w:bCs w:val="0"/>
                <w:i w:val="0"/>
                <w:iCs w:val="0"/>
                <w:color w:val="auto"/>
                <w:sz w:val="20"/>
                <w:szCs w:val="20"/>
              </w:rPr>
            </w:pPr>
            <w:r w:rsidRPr="2374F0F8" w:rsidR="2374F0F8">
              <w:rPr>
                <w:rFonts w:ascii="Arial" w:hAnsi="Arial" w:eastAsia="Arial" w:cs="Arial"/>
                <w:b w:val="0"/>
                <w:bCs w:val="0"/>
                <w:i w:val="0"/>
                <w:iCs w:val="0"/>
                <w:color w:val="auto"/>
                <w:sz w:val="20"/>
                <w:szCs w:val="20"/>
              </w:rPr>
              <w:t>Execute fixed-price Lump-Sum procurement contracts early in Phase 1.</w:t>
            </w:r>
          </w:p>
        </w:tc>
      </w:tr>
    </w:tbl>
    <w:p xmlns:wp14="http://schemas.microsoft.com/office/word/2010/wordml" w:rsidP="2374F0F8" w14:paraId="63702965" wp14:textId="35BAE3B0">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360" w:after="320"/>
        <w:ind/>
        <w:rPr>
          <w:rFonts w:ascii="Arial" w:hAnsi="Arial" w:eastAsia="Arial" w:cs="Arial"/>
          <w:b w:val="1"/>
          <w:bCs w:val="1"/>
          <w:i w:val="0"/>
          <w:iCs w:val="0"/>
          <w:caps w:val="0"/>
          <w:smallCaps w:val="0"/>
          <w:noProof w:val="0"/>
          <w:color w:val="1F4E79"/>
          <w:sz w:val="36"/>
          <w:szCs w:val="36"/>
          <w:lang w:val="en-US"/>
        </w:rPr>
      </w:pPr>
      <w:r w:rsidRPr="2374F0F8" w:rsidR="54B80A92">
        <w:rPr>
          <w:rFonts w:ascii="Arial" w:hAnsi="Arial" w:eastAsia="Arial" w:cs="Arial"/>
          <w:b w:val="1"/>
          <w:bCs w:val="1"/>
          <w:i w:val="0"/>
          <w:iCs w:val="0"/>
          <w:caps w:val="0"/>
          <w:smallCaps w:val="0"/>
          <w:noProof w:val="0"/>
          <w:color w:val="1F4E79"/>
          <w:sz w:val="36"/>
          <w:szCs w:val="36"/>
          <w:lang w:val="en-US"/>
        </w:rPr>
        <w:t>10. In-Depth Technical Methodology &amp; Infrastructure Engineering</w:t>
      </w:r>
    </w:p>
    <w:p xmlns:wp14="http://schemas.microsoft.com/office/word/2010/wordml" w:rsidP="2374F0F8" w14:paraId="4DEDCE2E" wp14:textId="28E53B45">
      <w:pPr>
        <w:pStyle w:val="Heading2"/>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ind/>
        <w:rPr>
          <w:rFonts w:ascii="Arial" w:hAnsi="Arial" w:eastAsia="Arial" w:cs="Arial"/>
          <w:b w:val="1"/>
          <w:bCs w:val="1"/>
          <w:i w:val="0"/>
          <w:iCs w:val="0"/>
          <w:caps w:val="0"/>
          <w:smallCaps w:val="0"/>
          <w:noProof w:val="0"/>
          <w:color w:val="2E75B6"/>
          <w:sz w:val="28"/>
          <w:szCs w:val="28"/>
          <w:lang w:val="en-US"/>
        </w:rPr>
      </w:pPr>
      <w:r w:rsidRPr="2374F0F8" w:rsidR="54B80A92">
        <w:rPr>
          <w:rFonts w:ascii="Arial" w:hAnsi="Arial" w:eastAsia="Arial" w:cs="Arial"/>
          <w:b w:val="1"/>
          <w:bCs w:val="1"/>
          <w:i w:val="0"/>
          <w:iCs w:val="0"/>
          <w:caps w:val="0"/>
          <w:smallCaps w:val="0"/>
          <w:noProof w:val="0"/>
          <w:color w:val="2E75B6"/>
          <w:sz w:val="28"/>
          <w:szCs w:val="28"/>
          <w:lang w:val="en-US"/>
        </w:rPr>
        <w:t>10.1 Structural Remediation &amp; Substructure Stabilization</w:t>
      </w:r>
    </w:p>
    <w:p xmlns:wp14="http://schemas.microsoft.com/office/word/2010/wordml" w:rsidP="2374F0F8" w14:paraId="085A6E64" wp14:textId="4F5E667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The preliminary structural integrity assessment revealed acute degradation in the structural load-bearing concrete elements, primarily caused by decades of moisture ingress, carbonation, and cyclic mechanical fatigue from heavy bus traffic. The technical engineering methodology employs a three-tier structural rehabilitation strategy designed to restore structural load capacity to modern Eurocode standards while minimizing carbon intensity.</w:t>
      </w:r>
    </w:p>
    <w:p xmlns:wp14="http://schemas.microsoft.com/office/word/2010/wordml" w:rsidP="2374F0F8" w14:paraId="0921BDF4" wp14:textId="653A4B3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24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First, high-pressure water-jetting and hydro-demolition will selectively remove compromised concrete layers without disturbing underlying steel reinforcement. Second, localized corrosion inhibitors and ultra-high-performance concrete (UHPC) jacketing will encase vulnerable columns, increasing axial and shear load capacities by up to 45%. Third, structural carbon-fiber-reinforced polymer (CFRP) composite wraps will be applied to flexural beam spans, offering superior tensile strength with negligible added dead weight. This approach preserves over 65% of existing embodied carbon structures compared to full demolition, avoiding thousands of tonnes of landfill waste.</w:t>
      </w:r>
    </w:p>
    <w:p xmlns:wp14="http://schemas.microsoft.com/office/word/2010/wordml" w:rsidP="2374F0F8" w14:paraId="31501987" wp14:textId="265C7E16">
      <w:pPr>
        <w:pStyle w:val="Heading2"/>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ind/>
        <w:rPr>
          <w:rFonts w:ascii="Arial" w:hAnsi="Arial" w:eastAsia="Arial" w:cs="Arial"/>
          <w:b w:val="1"/>
          <w:bCs w:val="1"/>
          <w:i w:val="0"/>
          <w:iCs w:val="0"/>
          <w:caps w:val="0"/>
          <w:smallCaps w:val="0"/>
          <w:noProof w:val="0"/>
          <w:color w:val="2E75B6"/>
          <w:sz w:val="28"/>
          <w:szCs w:val="28"/>
          <w:lang w:val="en-US"/>
        </w:rPr>
      </w:pPr>
      <w:r w:rsidRPr="2374F0F8" w:rsidR="54B80A92">
        <w:rPr>
          <w:rFonts w:ascii="Arial" w:hAnsi="Arial" w:eastAsia="Arial" w:cs="Arial"/>
          <w:b w:val="1"/>
          <w:bCs w:val="1"/>
          <w:i w:val="0"/>
          <w:iCs w:val="0"/>
          <w:caps w:val="0"/>
          <w:smallCaps w:val="0"/>
          <w:noProof w:val="0"/>
          <w:color w:val="2E75B6"/>
          <w:sz w:val="28"/>
          <w:szCs w:val="28"/>
          <w:lang w:val="en-US"/>
        </w:rPr>
        <w:t>10.2 Photovoltaic Architecture &amp; Micro-Grid Engineering</w:t>
      </w:r>
    </w:p>
    <w:p xmlns:wp14="http://schemas.microsoft.com/office/word/2010/wordml" w:rsidP="2374F0F8" w14:paraId="0576B239" wp14:textId="6C565BC5">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 xml:space="preserve">Achieving BREEAM 'Outstanding' status requires a robust, self-sustaining renewable energy architecture. The terminal roof structure will undergo geometric modification to </w:t>
      </w:r>
      <w:r w:rsidRPr="2374F0F8" w:rsidR="54B80A92">
        <w:rPr>
          <w:rFonts w:ascii="Arial" w:hAnsi="Arial" w:eastAsia="Arial" w:cs="Arial"/>
          <w:b w:val="0"/>
          <w:bCs w:val="0"/>
          <w:i w:val="0"/>
          <w:iCs w:val="0"/>
          <w:caps w:val="0"/>
          <w:smallCaps w:val="0"/>
          <w:noProof w:val="0"/>
          <w:color w:val="222222"/>
          <w:sz w:val="22"/>
          <w:szCs w:val="22"/>
          <w:lang w:val="en-US"/>
        </w:rPr>
        <w:t>optimize</w:t>
      </w:r>
      <w:r w:rsidRPr="2374F0F8" w:rsidR="54B80A92">
        <w:rPr>
          <w:rFonts w:ascii="Arial" w:hAnsi="Arial" w:eastAsia="Arial" w:cs="Arial"/>
          <w:b w:val="0"/>
          <w:bCs w:val="0"/>
          <w:i w:val="0"/>
          <w:iCs w:val="0"/>
          <w:caps w:val="0"/>
          <w:smallCaps w:val="0"/>
          <w:noProof w:val="0"/>
          <w:color w:val="222222"/>
          <w:sz w:val="22"/>
          <w:szCs w:val="22"/>
          <w:lang w:val="en-US"/>
        </w:rPr>
        <w:t xml:space="preserve"> solar tilt angle, supporting 3,200 high-efficiency monocrystalline photovoltaic modules. The system yields an estimated annual energy output of 1,180 MWh.</w:t>
      </w:r>
    </w:p>
    <w:p xmlns:wp14="http://schemas.microsoft.com/office/word/2010/wordml" w:rsidP="2374F0F8" w14:paraId="04B69165" wp14:textId="72E12361">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24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Because solar energy production peaks asynchronously with transit energy demand, the hub integrates a utility-scale 2.5 MWh lithium iron phosphate Battery Energy Storage System. Controlled by an automated Supervisory Control and Data Acquisition system, the micro-grid dynamically manages power flows: storing excess solar production during midday hours and discharging during evening peak transit times. This peak-shaving capability reduces grid stress and mitigates dynamic electricity tariff charges.</w:t>
      </w:r>
    </w:p>
    <w:p xmlns:wp14="http://schemas.microsoft.com/office/word/2010/wordml" w:rsidP="2374F0F8" w14:paraId="59210049" wp14:textId="6E95903D">
      <w:pPr>
        <w:pStyle w:val="Heading2"/>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ind/>
        <w:rPr>
          <w:rFonts w:ascii="Arial" w:hAnsi="Arial" w:eastAsia="Arial" w:cs="Arial"/>
          <w:b w:val="1"/>
          <w:bCs w:val="1"/>
          <w:i w:val="0"/>
          <w:iCs w:val="0"/>
          <w:caps w:val="0"/>
          <w:smallCaps w:val="0"/>
          <w:noProof w:val="0"/>
          <w:color w:val="2E75B6"/>
          <w:sz w:val="28"/>
          <w:szCs w:val="28"/>
          <w:lang w:val="en-US"/>
        </w:rPr>
      </w:pPr>
      <w:r w:rsidRPr="2374F0F8" w:rsidR="54B80A92">
        <w:rPr>
          <w:rFonts w:ascii="Arial" w:hAnsi="Arial" w:eastAsia="Arial" w:cs="Arial"/>
          <w:b w:val="1"/>
          <w:bCs w:val="1"/>
          <w:i w:val="0"/>
          <w:iCs w:val="0"/>
          <w:caps w:val="0"/>
          <w:smallCaps w:val="0"/>
          <w:noProof w:val="0"/>
          <w:color w:val="2E75B6"/>
          <w:sz w:val="28"/>
          <w:szCs w:val="28"/>
          <w:lang w:val="en-US"/>
        </w:rPr>
        <w:t>10.3 Rapid EV Charging Architecture &amp; Grid Interconnection</w:t>
      </w:r>
    </w:p>
    <w:p xmlns:wp14="http://schemas.microsoft.com/office/word/2010/wordml" w:rsidP="2374F0F8" w14:paraId="55EC5921" wp14:textId="19C6799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36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 xml:space="preserve">To support the complete electrification of municipal transit networks, the hub incorporates 12 ultra-rapid 350kW DC charging bays. Operating at high power levels requires a dedicated 33kV high-voltage sub-station tie-in. The electrical architecture features solid-state transformers and smart load-balancing algorithms that communicate with oncoming electric buses via ISO 15118 protocol. This setup </w:t>
      </w:r>
      <w:r w:rsidRPr="2374F0F8" w:rsidR="54B80A92">
        <w:rPr>
          <w:rFonts w:ascii="Arial" w:hAnsi="Arial" w:eastAsia="Arial" w:cs="Arial"/>
          <w:b w:val="0"/>
          <w:bCs w:val="0"/>
          <w:i w:val="0"/>
          <w:iCs w:val="0"/>
          <w:caps w:val="0"/>
          <w:smallCaps w:val="0"/>
          <w:noProof w:val="0"/>
          <w:color w:val="222222"/>
          <w:sz w:val="22"/>
          <w:szCs w:val="22"/>
          <w:lang w:val="en-US"/>
        </w:rPr>
        <w:t>optimizes</w:t>
      </w:r>
      <w:r w:rsidRPr="2374F0F8" w:rsidR="54B80A92">
        <w:rPr>
          <w:rFonts w:ascii="Arial" w:hAnsi="Arial" w:eastAsia="Arial" w:cs="Arial"/>
          <w:b w:val="0"/>
          <w:bCs w:val="0"/>
          <w:i w:val="0"/>
          <w:iCs w:val="0"/>
          <w:caps w:val="0"/>
          <w:smallCaps w:val="0"/>
          <w:noProof w:val="0"/>
          <w:color w:val="222222"/>
          <w:sz w:val="22"/>
          <w:szCs w:val="22"/>
          <w:lang w:val="en-US"/>
        </w:rPr>
        <w:t xml:space="preserve"> charging schedules based on battery state-of-charge and route departure timetables.</w:t>
      </w:r>
    </w:p>
    <w:p xmlns:wp14="http://schemas.microsoft.com/office/word/2010/wordml" w:rsidP="2374F0F8" w14:paraId="70E56F57" wp14:textId="311058D7">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320"/>
        <w:ind/>
        <w:rPr>
          <w:rFonts w:ascii="Arial" w:hAnsi="Arial" w:eastAsia="Arial" w:cs="Arial"/>
          <w:b w:val="1"/>
          <w:bCs w:val="1"/>
          <w:i w:val="0"/>
          <w:iCs w:val="0"/>
          <w:caps w:val="0"/>
          <w:smallCaps w:val="0"/>
          <w:noProof w:val="0"/>
          <w:color w:val="1F4E79"/>
          <w:sz w:val="36"/>
          <w:szCs w:val="36"/>
          <w:lang w:val="en-US"/>
        </w:rPr>
      </w:pPr>
      <w:r w:rsidRPr="2374F0F8" w:rsidR="54B80A92">
        <w:rPr>
          <w:rFonts w:ascii="Arial" w:hAnsi="Arial" w:eastAsia="Arial" w:cs="Arial"/>
          <w:b w:val="1"/>
          <w:bCs w:val="1"/>
          <w:i w:val="0"/>
          <w:iCs w:val="0"/>
          <w:caps w:val="0"/>
          <w:smallCaps w:val="0"/>
          <w:noProof w:val="0"/>
          <w:color w:val="1F4E79"/>
          <w:sz w:val="36"/>
          <w:szCs w:val="36"/>
          <w:lang w:val="en-US"/>
        </w:rPr>
        <w:t>11. Comprehensive Governance, PMO Structure &amp; Quality Assurance</w:t>
      </w:r>
    </w:p>
    <w:p xmlns:wp14="http://schemas.microsoft.com/office/word/2010/wordml" w:rsidP="2374F0F8" w14:paraId="0958D80B" wp14:textId="2C24CAC2">
      <w:pPr>
        <w:pStyle w:val="Heading2"/>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ind/>
        <w:rPr>
          <w:rFonts w:ascii="Arial" w:hAnsi="Arial" w:eastAsia="Arial" w:cs="Arial"/>
          <w:b w:val="1"/>
          <w:bCs w:val="1"/>
          <w:i w:val="0"/>
          <w:iCs w:val="0"/>
          <w:caps w:val="0"/>
          <w:smallCaps w:val="0"/>
          <w:noProof w:val="0"/>
          <w:color w:val="2E75B6"/>
          <w:sz w:val="28"/>
          <w:szCs w:val="28"/>
          <w:lang w:val="en-US"/>
        </w:rPr>
      </w:pPr>
      <w:r w:rsidRPr="2374F0F8" w:rsidR="54B80A92">
        <w:rPr>
          <w:rFonts w:ascii="Arial" w:hAnsi="Arial" w:eastAsia="Arial" w:cs="Arial"/>
          <w:b w:val="1"/>
          <w:bCs w:val="1"/>
          <w:i w:val="0"/>
          <w:iCs w:val="0"/>
          <w:caps w:val="0"/>
          <w:smallCaps w:val="0"/>
          <w:noProof w:val="0"/>
          <w:color w:val="2E75B6"/>
          <w:sz w:val="28"/>
          <w:szCs w:val="28"/>
          <w:lang w:val="en-US"/>
        </w:rPr>
        <w:t>11.1 Project Management Office Governance</w:t>
      </w:r>
    </w:p>
    <w:p xmlns:wp14="http://schemas.microsoft.com/office/word/2010/wordml" w:rsidP="2374F0F8" w14:paraId="31ACC82C" wp14:textId="3605C9A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 xml:space="preserve">Project delivery </w:t>
      </w:r>
      <w:r w:rsidRPr="2374F0F8" w:rsidR="54B80A92">
        <w:rPr>
          <w:rFonts w:ascii="Arial" w:hAnsi="Arial" w:eastAsia="Arial" w:cs="Arial"/>
          <w:b w:val="0"/>
          <w:bCs w:val="0"/>
          <w:i w:val="0"/>
          <w:iCs w:val="0"/>
          <w:caps w:val="0"/>
          <w:smallCaps w:val="0"/>
          <w:noProof w:val="0"/>
          <w:color w:val="222222"/>
          <w:sz w:val="22"/>
          <w:szCs w:val="22"/>
          <w:lang w:val="en-US"/>
        </w:rPr>
        <w:t>operates</w:t>
      </w:r>
      <w:r w:rsidRPr="2374F0F8" w:rsidR="54B80A92">
        <w:rPr>
          <w:rFonts w:ascii="Arial" w:hAnsi="Arial" w:eastAsia="Arial" w:cs="Arial"/>
          <w:b w:val="0"/>
          <w:bCs w:val="0"/>
          <w:i w:val="0"/>
          <w:iCs w:val="0"/>
          <w:caps w:val="0"/>
          <w:smallCaps w:val="0"/>
          <w:noProof w:val="0"/>
          <w:color w:val="222222"/>
          <w:sz w:val="22"/>
          <w:szCs w:val="22"/>
          <w:lang w:val="en-US"/>
        </w:rPr>
        <w:t xml:space="preserve"> under a hybrid PMO framework combining structured predictive controls for civil works with Agile iteration cycles for digital systems development. The Steering Committee, chaired by the Project Sponsor and supported by the Lead Project Manager, meets bi-weekly to review Earned Value Management metrics, evaluate scope change requests, and approve stage-gate phase transitions.</w:t>
      </w:r>
    </w:p>
    <w:p xmlns:wp14="http://schemas.microsoft.com/office/word/2010/wordml" w:rsidP="2374F0F8" w14:paraId="3037E800" wp14:textId="591E9652">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24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Change Control Boards enforce strict variance thresholds: any proposed scope adjustment exceeding £50,000 or delaying the critical path by more than 5 working days requires formal CCB evaluation, impact modeling, and unanimous Steering Committee authorization.</w:t>
      </w:r>
    </w:p>
    <w:p xmlns:wp14="http://schemas.microsoft.com/office/word/2010/wordml" w:rsidP="2374F0F8" w14:paraId="7044C0C3" wp14:textId="13B835A1">
      <w:pPr>
        <w:pStyle w:val="Heading2"/>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ind/>
        <w:rPr>
          <w:rFonts w:ascii="Arial" w:hAnsi="Arial" w:eastAsia="Arial" w:cs="Arial"/>
          <w:b w:val="1"/>
          <w:bCs w:val="1"/>
          <w:i w:val="0"/>
          <w:iCs w:val="0"/>
          <w:caps w:val="0"/>
          <w:smallCaps w:val="0"/>
          <w:noProof w:val="0"/>
          <w:color w:val="2E75B6"/>
          <w:sz w:val="28"/>
          <w:szCs w:val="28"/>
          <w:lang w:val="en-US"/>
        </w:rPr>
      </w:pPr>
      <w:r w:rsidRPr="2374F0F8" w:rsidR="54B80A92">
        <w:rPr>
          <w:rFonts w:ascii="Arial" w:hAnsi="Arial" w:eastAsia="Arial" w:cs="Arial"/>
          <w:b w:val="1"/>
          <w:bCs w:val="1"/>
          <w:i w:val="0"/>
          <w:iCs w:val="0"/>
          <w:caps w:val="0"/>
          <w:smallCaps w:val="0"/>
          <w:noProof w:val="0"/>
          <w:color w:val="2E75B6"/>
          <w:sz w:val="28"/>
          <w:szCs w:val="28"/>
          <w:lang w:val="en-US"/>
        </w:rPr>
        <w:t>11.2 Quality Assurance &amp; Environmental Compliance Framework</w:t>
      </w:r>
    </w:p>
    <w:p xmlns:wp14="http://schemas.microsoft.com/office/word/2010/wordml" w:rsidP="2374F0F8" w14:paraId="11228FF6" wp14:textId="5762539D">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Quality assurance follows a rigorous ISO 9001 and ISO 14001 integrated management framework. Material verification protocol requires Environmental Product Declarations for all structural steel and concrete batches brought to the site, ensuring strict compliance with embodied carbon targets.</w:t>
      </w:r>
    </w:p>
    <w:p xmlns:wp14="http://schemas.microsoft.com/office/word/2010/wordml" w:rsidP="2374F0F8" w14:paraId="6CC0B369" wp14:textId="64E1E149">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36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 xml:space="preserve">Independent BREEAM assessors will execute four mandatory physical audits during construction, inspecting indoor air quality management, construction waste diversion, ecological biodiversity enhancements, and energy efficiency. Digital Quality Audits will </w:t>
      </w:r>
      <w:r w:rsidRPr="2374F0F8" w:rsidR="54B80A92">
        <w:rPr>
          <w:rFonts w:ascii="Arial" w:hAnsi="Arial" w:eastAsia="Arial" w:cs="Arial"/>
          <w:b w:val="0"/>
          <w:bCs w:val="0"/>
          <w:i w:val="0"/>
          <w:iCs w:val="0"/>
          <w:caps w:val="0"/>
          <w:smallCaps w:val="0"/>
          <w:noProof w:val="0"/>
          <w:color w:val="222222"/>
          <w:sz w:val="22"/>
          <w:szCs w:val="22"/>
          <w:lang w:val="en-US"/>
        </w:rPr>
        <w:t>utilize</w:t>
      </w:r>
      <w:r w:rsidRPr="2374F0F8" w:rsidR="54B80A92">
        <w:rPr>
          <w:rFonts w:ascii="Arial" w:hAnsi="Arial" w:eastAsia="Arial" w:cs="Arial"/>
          <w:b w:val="0"/>
          <w:bCs w:val="0"/>
          <w:i w:val="0"/>
          <w:iCs w:val="0"/>
          <w:caps w:val="0"/>
          <w:smallCaps w:val="0"/>
          <w:noProof w:val="0"/>
          <w:color w:val="222222"/>
          <w:sz w:val="22"/>
          <w:szCs w:val="22"/>
          <w:lang w:val="en-US"/>
        </w:rPr>
        <w:t xml:space="preserve"> Building Information Modeling</w:t>
      </w:r>
      <w:r w:rsidRPr="2374F0F8" w:rsidR="5777208D">
        <w:rPr>
          <w:rFonts w:ascii="Arial" w:hAnsi="Arial" w:eastAsia="Arial" w:cs="Arial"/>
          <w:b w:val="0"/>
          <w:bCs w:val="0"/>
          <w:i w:val="0"/>
          <w:iCs w:val="0"/>
          <w:caps w:val="0"/>
          <w:smallCaps w:val="0"/>
          <w:noProof w:val="0"/>
          <w:color w:val="222222"/>
          <w:sz w:val="22"/>
          <w:szCs w:val="22"/>
          <w:lang w:val="en-US"/>
        </w:rPr>
        <w:t xml:space="preserve"> </w:t>
      </w:r>
      <w:r w:rsidRPr="2374F0F8" w:rsidR="54B80A92">
        <w:rPr>
          <w:rFonts w:ascii="Arial" w:hAnsi="Arial" w:eastAsia="Arial" w:cs="Arial"/>
          <w:b w:val="0"/>
          <w:bCs w:val="0"/>
          <w:i w:val="0"/>
          <w:iCs w:val="0"/>
          <w:caps w:val="0"/>
          <w:smallCaps w:val="0"/>
          <w:noProof w:val="0"/>
          <w:color w:val="222222"/>
          <w:sz w:val="22"/>
          <w:szCs w:val="22"/>
          <w:lang w:val="en-US"/>
        </w:rPr>
        <w:t xml:space="preserve">clash-detection software to </w:t>
      </w:r>
      <w:r w:rsidRPr="2374F0F8" w:rsidR="54B80A92">
        <w:rPr>
          <w:rFonts w:ascii="Arial" w:hAnsi="Arial" w:eastAsia="Arial" w:cs="Arial"/>
          <w:b w:val="0"/>
          <w:bCs w:val="0"/>
          <w:i w:val="0"/>
          <w:iCs w:val="0"/>
          <w:caps w:val="0"/>
          <w:smallCaps w:val="0"/>
          <w:noProof w:val="0"/>
          <w:color w:val="222222"/>
          <w:sz w:val="22"/>
          <w:szCs w:val="22"/>
          <w:lang w:val="en-US"/>
        </w:rPr>
        <w:t>eliminate</w:t>
      </w:r>
      <w:r w:rsidRPr="2374F0F8" w:rsidR="54B80A92">
        <w:rPr>
          <w:rFonts w:ascii="Arial" w:hAnsi="Arial" w:eastAsia="Arial" w:cs="Arial"/>
          <w:b w:val="0"/>
          <w:bCs w:val="0"/>
          <w:i w:val="0"/>
          <w:iCs w:val="0"/>
          <w:caps w:val="0"/>
          <w:smallCaps w:val="0"/>
          <w:noProof w:val="0"/>
          <w:color w:val="222222"/>
          <w:sz w:val="22"/>
          <w:szCs w:val="22"/>
          <w:lang w:val="en-US"/>
        </w:rPr>
        <w:t xml:space="preserve"> design discrepancies prior to physical installation on site.</w:t>
      </w:r>
    </w:p>
    <w:p xmlns:wp14="http://schemas.microsoft.com/office/word/2010/wordml" w:rsidP="2374F0F8" w14:paraId="1369F526" wp14:textId="2A52602C">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320"/>
        <w:ind/>
        <w:rPr>
          <w:rFonts w:ascii="Arial" w:hAnsi="Arial" w:eastAsia="Arial" w:cs="Arial"/>
          <w:b w:val="1"/>
          <w:bCs w:val="1"/>
          <w:i w:val="0"/>
          <w:iCs w:val="0"/>
          <w:caps w:val="0"/>
          <w:smallCaps w:val="0"/>
          <w:noProof w:val="0"/>
          <w:color w:val="1F4E79"/>
          <w:sz w:val="36"/>
          <w:szCs w:val="36"/>
          <w:lang w:val="en-US"/>
        </w:rPr>
      </w:pPr>
      <w:r w:rsidRPr="2374F0F8" w:rsidR="54B80A92">
        <w:rPr>
          <w:rFonts w:ascii="Arial" w:hAnsi="Arial" w:eastAsia="Arial" w:cs="Arial"/>
          <w:b w:val="1"/>
          <w:bCs w:val="1"/>
          <w:i w:val="0"/>
          <w:iCs w:val="0"/>
          <w:caps w:val="0"/>
          <w:smallCaps w:val="0"/>
          <w:noProof w:val="0"/>
          <w:color w:val="1F4E79"/>
          <w:sz w:val="36"/>
          <w:szCs w:val="36"/>
          <w:lang w:val="en-US"/>
        </w:rPr>
        <w:t>12. Earned Value Management &amp; Financial Control Framework</w:t>
      </w:r>
    </w:p>
    <w:p xmlns:wp14="http://schemas.microsoft.com/office/word/2010/wordml" w:rsidP="2374F0F8" w14:paraId="396A8E2A" wp14:textId="22E10DEE">
      <w:pPr>
        <w:pStyle w:val="Heading2"/>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ind/>
        <w:rPr>
          <w:rFonts w:ascii="Arial" w:hAnsi="Arial" w:eastAsia="Arial" w:cs="Arial"/>
          <w:b w:val="1"/>
          <w:bCs w:val="1"/>
          <w:i w:val="0"/>
          <w:iCs w:val="0"/>
          <w:caps w:val="0"/>
          <w:smallCaps w:val="0"/>
          <w:noProof w:val="0"/>
          <w:color w:val="2E75B6"/>
          <w:sz w:val="28"/>
          <w:szCs w:val="28"/>
          <w:lang w:val="en-US"/>
        </w:rPr>
      </w:pPr>
      <w:r w:rsidRPr="2374F0F8" w:rsidR="54B80A92">
        <w:rPr>
          <w:rFonts w:ascii="Arial" w:hAnsi="Arial" w:eastAsia="Arial" w:cs="Arial"/>
          <w:b w:val="1"/>
          <w:bCs w:val="1"/>
          <w:i w:val="0"/>
          <w:iCs w:val="0"/>
          <w:caps w:val="0"/>
          <w:smallCaps w:val="0"/>
          <w:noProof w:val="0"/>
          <w:color w:val="2E75B6"/>
          <w:sz w:val="28"/>
          <w:szCs w:val="28"/>
          <w:lang w:val="en-US"/>
        </w:rPr>
        <w:t>12.1 Performance Measurement Baseline</w:t>
      </w:r>
    </w:p>
    <w:p xmlns:wp14="http://schemas.microsoft.com/office/word/2010/wordml" w:rsidP="2374F0F8" w14:paraId="4F653DF0" wp14:textId="49B23915">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Financial tracking relies on Earned Value Management (EVM) principles to monitor cost variances (CV) and schedule variances (SV) in real time. The £45 million capital expenditure baseline is time-phased across the 18-month timeline to create the S-curve Performance Measurement Baseline.</w:t>
      </w:r>
    </w:p>
    <w:p xmlns:wp14="http://schemas.microsoft.com/office/word/2010/wordml" w:rsidP="2374F0F8" w14:paraId="3636D69C" wp14:textId="471BF30A">
      <w:pPr>
        <w:pStyle w:val="ListParagraph"/>
        <w:numPr>
          <w:ilvl w:val="0"/>
          <w:numId w:val="19"/>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0" w:afterAutospacing="off"/>
        <w:ind w:left="400" w:hanging="360"/>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1"/>
          <w:bCs w:val="1"/>
          <w:i w:val="0"/>
          <w:iCs w:val="0"/>
          <w:caps w:val="0"/>
          <w:smallCaps w:val="0"/>
          <w:noProof w:val="0"/>
          <w:color w:val="222222"/>
          <w:sz w:val="22"/>
          <w:szCs w:val="22"/>
          <w:lang w:val="en-US"/>
        </w:rPr>
        <w:t>Planned Value (PV):</w:t>
      </w:r>
      <w:r w:rsidRPr="2374F0F8" w:rsidR="54B80A92">
        <w:rPr>
          <w:rFonts w:ascii="Arial" w:hAnsi="Arial" w:eastAsia="Arial" w:cs="Arial"/>
          <w:b w:val="0"/>
          <w:bCs w:val="0"/>
          <w:i w:val="0"/>
          <w:iCs w:val="0"/>
          <w:caps w:val="0"/>
          <w:smallCaps w:val="0"/>
          <w:noProof w:val="0"/>
          <w:color w:val="222222"/>
          <w:sz w:val="22"/>
          <w:szCs w:val="22"/>
          <w:lang w:val="en-US"/>
        </w:rPr>
        <w:t xml:space="preserve"> The authorized budget allocated to scheduled work packages up to a given timepoint.</w:t>
      </w:r>
    </w:p>
    <w:p xmlns:wp14="http://schemas.microsoft.com/office/word/2010/wordml" w:rsidP="2374F0F8" w14:paraId="272D841B" wp14:textId="5C6335C8">
      <w:pPr>
        <w:pStyle w:val="ListParagraph"/>
        <w:numPr>
          <w:ilvl w:val="0"/>
          <w:numId w:val="19"/>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beforeAutospacing="off" w:after="0" w:afterAutospacing="off"/>
        <w:ind w:left="400" w:hanging="360"/>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1"/>
          <w:bCs w:val="1"/>
          <w:i w:val="0"/>
          <w:iCs w:val="0"/>
          <w:caps w:val="0"/>
          <w:smallCaps w:val="0"/>
          <w:noProof w:val="0"/>
          <w:color w:val="222222"/>
          <w:sz w:val="22"/>
          <w:szCs w:val="22"/>
          <w:lang w:val="en-US"/>
        </w:rPr>
        <w:t>Earned Value (EV):</w:t>
      </w:r>
      <w:r w:rsidRPr="2374F0F8" w:rsidR="54B80A92">
        <w:rPr>
          <w:rFonts w:ascii="Arial" w:hAnsi="Arial" w:eastAsia="Arial" w:cs="Arial"/>
          <w:b w:val="0"/>
          <w:bCs w:val="0"/>
          <w:i w:val="0"/>
          <w:iCs w:val="0"/>
          <w:caps w:val="0"/>
          <w:smallCaps w:val="0"/>
          <w:noProof w:val="0"/>
          <w:color w:val="222222"/>
          <w:sz w:val="22"/>
          <w:szCs w:val="22"/>
          <w:lang w:val="en-US"/>
        </w:rPr>
        <w:t xml:space="preserve"> The measure of work performed expressed in terms of the budget authorized for that work.</w:t>
      </w:r>
    </w:p>
    <w:p xmlns:wp14="http://schemas.microsoft.com/office/word/2010/wordml" w:rsidP="2374F0F8" w14:paraId="1EBF4CEF" wp14:textId="587765AE">
      <w:pPr>
        <w:pStyle w:val="ListParagraph"/>
        <w:numPr>
          <w:ilvl w:val="0"/>
          <w:numId w:val="19"/>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beforeAutospacing="off" w:after="80"/>
        <w:ind w:left="400" w:hanging="360"/>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1"/>
          <w:bCs w:val="1"/>
          <w:i w:val="0"/>
          <w:iCs w:val="0"/>
          <w:caps w:val="0"/>
          <w:smallCaps w:val="0"/>
          <w:noProof w:val="0"/>
          <w:color w:val="222222"/>
          <w:sz w:val="22"/>
          <w:szCs w:val="22"/>
          <w:lang w:val="en-US"/>
        </w:rPr>
        <w:t>Actual Cost (AC):</w:t>
      </w:r>
      <w:r w:rsidRPr="2374F0F8" w:rsidR="54B80A92">
        <w:rPr>
          <w:rFonts w:ascii="Arial" w:hAnsi="Arial" w:eastAsia="Arial" w:cs="Arial"/>
          <w:b w:val="0"/>
          <w:bCs w:val="0"/>
          <w:i w:val="0"/>
          <w:iCs w:val="0"/>
          <w:caps w:val="0"/>
          <w:smallCaps w:val="0"/>
          <w:noProof w:val="0"/>
          <w:color w:val="222222"/>
          <w:sz w:val="22"/>
          <w:szCs w:val="22"/>
          <w:lang w:val="en-US"/>
        </w:rPr>
        <w:t xml:space="preserve"> The total incurred cost for work completed during a specified time period.</w:t>
      </w:r>
    </w:p>
    <w:p xmlns:wp14="http://schemas.microsoft.com/office/word/2010/wordml" w:rsidP="2374F0F8" w14:paraId="0AC7A66C" wp14:textId="54302382">
      <w:pPr>
        <w:pStyle w:val="Heading2"/>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240" w:after="120"/>
        <w:ind/>
        <w:rPr>
          <w:rFonts w:ascii="Arial" w:hAnsi="Arial" w:eastAsia="Arial" w:cs="Arial"/>
          <w:b w:val="1"/>
          <w:bCs w:val="1"/>
          <w:i w:val="0"/>
          <w:iCs w:val="0"/>
          <w:caps w:val="0"/>
          <w:smallCaps w:val="0"/>
          <w:noProof w:val="0"/>
          <w:color w:val="2E75B6"/>
          <w:sz w:val="28"/>
          <w:szCs w:val="28"/>
          <w:lang w:val="en-US"/>
        </w:rPr>
      </w:pPr>
      <w:r w:rsidRPr="2374F0F8" w:rsidR="54B80A92">
        <w:rPr>
          <w:rFonts w:ascii="Arial" w:hAnsi="Arial" w:eastAsia="Arial" w:cs="Arial"/>
          <w:b w:val="1"/>
          <w:bCs w:val="1"/>
          <w:i w:val="0"/>
          <w:iCs w:val="0"/>
          <w:caps w:val="0"/>
          <w:smallCaps w:val="0"/>
          <w:noProof w:val="0"/>
          <w:color w:val="2E75B6"/>
          <w:sz w:val="28"/>
          <w:szCs w:val="28"/>
          <w:lang w:val="en-US"/>
        </w:rPr>
        <w:t>12.2 EVM KPI Control Metrics &amp; Variance Thresholds</w:t>
      </w:r>
    </w:p>
    <w:p xmlns:wp14="http://schemas.microsoft.com/office/word/2010/wordml" w:rsidP="2374F0F8" w14:paraId="26388B5D" wp14:textId="29FEDAF5">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Project health will be evaluated using two key indices: Cost Performance Index (CPI = EV / AC) and Schedule Performance Index (SPI = EV / PV). Operational tolerance bands are established as follows:</w:t>
      </w:r>
    </w:p>
    <w:p xmlns:wp14="http://schemas.microsoft.com/office/word/2010/wordml" w:rsidP="2374F0F8" w14:paraId="75365E95" wp14:textId="5A6C0F4C">
      <w:pPr>
        <w:pStyle w:val="ListParagraph"/>
        <w:numPr>
          <w:ilvl w:val="0"/>
          <w:numId w:val="20"/>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0" w:afterAutospacing="off"/>
        <w:ind w:left="400" w:hanging="360"/>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1"/>
          <w:bCs w:val="1"/>
          <w:i w:val="0"/>
          <w:iCs w:val="0"/>
          <w:caps w:val="0"/>
          <w:smallCaps w:val="0"/>
          <w:noProof w:val="0"/>
          <w:color w:val="222222"/>
          <w:sz w:val="22"/>
          <w:szCs w:val="22"/>
          <w:lang w:val="en-US"/>
        </w:rPr>
        <w:t>Green Status (Normal Control):</w:t>
      </w:r>
      <w:r w:rsidRPr="2374F0F8" w:rsidR="54B80A92">
        <w:rPr>
          <w:rFonts w:ascii="Arial" w:hAnsi="Arial" w:eastAsia="Arial" w:cs="Arial"/>
          <w:b w:val="0"/>
          <w:bCs w:val="0"/>
          <w:i w:val="0"/>
          <w:iCs w:val="0"/>
          <w:caps w:val="0"/>
          <w:smallCaps w:val="0"/>
          <w:noProof w:val="0"/>
          <w:color w:val="222222"/>
          <w:sz w:val="22"/>
          <w:szCs w:val="22"/>
          <w:lang w:val="en-US"/>
        </w:rPr>
        <w:t xml:space="preserve"> CPI and SPI between 0.95 and 1.05. Standard monthly reporting applies.</w:t>
      </w:r>
    </w:p>
    <w:p xmlns:wp14="http://schemas.microsoft.com/office/word/2010/wordml" w:rsidP="2374F0F8" w14:paraId="386148E2" wp14:textId="07B55ECD">
      <w:pPr>
        <w:pStyle w:val="ListParagraph"/>
        <w:numPr>
          <w:ilvl w:val="0"/>
          <w:numId w:val="20"/>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beforeAutospacing="off" w:after="0" w:afterAutospacing="off"/>
        <w:ind w:left="400" w:hanging="360"/>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1"/>
          <w:bCs w:val="1"/>
          <w:i w:val="0"/>
          <w:iCs w:val="0"/>
          <w:caps w:val="0"/>
          <w:smallCaps w:val="0"/>
          <w:noProof w:val="0"/>
          <w:color w:val="222222"/>
          <w:sz w:val="22"/>
          <w:szCs w:val="22"/>
          <w:lang w:val="en-US"/>
        </w:rPr>
        <w:t>Amber Status (Warning Threshold):</w:t>
      </w:r>
      <w:r w:rsidRPr="2374F0F8" w:rsidR="54B80A92">
        <w:rPr>
          <w:rFonts w:ascii="Arial" w:hAnsi="Arial" w:eastAsia="Arial" w:cs="Arial"/>
          <w:b w:val="0"/>
          <w:bCs w:val="0"/>
          <w:i w:val="0"/>
          <w:iCs w:val="0"/>
          <w:caps w:val="0"/>
          <w:smallCaps w:val="0"/>
          <w:noProof w:val="0"/>
          <w:color w:val="222222"/>
          <w:sz w:val="22"/>
          <w:szCs w:val="22"/>
          <w:lang w:val="en-US"/>
        </w:rPr>
        <w:t xml:space="preserve"> CPI or SPI between 0.85 and 0.94. Triggers mandatory PMO investigation and corrective action plan within 7 calendar days.</w:t>
      </w:r>
    </w:p>
    <w:p xmlns:wp14="http://schemas.microsoft.com/office/word/2010/wordml" w:rsidP="2374F0F8" w14:paraId="5FE5C371" wp14:textId="6ECF29F7">
      <w:pPr>
        <w:pStyle w:val="ListParagraph"/>
        <w:numPr>
          <w:ilvl w:val="0"/>
          <w:numId w:val="20"/>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beforeAutospacing="off" w:after="80"/>
        <w:ind w:left="400" w:hanging="360"/>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1"/>
          <w:bCs w:val="1"/>
          <w:i w:val="0"/>
          <w:iCs w:val="0"/>
          <w:caps w:val="0"/>
          <w:smallCaps w:val="0"/>
          <w:noProof w:val="0"/>
          <w:color w:val="222222"/>
          <w:sz w:val="22"/>
          <w:szCs w:val="22"/>
          <w:lang w:val="en-US"/>
        </w:rPr>
        <w:t>Red Status (Critical Threshold):</w:t>
      </w:r>
      <w:r w:rsidRPr="2374F0F8" w:rsidR="54B80A92">
        <w:rPr>
          <w:rFonts w:ascii="Arial" w:hAnsi="Arial" w:eastAsia="Arial" w:cs="Arial"/>
          <w:b w:val="0"/>
          <w:bCs w:val="0"/>
          <w:i w:val="0"/>
          <w:iCs w:val="0"/>
          <w:caps w:val="0"/>
          <w:smallCaps w:val="0"/>
          <w:noProof w:val="0"/>
          <w:color w:val="222222"/>
          <w:sz w:val="22"/>
          <w:szCs w:val="22"/>
          <w:lang w:val="en-US"/>
        </w:rPr>
        <w:t xml:space="preserve"> CPI or SPI below 0.85. Requires immediate Steering Committee intervention, contingency fund evaluation, or scope re-baselining.</w:t>
      </w:r>
    </w:p>
    <w:p xmlns:wp14="http://schemas.microsoft.com/office/word/2010/wordml" w:rsidP="2374F0F8" w14:paraId="401815A9" wp14:textId="1C126298">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360" w:after="320"/>
        <w:ind/>
      </w:pPr>
      <w:r w:rsidRPr="2374F0F8" w:rsidR="54B80A92">
        <w:rPr>
          <w:rFonts w:ascii="Arial" w:hAnsi="Arial" w:eastAsia="Arial" w:cs="Arial"/>
          <w:b w:val="1"/>
          <w:bCs w:val="1"/>
          <w:i w:val="0"/>
          <w:iCs w:val="0"/>
          <w:caps w:val="0"/>
          <w:smallCaps w:val="0"/>
          <w:noProof w:val="0"/>
          <w:color w:val="1F4E79"/>
          <w:sz w:val="36"/>
          <w:szCs w:val="36"/>
          <w:lang w:val="en-US"/>
        </w:rPr>
        <w:t>13. Operational Continuity &amp; Traffic Management Strategy</w:t>
      </w:r>
    </w:p>
    <w:p xmlns:wp14="http://schemas.microsoft.com/office/word/2010/wordml" w:rsidP="2374F0F8" w14:paraId="1A040975" wp14:textId="73EA2A18">
      <w:pPr>
        <w:pStyle w:val="Normal"/>
        <w:rPr>
          <w:noProof w:val="0"/>
          <w:lang w:val="en-US"/>
        </w:rPr>
      </w:pPr>
    </w:p>
    <w:p xmlns:wp14="http://schemas.microsoft.com/office/word/2010/wordml" w:rsidP="2374F0F8" w14:paraId="7C08CFE2" wp14:textId="6DF43DAE">
      <w:pPr>
        <w:pStyle w:val="Heading2"/>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ind/>
        <w:rPr>
          <w:rFonts w:ascii="Arial" w:hAnsi="Arial" w:eastAsia="Arial" w:cs="Arial"/>
          <w:b w:val="1"/>
          <w:bCs w:val="1"/>
          <w:i w:val="0"/>
          <w:iCs w:val="0"/>
          <w:caps w:val="0"/>
          <w:smallCaps w:val="0"/>
          <w:noProof w:val="0"/>
          <w:color w:val="2E75B6"/>
          <w:sz w:val="28"/>
          <w:szCs w:val="28"/>
          <w:lang w:val="en-US"/>
        </w:rPr>
      </w:pPr>
      <w:r w:rsidRPr="2374F0F8" w:rsidR="54B80A92">
        <w:rPr>
          <w:rFonts w:ascii="Arial" w:hAnsi="Arial" w:eastAsia="Arial" w:cs="Arial"/>
          <w:b w:val="1"/>
          <w:bCs w:val="1"/>
          <w:i w:val="0"/>
          <w:iCs w:val="0"/>
          <w:caps w:val="0"/>
          <w:smallCaps w:val="0"/>
          <w:noProof w:val="0"/>
          <w:color w:val="2E75B6"/>
          <w:sz w:val="28"/>
          <w:szCs w:val="28"/>
          <w:lang w:val="en-US"/>
        </w:rPr>
        <w:t>13.1 Interim Passenger Transit Logistics</w:t>
      </w:r>
    </w:p>
    <w:p xmlns:wp14="http://schemas.microsoft.com/office/word/2010/wordml" w:rsidP="2374F0F8" w14:paraId="1E4D1327" wp14:textId="56E5DA50">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24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To mitigate community disruption caused by the emergency hub shutdown, a temporary surface-transit interchange network has been established along adjacent peripheral thoroughfares. Temporary bus boarding bays, weather-protected pedestrian walkways, and mobile ticket kiosks ensure uninterrupted passenger connections between regional bus routes and heavy rail services throughout the 18-month construction lifecycle.</w:t>
      </w:r>
    </w:p>
    <w:p xmlns:wp14="http://schemas.microsoft.com/office/word/2010/wordml" w:rsidP="2374F0F8" w14:paraId="7CB9D2AD" wp14:textId="1A7BEF0D">
      <w:pPr>
        <w:pStyle w:val="Heading2"/>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ind/>
        <w:rPr>
          <w:rFonts w:ascii="Arial" w:hAnsi="Arial" w:eastAsia="Arial" w:cs="Arial"/>
          <w:b w:val="1"/>
          <w:bCs w:val="1"/>
          <w:i w:val="0"/>
          <w:iCs w:val="0"/>
          <w:caps w:val="0"/>
          <w:smallCaps w:val="0"/>
          <w:noProof w:val="0"/>
          <w:color w:val="2E75B6"/>
          <w:sz w:val="28"/>
          <w:szCs w:val="28"/>
          <w:lang w:val="en-US"/>
        </w:rPr>
      </w:pPr>
    </w:p>
    <w:p xmlns:wp14="http://schemas.microsoft.com/office/word/2010/wordml" w:rsidP="2374F0F8" w14:paraId="58297B0D" wp14:textId="3EE2AD45">
      <w:pPr>
        <w:pStyle w:val="Heading2"/>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ind/>
        <w:rPr>
          <w:rFonts w:ascii="Arial" w:hAnsi="Arial" w:eastAsia="Arial" w:cs="Arial"/>
          <w:b w:val="1"/>
          <w:bCs w:val="1"/>
          <w:i w:val="0"/>
          <w:iCs w:val="0"/>
          <w:caps w:val="0"/>
          <w:smallCaps w:val="0"/>
          <w:noProof w:val="0"/>
          <w:color w:val="2E75B6"/>
          <w:sz w:val="28"/>
          <w:szCs w:val="28"/>
          <w:lang w:val="en-US"/>
        </w:rPr>
      </w:pPr>
      <w:r w:rsidRPr="2374F0F8" w:rsidR="54B80A92">
        <w:rPr>
          <w:rFonts w:ascii="Arial" w:hAnsi="Arial" w:eastAsia="Arial" w:cs="Arial"/>
          <w:b w:val="1"/>
          <w:bCs w:val="1"/>
          <w:i w:val="0"/>
          <w:iCs w:val="0"/>
          <w:caps w:val="0"/>
          <w:smallCaps w:val="0"/>
          <w:noProof w:val="0"/>
          <w:color w:val="2E75B6"/>
          <w:sz w:val="28"/>
          <w:szCs w:val="28"/>
          <w:lang w:val="en-US"/>
        </w:rPr>
        <w:t>13.2 Phased Site Logistics &amp; Urban Impact Mitigation</w:t>
      </w:r>
    </w:p>
    <w:p xmlns:wp14="http://schemas.microsoft.com/office/word/2010/wordml" w:rsidP="2374F0F8" w14:paraId="13BB3045" wp14:textId="783703B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36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 xml:space="preserve">Construction activities are spatially zoned to minimize noise, dust, and urban traffic congestion. Heavy demolition and structural concrete pours are restricted to designated off-peak windows. Electric-powered construction machinery will be deployed where </w:t>
      </w:r>
      <w:r w:rsidRPr="2374F0F8" w:rsidR="54B80A92">
        <w:rPr>
          <w:rFonts w:ascii="Arial" w:hAnsi="Arial" w:eastAsia="Arial" w:cs="Arial"/>
          <w:b w:val="0"/>
          <w:bCs w:val="0"/>
          <w:i w:val="0"/>
          <w:iCs w:val="0"/>
          <w:caps w:val="0"/>
          <w:smallCaps w:val="0"/>
          <w:noProof w:val="0"/>
          <w:color w:val="222222"/>
          <w:sz w:val="22"/>
          <w:szCs w:val="22"/>
          <w:lang w:val="en-US"/>
        </w:rPr>
        <w:t>feasible</w:t>
      </w:r>
      <w:r w:rsidRPr="2374F0F8" w:rsidR="54B80A92">
        <w:rPr>
          <w:rFonts w:ascii="Arial" w:hAnsi="Arial" w:eastAsia="Arial" w:cs="Arial"/>
          <w:b w:val="0"/>
          <w:bCs w:val="0"/>
          <w:i w:val="0"/>
          <w:iCs w:val="0"/>
          <w:caps w:val="0"/>
          <w:smallCaps w:val="0"/>
          <w:noProof w:val="0"/>
          <w:color w:val="222222"/>
          <w:sz w:val="22"/>
          <w:szCs w:val="22"/>
          <w:lang w:val="en-US"/>
        </w:rPr>
        <w:t xml:space="preserve"> to minimize site-level Scope 1 noise and diesel emissions, supporting local urban living standards during construction.</w:t>
      </w:r>
    </w:p>
    <w:p xmlns:wp14="http://schemas.microsoft.com/office/word/2010/wordml" w:rsidP="2374F0F8" w14:paraId="4C126D81" wp14:textId="6A6FA009">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40"/>
        <w:ind/>
        <w:rPr>
          <w:rFonts w:ascii="Arial" w:hAnsi="Arial" w:eastAsia="Arial" w:cs="Arial"/>
          <w:b w:val="1"/>
          <w:bCs w:val="1"/>
          <w:i w:val="0"/>
          <w:iCs w:val="0"/>
          <w:caps w:val="0"/>
          <w:smallCaps w:val="0"/>
          <w:noProof w:val="0"/>
          <w:color w:val="1F4E79"/>
          <w:sz w:val="36"/>
          <w:szCs w:val="36"/>
          <w:lang w:val="en-US"/>
        </w:rPr>
      </w:pPr>
    </w:p>
    <w:p xmlns:wp14="http://schemas.microsoft.com/office/word/2010/wordml" w:rsidP="2374F0F8" w14:paraId="75B5EA1E" wp14:textId="74C865C4">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40"/>
        <w:ind/>
        <w:rPr>
          <w:rFonts w:ascii="Arial" w:hAnsi="Arial" w:eastAsia="Arial" w:cs="Arial"/>
          <w:b w:val="1"/>
          <w:bCs w:val="1"/>
          <w:i w:val="0"/>
          <w:iCs w:val="0"/>
          <w:caps w:val="0"/>
          <w:smallCaps w:val="0"/>
          <w:noProof w:val="0"/>
          <w:color w:val="1F4E79"/>
          <w:sz w:val="36"/>
          <w:szCs w:val="36"/>
          <w:lang w:val="en-US"/>
        </w:rPr>
      </w:pPr>
      <w:r w:rsidRPr="2374F0F8" w:rsidR="54B80A92">
        <w:rPr>
          <w:rFonts w:ascii="Arial" w:hAnsi="Arial" w:eastAsia="Arial" w:cs="Arial"/>
          <w:b w:val="1"/>
          <w:bCs w:val="1"/>
          <w:i w:val="0"/>
          <w:iCs w:val="0"/>
          <w:caps w:val="0"/>
          <w:smallCaps w:val="0"/>
          <w:noProof w:val="0"/>
          <w:color w:val="1F4E79"/>
          <w:sz w:val="36"/>
          <w:szCs w:val="36"/>
          <w:lang w:val="en-US"/>
        </w:rPr>
        <w:t>14. Conclusion &amp; Strategic Recommendations</w:t>
      </w:r>
    </w:p>
    <w:p xmlns:wp14="http://schemas.microsoft.com/office/word/2010/wordml" w:rsidP="2374F0F8" w14:paraId="6BC4067F" wp14:textId="2A809AD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This comprehensive Project Management Plan establishes a rigorous, academically grounded, and fully actionable blueprint for transforming an unexpected structural civil crisis into a model of net-zero urban regeneration. By pairing advanced structural rehabilitation with micro-grid technology, ultra-rapid EV charging infrastructure, and digital passenger systems, the project meets immediate public safety requirements while advancing long-term municipal climate objectives.</w:t>
      </w:r>
    </w:p>
    <w:p xmlns:wp14="http://schemas.microsoft.com/office/word/2010/wordml" w:rsidP="2374F0F8" w14:paraId="00CE572A" wp14:textId="38FD7333">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36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Strict adherence to the 18-month critical path schedule, rigorous EVM cost tracking across the £45 million baseline, proactive engagement with high-power stakeholders, and continuous risk monitoring will ensure the project achieves its BREEAM 'Outstanding' targets, delivered on time and within budget.</w:t>
      </w:r>
    </w:p>
    <w:p xmlns:wp14="http://schemas.microsoft.com/office/word/2010/wordml" w:rsidP="2374F0F8" w14:paraId="2C6995B4" wp14:textId="61C01241">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40"/>
        <w:ind/>
        <w:rPr>
          <w:rFonts w:ascii="Arial" w:hAnsi="Arial" w:eastAsia="Arial" w:cs="Arial"/>
          <w:b w:val="1"/>
          <w:bCs w:val="1"/>
          <w:i w:val="0"/>
          <w:iCs w:val="0"/>
          <w:caps w:val="0"/>
          <w:smallCaps w:val="0"/>
          <w:noProof w:val="0"/>
          <w:color w:val="1F4E79"/>
          <w:sz w:val="36"/>
          <w:szCs w:val="36"/>
          <w:lang w:val="en-US"/>
        </w:rPr>
      </w:pPr>
    </w:p>
    <w:p xmlns:wp14="http://schemas.microsoft.com/office/word/2010/wordml" w:rsidP="2374F0F8" w14:paraId="052382AE" wp14:textId="20F5078A">
      <w:pPr>
        <w:pStyle w:val="Heading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240"/>
        <w:ind/>
        <w:rPr>
          <w:rFonts w:ascii="Arial" w:hAnsi="Arial" w:eastAsia="Arial" w:cs="Arial"/>
          <w:b w:val="1"/>
          <w:bCs w:val="1"/>
          <w:i w:val="0"/>
          <w:iCs w:val="0"/>
          <w:caps w:val="0"/>
          <w:smallCaps w:val="0"/>
          <w:noProof w:val="0"/>
          <w:color w:val="1F4E79"/>
          <w:sz w:val="36"/>
          <w:szCs w:val="36"/>
          <w:lang w:val="en-US"/>
        </w:rPr>
      </w:pPr>
      <w:r w:rsidRPr="2374F0F8" w:rsidR="54B80A92">
        <w:rPr>
          <w:rFonts w:ascii="Arial" w:hAnsi="Arial" w:eastAsia="Arial" w:cs="Arial"/>
          <w:b w:val="1"/>
          <w:bCs w:val="1"/>
          <w:i w:val="0"/>
          <w:iCs w:val="0"/>
          <w:caps w:val="0"/>
          <w:smallCaps w:val="0"/>
          <w:noProof w:val="0"/>
          <w:color w:val="1F4E79"/>
          <w:sz w:val="36"/>
          <w:szCs w:val="36"/>
          <w:lang w:val="en-US"/>
        </w:rPr>
        <w:t>15. Academic References</w:t>
      </w:r>
    </w:p>
    <w:p xmlns:wp14="http://schemas.microsoft.com/office/word/2010/wordml" w:rsidP="2374F0F8" w14:paraId="67F8584D" wp14:textId="33A7C376">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 xml:space="preserve">Department for Transport (2021) </w:t>
      </w:r>
      <w:r w:rsidRPr="2374F0F8" w:rsidR="54B80A92">
        <w:rPr>
          <w:rFonts w:ascii="Arial" w:hAnsi="Arial" w:eastAsia="Arial" w:cs="Arial"/>
          <w:b w:val="0"/>
          <w:bCs w:val="0"/>
          <w:i w:val="1"/>
          <w:iCs w:val="1"/>
          <w:caps w:val="0"/>
          <w:smallCaps w:val="0"/>
          <w:noProof w:val="0"/>
          <w:color w:val="222222"/>
          <w:sz w:val="22"/>
          <w:szCs w:val="22"/>
          <w:lang w:val="en-US"/>
        </w:rPr>
        <w:t>Decarbonising Transport: A Better, Greener Britain</w:t>
      </w:r>
      <w:r w:rsidRPr="2374F0F8" w:rsidR="54B80A92">
        <w:rPr>
          <w:rFonts w:ascii="Arial" w:hAnsi="Arial" w:eastAsia="Arial" w:cs="Arial"/>
          <w:b w:val="0"/>
          <w:bCs w:val="0"/>
          <w:i w:val="0"/>
          <w:iCs w:val="0"/>
          <w:caps w:val="0"/>
          <w:smallCaps w:val="0"/>
          <w:noProof w:val="0"/>
          <w:color w:val="222222"/>
          <w:sz w:val="22"/>
          <w:szCs w:val="22"/>
          <w:lang w:val="en-US"/>
        </w:rPr>
        <w:t>. London: HM Government.</w:t>
      </w:r>
    </w:p>
    <w:p xmlns:wp14="http://schemas.microsoft.com/office/word/2010/wordml" w:rsidP="2374F0F8" w14:paraId="3E63E81A" wp14:textId="5BA0575C">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 xml:space="preserve">Givoni, M. and Banister, D. (2010) </w:t>
      </w:r>
      <w:r w:rsidRPr="2374F0F8" w:rsidR="54B80A92">
        <w:rPr>
          <w:rFonts w:ascii="Arial" w:hAnsi="Arial" w:eastAsia="Arial" w:cs="Arial"/>
          <w:b w:val="0"/>
          <w:bCs w:val="0"/>
          <w:i w:val="1"/>
          <w:iCs w:val="1"/>
          <w:caps w:val="0"/>
          <w:smallCaps w:val="0"/>
          <w:noProof w:val="0"/>
          <w:color w:val="222222"/>
          <w:sz w:val="22"/>
          <w:szCs w:val="22"/>
          <w:lang w:val="en-US"/>
        </w:rPr>
        <w:t>Integrated Transport: From Policy to Practice</w:t>
      </w:r>
      <w:r w:rsidRPr="2374F0F8" w:rsidR="54B80A92">
        <w:rPr>
          <w:rFonts w:ascii="Arial" w:hAnsi="Arial" w:eastAsia="Arial" w:cs="Arial"/>
          <w:b w:val="0"/>
          <w:bCs w:val="0"/>
          <w:i w:val="0"/>
          <w:iCs w:val="0"/>
          <w:caps w:val="0"/>
          <w:smallCaps w:val="0"/>
          <w:noProof w:val="0"/>
          <w:color w:val="222222"/>
          <w:sz w:val="22"/>
          <w:szCs w:val="22"/>
          <w:lang w:val="en-US"/>
        </w:rPr>
        <w:t>. London: Routledge.</w:t>
      </w:r>
    </w:p>
    <w:p xmlns:wp14="http://schemas.microsoft.com/office/word/2010/wordml" w:rsidP="2374F0F8" w14:paraId="2B2F8DA4" wp14:textId="7FEEE5FF">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 xml:space="preserve">Hickman, R. and Banister, D. (2014) </w:t>
      </w:r>
      <w:r w:rsidRPr="2374F0F8" w:rsidR="54B80A92">
        <w:rPr>
          <w:rFonts w:ascii="Arial" w:hAnsi="Arial" w:eastAsia="Arial" w:cs="Arial"/>
          <w:b w:val="0"/>
          <w:bCs w:val="0"/>
          <w:i w:val="1"/>
          <w:iCs w:val="1"/>
          <w:caps w:val="0"/>
          <w:smallCaps w:val="0"/>
          <w:noProof w:val="0"/>
          <w:color w:val="222222"/>
          <w:sz w:val="22"/>
          <w:szCs w:val="22"/>
          <w:lang w:val="en-US"/>
        </w:rPr>
        <w:t>Transport, Climate Change and the City</w:t>
      </w:r>
      <w:r w:rsidRPr="2374F0F8" w:rsidR="54B80A92">
        <w:rPr>
          <w:rFonts w:ascii="Arial" w:hAnsi="Arial" w:eastAsia="Arial" w:cs="Arial"/>
          <w:b w:val="0"/>
          <w:bCs w:val="0"/>
          <w:i w:val="0"/>
          <w:iCs w:val="0"/>
          <w:caps w:val="0"/>
          <w:smallCaps w:val="0"/>
          <w:noProof w:val="0"/>
          <w:color w:val="222222"/>
          <w:sz w:val="22"/>
          <w:szCs w:val="22"/>
          <w:lang w:val="en-US"/>
        </w:rPr>
        <w:t>. London: Routledge.</w:t>
      </w:r>
    </w:p>
    <w:p xmlns:wp14="http://schemas.microsoft.com/office/word/2010/wordml" w:rsidP="2374F0F8" w14:paraId="3C1D3F32" wp14:textId="13EFC5D9">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 xml:space="preserve">Institution of Civil Engineers (2020) </w:t>
      </w:r>
      <w:r w:rsidRPr="2374F0F8" w:rsidR="54B80A92">
        <w:rPr>
          <w:rFonts w:ascii="Arial" w:hAnsi="Arial" w:eastAsia="Arial" w:cs="Arial"/>
          <w:b w:val="0"/>
          <w:bCs w:val="0"/>
          <w:i w:val="1"/>
          <w:iCs w:val="1"/>
          <w:caps w:val="0"/>
          <w:smallCaps w:val="0"/>
          <w:noProof w:val="0"/>
          <w:color w:val="222222"/>
          <w:sz w:val="22"/>
          <w:szCs w:val="22"/>
          <w:lang w:val="en-US"/>
        </w:rPr>
        <w:t>Low-Carbon Infrastructure: A Framework for Strategic Asset Management</w:t>
      </w:r>
      <w:r w:rsidRPr="2374F0F8" w:rsidR="54B80A92">
        <w:rPr>
          <w:rFonts w:ascii="Arial" w:hAnsi="Arial" w:eastAsia="Arial" w:cs="Arial"/>
          <w:b w:val="0"/>
          <w:bCs w:val="0"/>
          <w:i w:val="0"/>
          <w:iCs w:val="0"/>
          <w:caps w:val="0"/>
          <w:smallCaps w:val="0"/>
          <w:noProof w:val="0"/>
          <w:color w:val="222222"/>
          <w:sz w:val="22"/>
          <w:szCs w:val="22"/>
          <w:lang w:val="en-US"/>
        </w:rPr>
        <w:t>. London: ICE Publishing.</w:t>
      </w:r>
    </w:p>
    <w:p xmlns:wp14="http://schemas.microsoft.com/office/word/2010/wordml" w:rsidP="2374F0F8" w14:paraId="29D57866" wp14:textId="6665CAF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 xml:space="preserve">Kerzner, H. (2017) </w:t>
      </w:r>
      <w:r w:rsidRPr="2374F0F8" w:rsidR="54B80A92">
        <w:rPr>
          <w:rFonts w:ascii="Arial" w:hAnsi="Arial" w:eastAsia="Arial" w:cs="Arial"/>
          <w:b w:val="0"/>
          <w:bCs w:val="0"/>
          <w:i w:val="1"/>
          <w:iCs w:val="1"/>
          <w:caps w:val="0"/>
          <w:smallCaps w:val="0"/>
          <w:noProof w:val="0"/>
          <w:color w:val="222222"/>
          <w:sz w:val="22"/>
          <w:szCs w:val="22"/>
          <w:lang w:val="en-US"/>
        </w:rPr>
        <w:t>Project Management: A Systems Approach to Planning, Scheduling, and Controlling</w:t>
      </w:r>
      <w:r w:rsidRPr="2374F0F8" w:rsidR="54B80A92">
        <w:rPr>
          <w:rFonts w:ascii="Arial" w:hAnsi="Arial" w:eastAsia="Arial" w:cs="Arial"/>
          <w:b w:val="0"/>
          <w:bCs w:val="0"/>
          <w:i w:val="0"/>
          <w:iCs w:val="0"/>
          <w:caps w:val="0"/>
          <w:smallCaps w:val="0"/>
          <w:noProof w:val="0"/>
          <w:color w:val="222222"/>
          <w:sz w:val="22"/>
          <w:szCs w:val="22"/>
          <w:lang w:val="en-US"/>
        </w:rPr>
        <w:t>. 12th edn. Hoboken: Wiley.</w:t>
      </w:r>
    </w:p>
    <w:p xmlns:wp14="http://schemas.microsoft.com/office/word/2010/wordml" w:rsidP="2374F0F8" w14:paraId="24042B02" wp14:textId="21314154">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 xml:space="preserve">National Infrastructure Commission (2023) </w:t>
      </w:r>
      <w:r w:rsidRPr="2374F0F8" w:rsidR="54B80A92">
        <w:rPr>
          <w:rFonts w:ascii="Arial" w:hAnsi="Arial" w:eastAsia="Arial" w:cs="Arial"/>
          <w:b w:val="0"/>
          <w:bCs w:val="0"/>
          <w:i w:val="1"/>
          <w:iCs w:val="1"/>
          <w:caps w:val="0"/>
          <w:smallCaps w:val="0"/>
          <w:noProof w:val="0"/>
          <w:color w:val="222222"/>
          <w:sz w:val="22"/>
          <w:szCs w:val="22"/>
          <w:lang w:val="en-US"/>
        </w:rPr>
        <w:t>Second National Infrastructure Assessment</w:t>
      </w:r>
      <w:r w:rsidRPr="2374F0F8" w:rsidR="54B80A92">
        <w:rPr>
          <w:rFonts w:ascii="Arial" w:hAnsi="Arial" w:eastAsia="Arial" w:cs="Arial"/>
          <w:b w:val="0"/>
          <w:bCs w:val="0"/>
          <w:i w:val="0"/>
          <w:iCs w:val="0"/>
          <w:caps w:val="0"/>
          <w:smallCaps w:val="0"/>
          <w:noProof w:val="0"/>
          <w:color w:val="222222"/>
          <w:sz w:val="22"/>
          <w:szCs w:val="22"/>
          <w:lang w:val="en-US"/>
        </w:rPr>
        <w:t>. London: NIC.</w:t>
      </w:r>
    </w:p>
    <w:p xmlns:wp14="http://schemas.microsoft.com/office/word/2010/wordml" w:rsidP="2374F0F8" w14:paraId="5048DAA1" wp14:textId="5F5C3C7B">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 xml:space="preserve">Project Management Institute (PMI) (2021) </w:t>
      </w:r>
      <w:r w:rsidRPr="2374F0F8" w:rsidR="54B80A92">
        <w:rPr>
          <w:rFonts w:ascii="Arial" w:hAnsi="Arial" w:eastAsia="Arial" w:cs="Arial"/>
          <w:b w:val="0"/>
          <w:bCs w:val="0"/>
          <w:i w:val="1"/>
          <w:iCs w:val="1"/>
          <w:caps w:val="0"/>
          <w:smallCaps w:val="0"/>
          <w:noProof w:val="0"/>
          <w:color w:val="222222"/>
          <w:sz w:val="22"/>
          <w:szCs w:val="22"/>
          <w:lang w:val="en-US"/>
        </w:rPr>
        <w:t>A Guide to the Project Management Body of Knowledge (PMBOK Guide)</w:t>
      </w:r>
      <w:r w:rsidRPr="2374F0F8" w:rsidR="54B80A92">
        <w:rPr>
          <w:rFonts w:ascii="Arial" w:hAnsi="Arial" w:eastAsia="Arial" w:cs="Arial"/>
          <w:b w:val="0"/>
          <w:bCs w:val="0"/>
          <w:i w:val="0"/>
          <w:iCs w:val="0"/>
          <w:caps w:val="0"/>
          <w:smallCaps w:val="0"/>
          <w:noProof w:val="0"/>
          <w:color w:val="222222"/>
          <w:sz w:val="22"/>
          <w:szCs w:val="22"/>
          <w:lang w:val="en-US"/>
        </w:rPr>
        <w:t>. 7th edn. Newtown Square: Project Management Institute.</w:t>
      </w:r>
    </w:p>
    <w:p xmlns:wp14="http://schemas.microsoft.com/office/word/2010/wordml" w:rsidP="2374F0F8" w14:paraId="062E60CD" wp14:textId="49F8C2B9">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 xml:space="preserve">UNEP (2022) </w:t>
      </w:r>
      <w:r w:rsidRPr="2374F0F8" w:rsidR="54B80A92">
        <w:rPr>
          <w:rFonts w:ascii="Arial" w:hAnsi="Arial" w:eastAsia="Arial" w:cs="Arial"/>
          <w:b w:val="0"/>
          <w:bCs w:val="0"/>
          <w:i w:val="1"/>
          <w:iCs w:val="1"/>
          <w:caps w:val="0"/>
          <w:smallCaps w:val="0"/>
          <w:noProof w:val="0"/>
          <w:color w:val="222222"/>
          <w:sz w:val="22"/>
          <w:szCs w:val="22"/>
          <w:lang w:val="en-US"/>
        </w:rPr>
        <w:t>Global Status Report for Buildings and Construction</w:t>
      </w:r>
      <w:r w:rsidRPr="2374F0F8" w:rsidR="54B80A92">
        <w:rPr>
          <w:rFonts w:ascii="Arial" w:hAnsi="Arial" w:eastAsia="Arial" w:cs="Arial"/>
          <w:b w:val="0"/>
          <w:bCs w:val="0"/>
          <w:i w:val="0"/>
          <w:iCs w:val="0"/>
          <w:caps w:val="0"/>
          <w:smallCaps w:val="0"/>
          <w:noProof w:val="0"/>
          <w:color w:val="222222"/>
          <w:sz w:val="22"/>
          <w:szCs w:val="22"/>
          <w:lang w:val="en-US"/>
        </w:rPr>
        <w:t>. Nairobi: United Nations Environment Programme.</w:t>
      </w:r>
    </w:p>
    <w:p xmlns:wp14="http://schemas.microsoft.com/office/word/2010/wordml" w:rsidP="2374F0F8" w14:paraId="10039D60" wp14:textId="1421E21D">
      <w:pPr>
        <w:pBdr>
          <w:top w:val="nil" w:color="FF000000" w:sz="0" w:space="0"/>
          <w:left w:val="nil" w:color="FF000000" w:sz="0" w:space="0"/>
          <w:bottom w:val="nil" w:color="FF000000" w:sz="0" w:space="0"/>
          <w:right w:val="nil" w:color="FF000000" w:sz="0" w:space="0"/>
          <w:between w:val="nil" w:color="FF000000" w:sz="0" w:space="0"/>
        </w:pBdr>
        <w:shd w:val="clear" w:color="auto" w:fill="auto"/>
        <w:spacing w:after="120"/>
        <w:ind/>
        <w:jc w:val="both"/>
        <w:rPr>
          <w:rFonts w:ascii="Arial" w:hAnsi="Arial" w:eastAsia="Arial" w:cs="Arial"/>
          <w:b w:val="0"/>
          <w:bCs w:val="0"/>
          <w:i w:val="0"/>
          <w:iCs w:val="0"/>
          <w:caps w:val="0"/>
          <w:smallCaps w:val="0"/>
          <w:noProof w:val="0"/>
          <w:color w:val="222222"/>
          <w:sz w:val="22"/>
          <w:szCs w:val="22"/>
          <w:lang w:val="en-US"/>
        </w:rPr>
      </w:pPr>
      <w:r w:rsidRPr="2374F0F8" w:rsidR="54B80A92">
        <w:rPr>
          <w:rFonts w:ascii="Arial" w:hAnsi="Arial" w:eastAsia="Arial" w:cs="Arial"/>
          <w:b w:val="0"/>
          <w:bCs w:val="0"/>
          <w:i w:val="0"/>
          <w:iCs w:val="0"/>
          <w:caps w:val="0"/>
          <w:smallCaps w:val="0"/>
          <w:noProof w:val="0"/>
          <w:color w:val="222222"/>
          <w:sz w:val="22"/>
          <w:szCs w:val="22"/>
          <w:lang w:val="en-US"/>
        </w:rPr>
        <w:t xml:space="preserve">World Green Building Council (2019) </w:t>
      </w:r>
      <w:r w:rsidRPr="2374F0F8" w:rsidR="54B80A92">
        <w:rPr>
          <w:rFonts w:ascii="Arial" w:hAnsi="Arial" w:eastAsia="Arial" w:cs="Arial"/>
          <w:b w:val="0"/>
          <w:bCs w:val="0"/>
          <w:i w:val="1"/>
          <w:iCs w:val="1"/>
          <w:caps w:val="0"/>
          <w:smallCaps w:val="0"/>
          <w:noProof w:val="0"/>
          <w:color w:val="222222"/>
          <w:sz w:val="22"/>
          <w:szCs w:val="22"/>
          <w:lang w:val="en-US"/>
        </w:rPr>
        <w:t>Bringing Embodied Carbon Upfront</w:t>
      </w:r>
      <w:r w:rsidRPr="2374F0F8" w:rsidR="54B80A92">
        <w:rPr>
          <w:rFonts w:ascii="Arial" w:hAnsi="Arial" w:eastAsia="Arial" w:cs="Arial"/>
          <w:b w:val="0"/>
          <w:bCs w:val="0"/>
          <w:i w:val="0"/>
          <w:iCs w:val="0"/>
          <w:caps w:val="0"/>
          <w:smallCaps w:val="0"/>
          <w:noProof w:val="0"/>
          <w:color w:val="222222"/>
          <w:sz w:val="22"/>
          <w:szCs w:val="22"/>
          <w:lang w:val="en-US"/>
        </w:rPr>
        <w:t>. London: WGBC.</w:t>
      </w:r>
    </w:p>
    <w:p xmlns:wp14="http://schemas.microsoft.com/office/word/2010/wordml" w14:paraId="555FA613" wp14:textId="1283602A">
      <w:pPr>
        <w:spacing w:after="80"/>
        <w:ind w:left="360" w:hanging="360"/>
      </w:pPr>
    </w:p>
    <w:sectPr w:rsidRPr="0006063C" w:rsidR="00FC693F" w:rsidSect="0003461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jQwNjzhp" int2:invalidationBookmarkName="" int2:hashCode="itfSHHGwSbcAO6" int2:id="YfTxQpIr">
      <int2:state int2:type="style" int2:value="Rejected"/>
    </int2:bookmark>
  </int2:observations>
  <int2:intelligenceSetting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25">
    <w:nsid w:val="4cd2d4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17c6fa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7748ed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284da58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3f208c7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38824fc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666a6bed"/>
    <w:multiLevelType xmlns:w="http://schemas.openxmlformats.org/wordprocessingml/2006/main" w:val="hybridMultilevel"/>
    <w:lvl xmlns:w="http://schemas.openxmlformats.org/wordprocessingml/2006/main" w:ilvl="0">
      <w:start w:val="1"/>
      <w:numFmt w:val="bullet"/>
      <w:lvlText w:val="●"/>
      <w:lvlJc w:val="left"/>
      <w:pPr>
        <w:ind w:left="40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03b7f38"/>
    <w:multiLevelType xmlns:w="http://schemas.openxmlformats.org/wordprocessingml/2006/main" w:val="hybridMultilevel"/>
    <w:lvl xmlns:w="http://schemas.openxmlformats.org/wordprocessingml/2006/main" w:ilvl="0">
      <w:start w:val="1"/>
      <w:numFmt w:val="bullet"/>
      <w:lvlText w:val="●"/>
      <w:lvlJc w:val="left"/>
      <w:pPr>
        <w:ind w:left="40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15e576b"/>
    <w:multiLevelType xmlns:w="http://schemas.openxmlformats.org/wordprocessingml/2006/main" w:val="hybridMultilevel"/>
    <w:lvl xmlns:w="http://schemas.openxmlformats.org/wordprocessingml/2006/main" w:ilvl="0">
      <w:start w:val="1"/>
      <w:numFmt w:val="bullet"/>
      <w:lvlText w:val="●"/>
      <w:lvlJc w:val="left"/>
      <w:pPr>
        <w:ind w:left="40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8b317eb"/>
    <w:multiLevelType xmlns:w="http://schemas.openxmlformats.org/wordprocessingml/2006/main" w:val="hybridMultilevel"/>
    <w:lvl xmlns:w="http://schemas.openxmlformats.org/wordprocessingml/2006/main" w:ilvl="0">
      <w:start w:val="1"/>
      <w:numFmt w:val="bullet"/>
      <w:lvlText w:val="●"/>
      <w:lvlJc w:val="left"/>
      <w:pPr>
        <w:ind w:left="40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5e9df25"/>
    <w:multiLevelType xmlns:w="http://schemas.openxmlformats.org/wordprocessingml/2006/main" w:val="hybridMultilevel"/>
    <w:lvl xmlns:w="http://schemas.openxmlformats.org/wordprocessingml/2006/main" w:ilvl="0">
      <w:start w:val="1"/>
      <w:numFmt w:val="bullet"/>
      <w:lvlText w:val="●"/>
      <w:lvlJc w:val="left"/>
      <w:pPr>
        <w:ind w:left="40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dc4978f"/>
    <w:multiLevelType xmlns:w="http://schemas.openxmlformats.org/wordprocessingml/2006/main" w:val="hybridMultilevel"/>
    <w:lvl xmlns:w="http://schemas.openxmlformats.org/wordprocessingml/2006/main" w:ilvl="0">
      <w:start w:val="1"/>
      <w:numFmt w:val="bullet"/>
      <w:lvlText w:val="●"/>
      <w:lvlJc w:val="left"/>
      <w:pPr>
        <w:ind w:left="40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06d3093"/>
    <w:multiLevelType xmlns:w="http://schemas.openxmlformats.org/wordprocessingml/2006/main" w:val="hybridMultilevel"/>
    <w:lvl xmlns:w="http://schemas.openxmlformats.org/wordprocessingml/2006/main" w:ilvl="0">
      <w:start w:val="1"/>
      <w:numFmt w:val="bullet"/>
      <w:lvlText w:val="●"/>
      <w:lvlJc w:val="left"/>
      <w:pPr>
        <w:ind w:left="40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cb16956"/>
    <w:multiLevelType xmlns:w="http://schemas.openxmlformats.org/wordprocessingml/2006/main" w:val="hybridMultilevel"/>
    <w:lvl xmlns:w="http://schemas.openxmlformats.org/wordprocessingml/2006/main" w:ilvl="0">
      <w:start w:val="1"/>
      <w:numFmt w:val="bullet"/>
      <w:lvlText w:val="●"/>
      <w:lvlJc w:val="left"/>
      <w:pPr>
        <w:ind w:left="40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f68bb02"/>
    <w:multiLevelType xmlns:w="http://schemas.openxmlformats.org/wordprocessingml/2006/main" w:val="hybridMultilevel"/>
    <w:lvl xmlns:w="http://schemas.openxmlformats.org/wordprocessingml/2006/main" w:ilvl="0">
      <w:start w:val="1"/>
      <w:numFmt w:val="bullet"/>
      <w:lvlText w:val="●"/>
      <w:lvlJc w:val="left"/>
      <w:pPr>
        <w:ind w:left="40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e874b2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b3b0f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2163DB5"/>
    <w:rsid w:val="02DDD288"/>
    <w:rsid w:val="02DDD288"/>
    <w:rsid w:val="04E32D3E"/>
    <w:rsid w:val="08B38377"/>
    <w:rsid w:val="0A43AD71"/>
    <w:rsid w:val="0AB4A520"/>
    <w:rsid w:val="0B122A9C"/>
    <w:rsid w:val="0B781FFF"/>
    <w:rsid w:val="0B8E82DA"/>
    <w:rsid w:val="0DE76254"/>
    <w:rsid w:val="0DE76254"/>
    <w:rsid w:val="0E566939"/>
    <w:rsid w:val="0E566939"/>
    <w:rsid w:val="0EBD9C20"/>
    <w:rsid w:val="106C1BE0"/>
    <w:rsid w:val="109D0F6D"/>
    <w:rsid w:val="123B6F86"/>
    <w:rsid w:val="15839DE2"/>
    <w:rsid w:val="17F28F42"/>
    <w:rsid w:val="191C5208"/>
    <w:rsid w:val="191C5208"/>
    <w:rsid w:val="19C38928"/>
    <w:rsid w:val="1C486234"/>
    <w:rsid w:val="1F7E1B14"/>
    <w:rsid w:val="202063BB"/>
    <w:rsid w:val="2097C41E"/>
    <w:rsid w:val="20CD5796"/>
    <w:rsid w:val="20CD5796"/>
    <w:rsid w:val="21189ECE"/>
    <w:rsid w:val="2144E0C1"/>
    <w:rsid w:val="21901B53"/>
    <w:rsid w:val="2374F0F8"/>
    <w:rsid w:val="23B14307"/>
    <w:rsid w:val="23D271FF"/>
    <w:rsid w:val="2715A07E"/>
    <w:rsid w:val="28D0F423"/>
    <w:rsid w:val="2CB1BDA6"/>
    <w:rsid w:val="2D1AEA56"/>
    <w:rsid w:val="2D6765FA"/>
    <w:rsid w:val="2F780E9B"/>
    <w:rsid w:val="2F780E9B"/>
    <w:rsid w:val="30545885"/>
    <w:rsid w:val="30C7697F"/>
    <w:rsid w:val="3119C9AB"/>
    <w:rsid w:val="33785430"/>
    <w:rsid w:val="33785430"/>
    <w:rsid w:val="34293E17"/>
    <w:rsid w:val="34293E17"/>
    <w:rsid w:val="37D14920"/>
    <w:rsid w:val="39D5B9BE"/>
    <w:rsid w:val="3F0A4FCA"/>
    <w:rsid w:val="3F0A4FCA"/>
    <w:rsid w:val="3F5B6D56"/>
    <w:rsid w:val="400762A5"/>
    <w:rsid w:val="4155EF2D"/>
    <w:rsid w:val="4155EF2D"/>
    <w:rsid w:val="419256E4"/>
    <w:rsid w:val="438CCF03"/>
    <w:rsid w:val="446752EE"/>
    <w:rsid w:val="447AB831"/>
    <w:rsid w:val="447AB831"/>
    <w:rsid w:val="44A43C8B"/>
    <w:rsid w:val="462B7B39"/>
    <w:rsid w:val="48D592EB"/>
    <w:rsid w:val="49014832"/>
    <w:rsid w:val="4C73B9FC"/>
    <w:rsid w:val="4D906A47"/>
    <w:rsid w:val="4D906A47"/>
    <w:rsid w:val="51DCCC5E"/>
    <w:rsid w:val="51DCCC5E"/>
    <w:rsid w:val="530F6557"/>
    <w:rsid w:val="54B80A92"/>
    <w:rsid w:val="5777208D"/>
    <w:rsid w:val="58086BC3"/>
    <w:rsid w:val="58179CE2"/>
    <w:rsid w:val="587D5046"/>
    <w:rsid w:val="58A22CF6"/>
    <w:rsid w:val="59846BEA"/>
    <w:rsid w:val="5A730D65"/>
    <w:rsid w:val="5BB62860"/>
    <w:rsid w:val="5BB62860"/>
    <w:rsid w:val="5D162B7B"/>
    <w:rsid w:val="5EA83261"/>
    <w:rsid w:val="60378008"/>
    <w:rsid w:val="6077BC61"/>
    <w:rsid w:val="60AAF044"/>
    <w:rsid w:val="62E8219D"/>
    <w:rsid w:val="6321644E"/>
    <w:rsid w:val="6321644E"/>
    <w:rsid w:val="634040C4"/>
    <w:rsid w:val="63B02819"/>
    <w:rsid w:val="653CE09C"/>
    <w:rsid w:val="66A91FAE"/>
    <w:rsid w:val="66AD82D7"/>
    <w:rsid w:val="67013D3B"/>
    <w:rsid w:val="67A0E288"/>
    <w:rsid w:val="6A8C9C8E"/>
    <w:rsid w:val="6C6F1E81"/>
    <w:rsid w:val="6D01BB9C"/>
    <w:rsid w:val="6F60BB3C"/>
    <w:rsid w:val="6F84D50D"/>
    <w:rsid w:val="6F84D50D"/>
    <w:rsid w:val="7087537F"/>
    <w:rsid w:val="715DF3C6"/>
    <w:rsid w:val="72531DA1"/>
    <w:rsid w:val="72531DA1"/>
    <w:rsid w:val="72753F8E"/>
    <w:rsid w:val="785ACED9"/>
    <w:rsid w:val="787D284A"/>
    <w:rsid w:val="78B537E3"/>
    <w:rsid w:val="79AF9D57"/>
    <w:rsid w:val="79B605E2"/>
    <w:rsid w:val="79B605E2"/>
    <w:rsid w:val="7A307845"/>
    <w:rsid w:val="7A8AC4F8"/>
    <w:rsid w:val="7B517F1C"/>
    <w:rsid w:val="7C339091"/>
    <w:rsid w:val="7D7021A9"/>
    <w:rsid w:val="7E0D747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8999D187-AA6C-4877-BA59-E18F729975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rPr>
      <w:rFonts w:ascii="Arial" w:hAnsi="Arial"/>
      <w:color w:val="222222"/>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image" Target="/media/image.png" Id="rId1985589579" /><Relationship Type="http://schemas.openxmlformats.org/officeDocument/2006/relationships/image" Target="/media/image2.png" Id="rId625214045" /><Relationship Type="http://schemas.microsoft.com/office/2020/10/relationships/intelligence" Target="intelligence2.xml" Id="R7c654a395f1f48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Jair Alexander Possu Alegria (2412977)</lastModifiedBy>
  <revision>3</revision>
  <dcterms:created xsi:type="dcterms:W3CDTF">2013-12-23T23:15:00.0000000Z</dcterms:created>
  <dcterms:modified xsi:type="dcterms:W3CDTF">2026-08-07T10:29:32.8907894Z</dcterms:modified>
  <category/>
</coreProperties>
</file>