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77DEE3" w14:textId="77777777" w:rsidR="00197C4A" w:rsidRPr="00671804" w:rsidRDefault="00197C4A" w:rsidP="00BF79A6">
      <w:pPr>
        <w:spacing w:line="360" w:lineRule="auto"/>
        <w:jc w:val="center"/>
        <w:rPr>
          <w:rFonts w:ascii="Times New Roman" w:hAnsi="Times New Roman" w:cs="Times New Roman"/>
          <w:sz w:val="24"/>
          <w:szCs w:val="24"/>
        </w:rPr>
      </w:pPr>
    </w:p>
    <w:p w14:paraId="1488EEB3" w14:textId="77777777" w:rsidR="00AD62BE" w:rsidRPr="00AD62BE" w:rsidRDefault="00AD62BE" w:rsidP="00AD62BE">
      <w:pPr>
        <w:spacing w:line="256" w:lineRule="auto"/>
        <w:rPr>
          <w:rFonts w:ascii="Calibri" w:eastAsia="Calibri" w:hAnsi="Calibri" w:cs="Arial"/>
          <w:szCs w:val="24"/>
        </w:rPr>
      </w:pPr>
      <w:r w:rsidRPr="00AD62BE">
        <w:rPr>
          <w:rFonts w:ascii="Calibri Light" w:eastAsia="Times New Roman" w:hAnsi="Calibri Light" w:cs="Times New Roman"/>
          <w:b/>
          <w:noProof/>
          <w:spacing w:val="-10"/>
          <w:kern w:val="28"/>
          <w:sz w:val="56"/>
          <w:szCs w:val="56"/>
        </w:rPr>
        <w:drawing>
          <wp:inline distT="0" distB="0" distL="0" distR="0" wp14:anchorId="6F1E29DC" wp14:editId="7338C512">
            <wp:extent cx="3714750" cy="1228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643A0651" w14:textId="77777777" w:rsidR="00AD62BE" w:rsidRPr="00AD62BE" w:rsidRDefault="00AD62BE" w:rsidP="00AD62BE">
      <w:pPr>
        <w:spacing w:line="256" w:lineRule="auto"/>
        <w:rPr>
          <w:rFonts w:ascii="Calibri" w:eastAsia="Calibri" w:hAnsi="Calibri" w:cs="Arial"/>
          <w:szCs w:val="24"/>
        </w:rPr>
      </w:pPr>
    </w:p>
    <w:p w14:paraId="21114198" w14:textId="77777777" w:rsidR="00AD62BE" w:rsidRPr="00AD62BE" w:rsidRDefault="00AD62BE" w:rsidP="00AD62BE">
      <w:pPr>
        <w:spacing w:line="256" w:lineRule="auto"/>
        <w:rPr>
          <w:rFonts w:ascii="Calibri" w:eastAsia="Calibri" w:hAnsi="Calibri" w:cs="Arial"/>
          <w:szCs w:val="24"/>
        </w:rPr>
      </w:pPr>
    </w:p>
    <w:p w14:paraId="2E0E3AD6" w14:textId="77777777" w:rsidR="00AD62BE" w:rsidRPr="00AD62BE" w:rsidRDefault="00AD62BE" w:rsidP="00AD62BE">
      <w:pPr>
        <w:spacing w:line="256" w:lineRule="auto"/>
        <w:rPr>
          <w:rFonts w:ascii="Calibri" w:eastAsia="Calibri" w:hAnsi="Calibri" w:cs="Arial"/>
          <w:szCs w:val="24"/>
        </w:rPr>
      </w:pPr>
    </w:p>
    <w:p w14:paraId="72F3FCAE" w14:textId="77777777" w:rsidR="00AD62BE" w:rsidRPr="00AD62BE" w:rsidRDefault="00AD62BE" w:rsidP="00AD62BE">
      <w:pPr>
        <w:spacing w:line="360" w:lineRule="auto"/>
        <w:jc w:val="center"/>
        <w:rPr>
          <w:rFonts w:ascii="Arial" w:eastAsia="Calibri" w:hAnsi="Arial" w:cs="Arial"/>
          <w:b/>
          <w:sz w:val="48"/>
          <w:szCs w:val="48"/>
          <w:lang w:val="en-US"/>
        </w:rPr>
      </w:pPr>
    </w:p>
    <w:p w14:paraId="1531905B" w14:textId="77777777" w:rsidR="00AD62BE" w:rsidRPr="00AD62BE" w:rsidRDefault="00AD62BE" w:rsidP="00AD62BE">
      <w:pPr>
        <w:spacing w:line="360" w:lineRule="auto"/>
        <w:jc w:val="center"/>
        <w:rPr>
          <w:rFonts w:ascii="Arial" w:eastAsia="Calibri" w:hAnsi="Arial" w:cs="Arial"/>
          <w:b/>
          <w:sz w:val="48"/>
          <w:szCs w:val="48"/>
          <w:lang w:val="en-US"/>
        </w:rPr>
      </w:pPr>
    </w:p>
    <w:p w14:paraId="297BB153" w14:textId="668E63E0" w:rsidR="00AD62BE" w:rsidRPr="00AD62BE" w:rsidRDefault="00AD62BE" w:rsidP="00AD62BE">
      <w:pPr>
        <w:spacing w:line="360" w:lineRule="auto"/>
        <w:jc w:val="center"/>
        <w:rPr>
          <w:rFonts w:ascii="Arial" w:eastAsia="Calibri" w:hAnsi="Arial" w:cs="Arial"/>
          <w:b/>
          <w:sz w:val="48"/>
          <w:szCs w:val="48"/>
          <w:lang w:val="en-US"/>
        </w:rPr>
      </w:pPr>
      <w:r w:rsidRPr="00AD62BE">
        <w:rPr>
          <w:rFonts w:ascii="Arial" w:eastAsia="Calibri" w:hAnsi="Arial" w:cs="Arial"/>
          <w:b/>
          <w:sz w:val="48"/>
          <w:szCs w:val="48"/>
          <w:lang w:val="en-US"/>
        </w:rPr>
        <w:t xml:space="preserve">ASSIGNMENT </w:t>
      </w:r>
      <w:r w:rsidR="004D733E">
        <w:rPr>
          <w:rFonts w:ascii="Arial" w:eastAsia="Calibri" w:hAnsi="Arial" w:cs="Arial"/>
          <w:b/>
          <w:sz w:val="48"/>
          <w:szCs w:val="48"/>
          <w:lang w:val="en-US"/>
        </w:rPr>
        <w:t>1</w:t>
      </w:r>
    </w:p>
    <w:p w14:paraId="094E94D2" w14:textId="77777777" w:rsidR="00AD62BE" w:rsidRPr="00AD62BE" w:rsidRDefault="00AD62BE" w:rsidP="00AD62BE">
      <w:pPr>
        <w:spacing w:line="360" w:lineRule="auto"/>
        <w:rPr>
          <w:rFonts w:ascii="Calibri" w:eastAsia="Calibri" w:hAnsi="Calibri" w:cs="Times New Roman"/>
          <w:sz w:val="28"/>
          <w:szCs w:val="28"/>
          <w:lang w:val="en-US"/>
        </w:rPr>
      </w:pPr>
    </w:p>
    <w:p w14:paraId="26B003B3" w14:textId="77777777" w:rsidR="00AD62BE" w:rsidRPr="00AD62BE" w:rsidRDefault="00AD62BE" w:rsidP="00AD62BE">
      <w:pPr>
        <w:spacing w:line="360" w:lineRule="auto"/>
        <w:rPr>
          <w:rFonts w:ascii="Calibri" w:eastAsia="Calibri" w:hAnsi="Calibri" w:cs="Times New Roman"/>
          <w:sz w:val="28"/>
          <w:szCs w:val="28"/>
          <w:lang w:val="en-US"/>
        </w:rPr>
      </w:pPr>
    </w:p>
    <w:p w14:paraId="498AA179" w14:textId="77777777" w:rsidR="00AD62BE" w:rsidRPr="00AD62BE" w:rsidRDefault="00AD62BE" w:rsidP="00AD62BE">
      <w:pPr>
        <w:spacing w:line="360" w:lineRule="auto"/>
        <w:rPr>
          <w:rFonts w:ascii="Calibri" w:eastAsia="Calibri" w:hAnsi="Calibri" w:cs="Times New Roman"/>
          <w:sz w:val="28"/>
          <w:szCs w:val="28"/>
          <w:lang w:val="en-US"/>
        </w:rPr>
      </w:pPr>
    </w:p>
    <w:p w14:paraId="1D0EB1DE" w14:textId="77777777" w:rsidR="00AD62BE" w:rsidRPr="00AD62BE" w:rsidRDefault="00AD62BE" w:rsidP="00AD62BE">
      <w:pPr>
        <w:spacing w:line="360" w:lineRule="auto"/>
        <w:rPr>
          <w:rFonts w:ascii="Arial" w:eastAsia="Calibri" w:hAnsi="Arial" w:cs="Arial"/>
          <w:sz w:val="28"/>
          <w:szCs w:val="28"/>
          <w:lang w:val="en-US"/>
        </w:rPr>
      </w:pPr>
    </w:p>
    <w:p w14:paraId="57CA6292" w14:textId="30D0DEF1" w:rsidR="00AD62BE" w:rsidRPr="00AD62BE" w:rsidRDefault="00AD62BE" w:rsidP="00AD62BE">
      <w:pPr>
        <w:spacing w:line="360" w:lineRule="auto"/>
        <w:rPr>
          <w:rFonts w:ascii="Arial" w:eastAsia="Calibri" w:hAnsi="Arial" w:cs="Arial"/>
          <w:sz w:val="28"/>
          <w:szCs w:val="28"/>
          <w:lang w:val="en-US"/>
        </w:rPr>
      </w:pPr>
      <w:r w:rsidRPr="00AD62BE">
        <w:rPr>
          <w:rFonts w:ascii="Arial" w:eastAsia="Calibri" w:hAnsi="Arial" w:cs="Arial"/>
          <w:sz w:val="28"/>
          <w:szCs w:val="28"/>
          <w:lang w:val="en-US"/>
        </w:rPr>
        <w:t xml:space="preserve">NAME: </w:t>
      </w:r>
      <w:r w:rsidR="004D733E">
        <w:rPr>
          <w:rFonts w:ascii="Arial" w:eastAsia="Calibri" w:hAnsi="Arial" w:cs="Arial"/>
          <w:sz w:val="28"/>
          <w:szCs w:val="28"/>
          <w:lang w:val="en-US"/>
        </w:rPr>
        <w:t>IVAYLO DOSEV</w:t>
      </w:r>
    </w:p>
    <w:p w14:paraId="0A345B7A" w14:textId="00B2E9AF" w:rsidR="00AD62BE" w:rsidRPr="00AD62BE" w:rsidRDefault="00AD62BE" w:rsidP="00AD62BE">
      <w:pPr>
        <w:spacing w:line="360" w:lineRule="auto"/>
        <w:rPr>
          <w:rFonts w:ascii="Arial" w:eastAsia="Calibri" w:hAnsi="Arial" w:cs="Arial"/>
          <w:sz w:val="28"/>
          <w:szCs w:val="28"/>
          <w:lang w:val="en-US"/>
        </w:rPr>
      </w:pPr>
      <w:r w:rsidRPr="00AD62BE">
        <w:rPr>
          <w:rFonts w:ascii="Arial" w:eastAsia="Calibri" w:hAnsi="Arial" w:cs="Arial"/>
          <w:sz w:val="28"/>
          <w:szCs w:val="28"/>
          <w:lang w:val="en-US"/>
        </w:rPr>
        <w:t xml:space="preserve">NUMBER: </w:t>
      </w:r>
      <w:r w:rsidR="00BB2224">
        <w:rPr>
          <w:rFonts w:ascii="Arial" w:eastAsia="Calibri" w:hAnsi="Arial" w:cs="Arial"/>
          <w:sz w:val="28"/>
          <w:szCs w:val="28"/>
          <w:lang w:val="en-US"/>
        </w:rPr>
        <w:t>1909471</w:t>
      </w:r>
    </w:p>
    <w:p w14:paraId="2A1101A7" w14:textId="188CA9DC" w:rsidR="00300C33" w:rsidRPr="00AD62BE" w:rsidRDefault="00AD62BE" w:rsidP="00300C33">
      <w:pPr>
        <w:spacing w:line="360" w:lineRule="auto"/>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AD62BE">
        <w:rPr>
          <w:rFonts w:ascii="Arial" w:eastAsia="Calibri" w:hAnsi="Arial" w:cs="Arial"/>
          <w:sz w:val="28"/>
          <w:szCs w:val="28"/>
          <w:lang w:val="en-US"/>
        </w:rPr>
        <w:t xml:space="preserve">SUBJECT: </w:t>
      </w:r>
      <w:r w:rsidR="00300C33">
        <w:rPr>
          <w:rFonts w:ascii="Arial" w:eastAsia="Calibri" w:hAnsi="Arial" w:cs="Arial"/>
          <w:sz w:val="28"/>
          <w:szCs w:val="28"/>
          <w:lang w:val="en-US"/>
        </w:rPr>
        <w:t>UNDERSTANDING AND ENGAGING CUSTOMER EXPERIENCE</w:t>
      </w:r>
      <w:r w:rsidR="00C63709">
        <w:rPr>
          <w:rFonts w:ascii="Arial" w:eastAsia="Calibri" w:hAnsi="Arial" w:cs="Arial"/>
          <w:sz w:val="28"/>
          <w:szCs w:val="28"/>
          <w:lang w:val="en-US"/>
        </w:rPr>
        <w:t xml:space="preserve"> BMSW5103</w:t>
      </w:r>
    </w:p>
    <w:p w14:paraId="008DCEE7" w14:textId="02240B87" w:rsidR="00BB2224" w:rsidRPr="00AD62BE" w:rsidRDefault="00BB2224" w:rsidP="00AD62BE">
      <w:pPr>
        <w:spacing w:line="360" w:lineRule="auto"/>
        <w:rPr>
          <w:rFonts w:ascii="Arial" w:eastAsia="Calibri" w:hAnsi="Arial" w:cs="Arial"/>
          <w:color w:val="000000"/>
          <w:sz w:val="28"/>
          <w:szCs w:val="28"/>
          <w:lang w:val="en-US"/>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Pr>
          <w:rFonts w:ascii="Arial" w:eastAsia="Calibri" w:hAnsi="Arial" w:cs="Arial"/>
          <w:sz w:val="28"/>
          <w:szCs w:val="28"/>
          <w:lang w:val="en-US"/>
        </w:rPr>
        <w:t xml:space="preserve">TOPIC: </w:t>
      </w:r>
      <w:r w:rsidR="002C79E7">
        <w:rPr>
          <w:rFonts w:ascii="Arial" w:eastAsia="Calibri" w:hAnsi="Arial" w:cs="Arial"/>
          <w:sz w:val="28"/>
          <w:szCs w:val="28"/>
          <w:lang w:val="en-US"/>
        </w:rPr>
        <w:t>ORGA</w:t>
      </w:r>
      <w:r w:rsidR="00223153">
        <w:rPr>
          <w:rFonts w:ascii="Arial" w:eastAsia="Calibri" w:hAnsi="Arial" w:cs="Arial"/>
          <w:sz w:val="28"/>
          <w:szCs w:val="28"/>
          <w:lang w:val="en-US"/>
        </w:rPr>
        <w:t>NI</w:t>
      </w:r>
      <w:r w:rsidR="00C5223B">
        <w:rPr>
          <w:rFonts w:ascii="Arial" w:eastAsia="Calibri" w:hAnsi="Arial" w:cs="Arial"/>
          <w:sz w:val="28"/>
          <w:szCs w:val="28"/>
          <w:lang w:val="en-US"/>
        </w:rPr>
        <w:t>SATIONS QUALI</w:t>
      </w:r>
      <w:r w:rsidR="007638D0">
        <w:rPr>
          <w:rFonts w:ascii="Arial" w:eastAsia="Calibri" w:hAnsi="Arial" w:cs="Arial"/>
          <w:sz w:val="28"/>
          <w:szCs w:val="28"/>
          <w:lang w:val="en-US"/>
        </w:rPr>
        <w:t xml:space="preserve">TY SYSTEM AND </w:t>
      </w:r>
      <w:r w:rsidR="005824F5">
        <w:rPr>
          <w:rFonts w:ascii="Arial" w:eastAsia="Calibri" w:hAnsi="Arial" w:cs="Arial"/>
          <w:sz w:val="28"/>
          <w:szCs w:val="28"/>
          <w:lang w:val="en-US"/>
        </w:rPr>
        <w:t>CUSTOMER RELATIONSHIP</w:t>
      </w:r>
      <w:r w:rsidR="00E37B5E">
        <w:rPr>
          <w:rFonts w:ascii="Arial" w:eastAsia="Calibri" w:hAnsi="Arial" w:cs="Arial"/>
          <w:sz w:val="28"/>
          <w:szCs w:val="28"/>
          <w:lang w:val="en-US"/>
        </w:rPr>
        <w:t xml:space="preserve"> MANAGEMENT </w:t>
      </w:r>
    </w:p>
    <w:p w14:paraId="0F313DD7" w14:textId="090F25B9" w:rsidR="00AD62BE" w:rsidRPr="00AD62BE" w:rsidRDefault="00AD62BE" w:rsidP="00AD62BE">
      <w:pPr>
        <w:spacing w:line="360" w:lineRule="auto"/>
        <w:rPr>
          <w:rFonts w:ascii="Arial" w:eastAsia="Calibri" w:hAnsi="Arial" w:cs="Arial"/>
          <w:sz w:val="28"/>
          <w:szCs w:val="28"/>
          <w:lang w:val="en-US"/>
        </w:rPr>
      </w:pPr>
      <w:r w:rsidRPr="00AD62BE">
        <w:rPr>
          <w:rFonts w:ascii="Arial" w:eastAsia="Calibri" w:hAnsi="Arial" w:cs="Arial"/>
          <w:sz w:val="28"/>
          <w:szCs w:val="28"/>
          <w:lang w:val="en-US"/>
        </w:rPr>
        <w:t xml:space="preserve">LECTURER: </w:t>
      </w:r>
      <w:r w:rsidR="00572CA2">
        <w:rPr>
          <w:rFonts w:ascii="Arial" w:eastAsia="Calibri" w:hAnsi="Arial" w:cs="Arial"/>
          <w:sz w:val="28"/>
          <w:szCs w:val="28"/>
          <w:lang w:val="en-US"/>
        </w:rPr>
        <w:t>MOLLY JACK</w:t>
      </w:r>
    </w:p>
    <w:p w14:paraId="5530C3C1" w14:textId="625A9B4E" w:rsidR="00197C4A" w:rsidRPr="004D733E" w:rsidRDefault="00197C4A" w:rsidP="004D733E">
      <w:pPr>
        <w:spacing w:line="360" w:lineRule="auto"/>
        <w:jc w:val="both"/>
        <w:rPr>
          <w:rFonts w:ascii="Arial" w:hAnsi="Arial" w:cs="Arial"/>
          <w:sz w:val="24"/>
          <w:szCs w:val="24"/>
        </w:rPr>
      </w:pPr>
      <w:r w:rsidRPr="00A31525">
        <w:rPr>
          <w:rFonts w:ascii="Arial" w:hAnsi="Arial" w:cs="Arial"/>
          <w:sz w:val="24"/>
          <w:szCs w:val="24"/>
        </w:rPr>
        <w:br w:type="page"/>
      </w:r>
      <w:bookmarkStart w:id="0" w:name="_Toc57215403"/>
      <w:r w:rsidRPr="00A31525">
        <w:rPr>
          <w:rFonts w:ascii="Arial" w:hAnsi="Arial" w:cs="Arial"/>
          <w:b/>
          <w:bCs/>
          <w:sz w:val="24"/>
          <w:szCs w:val="24"/>
        </w:rPr>
        <w:lastRenderedPageBreak/>
        <w:t>Executive Summary</w:t>
      </w:r>
      <w:bookmarkEnd w:id="0"/>
    </w:p>
    <w:p w14:paraId="4AD2AA37" w14:textId="77777777" w:rsidR="00197C4A" w:rsidRPr="00A31525" w:rsidRDefault="00197C4A" w:rsidP="00A31525">
      <w:pPr>
        <w:spacing w:line="360" w:lineRule="auto"/>
        <w:jc w:val="both"/>
        <w:rPr>
          <w:rFonts w:ascii="Arial" w:hAnsi="Arial" w:cs="Arial"/>
          <w:sz w:val="24"/>
          <w:szCs w:val="24"/>
        </w:rPr>
      </w:pPr>
      <w:r w:rsidRPr="00A31525">
        <w:rPr>
          <w:rFonts w:ascii="Arial" w:hAnsi="Arial" w:cs="Arial"/>
          <w:sz w:val="24"/>
          <w:szCs w:val="24"/>
        </w:rPr>
        <w:t>In recent times, customer relationship has emerged as an essential success element in business. The trend has been heightened with the rise of the covid-19 pandemic, whereby businesses seek new ways of engaging their clients in a personalized way. This report will use the PWC professional accounting firm to explain how firms use marketing theories to enhance their operations during this covid-19 pandemic time. The report will also explain the systems that support the organization's professional processes using PWC as a case study. Finally, the report will evaluate the benefits and disadvantages of developing and maintaining good customer relationships.</w:t>
      </w:r>
    </w:p>
    <w:p w14:paraId="0ED8D76D" w14:textId="77777777" w:rsidR="00197C4A" w:rsidRPr="00A31525" w:rsidRDefault="00197C4A" w:rsidP="00A31525">
      <w:pPr>
        <w:spacing w:line="360" w:lineRule="auto"/>
        <w:jc w:val="both"/>
        <w:rPr>
          <w:rFonts w:ascii="Arial" w:hAnsi="Arial" w:cs="Arial"/>
          <w:sz w:val="24"/>
          <w:szCs w:val="24"/>
        </w:rPr>
      </w:pPr>
      <w:r w:rsidRPr="00A31525">
        <w:rPr>
          <w:rFonts w:ascii="Arial" w:hAnsi="Arial" w:cs="Arial"/>
          <w:sz w:val="24"/>
          <w:szCs w:val="24"/>
        </w:rPr>
        <w:br w:type="page"/>
      </w:r>
    </w:p>
    <w:sdt>
      <w:sdtPr>
        <w:rPr>
          <w:rFonts w:ascii="Arial" w:eastAsiaTheme="minorHAnsi" w:hAnsi="Arial" w:cs="Arial"/>
          <w:color w:val="auto"/>
          <w:sz w:val="24"/>
          <w:szCs w:val="24"/>
          <w:lang w:val="en-GB"/>
        </w:rPr>
        <w:id w:val="1851442270"/>
        <w:docPartObj>
          <w:docPartGallery w:val="Table of Contents"/>
          <w:docPartUnique/>
        </w:docPartObj>
      </w:sdtPr>
      <w:sdtEndPr>
        <w:rPr>
          <w:b/>
          <w:bCs/>
          <w:noProof/>
        </w:rPr>
      </w:sdtEndPr>
      <w:sdtContent>
        <w:p w14:paraId="2FCD231A" w14:textId="77777777" w:rsidR="00197C4A" w:rsidRPr="00604360" w:rsidRDefault="00197C4A" w:rsidP="00604360">
          <w:pPr>
            <w:pStyle w:val="TOCHeading"/>
            <w:spacing w:line="360" w:lineRule="auto"/>
            <w:jc w:val="center"/>
            <w:rPr>
              <w:rFonts w:ascii="Arial" w:hAnsi="Arial" w:cs="Arial"/>
              <w:b/>
              <w:bCs/>
              <w:color w:val="auto"/>
              <w:sz w:val="28"/>
              <w:szCs w:val="28"/>
            </w:rPr>
          </w:pPr>
          <w:r w:rsidRPr="00604360">
            <w:rPr>
              <w:rFonts w:ascii="Arial" w:hAnsi="Arial" w:cs="Arial"/>
              <w:b/>
              <w:bCs/>
              <w:color w:val="auto"/>
              <w:sz w:val="28"/>
              <w:szCs w:val="28"/>
            </w:rPr>
            <w:t>Table of Contents</w:t>
          </w:r>
        </w:p>
        <w:p w14:paraId="549812D0" w14:textId="0963B127" w:rsidR="00BA39DC" w:rsidRPr="00A31525" w:rsidRDefault="00197C4A" w:rsidP="00A31525">
          <w:pPr>
            <w:pStyle w:val="TOC1"/>
            <w:tabs>
              <w:tab w:val="right" w:leader="dot" w:pos="9016"/>
            </w:tabs>
            <w:spacing w:line="360" w:lineRule="auto"/>
            <w:jc w:val="both"/>
            <w:rPr>
              <w:rFonts w:ascii="Arial" w:eastAsiaTheme="minorEastAsia" w:hAnsi="Arial" w:cs="Arial"/>
              <w:noProof/>
              <w:sz w:val="24"/>
              <w:szCs w:val="24"/>
              <w:lang w:eastAsia="en-GB"/>
            </w:rPr>
          </w:pPr>
          <w:r w:rsidRPr="00A31525">
            <w:rPr>
              <w:rFonts w:ascii="Arial" w:hAnsi="Arial" w:cs="Arial"/>
              <w:sz w:val="24"/>
              <w:szCs w:val="24"/>
            </w:rPr>
            <w:fldChar w:fldCharType="begin"/>
          </w:r>
          <w:r w:rsidRPr="00A31525">
            <w:rPr>
              <w:rFonts w:ascii="Arial" w:hAnsi="Arial" w:cs="Arial"/>
              <w:sz w:val="24"/>
              <w:szCs w:val="24"/>
            </w:rPr>
            <w:instrText xml:space="preserve"> TOC \o "1-3" \h \z \u </w:instrText>
          </w:r>
          <w:r w:rsidRPr="00A31525">
            <w:rPr>
              <w:rFonts w:ascii="Arial" w:hAnsi="Arial" w:cs="Arial"/>
              <w:sz w:val="24"/>
              <w:szCs w:val="24"/>
            </w:rPr>
            <w:fldChar w:fldCharType="separate"/>
          </w:r>
          <w:hyperlink w:anchor="_Toc57215403" w:history="1">
            <w:r w:rsidR="00BA39DC" w:rsidRPr="00A31525">
              <w:rPr>
                <w:rStyle w:val="Hyperlink"/>
                <w:rFonts w:ascii="Arial" w:hAnsi="Arial" w:cs="Arial"/>
                <w:b/>
                <w:bCs/>
                <w:noProof/>
                <w:color w:val="auto"/>
                <w:sz w:val="24"/>
                <w:szCs w:val="24"/>
              </w:rPr>
              <w:t>Executive Summary</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_Toc57215403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2</w:t>
            </w:r>
            <w:r w:rsidR="00BA39DC" w:rsidRPr="00A31525">
              <w:rPr>
                <w:rFonts w:ascii="Arial" w:hAnsi="Arial" w:cs="Arial"/>
                <w:noProof/>
                <w:webHidden/>
                <w:sz w:val="24"/>
                <w:szCs w:val="24"/>
              </w:rPr>
              <w:fldChar w:fldCharType="end"/>
            </w:r>
          </w:hyperlink>
        </w:p>
        <w:p w14:paraId="69169EAF" w14:textId="4680C27A" w:rsidR="00BA39DC" w:rsidRPr="00A31525" w:rsidRDefault="00604360" w:rsidP="00A31525">
          <w:pPr>
            <w:pStyle w:val="TOC1"/>
            <w:tabs>
              <w:tab w:val="right" w:leader="dot" w:pos="9016"/>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1. </w:t>
          </w:r>
          <w:hyperlink w:anchor="_Toc57215404" w:history="1">
            <w:r w:rsidR="00BA39DC" w:rsidRPr="00A31525">
              <w:rPr>
                <w:rStyle w:val="Hyperlink"/>
                <w:rFonts w:ascii="Arial" w:hAnsi="Arial" w:cs="Arial"/>
                <w:b/>
                <w:bCs/>
                <w:noProof/>
                <w:color w:val="auto"/>
                <w:sz w:val="24"/>
                <w:szCs w:val="24"/>
              </w:rPr>
              <w:t>Introduction</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_Toc57215404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4</w:t>
            </w:r>
            <w:r w:rsidR="00BA39DC" w:rsidRPr="00A31525">
              <w:rPr>
                <w:rFonts w:ascii="Arial" w:hAnsi="Arial" w:cs="Arial"/>
                <w:noProof/>
                <w:webHidden/>
                <w:sz w:val="24"/>
                <w:szCs w:val="24"/>
              </w:rPr>
              <w:fldChar w:fldCharType="end"/>
            </w:r>
          </w:hyperlink>
        </w:p>
        <w:p w14:paraId="23D299B6" w14:textId="4D2756E8"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05" w:history="1">
            <w:r w:rsidR="00BA39DC" w:rsidRPr="00A31525">
              <w:rPr>
                <w:rStyle w:val="Hyperlink"/>
                <w:rFonts w:ascii="Arial" w:hAnsi="Arial" w:cs="Arial"/>
                <w:b/>
                <w:bCs/>
                <w:noProof/>
                <w:color w:val="auto"/>
                <w:sz w:val="24"/>
                <w:szCs w:val="24"/>
              </w:rPr>
              <w:t>Background of PricewaterhouseCoopers (PWC)</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_Toc57215405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4</w:t>
            </w:r>
            <w:r w:rsidR="00BA39DC" w:rsidRPr="00A31525">
              <w:rPr>
                <w:rFonts w:ascii="Arial" w:hAnsi="Arial" w:cs="Arial"/>
                <w:noProof/>
                <w:webHidden/>
                <w:sz w:val="24"/>
                <w:szCs w:val="24"/>
              </w:rPr>
              <w:fldChar w:fldCharType="end"/>
            </w:r>
          </w:hyperlink>
        </w:p>
        <w:p w14:paraId="615F9170" w14:textId="4412941C" w:rsidR="00BA39DC" w:rsidRPr="00A31525" w:rsidRDefault="00604360" w:rsidP="00A31525">
          <w:pPr>
            <w:pStyle w:val="TOC1"/>
            <w:tabs>
              <w:tab w:val="right" w:leader="dot" w:pos="9016"/>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2. </w:t>
          </w:r>
          <w:hyperlink w:anchor="_Toc57215406" w:history="1">
            <w:r w:rsidR="00BA39DC" w:rsidRPr="00A31525">
              <w:rPr>
                <w:rStyle w:val="Hyperlink"/>
                <w:rFonts w:ascii="Arial" w:hAnsi="Arial" w:cs="Arial"/>
                <w:b/>
                <w:bCs/>
                <w:noProof/>
                <w:color w:val="auto"/>
                <w:sz w:val="24"/>
                <w:szCs w:val="24"/>
              </w:rPr>
              <w:t>Marketing Theories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_Toc57215406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4</w:t>
            </w:r>
            <w:r w:rsidR="00BA39DC" w:rsidRPr="00A31525">
              <w:rPr>
                <w:rFonts w:ascii="Arial" w:hAnsi="Arial" w:cs="Arial"/>
                <w:noProof/>
                <w:webHidden/>
                <w:sz w:val="24"/>
                <w:szCs w:val="24"/>
              </w:rPr>
              <w:fldChar w:fldCharType="end"/>
            </w:r>
          </w:hyperlink>
        </w:p>
        <w:p w14:paraId="2A5B69FA" w14:textId="1AFAE179"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07" w:history="1">
            <w:r w:rsidR="00BA39DC" w:rsidRPr="00A31525">
              <w:rPr>
                <w:rStyle w:val="Hyperlink"/>
                <w:rFonts w:ascii="Arial" w:hAnsi="Arial" w:cs="Arial"/>
                <w:b/>
                <w:bCs/>
                <w:noProof/>
                <w:color w:val="auto"/>
                <w:sz w:val="24"/>
                <w:szCs w:val="24"/>
              </w:rPr>
              <w:t>Market Orientation Theory</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_Toc57215407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5</w:t>
            </w:r>
            <w:r w:rsidR="00BA39DC" w:rsidRPr="00A31525">
              <w:rPr>
                <w:rFonts w:ascii="Arial" w:hAnsi="Arial" w:cs="Arial"/>
                <w:noProof/>
                <w:webHidden/>
                <w:sz w:val="24"/>
                <w:szCs w:val="24"/>
              </w:rPr>
              <w:fldChar w:fldCharType="end"/>
            </w:r>
          </w:hyperlink>
        </w:p>
        <w:p w14:paraId="0FFD7211" w14:textId="7C2E4080"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08" w:history="1">
            <w:r w:rsidR="00BA39DC" w:rsidRPr="00A31525">
              <w:rPr>
                <w:rStyle w:val="Hyperlink"/>
                <w:rFonts w:ascii="Arial" w:hAnsi="Arial" w:cs="Arial"/>
                <w:b/>
                <w:bCs/>
                <w:noProof/>
                <w:color w:val="auto"/>
                <w:sz w:val="24"/>
                <w:szCs w:val="24"/>
              </w:rPr>
              <w:t>Consistency Theory</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_Toc57215408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5</w:t>
            </w:r>
            <w:r w:rsidR="00BA39DC" w:rsidRPr="00A31525">
              <w:rPr>
                <w:rFonts w:ascii="Arial" w:hAnsi="Arial" w:cs="Arial"/>
                <w:noProof/>
                <w:webHidden/>
                <w:sz w:val="24"/>
                <w:szCs w:val="24"/>
              </w:rPr>
              <w:fldChar w:fldCharType="end"/>
            </w:r>
          </w:hyperlink>
        </w:p>
        <w:p w14:paraId="090DAC47" w14:textId="3F040AA3"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09" w:history="1">
            <w:r w:rsidR="00BA39DC" w:rsidRPr="00A31525">
              <w:rPr>
                <w:rStyle w:val="Hyperlink"/>
                <w:rFonts w:ascii="Arial" w:hAnsi="Arial" w:cs="Arial"/>
                <w:b/>
                <w:bCs/>
                <w:noProof/>
                <w:color w:val="auto"/>
                <w:sz w:val="24"/>
                <w:szCs w:val="24"/>
              </w:rPr>
              <w:t>Maslow's Hierarchy of Needs Theory</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_Toc57215409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6</w:t>
            </w:r>
            <w:r w:rsidR="00BA39DC" w:rsidRPr="00A31525">
              <w:rPr>
                <w:rFonts w:ascii="Arial" w:hAnsi="Arial" w:cs="Arial"/>
                <w:noProof/>
                <w:webHidden/>
                <w:sz w:val="24"/>
                <w:szCs w:val="24"/>
              </w:rPr>
              <w:fldChar w:fldCharType="end"/>
            </w:r>
          </w:hyperlink>
        </w:p>
        <w:p w14:paraId="6C96D8D0" w14:textId="2C1F2B51" w:rsidR="00BA39DC" w:rsidRPr="00A31525" w:rsidRDefault="00604360" w:rsidP="00A31525">
          <w:pPr>
            <w:pStyle w:val="TOC1"/>
            <w:tabs>
              <w:tab w:val="right" w:leader="dot" w:pos="9016"/>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3. </w:t>
          </w:r>
          <w:hyperlink w:anchor="_Toc57215410" w:history="1">
            <w:r w:rsidR="00BA39DC" w:rsidRPr="00A31525">
              <w:rPr>
                <w:rStyle w:val="Hyperlink"/>
                <w:rFonts w:ascii="Arial" w:hAnsi="Arial" w:cs="Arial"/>
                <w:b/>
                <w:bCs/>
                <w:noProof/>
                <w:color w:val="auto"/>
                <w:sz w:val="24"/>
                <w:szCs w:val="24"/>
              </w:rPr>
              <w:t>Factors that Influence PWC Quality Systems and Controls for Customers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_Toc57215410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7</w:t>
            </w:r>
            <w:r w:rsidR="00BA39DC" w:rsidRPr="00A31525">
              <w:rPr>
                <w:rFonts w:ascii="Arial" w:hAnsi="Arial" w:cs="Arial"/>
                <w:noProof/>
                <w:webHidden/>
                <w:sz w:val="24"/>
                <w:szCs w:val="24"/>
              </w:rPr>
              <w:fldChar w:fldCharType="end"/>
            </w:r>
          </w:hyperlink>
        </w:p>
        <w:p w14:paraId="7208862A" w14:textId="689AB52B" w:rsidR="00BA39DC" w:rsidRPr="00A31525" w:rsidRDefault="00604360" w:rsidP="00A31525">
          <w:pPr>
            <w:pStyle w:val="TOC1"/>
            <w:tabs>
              <w:tab w:val="right" w:leader="dot" w:pos="9016"/>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4. </w:t>
          </w:r>
          <w:hyperlink w:anchor="_Toc57215411" w:history="1">
            <w:r w:rsidR="00BA39DC" w:rsidRPr="00A31525">
              <w:rPr>
                <w:rStyle w:val="Hyperlink"/>
                <w:rFonts w:ascii="Arial" w:hAnsi="Arial" w:cs="Arial"/>
                <w:b/>
                <w:bCs/>
                <w:noProof/>
                <w:color w:val="auto"/>
                <w:sz w:val="24"/>
                <w:szCs w:val="24"/>
              </w:rPr>
              <w:t>Systems that Support PricewaterhouseCoopers (PWC) quality Processes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_Toc57215411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10</w:t>
            </w:r>
            <w:r w:rsidR="00BA39DC" w:rsidRPr="00A31525">
              <w:rPr>
                <w:rFonts w:ascii="Arial" w:hAnsi="Arial" w:cs="Arial"/>
                <w:noProof/>
                <w:webHidden/>
                <w:sz w:val="24"/>
                <w:szCs w:val="24"/>
              </w:rPr>
              <w:fldChar w:fldCharType="end"/>
            </w:r>
          </w:hyperlink>
        </w:p>
        <w:p w14:paraId="4C0FFAF5" w14:textId="35F1801C"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12" w:history="1">
            <w:r w:rsidR="00BA39DC" w:rsidRPr="00A31525">
              <w:rPr>
                <w:rStyle w:val="Hyperlink"/>
                <w:rFonts w:ascii="Arial" w:hAnsi="Arial" w:cs="Arial"/>
                <w:b/>
                <w:bCs/>
                <w:noProof/>
                <w:color w:val="auto"/>
                <w:sz w:val="24"/>
                <w:szCs w:val="24"/>
              </w:rPr>
              <w:t>Audit Quality Inspections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_Toc57215412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10</w:t>
            </w:r>
            <w:r w:rsidR="00BA39DC" w:rsidRPr="00A31525">
              <w:rPr>
                <w:rFonts w:ascii="Arial" w:hAnsi="Arial" w:cs="Arial"/>
                <w:noProof/>
                <w:webHidden/>
                <w:sz w:val="24"/>
                <w:szCs w:val="24"/>
              </w:rPr>
              <w:fldChar w:fldCharType="end"/>
            </w:r>
          </w:hyperlink>
        </w:p>
        <w:p w14:paraId="1C1B7308" w14:textId="3868B979"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13" w:history="1">
            <w:r w:rsidR="00BA39DC" w:rsidRPr="00A31525">
              <w:rPr>
                <w:rStyle w:val="Hyperlink"/>
                <w:rFonts w:ascii="Arial" w:hAnsi="Arial" w:cs="Arial"/>
                <w:b/>
                <w:bCs/>
                <w:noProof/>
                <w:color w:val="auto"/>
                <w:sz w:val="24"/>
                <w:szCs w:val="24"/>
              </w:rPr>
              <w:t>Quality Culture</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_Toc57215413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11</w:t>
            </w:r>
            <w:r w:rsidR="00BA39DC" w:rsidRPr="00A31525">
              <w:rPr>
                <w:rFonts w:ascii="Arial" w:hAnsi="Arial" w:cs="Arial"/>
                <w:noProof/>
                <w:webHidden/>
                <w:sz w:val="24"/>
                <w:szCs w:val="24"/>
              </w:rPr>
              <w:fldChar w:fldCharType="end"/>
            </w:r>
          </w:hyperlink>
        </w:p>
        <w:p w14:paraId="6418AE34" w14:textId="111C927D"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14" w:history="1">
            <w:r w:rsidR="00BA39DC" w:rsidRPr="00A31525">
              <w:rPr>
                <w:rStyle w:val="Hyperlink"/>
                <w:rFonts w:ascii="Arial" w:hAnsi="Arial" w:cs="Arial"/>
                <w:b/>
                <w:bCs/>
                <w:noProof/>
                <w:color w:val="auto"/>
                <w:sz w:val="24"/>
                <w:szCs w:val="24"/>
              </w:rPr>
              <w:t>Technology</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_Toc57215414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12</w:t>
            </w:r>
            <w:r w:rsidR="00BA39DC" w:rsidRPr="00A31525">
              <w:rPr>
                <w:rFonts w:ascii="Arial" w:hAnsi="Arial" w:cs="Arial"/>
                <w:noProof/>
                <w:webHidden/>
                <w:sz w:val="24"/>
                <w:szCs w:val="24"/>
              </w:rPr>
              <w:fldChar w:fldCharType="end"/>
            </w:r>
          </w:hyperlink>
        </w:p>
        <w:p w14:paraId="21DFF8DA" w14:textId="375C2CA3"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15" w:history="1">
            <w:r w:rsidR="00BA39DC" w:rsidRPr="00A31525">
              <w:rPr>
                <w:rStyle w:val="Hyperlink"/>
                <w:rFonts w:ascii="Arial" w:hAnsi="Arial" w:cs="Arial"/>
                <w:b/>
                <w:bCs/>
                <w:noProof/>
                <w:color w:val="auto"/>
                <w:sz w:val="24"/>
                <w:szCs w:val="24"/>
              </w:rPr>
              <w:t>Monitoring and Evaluation (After Action Reviews)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_Toc57215415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13</w:t>
            </w:r>
            <w:r w:rsidR="00BA39DC" w:rsidRPr="00A31525">
              <w:rPr>
                <w:rFonts w:ascii="Arial" w:hAnsi="Arial" w:cs="Arial"/>
                <w:noProof/>
                <w:webHidden/>
                <w:sz w:val="24"/>
                <w:szCs w:val="24"/>
              </w:rPr>
              <w:fldChar w:fldCharType="end"/>
            </w:r>
          </w:hyperlink>
        </w:p>
        <w:p w14:paraId="285A959E" w14:textId="716BA78B" w:rsidR="00BA39DC" w:rsidRPr="00A31525" w:rsidRDefault="00604360" w:rsidP="00A31525">
          <w:pPr>
            <w:pStyle w:val="TOC1"/>
            <w:tabs>
              <w:tab w:val="right" w:leader="dot" w:pos="9016"/>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5. </w:t>
          </w:r>
          <w:hyperlink w:anchor="_Toc57215416" w:history="1">
            <w:r w:rsidR="00BA39DC" w:rsidRPr="00A31525">
              <w:rPr>
                <w:rStyle w:val="Hyperlink"/>
                <w:rFonts w:ascii="Arial" w:hAnsi="Arial" w:cs="Arial"/>
                <w:b/>
                <w:bCs/>
                <w:noProof/>
                <w:color w:val="auto"/>
                <w:sz w:val="24"/>
                <w:szCs w:val="24"/>
              </w:rPr>
              <w:t>Benefits and Challenges of Developing and Maintaining Good Customer Relationships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_Toc57215416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14</w:t>
            </w:r>
            <w:r w:rsidR="00BA39DC" w:rsidRPr="00A31525">
              <w:rPr>
                <w:rFonts w:ascii="Arial" w:hAnsi="Arial" w:cs="Arial"/>
                <w:noProof/>
                <w:webHidden/>
                <w:sz w:val="24"/>
                <w:szCs w:val="24"/>
              </w:rPr>
              <w:fldChar w:fldCharType="end"/>
            </w:r>
          </w:hyperlink>
        </w:p>
        <w:p w14:paraId="362AA0BF" w14:textId="66F3032A"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17" w:history="1">
            <w:r w:rsidR="00BA39DC" w:rsidRPr="00A31525">
              <w:rPr>
                <w:rStyle w:val="Hyperlink"/>
                <w:rFonts w:ascii="Arial" w:hAnsi="Arial" w:cs="Arial"/>
                <w:b/>
                <w:bCs/>
                <w:noProof/>
                <w:color w:val="auto"/>
                <w:sz w:val="24"/>
                <w:szCs w:val="24"/>
              </w:rPr>
              <w:t>Benefits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_Toc57215417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14</w:t>
            </w:r>
            <w:r w:rsidR="00BA39DC" w:rsidRPr="00A31525">
              <w:rPr>
                <w:rFonts w:ascii="Arial" w:hAnsi="Arial" w:cs="Arial"/>
                <w:noProof/>
                <w:webHidden/>
                <w:sz w:val="24"/>
                <w:szCs w:val="24"/>
              </w:rPr>
              <w:fldChar w:fldCharType="end"/>
            </w:r>
          </w:hyperlink>
        </w:p>
        <w:p w14:paraId="1C658AC4" w14:textId="31ABD925" w:rsidR="00BA39DC" w:rsidRPr="00A31525" w:rsidRDefault="00F91044" w:rsidP="00A31525">
          <w:pPr>
            <w:pStyle w:val="TOC2"/>
            <w:tabs>
              <w:tab w:val="right" w:leader="dot" w:pos="9016"/>
            </w:tabs>
            <w:spacing w:line="360" w:lineRule="auto"/>
            <w:jc w:val="both"/>
            <w:rPr>
              <w:rFonts w:ascii="Arial" w:eastAsiaTheme="minorEastAsia" w:hAnsi="Arial" w:cs="Arial"/>
              <w:noProof/>
              <w:sz w:val="24"/>
              <w:szCs w:val="24"/>
              <w:lang w:eastAsia="en-GB"/>
            </w:rPr>
          </w:pPr>
          <w:hyperlink w:anchor="_Toc57215418" w:history="1">
            <w:r w:rsidR="00BA39DC" w:rsidRPr="00A31525">
              <w:rPr>
                <w:rStyle w:val="Hyperlink"/>
                <w:rFonts w:ascii="Arial" w:hAnsi="Arial" w:cs="Arial"/>
                <w:b/>
                <w:bCs/>
                <w:noProof/>
                <w:color w:val="auto"/>
                <w:sz w:val="24"/>
                <w:szCs w:val="24"/>
              </w:rPr>
              <w:t>Disadvantages</w:t>
            </w:r>
            <w:r w:rsidR="00BA39DC" w:rsidRPr="00A31525">
              <w:rPr>
                <w:rFonts w:ascii="Arial" w:hAnsi="Arial" w:cs="Arial"/>
                <w:noProof/>
                <w:webHidden/>
                <w:sz w:val="24"/>
                <w:szCs w:val="24"/>
              </w:rPr>
              <w:tab/>
            </w:r>
            <w:r w:rsidR="00AD62BE">
              <w:rPr>
                <w:rFonts w:ascii="Arial" w:hAnsi="Arial" w:cs="Arial"/>
                <w:noProof/>
                <w:webHidden/>
                <w:sz w:val="24"/>
                <w:szCs w:val="24"/>
              </w:rPr>
              <w:t>15</w:t>
            </w:r>
          </w:hyperlink>
        </w:p>
        <w:p w14:paraId="7E8950B3" w14:textId="6B118429" w:rsidR="00BA39DC" w:rsidRPr="00A31525" w:rsidRDefault="00604360" w:rsidP="00A31525">
          <w:pPr>
            <w:pStyle w:val="TOC2"/>
            <w:tabs>
              <w:tab w:val="right" w:leader="dot" w:pos="9016"/>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6. </w:t>
          </w:r>
          <w:hyperlink w:anchor="_Toc57215419" w:history="1">
            <w:r w:rsidR="00BA39DC" w:rsidRPr="00A31525">
              <w:rPr>
                <w:rStyle w:val="Hyperlink"/>
                <w:rFonts w:ascii="Arial" w:hAnsi="Arial" w:cs="Arial"/>
                <w:b/>
                <w:bCs/>
                <w:noProof/>
                <w:color w:val="auto"/>
                <w:sz w:val="24"/>
                <w:szCs w:val="24"/>
              </w:rPr>
              <w:t>Recommendation for Developing and Maintaining Good Customer Relationships</w:t>
            </w:r>
            <w:r w:rsidR="00BA39DC" w:rsidRPr="00A31525">
              <w:rPr>
                <w:rFonts w:ascii="Arial" w:hAnsi="Arial" w:cs="Arial"/>
                <w:noProof/>
                <w:webHidden/>
                <w:sz w:val="24"/>
                <w:szCs w:val="24"/>
              </w:rPr>
              <w:tab/>
            </w:r>
            <w:r w:rsidR="00BA39DC" w:rsidRPr="00A31525">
              <w:rPr>
                <w:rFonts w:ascii="Arial" w:hAnsi="Arial" w:cs="Arial"/>
                <w:noProof/>
                <w:webHidden/>
                <w:sz w:val="24"/>
                <w:szCs w:val="24"/>
              </w:rPr>
              <w:fldChar w:fldCharType="begin"/>
            </w:r>
            <w:r w:rsidR="00BA39DC" w:rsidRPr="00A31525">
              <w:rPr>
                <w:rFonts w:ascii="Arial" w:hAnsi="Arial" w:cs="Arial"/>
                <w:noProof/>
                <w:webHidden/>
                <w:sz w:val="24"/>
                <w:szCs w:val="24"/>
              </w:rPr>
              <w:instrText xml:space="preserve"> PAGEREF _Toc57215419 \h </w:instrText>
            </w:r>
            <w:r w:rsidR="00BA39DC" w:rsidRPr="00A31525">
              <w:rPr>
                <w:rFonts w:ascii="Arial" w:hAnsi="Arial" w:cs="Arial"/>
                <w:noProof/>
                <w:webHidden/>
                <w:sz w:val="24"/>
                <w:szCs w:val="24"/>
              </w:rPr>
            </w:r>
            <w:r w:rsidR="00BA39DC" w:rsidRPr="00A31525">
              <w:rPr>
                <w:rFonts w:ascii="Arial" w:hAnsi="Arial" w:cs="Arial"/>
                <w:noProof/>
                <w:webHidden/>
                <w:sz w:val="24"/>
                <w:szCs w:val="24"/>
              </w:rPr>
              <w:fldChar w:fldCharType="separate"/>
            </w:r>
            <w:r w:rsidR="00BA39DC" w:rsidRPr="00A31525">
              <w:rPr>
                <w:rFonts w:ascii="Arial" w:hAnsi="Arial" w:cs="Arial"/>
                <w:noProof/>
                <w:webHidden/>
                <w:sz w:val="24"/>
                <w:szCs w:val="24"/>
              </w:rPr>
              <w:t>15</w:t>
            </w:r>
            <w:r w:rsidR="00BA39DC" w:rsidRPr="00A31525">
              <w:rPr>
                <w:rFonts w:ascii="Arial" w:hAnsi="Arial" w:cs="Arial"/>
                <w:noProof/>
                <w:webHidden/>
                <w:sz w:val="24"/>
                <w:szCs w:val="24"/>
              </w:rPr>
              <w:fldChar w:fldCharType="end"/>
            </w:r>
          </w:hyperlink>
        </w:p>
        <w:p w14:paraId="74E9D883" w14:textId="06EE1D6D" w:rsidR="00BA39DC" w:rsidRPr="00A31525" w:rsidRDefault="00604360" w:rsidP="00A31525">
          <w:pPr>
            <w:pStyle w:val="TOC1"/>
            <w:tabs>
              <w:tab w:val="right" w:leader="dot" w:pos="9016"/>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7. </w:t>
          </w:r>
          <w:hyperlink w:anchor="_Toc57215420" w:history="1">
            <w:r w:rsidR="00BA39DC" w:rsidRPr="00A31525">
              <w:rPr>
                <w:rStyle w:val="Hyperlink"/>
                <w:rFonts w:ascii="Arial" w:hAnsi="Arial" w:cs="Arial"/>
                <w:b/>
                <w:bCs/>
                <w:noProof/>
                <w:color w:val="auto"/>
                <w:sz w:val="24"/>
                <w:szCs w:val="24"/>
              </w:rPr>
              <w:t>Conclusion</w:t>
            </w:r>
            <w:r w:rsidR="00BA39DC" w:rsidRPr="00A31525">
              <w:rPr>
                <w:rFonts w:ascii="Arial" w:hAnsi="Arial" w:cs="Arial"/>
                <w:noProof/>
                <w:webHidden/>
                <w:sz w:val="24"/>
                <w:szCs w:val="24"/>
              </w:rPr>
              <w:tab/>
            </w:r>
            <w:r w:rsidR="00AD62BE">
              <w:rPr>
                <w:rFonts w:ascii="Arial" w:hAnsi="Arial" w:cs="Arial"/>
                <w:noProof/>
                <w:webHidden/>
                <w:sz w:val="24"/>
                <w:szCs w:val="24"/>
              </w:rPr>
              <w:t>16</w:t>
            </w:r>
          </w:hyperlink>
        </w:p>
        <w:p w14:paraId="4A241299" w14:textId="1C8E5073" w:rsidR="00BA39DC" w:rsidRPr="00A31525" w:rsidRDefault="00F91044" w:rsidP="00A31525">
          <w:pPr>
            <w:pStyle w:val="TOC1"/>
            <w:tabs>
              <w:tab w:val="right" w:leader="dot" w:pos="9016"/>
            </w:tabs>
            <w:spacing w:line="360" w:lineRule="auto"/>
            <w:jc w:val="both"/>
            <w:rPr>
              <w:rFonts w:ascii="Arial" w:eastAsiaTheme="minorEastAsia" w:hAnsi="Arial" w:cs="Arial"/>
              <w:noProof/>
              <w:sz w:val="24"/>
              <w:szCs w:val="24"/>
              <w:lang w:eastAsia="en-GB"/>
            </w:rPr>
          </w:pPr>
          <w:hyperlink w:anchor="_Toc57215421" w:history="1">
            <w:r w:rsidR="00BA39DC" w:rsidRPr="00A31525">
              <w:rPr>
                <w:rStyle w:val="Hyperlink"/>
                <w:rFonts w:ascii="Arial" w:hAnsi="Arial" w:cs="Arial"/>
                <w:b/>
                <w:bCs/>
                <w:noProof/>
                <w:color w:val="auto"/>
                <w:sz w:val="24"/>
                <w:szCs w:val="24"/>
              </w:rPr>
              <w:t>References</w:t>
            </w:r>
            <w:r w:rsidR="00BA39DC" w:rsidRPr="00A31525">
              <w:rPr>
                <w:rFonts w:ascii="Arial" w:hAnsi="Arial" w:cs="Arial"/>
                <w:noProof/>
                <w:webHidden/>
                <w:sz w:val="24"/>
                <w:szCs w:val="24"/>
              </w:rPr>
              <w:tab/>
            </w:r>
            <w:r w:rsidR="00AD62BE">
              <w:rPr>
                <w:rFonts w:ascii="Arial" w:hAnsi="Arial" w:cs="Arial"/>
                <w:noProof/>
                <w:webHidden/>
                <w:sz w:val="24"/>
                <w:szCs w:val="24"/>
              </w:rPr>
              <w:t>17</w:t>
            </w:r>
          </w:hyperlink>
        </w:p>
        <w:p w14:paraId="4A6B8279" w14:textId="64EA5EE8" w:rsidR="00197C4A" w:rsidRPr="00A31525" w:rsidRDefault="00197C4A" w:rsidP="00A31525">
          <w:pPr>
            <w:spacing w:line="360" w:lineRule="auto"/>
            <w:jc w:val="both"/>
            <w:rPr>
              <w:rFonts w:ascii="Arial" w:hAnsi="Arial" w:cs="Arial"/>
              <w:sz w:val="24"/>
              <w:szCs w:val="24"/>
            </w:rPr>
          </w:pPr>
          <w:r w:rsidRPr="00A31525">
            <w:rPr>
              <w:rFonts w:ascii="Arial" w:hAnsi="Arial" w:cs="Arial"/>
              <w:b/>
              <w:bCs/>
              <w:noProof/>
              <w:sz w:val="24"/>
              <w:szCs w:val="24"/>
            </w:rPr>
            <w:fldChar w:fldCharType="end"/>
          </w:r>
        </w:p>
      </w:sdtContent>
    </w:sdt>
    <w:p w14:paraId="19794370" w14:textId="77777777" w:rsidR="00197C4A" w:rsidRPr="00A31525" w:rsidRDefault="00197C4A" w:rsidP="00A31525">
      <w:pPr>
        <w:spacing w:line="360" w:lineRule="auto"/>
        <w:jc w:val="both"/>
        <w:rPr>
          <w:rFonts w:ascii="Arial" w:hAnsi="Arial" w:cs="Arial"/>
          <w:sz w:val="24"/>
          <w:szCs w:val="24"/>
        </w:rPr>
      </w:pPr>
    </w:p>
    <w:p w14:paraId="5C1CCD3E" w14:textId="77777777" w:rsidR="00197C4A" w:rsidRPr="00A31525" w:rsidRDefault="00197C4A" w:rsidP="00A31525">
      <w:pPr>
        <w:spacing w:line="360" w:lineRule="auto"/>
        <w:jc w:val="both"/>
        <w:rPr>
          <w:rFonts w:ascii="Arial" w:hAnsi="Arial" w:cs="Arial"/>
          <w:sz w:val="24"/>
          <w:szCs w:val="24"/>
        </w:rPr>
      </w:pPr>
      <w:r w:rsidRPr="00A31525">
        <w:rPr>
          <w:rFonts w:ascii="Arial" w:hAnsi="Arial" w:cs="Arial"/>
          <w:sz w:val="24"/>
          <w:szCs w:val="24"/>
        </w:rPr>
        <w:br w:type="page"/>
      </w:r>
    </w:p>
    <w:p w14:paraId="57FAAE25" w14:textId="6E869143" w:rsidR="00197C4A" w:rsidRPr="00A31525" w:rsidRDefault="00197C4A" w:rsidP="00604360">
      <w:pPr>
        <w:pStyle w:val="Heading1"/>
        <w:numPr>
          <w:ilvl w:val="0"/>
          <w:numId w:val="2"/>
        </w:numPr>
        <w:spacing w:line="360" w:lineRule="auto"/>
        <w:jc w:val="both"/>
        <w:rPr>
          <w:rFonts w:ascii="Arial" w:hAnsi="Arial" w:cs="Arial"/>
          <w:b/>
          <w:bCs/>
          <w:color w:val="auto"/>
          <w:sz w:val="24"/>
          <w:szCs w:val="24"/>
        </w:rPr>
      </w:pPr>
      <w:bookmarkStart w:id="1" w:name="_Toc57215404"/>
      <w:r w:rsidRPr="00A31525">
        <w:rPr>
          <w:rFonts w:ascii="Arial" w:hAnsi="Arial" w:cs="Arial"/>
          <w:b/>
          <w:bCs/>
          <w:color w:val="auto"/>
          <w:sz w:val="24"/>
          <w:szCs w:val="24"/>
        </w:rPr>
        <w:lastRenderedPageBreak/>
        <w:t>Introduction</w:t>
      </w:r>
      <w:bookmarkEnd w:id="1"/>
    </w:p>
    <w:p w14:paraId="46F7AD7D" w14:textId="01B32919"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According to </w:t>
      </w:r>
      <w:r w:rsidR="00197C4A" w:rsidRPr="00A31525">
        <w:rPr>
          <w:rFonts w:ascii="Arial" w:hAnsi="Arial" w:cs="Arial"/>
          <w:sz w:val="24"/>
          <w:szCs w:val="24"/>
          <w:shd w:val="clear" w:color="auto" w:fill="FFFFFF"/>
        </w:rPr>
        <w:t xml:space="preserve">Lemonand and Verhoef (2016), </w:t>
      </w:r>
      <w:r w:rsidR="00197C4A" w:rsidRPr="00A31525">
        <w:rPr>
          <w:rFonts w:ascii="Arial" w:hAnsi="Arial" w:cs="Arial"/>
          <w:sz w:val="24"/>
          <w:szCs w:val="24"/>
        </w:rPr>
        <w:t>customer experience is the product of a relationship between an organization over a specified period. Through customer experience, customers form a perception about a business. The experience can be positive or negative, and in both cases, the experiences have significant effects on the organization's operations. This report is about understanding and engaging in customer experience. The work uses PricewaterhouseCoopers (PWC) professional firm uses marketing theories to explain the factors that influence PricewaterhouseCoopers (PWC) quality systems and control for customers at these difficult coronavirus pandemic times. Besides, the work also evaluates the systems that support PricewaterhouseCoopers (PWC's) quality processes.</w:t>
      </w:r>
    </w:p>
    <w:p w14:paraId="26C76B67"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2" w:name="_Toc57215405"/>
      <w:r w:rsidRPr="00A31525">
        <w:rPr>
          <w:rFonts w:ascii="Arial" w:hAnsi="Arial" w:cs="Arial"/>
          <w:b/>
          <w:bCs/>
          <w:color w:val="auto"/>
          <w:sz w:val="24"/>
          <w:szCs w:val="24"/>
        </w:rPr>
        <w:t>Background of PricewaterhouseCoopers (PWC)</w:t>
      </w:r>
      <w:bookmarkEnd w:id="2"/>
    </w:p>
    <w:p w14:paraId="4B7023D6" w14:textId="4D9A5878"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PWC is an assurance, tax, and advisory service firm started in 1998, although it has an accounting history that dates back to the 1800s. PWC has its headquarters in London, United Kingdom, and it was formed as a result of a merger between Price Waterhouse and Cooper &amp; Lybrand. After the merger, PWC evolved very first to become a global company. As of 2019, PWC had a massive presence in over 155 countries with more than 284,000 workers worldwide. Due to PWC's huge presence internationally, it is ranked as one of the world's most prominent accounting and business consulting firms. The major services PWC provides to its clients include auditing services, tax, and legal advice, financial advice, management consultancy services, and business process outsourcing. PWC values customer experiences and deploys positive customer experience to create connections, make technology feel more human, and give customers a great experience (About us, 2020).</w:t>
      </w:r>
    </w:p>
    <w:p w14:paraId="281BA548" w14:textId="43ECB73D" w:rsidR="00197C4A" w:rsidRPr="00A31525" w:rsidRDefault="00197C4A" w:rsidP="00604360">
      <w:pPr>
        <w:pStyle w:val="Heading1"/>
        <w:numPr>
          <w:ilvl w:val="0"/>
          <w:numId w:val="2"/>
        </w:numPr>
        <w:spacing w:line="360" w:lineRule="auto"/>
        <w:jc w:val="both"/>
        <w:rPr>
          <w:rFonts w:ascii="Arial" w:hAnsi="Arial" w:cs="Arial"/>
          <w:b/>
          <w:bCs/>
          <w:color w:val="auto"/>
          <w:sz w:val="24"/>
          <w:szCs w:val="24"/>
        </w:rPr>
      </w:pPr>
      <w:bookmarkStart w:id="3" w:name="_Toc57215406"/>
      <w:r w:rsidRPr="00A31525">
        <w:rPr>
          <w:rFonts w:ascii="Arial" w:hAnsi="Arial" w:cs="Arial"/>
          <w:b/>
          <w:bCs/>
          <w:color w:val="auto"/>
          <w:sz w:val="24"/>
          <w:szCs w:val="24"/>
        </w:rPr>
        <w:t>Marketing Theories</w:t>
      </w:r>
      <w:bookmarkEnd w:id="3"/>
    </w:p>
    <w:p w14:paraId="47A07B25" w14:textId="78E0D2B3"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No matter how long a company has successfully survived in a business, it is always essential to revisit and apply fundamental marketing theories to continue being successful. Without evolving with the changing trends like that of the novel covid-19, a business that had been successful can quickly lose its customer base. This is because the customers' tastes and preferences are dynamic and change with the current situations (</w:t>
      </w:r>
      <w:r w:rsidR="00197C4A" w:rsidRPr="00A31525">
        <w:rPr>
          <w:rFonts w:ascii="Arial" w:hAnsi="Arial" w:cs="Arial"/>
          <w:sz w:val="24"/>
          <w:szCs w:val="24"/>
          <w:shd w:val="clear" w:color="auto" w:fill="FFFFFF"/>
        </w:rPr>
        <w:t>De Keyser et al., 2015)</w:t>
      </w:r>
      <w:r w:rsidR="00197C4A" w:rsidRPr="00A31525">
        <w:rPr>
          <w:rFonts w:ascii="Arial" w:hAnsi="Arial" w:cs="Arial"/>
          <w:sz w:val="24"/>
          <w:szCs w:val="24"/>
        </w:rPr>
        <w:t xml:space="preserve">. There are various marketing theories, models, and concepts that a firm can use to understand and engage the customer </w:t>
      </w:r>
      <w:r w:rsidR="00197C4A" w:rsidRPr="00A31525">
        <w:rPr>
          <w:rFonts w:ascii="Arial" w:hAnsi="Arial" w:cs="Arial"/>
          <w:sz w:val="24"/>
          <w:szCs w:val="24"/>
        </w:rPr>
        <w:lastRenderedPageBreak/>
        <w:t>experience. Some of them include consistency theory, marketing orientation, Maslow's hierarchy of needs, and game theory.</w:t>
      </w:r>
    </w:p>
    <w:p w14:paraId="72A118EC"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4" w:name="_Toc57215407"/>
      <w:r w:rsidRPr="00A31525">
        <w:rPr>
          <w:rFonts w:ascii="Arial" w:hAnsi="Arial" w:cs="Arial"/>
          <w:b/>
          <w:bCs/>
          <w:color w:val="auto"/>
          <w:sz w:val="24"/>
          <w:szCs w:val="24"/>
        </w:rPr>
        <w:t>Market Orientation Theory</w:t>
      </w:r>
      <w:bookmarkEnd w:id="4"/>
    </w:p>
    <w:p w14:paraId="294617D0" w14:textId="3D4BB564" w:rsidR="00197C4A" w:rsidRPr="00A31525" w:rsidRDefault="00604360" w:rsidP="00A31525">
      <w:pPr>
        <w:spacing w:line="360" w:lineRule="auto"/>
        <w:jc w:val="both"/>
        <w:rPr>
          <w:rFonts w:ascii="Arial" w:hAnsi="Arial" w:cs="Arial"/>
          <w:sz w:val="24"/>
          <w:szCs w:val="24"/>
        </w:rPr>
      </w:pPr>
      <w:r>
        <w:rPr>
          <w:rFonts w:ascii="Arial" w:hAnsi="Arial" w:cs="Arial"/>
          <w:sz w:val="24"/>
          <w:szCs w:val="24"/>
          <w:shd w:val="clear" w:color="auto" w:fill="FFFFFF"/>
        </w:rPr>
        <w:t xml:space="preserve">    </w:t>
      </w:r>
      <w:r w:rsidR="00197C4A" w:rsidRPr="00A31525">
        <w:rPr>
          <w:rFonts w:ascii="Arial" w:hAnsi="Arial" w:cs="Arial"/>
          <w:sz w:val="24"/>
          <w:szCs w:val="24"/>
          <w:shd w:val="clear" w:color="auto" w:fill="FFFFFF"/>
        </w:rPr>
        <w:t>Sharp</w:t>
      </w:r>
      <w:r w:rsidR="00197C4A" w:rsidRPr="00A31525">
        <w:rPr>
          <w:rFonts w:ascii="Arial" w:hAnsi="Arial" w:cs="Arial"/>
          <w:sz w:val="24"/>
          <w:szCs w:val="24"/>
        </w:rPr>
        <w:t xml:space="preserve"> (2017) asserts that market orientation is a customer cantered approach that puts the customer needs first in developing a marketing strategy. Before an organization creates a new product or service, it first studies and understands its customers' immediate needs, primary concerns, and personal preferences. The organization then uses the information to develop products and services that solve the customers' desires without using expensive marketing strategies to promote the product. Besides, organizations can also use additional data to study and analyse customer needs, but they have not yet specifically expressed interest. Market orientation has five major classifications, which include product, production, sales, societal and market orientations.</w:t>
      </w:r>
    </w:p>
    <w:p w14:paraId="010C46A1" w14:textId="0AB8DE43"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Market orientation gives organizations that use it a competitive advantage over others in the market. This is because the organizations tailor their products to fit the customers' needs, preferences, and tastes, and thus they produce products and services that are most in-demand. Besides, market orientation also helps customers improve customer service and make products and services geared towards solving customer issues.</w:t>
      </w:r>
    </w:p>
    <w:p w14:paraId="4EFE4D94" w14:textId="45C1B316"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In a scenario that market orientation reveals customers' desire that too expensive to be implanted right away, an organization can use the information for long-term planning. This is because a product that is not cost-effective today maybe become practical to implement in the future due to changes in technology, science, regulation, and other market conditions (</w:t>
      </w:r>
      <w:r w:rsidR="00197C4A" w:rsidRPr="00A31525">
        <w:rPr>
          <w:rFonts w:ascii="Arial" w:hAnsi="Arial" w:cs="Arial"/>
          <w:sz w:val="24"/>
          <w:szCs w:val="24"/>
          <w:shd w:val="clear" w:color="auto" w:fill="FFFFFF"/>
        </w:rPr>
        <w:t>Groucutt and Hopkins, 2015)</w:t>
      </w:r>
      <w:r w:rsidR="00197C4A" w:rsidRPr="00A31525">
        <w:rPr>
          <w:rFonts w:ascii="Arial" w:hAnsi="Arial" w:cs="Arial"/>
          <w:sz w:val="24"/>
          <w:szCs w:val="24"/>
        </w:rPr>
        <w:t>. Coca-Cola is one real-time example of a company that uses market orientation. Coca-Cola does extensive research to identify the tastes and preferences that their consumers would like. After that, they develop and introduce those new flavours in the market.</w:t>
      </w:r>
    </w:p>
    <w:p w14:paraId="0CF2FE5D"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5" w:name="_Toc57215408"/>
      <w:r w:rsidRPr="00A31525">
        <w:rPr>
          <w:rFonts w:ascii="Arial" w:hAnsi="Arial" w:cs="Arial"/>
          <w:b/>
          <w:bCs/>
          <w:color w:val="auto"/>
          <w:sz w:val="24"/>
          <w:szCs w:val="24"/>
        </w:rPr>
        <w:t>Consistency Theory</w:t>
      </w:r>
      <w:bookmarkEnd w:id="5"/>
    </w:p>
    <w:p w14:paraId="6114DB53" w14:textId="7C755748"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The cognitive theory seeks to create an equilibrium between humans' or organizations' attitudes and behaviours with what society presents or expects from them. The consistency theory defenders argue that when an individual's inner systems, which include beliefs, attitudes, and values, support each other, then the </w:t>
      </w:r>
      <w:r w:rsidR="00197C4A" w:rsidRPr="00A31525">
        <w:rPr>
          <w:rFonts w:ascii="Arial" w:hAnsi="Arial" w:cs="Arial"/>
          <w:sz w:val="24"/>
          <w:szCs w:val="24"/>
        </w:rPr>
        <w:lastRenderedPageBreak/>
        <w:t>organization or the person finds comfort and contentment. However, when the beliefs, values, and perspectives of someone or an organization are not in balance, they feel discomfort and find means to restore balance (</w:t>
      </w:r>
      <w:r w:rsidR="00197C4A" w:rsidRPr="00A31525">
        <w:rPr>
          <w:rFonts w:ascii="Arial" w:hAnsi="Arial" w:cs="Arial"/>
          <w:sz w:val="24"/>
          <w:szCs w:val="24"/>
          <w:shd w:val="clear" w:color="auto" w:fill="FFFFFF"/>
        </w:rPr>
        <w:t>Kruglanski et al., 2018)</w:t>
      </w:r>
      <w:r w:rsidR="00197C4A" w:rsidRPr="00A31525">
        <w:rPr>
          <w:rFonts w:ascii="Arial" w:hAnsi="Arial" w:cs="Arial"/>
          <w:sz w:val="24"/>
          <w:szCs w:val="24"/>
        </w:rPr>
        <w:t>. For instance, in times of Covid-19, new measures such as social distancing and working from home have become new normal. Therefore, organizations that do not consider the health of their employees and allow them to work from home or social distance at work risk falling out with their employees. Thus, such organizations develop means and mechanisms of conforming to the new normal.</w:t>
      </w:r>
    </w:p>
    <w:p w14:paraId="782ED910" w14:textId="7934B531"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In the consistency theory, organizations inner norms seek to balance with the social norms (</w:t>
      </w:r>
      <w:r w:rsidR="00197C4A" w:rsidRPr="00A31525">
        <w:rPr>
          <w:rFonts w:ascii="Arial" w:hAnsi="Arial" w:cs="Arial"/>
          <w:sz w:val="24"/>
          <w:szCs w:val="24"/>
          <w:shd w:val="clear" w:color="auto" w:fill="FFFFFF"/>
        </w:rPr>
        <w:t>Kruglanski et al., 2018)</w:t>
      </w:r>
      <w:r w:rsidR="00197C4A" w:rsidRPr="00A31525">
        <w:rPr>
          <w:rFonts w:ascii="Arial" w:hAnsi="Arial" w:cs="Arial"/>
          <w:sz w:val="24"/>
          <w:szCs w:val="24"/>
        </w:rPr>
        <w:t>. This is because the social norms overpower the interests of the internal norms. Besides, failing to conform with the social standards may make an organization lose touch with its stakeholders, who are essential in ensuring their day to day activities are successful. For instance, Covid-19 has led to many businesses embracing technology like holding online meetings and working in online teams to undertake their activities. It's a new social norm that organizations have to adapt to ensure a good relationship with their employees and customers.</w:t>
      </w:r>
    </w:p>
    <w:p w14:paraId="384A39D1"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6" w:name="_Toc57215409"/>
      <w:r w:rsidRPr="00A31525">
        <w:rPr>
          <w:rFonts w:ascii="Arial" w:hAnsi="Arial" w:cs="Arial"/>
          <w:b/>
          <w:bCs/>
          <w:color w:val="auto"/>
          <w:sz w:val="24"/>
          <w:szCs w:val="24"/>
        </w:rPr>
        <w:t>Maslow's Hierarchy of Needs Theory</w:t>
      </w:r>
      <w:bookmarkEnd w:id="6"/>
    </w:p>
    <w:p w14:paraId="1298DC46" w14:textId="066889FD"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Abraham Maslow was the founding father of the Maslow Hierarchy of needs. He first theorized in 1943, and since then, many scholars have reviewed the theory in their academic researches. According to </w:t>
      </w:r>
      <w:r w:rsidR="00197C4A" w:rsidRPr="00A31525">
        <w:rPr>
          <w:rFonts w:ascii="Arial" w:hAnsi="Arial" w:cs="Arial"/>
          <w:sz w:val="24"/>
          <w:szCs w:val="24"/>
          <w:shd w:val="clear" w:color="auto" w:fill="FFFFFF"/>
        </w:rPr>
        <w:t>Fallatah and Syed (2018)</w:t>
      </w:r>
      <w:r w:rsidR="00197C4A" w:rsidRPr="00A31525">
        <w:rPr>
          <w:rFonts w:ascii="Arial" w:hAnsi="Arial" w:cs="Arial"/>
          <w:sz w:val="24"/>
          <w:szCs w:val="24"/>
        </w:rPr>
        <w:t>, Maslow's hierarchy of needs has five needs that include basic needs, safety needs, love needs, esteem, and self-actualization needs. Abraham Maslow argued that an individual's basic needs should be reasonably satisfied before seeking or moving towards fulfilling the self-actualization needs. In this Covid-19 times, the basic needs of both employees and consumers are health issues. Without the health of the employees and consumers being given priority, the organisation's secondary operations may stagnate due to employees and consumers being concerned about their health (</w:t>
      </w:r>
      <w:r w:rsidR="00197C4A" w:rsidRPr="00A31525">
        <w:rPr>
          <w:rFonts w:ascii="Arial" w:hAnsi="Arial" w:cs="Arial"/>
          <w:sz w:val="24"/>
          <w:szCs w:val="24"/>
          <w:shd w:val="clear" w:color="auto" w:fill="FFFFFF"/>
        </w:rPr>
        <w:t>Duygun and Şen, 2020)</w:t>
      </w:r>
      <w:r w:rsidR="00197C4A" w:rsidRPr="00A31525">
        <w:rPr>
          <w:rFonts w:ascii="Arial" w:hAnsi="Arial" w:cs="Arial"/>
          <w:sz w:val="24"/>
          <w:szCs w:val="24"/>
        </w:rPr>
        <w:t>.</w:t>
      </w:r>
    </w:p>
    <w:p w14:paraId="0D4718A3" w14:textId="2512A7CE" w:rsidR="00197C4A" w:rsidRPr="00A31525" w:rsidRDefault="00604360"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Maslow's hierarchy of needs is vital to organizations because it allows them to think about specific requirements that consumers desire to fulfil (</w:t>
      </w:r>
      <w:r w:rsidR="00197C4A" w:rsidRPr="00A31525">
        <w:rPr>
          <w:rFonts w:ascii="Arial" w:hAnsi="Arial" w:cs="Arial"/>
          <w:sz w:val="24"/>
          <w:szCs w:val="24"/>
          <w:shd w:val="clear" w:color="auto" w:fill="FFFFFF"/>
        </w:rPr>
        <w:t>Fallatah and Syed, 2018)</w:t>
      </w:r>
      <w:r w:rsidR="00197C4A" w:rsidRPr="00A31525">
        <w:rPr>
          <w:rFonts w:ascii="Arial" w:hAnsi="Arial" w:cs="Arial"/>
          <w:sz w:val="24"/>
          <w:szCs w:val="24"/>
        </w:rPr>
        <w:t xml:space="preserve">. After that, organizations use the information to craft products and services in relation to the customers' needs. Consequently, the theory can also be used to develop </w:t>
      </w:r>
      <w:r w:rsidR="00197C4A" w:rsidRPr="00A31525">
        <w:rPr>
          <w:rFonts w:ascii="Arial" w:hAnsi="Arial" w:cs="Arial"/>
          <w:sz w:val="24"/>
          <w:szCs w:val="24"/>
        </w:rPr>
        <w:lastRenderedPageBreak/>
        <w:t>products and services that fit and appeal directly to the needs of different levels of customers. Maslow's hierarchy of needs can be used to convince a middle-class person who has reasonably satisfied his/her first level basic needs to buy a car because it is safe, secure, and convenient to use when going to work.</w:t>
      </w:r>
    </w:p>
    <w:p w14:paraId="7B88E952" w14:textId="5B057215" w:rsidR="00197C4A" w:rsidRPr="00A31525" w:rsidRDefault="00197C4A" w:rsidP="00AD62BE">
      <w:pPr>
        <w:pStyle w:val="Heading1"/>
        <w:numPr>
          <w:ilvl w:val="0"/>
          <w:numId w:val="2"/>
        </w:numPr>
        <w:spacing w:line="360" w:lineRule="auto"/>
        <w:jc w:val="both"/>
        <w:rPr>
          <w:rFonts w:ascii="Arial" w:hAnsi="Arial" w:cs="Arial"/>
          <w:b/>
          <w:bCs/>
          <w:color w:val="auto"/>
          <w:sz w:val="24"/>
          <w:szCs w:val="24"/>
        </w:rPr>
      </w:pPr>
      <w:bookmarkStart w:id="7" w:name="_Toc57215410"/>
      <w:r w:rsidRPr="00A31525">
        <w:rPr>
          <w:rFonts w:ascii="Arial" w:hAnsi="Arial" w:cs="Arial"/>
          <w:b/>
          <w:bCs/>
          <w:color w:val="auto"/>
          <w:sz w:val="24"/>
          <w:szCs w:val="24"/>
        </w:rPr>
        <w:t>Factors that Influence PWC Quality Systems and Controls for Customers</w:t>
      </w:r>
      <w:bookmarkEnd w:id="7"/>
    </w:p>
    <w:p w14:paraId="1E603093" w14:textId="3896775A"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A quality management system (QMS) is a collection of processes, procedures, and responsibilities that companies use to satisfy their customers' needs and enhance their satisfaction effectively. Usually, organizations' QMS are aligned with their goals, mission, visions, and objectives. </w:t>
      </w:r>
      <w:r w:rsidR="00197C4A" w:rsidRPr="00A31525">
        <w:rPr>
          <w:rFonts w:ascii="Arial" w:hAnsi="Arial" w:cs="Arial"/>
          <w:sz w:val="24"/>
          <w:szCs w:val="24"/>
          <w:shd w:val="clear" w:color="auto" w:fill="FFFFFF"/>
        </w:rPr>
        <w:t>Mitra, (2016)</w:t>
      </w:r>
      <w:r w:rsidR="00197C4A" w:rsidRPr="00A31525">
        <w:rPr>
          <w:rFonts w:ascii="Arial" w:hAnsi="Arial" w:cs="Arial"/>
          <w:sz w:val="24"/>
          <w:szCs w:val="24"/>
        </w:rPr>
        <w:t xml:space="preserve"> asserts that quality management systems have seven principles: customer focus, leadership, commitment of staff, process approach, improvement, evidence-based decision-making, and management of relationships. Besides the principles, quality management systems also have numerous benefits. Some of the benefits include a better understanding of customer needs, greater efficiency, less wastage, increased customer satisfaction, improved employee engagement, and better and consistent control of major business processes (</w:t>
      </w:r>
      <w:r w:rsidR="00197C4A" w:rsidRPr="00A31525">
        <w:rPr>
          <w:rFonts w:ascii="Arial" w:hAnsi="Arial" w:cs="Arial"/>
          <w:sz w:val="24"/>
          <w:szCs w:val="24"/>
          <w:shd w:val="clear" w:color="auto" w:fill="FFFFFF"/>
        </w:rPr>
        <w:t>Mitra, 2016)</w:t>
      </w:r>
      <w:r w:rsidR="00197C4A" w:rsidRPr="00A31525">
        <w:rPr>
          <w:rFonts w:ascii="Arial" w:hAnsi="Arial" w:cs="Arial"/>
          <w:sz w:val="24"/>
          <w:szCs w:val="24"/>
        </w:rPr>
        <w:t>.</w:t>
      </w:r>
    </w:p>
    <w:p w14:paraId="6B344C12" w14:textId="1E74202C"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Quality begins with the design of a particular product to meet the desires and needs of customers. It goes all the way to get involved in the established measurement standards, proper material, and selection of the best manufacturing process. According to Annmarie Hanlon in her book on digital marketing, various factors influence the implementation of quality management systems and control for PWC customers.  The factors include money, market, human resources, method, mother nature, measurement, machines, materials, management, and minutes </w:t>
      </w:r>
      <w:r w:rsidR="00197C4A" w:rsidRPr="00A31525">
        <w:rPr>
          <w:rFonts w:ascii="Arial" w:hAnsi="Arial" w:cs="Arial"/>
          <w:sz w:val="24"/>
          <w:szCs w:val="24"/>
          <w:shd w:val="clear" w:color="auto" w:fill="FFFFFF"/>
        </w:rPr>
        <w:t>(Fundamental Factors Affecting Quality Free Essay Example, 2020)</w:t>
      </w:r>
      <w:r w:rsidR="00197C4A" w:rsidRPr="00A31525">
        <w:rPr>
          <w:rFonts w:ascii="Arial" w:hAnsi="Arial" w:cs="Arial"/>
          <w:sz w:val="24"/>
          <w:szCs w:val="24"/>
        </w:rPr>
        <w:t>.</w:t>
      </w:r>
    </w:p>
    <w:p w14:paraId="5057321E" w14:textId="357C6CAC"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The market is one of the fundamental factors that affect quality at PWC. PWC faces stiff competition from other professional accounting companies like Deloitte and EY. Thus it has to keep studying what the market requires and accordingly implement them to survive the pressure. The current tax, assurance, and the advisory market is characterized by advanced technology and customers whose tastes and preferences change dynamically. Advanced technology provides organizations with an opportunity to reduce their operational cost and increase their profit margin. On the other hand, changing customers' tastes and preferences offers a considerable challenge for audit </w:t>
      </w:r>
      <w:r w:rsidR="00197C4A" w:rsidRPr="00A31525">
        <w:rPr>
          <w:rFonts w:ascii="Arial" w:hAnsi="Arial" w:cs="Arial"/>
          <w:sz w:val="24"/>
          <w:szCs w:val="24"/>
        </w:rPr>
        <w:lastRenderedPageBreak/>
        <w:t>companies like PWC to conform to their needs (</w:t>
      </w:r>
      <w:r w:rsidR="00197C4A" w:rsidRPr="00A31525">
        <w:rPr>
          <w:rFonts w:ascii="Arial" w:hAnsi="Arial" w:cs="Arial"/>
          <w:sz w:val="24"/>
          <w:szCs w:val="24"/>
          <w:shd w:val="clear" w:color="auto" w:fill="FFFFFF"/>
        </w:rPr>
        <w:t>Mitra, 2016</w:t>
      </w:r>
      <w:r w:rsidR="00BA39DC" w:rsidRPr="00A31525">
        <w:rPr>
          <w:rFonts w:ascii="Arial" w:hAnsi="Arial" w:cs="Arial"/>
          <w:sz w:val="24"/>
          <w:szCs w:val="24"/>
          <w:shd w:val="clear" w:color="auto" w:fill="FFFFFF"/>
        </w:rPr>
        <w:t>)</w:t>
      </w:r>
      <w:r w:rsidR="00BA39DC" w:rsidRPr="00A31525">
        <w:rPr>
          <w:rFonts w:ascii="Arial" w:hAnsi="Arial" w:cs="Arial"/>
          <w:sz w:val="24"/>
          <w:szCs w:val="24"/>
        </w:rPr>
        <w:t>. PricewaterhouseCoopers</w:t>
      </w:r>
      <w:r w:rsidR="00197C4A" w:rsidRPr="00A31525">
        <w:rPr>
          <w:rFonts w:ascii="Arial" w:hAnsi="Arial" w:cs="Arial"/>
          <w:sz w:val="24"/>
          <w:szCs w:val="24"/>
        </w:rPr>
        <w:t xml:space="preserve"> uses market orientation theory to assess and understand the accounting market orientation and their clients' needs. This tactic is strategic in maintaining its position as a top accounting firm by providing services that meet the market needs.</w:t>
      </w:r>
    </w:p>
    <w:p w14:paraId="3C2A922C" w14:textId="4BDF40C0"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Money is essential in ensuring that PWC has a qualified and competitive workforce to deliver quality services to their clients. One significant way that PWC uses to ensure it remains competitive is by recruiting competitive staff. The staff then offers top-notch services in tax, assurance, audit, and business finance advisory. In recruiting competitive stuff that can assure quality, </w:t>
      </w:r>
      <w:r w:rsidR="00BA39DC" w:rsidRPr="00A31525">
        <w:rPr>
          <w:rFonts w:ascii="Arial" w:hAnsi="Arial" w:cs="Arial"/>
          <w:sz w:val="24"/>
          <w:szCs w:val="24"/>
        </w:rPr>
        <w:t>PricewaterhouseCoopers</w:t>
      </w:r>
      <w:r w:rsidR="00197C4A" w:rsidRPr="00A31525">
        <w:rPr>
          <w:rFonts w:ascii="Arial" w:hAnsi="Arial" w:cs="Arial"/>
          <w:sz w:val="24"/>
          <w:szCs w:val="24"/>
        </w:rPr>
        <w:t xml:space="preserve"> employs consistency theory whereby they seek to ensure that their services conform to their stakeholders' expectations. Besides, money also helps PWC provide quality services, which plays a vital part in measuring their performance compared to other firms like EY and Deloitte. Market orientation demands that before a firm develops products or services for their stakeholders, it should first do thorough research and learn about the client's immediate needs, personal preferences, and demands. Money comes in handy in ensuring that such customer-based analysis, which gives a company a competitive advantage over its peers, is successfully carried out.</w:t>
      </w:r>
    </w:p>
    <w:p w14:paraId="483683B1" w14:textId="6598B515"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Management is another factor that affects PWC quality systems and control for customers. In crisis times, as the one brought about by the novel Coronavirus, an organization's management comes in handy to ensure that they remain competitive in carrying out their day-to-day operations</w:t>
      </w:r>
      <w:r w:rsidR="00197C4A" w:rsidRPr="00A31525">
        <w:rPr>
          <w:rFonts w:ascii="Arial" w:hAnsi="Arial" w:cs="Arial"/>
          <w:sz w:val="24"/>
          <w:szCs w:val="24"/>
          <w:shd w:val="clear" w:color="auto" w:fill="FFFFFF"/>
        </w:rPr>
        <w:t xml:space="preserve"> Mitra (2016)</w:t>
      </w:r>
      <w:r w:rsidR="00197C4A" w:rsidRPr="00A31525">
        <w:rPr>
          <w:rFonts w:ascii="Arial" w:hAnsi="Arial" w:cs="Arial"/>
          <w:sz w:val="24"/>
          <w:szCs w:val="24"/>
        </w:rPr>
        <w:t xml:space="preserve">. For instance, in responding to the effects brought forth by the coronavirus pandemic, </w:t>
      </w:r>
      <w:r w:rsidR="00BA39DC" w:rsidRPr="00A31525">
        <w:rPr>
          <w:rFonts w:ascii="Arial" w:hAnsi="Arial" w:cs="Arial"/>
          <w:sz w:val="24"/>
          <w:szCs w:val="24"/>
        </w:rPr>
        <w:t>PricewaterhouseCoopers</w:t>
      </w:r>
      <w:r w:rsidR="00197C4A" w:rsidRPr="00A31525">
        <w:rPr>
          <w:rFonts w:ascii="Arial" w:hAnsi="Arial" w:cs="Arial"/>
          <w:sz w:val="24"/>
          <w:szCs w:val="24"/>
        </w:rPr>
        <w:t xml:space="preserve"> uses Maslow's hierarchy of needs to identify and realize that the health of both employees and their stakeholders had emerged as a primary level need. Thus, they reviewed their policies to ensure that their employees remain safe, engaged, and productive. Such measures that PWC management passed to ensure consistency in delivering their services include working from home, adjusting their workstations to conform with the Covid-19 protocols, and using technology to serve clients and stakeholders.</w:t>
      </w:r>
    </w:p>
    <w:p w14:paraId="6E66F1BE" w14:textId="6ACD2B2F"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Men, also referred to as the workforce, are an essential factor influencing PWC quality systems and customers' control. This is because they play a crucial role in serving the customers' needs. Men are the face of PWC. They create PWC's culture and interact directly with stakeholders in their daily routines. Therefore, they have the </w:t>
      </w:r>
      <w:r w:rsidR="00197C4A" w:rsidRPr="00A31525">
        <w:rPr>
          <w:rFonts w:ascii="Arial" w:hAnsi="Arial" w:cs="Arial"/>
          <w:sz w:val="24"/>
          <w:szCs w:val="24"/>
        </w:rPr>
        <w:lastRenderedPageBreak/>
        <w:t xml:space="preserve">power to indirectly influence how the clients and other stakeholders view the firm. Due to the rapid advancement in technology and the ongoing Coronavirus pandemic, </w:t>
      </w:r>
      <w:r w:rsidR="00BA39DC" w:rsidRPr="00A31525">
        <w:rPr>
          <w:rFonts w:ascii="Arial" w:hAnsi="Arial" w:cs="Arial"/>
          <w:sz w:val="24"/>
          <w:szCs w:val="24"/>
        </w:rPr>
        <w:t>PricewaterhouseCoopers</w:t>
      </w:r>
      <w:r w:rsidR="00197C4A" w:rsidRPr="00A31525">
        <w:rPr>
          <w:rFonts w:ascii="Arial" w:hAnsi="Arial" w:cs="Arial"/>
          <w:sz w:val="24"/>
          <w:szCs w:val="24"/>
        </w:rPr>
        <w:t xml:space="preserve"> borrows from the consistency theory and employ and train their employees to be highly specialized. After that, the competitive human resource uses its technical know-how to carry out the firm's duties. A company that employs the old rules in this modern world plagued with the covid-19 crisis risks to lose the balance between its operations and what society expects of them.</w:t>
      </w:r>
    </w:p>
    <w:p w14:paraId="7E54FB0F" w14:textId="48C66D58"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Motivation makes employees have the same goals as an organization and aspire to achieve its mission. According to </w:t>
      </w:r>
      <w:r w:rsidR="00197C4A" w:rsidRPr="00A31525">
        <w:rPr>
          <w:rFonts w:ascii="Arial" w:hAnsi="Arial" w:cs="Arial"/>
          <w:sz w:val="24"/>
          <w:szCs w:val="24"/>
          <w:shd w:val="clear" w:color="auto" w:fill="FFFFFF"/>
        </w:rPr>
        <w:t>Mitra (2016)</w:t>
      </w:r>
      <w:r w:rsidR="00197C4A" w:rsidRPr="00A31525">
        <w:rPr>
          <w:rFonts w:ascii="Arial" w:hAnsi="Arial" w:cs="Arial"/>
          <w:sz w:val="24"/>
          <w:szCs w:val="24"/>
        </w:rPr>
        <w:t xml:space="preserve">, motivation makes employees highly committed, have a high energy level, and be creative in undertaking their daily routines. On the other hand, demotivated employees do not have the same vision as the firm and only work to earn and only work for the firm because they have not yet found greener pastures. Maslow's hierarchy of needs is essential in understanding employees' specific needs and use them to motivate them. </w:t>
      </w:r>
      <w:r w:rsidR="00BA39DC" w:rsidRPr="00A31525">
        <w:rPr>
          <w:rFonts w:ascii="Arial" w:hAnsi="Arial" w:cs="Arial"/>
          <w:sz w:val="24"/>
          <w:szCs w:val="24"/>
        </w:rPr>
        <w:t>PricewaterhouseCoopers</w:t>
      </w:r>
      <w:r w:rsidR="00197C4A" w:rsidRPr="00A31525">
        <w:rPr>
          <w:rFonts w:ascii="Arial" w:hAnsi="Arial" w:cs="Arial"/>
          <w:sz w:val="24"/>
          <w:szCs w:val="24"/>
        </w:rPr>
        <w:t xml:space="preserve"> uses Maslow's hierarchy of needs theory to identify their employees' unmet needs, which is essential in determining the employee's behaviour. The management satisfies those unmet needs, motivating its employees to work hard and ensure its success.</w:t>
      </w:r>
    </w:p>
    <w:p w14:paraId="1D30642A" w14:textId="0E1CD116"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Modern information methods greatly influence quality systems and control of customers in many organizations in these modern times. Large organizations like PWC operate using massive data that are difficult to handle using traditional information management and analytics methods. Besides, for accounting firms to ensure quality services and better control of customers, they need to embrace digitalization, internet things, and social media, requiring them to adapt to forward-looking information management and analytics systems. PWC's major role is to help organizations better manage complex data by developing a holistic data management strategy. In doing so, PWC ensures that the organizations remain consistent. Consequently, it ensures that they are up to date with the management of their data, and thus they comply with the ideals of consistency theory. PWC embracing new technology in handling and analysing their data also ensures they remain consistent in lowering their operational costs and increasing their profit margins.</w:t>
      </w:r>
    </w:p>
    <w:p w14:paraId="647F6085" w14:textId="3B4A13E9"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Understanding the customers' immediate needs and personal preferences might look easy on paper. However, organizations practically identifying and designing </w:t>
      </w:r>
      <w:r w:rsidR="00197C4A" w:rsidRPr="00A31525">
        <w:rPr>
          <w:rFonts w:ascii="Arial" w:hAnsi="Arial" w:cs="Arial"/>
          <w:sz w:val="24"/>
          <w:szCs w:val="24"/>
        </w:rPr>
        <w:lastRenderedPageBreak/>
        <w:t>products and services that satisfy the customer needs sometimes prove challenging (</w:t>
      </w:r>
      <w:r w:rsidR="00197C4A" w:rsidRPr="00A31525">
        <w:rPr>
          <w:rFonts w:ascii="Arial" w:hAnsi="Arial" w:cs="Arial"/>
          <w:sz w:val="24"/>
          <w:szCs w:val="24"/>
          <w:shd w:val="clear" w:color="auto" w:fill="FFFFFF"/>
        </w:rPr>
        <w:t>Jain et al., 2017)</w:t>
      </w:r>
      <w:r w:rsidR="00197C4A" w:rsidRPr="00A31525">
        <w:rPr>
          <w:rFonts w:ascii="Arial" w:hAnsi="Arial" w:cs="Arial"/>
          <w:sz w:val="24"/>
          <w:szCs w:val="24"/>
        </w:rPr>
        <w:t>. At this, Maslow's hierarchy of needs and market orientation become useful to organizations in helping them mount product requirements. Mounting product requirements is diversifying the servicing or products a company offers to meet different customers' various needs. Market orientation helps identify those diverse tastes, whereas Maslow's theory plays a critical role in classifying the identified needs. For instance, PWC used the two approaches to diversify their main functions into assurance, tax, audit, and business advisory services to reach a large client pool after studying the market needs. Besides, PWC also has a multidisciplinary department that helps them in sporting new trends and opportunities which they can implement to create better value for customers.</w:t>
      </w:r>
    </w:p>
    <w:p w14:paraId="05A6B02D" w14:textId="5CECAD2A"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Machines and mechanizations help firms to have quality services and higher productivity. Consequently, quality services lead to improved profit margins. PWC gives its employees' laptops installed with modern accounting, audit, and assurance apps, which simplify their jobs. Besides, laptops enable PWC's employees to work in teams and achieve their set targets in record time. The modern accounting world is filled with continuous technological advancements that require a firm to remain consistent in adopting current machines to match or outdo their competitors. The use of devices increases efficiency in the workplace.</w:t>
      </w:r>
    </w:p>
    <w:p w14:paraId="66C16A5D" w14:textId="2A46E867" w:rsidR="00197C4A" w:rsidRPr="00A31525" w:rsidRDefault="00197C4A" w:rsidP="00AD62BE">
      <w:pPr>
        <w:pStyle w:val="Heading1"/>
        <w:numPr>
          <w:ilvl w:val="0"/>
          <w:numId w:val="2"/>
        </w:numPr>
        <w:spacing w:line="360" w:lineRule="auto"/>
        <w:jc w:val="both"/>
        <w:rPr>
          <w:rFonts w:ascii="Arial" w:hAnsi="Arial" w:cs="Arial"/>
          <w:b/>
          <w:bCs/>
          <w:color w:val="auto"/>
          <w:sz w:val="24"/>
          <w:szCs w:val="24"/>
        </w:rPr>
      </w:pPr>
      <w:bookmarkStart w:id="8" w:name="_Toc57215411"/>
      <w:r w:rsidRPr="00A31525">
        <w:rPr>
          <w:rFonts w:ascii="Arial" w:hAnsi="Arial" w:cs="Arial"/>
          <w:b/>
          <w:bCs/>
          <w:color w:val="auto"/>
          <w:sz w:val="24"/>
          <w:szCs w:val="24"/>
        </w:rPr>
        <w:t>Systems that Support PricewaterhouseCoopers (PWC) quality Processes</w:t>
      </w:r>
      <w:bookmarkEnd w:id="8"/>
    </w:p>
    <w:p w14:paraId="251A5E95" w14:textId="60A2D5EC"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BA39DC" w:rsidRPr="00A31525">
        <w:rPr>
          <w:rFonts w:ascii="Arial" w:hAnsi="Arial" w:cs="Arial"/>
          <w:sz w:val="24"/>
          <w:szCs w:val="24"/>
        </w:rPr>
        <w:t>PricewaterhouseCoopers (</w:t>
      </w:r>
      <w:r w:rsidR="00197C4A" w:rsidRPr="00A31525">
        <w:rPr>
          <w:rFonts w:ascii="Arial" w:hAnsi="Arial" w:cs="Arial"/>
          <w:sz w:val="24"/>
          <w:szCs w:val="24"/>
        </w:rPr>
        <w:t>PWC</w:t>
      </w:r>
      <w:r w:rsidR="00BA39DC" w:rsidRPr="00A31525">
        <w:rPr>
          <w:rFonts w:ascii="Arial" w:hAnsi="Arial" w:cs="Arial"/>
          <w:sz w:val="24"/>
          <w:szCs w:val="24"/>
        </w:rPr>
        <w:t>)</w:t>
      </w:r>
      <w:r w:rsidR="00197C4A" w:rsidRPr="00A31525">
        <w:rPr>
          <w:rFonts w:ascii="Arial" w:hAnsi="Arial" w:cs="Arial"/>
          <w:sz w:val="24"/>
          <w:szCs w:val="24"/>
        </w:rPr>
        <w:t xml:space="preserve"> professional services firm leadership sees the quality of their work as the heart of the organization. To enhance their work quality and improve the clients' experience, the firm invests in training its employees on ethical and behavioural methodologies. Besides, the firm enhances its resources to improve the quality of the services they offer continuously. Various systems help PWC ensure that their processes are seamless and that their services are of high quality. Some of the systems include audit quality inspections, a culture that emphasizes everyone's responsibility, monitoring and evaluation systems, and enhanced technologies, </w:t>
      </w:r>
    </w:p>
    <w:p w14:paraId="7FAB4A13"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9" w:name="_Toc57215412"/>
      <w:r w:rsidRPr="00A31525">
        <w:rPr>
          <w:rFonts w:ascii="Arial" w:hAnsi="Arial" w:cs="Arial"/>
          <w:b/>
          <w:bCs/>
          <w:color w:val="auto"/>
          <w:sz w:val="24"/>
          <w:szCs w:val="24"/>
        </w:rPr>
        <w:t>Audit Quality Inspections</w:t>
      </w:r>
      <w:bookmarkEnd w:id="9"/>
    </w:p>
    <w:p w14:paraId="6945B3D6" w14:textId="0FD536FE"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AF0628" w:rsidRPr="00A31525">
        <w:rPr>
          <w:rFonts w:ascii="Arial" w:hAnsi="Arial" w:cs="Arial"/>
          <w:sz w:val="24"/>
          <w:szCs w:val="24"/>
        </w:rPr>
        <w:t>PricewaterhouseCoopers (</w:t>
      </w:r>
      <w:r w:rsidR="00197C4A" w:rsidRPr="00A31525">
        <w:rPr>
          <w:rFonts w:ascii="Arial" w:hAnsi="Arial" w:cs="Arial"/>
          <w:sz w:val="24"/>
          <w:szCs w:val="24"/>
        </w:rPr>
        <w:t>PWC</w:t>
      </w:r>
      <w:r w:rsidR="00AF0628" w:rsidRPr="00A31525">
        <w:rPr>
          <w:rFonts w:ascii="Arial" w:hAnsi="Arial" w:cs="Arial"/>
          <w:sz w:val="24"/>
          <w:szCs w:val="24"/>
        </w:rPr>
        <w:t>)</w:t>
      </w:r>
      <w:r w:rsidR="00197C4A" w:rsidRPr="00A31525">
        <w:rPr>
          <w:rFonts w:ascii="Arial" w:hAnsi="Arial" w:cs="Arial"/>
          <w:sz w:val="24"/>
          <w:szCs w:val="24"/>
        </w:rPr>
        <w:t xml:space="preserve"> carries out internal audits from time to time to uphold quality standards in its operations. Through audits, PWC learns of the shortcomings they have in their pre-set standards and the external stakeholders' </w:t>
      </w:r>
      <w:r w:rsidR="00197C4A" w:rsidRPr="00A31525">
        <w:rPr>
          <w:rFonts w:ascii="Arial" w:hAnsi="Arial" w:cs="Arial"/>
          <w:sz w:val="24"/>
          <w:szCs w:val="24"/>
        </w:rPr>
        <w:lastRenderedPageBreak/>
        <w:t>standards. When they perform below the expected standards, they feel disappointed and are also criticized. PWC takes its shortcomings seriously and works hard to improve on them to improve their quality management processes.</w:t>
      </w:r>
    </w:p>
    <w:p w14:paraId="3210F92D" w14:textId="51FEC691"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AF0628" w:rsidRPr="00A31525">
        <w:rPr>
          <w:rFonts w:ascii="Arial" w:hAnsi="Arial" w:cs="Arial"/>
          <w:sz w:val="24"/>
          <w:szCs w:val="24"/>
        </w:rPr>
        <w:t>PricewaterhouseCoopers (PWC)</w:t>
      </w:r>
      <w:r w:rsidR="00197C4A" w:rsidRPr="00A31525">
        <w:rPr>
          <w:rFonts w:ascii="Arial" w:hAnsi="Arial" w:cs="Arial"/>
          <w:sz w:val="24"/>
          <w:szCs w:val="24"/>
        </w:rPr>
        <w:t xml:space="preserve"> audits usually ensure that the auditors' independence and that of the employees is guaranteed and the ethical standards upheld. This way, the firm ensures that the applicable auditing and ethical standards, which are a vital component of any audit, are maintained. PWC also ensures that their audits are accountable, recognizable, and quality results. The three aspects ensure continuous improvement and provision of high-quality services at PWC.</w:t>
      </w:r>
    </w:p>
    <w:p w14:paraId="5034046B" w14:textId="76DEC7A2"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3E0871" w:rsidRPr="00A31525">
        <w:rPr>
          <w:rFonts w:ascii="Arial" w:hAnsi="Arial" w:cs="Arial"/>
          <w:sz w:val="24"/>
          <w:szCs w:val="24"/>
        </w:rPr>
        <w:t>PricewaterhouseCoopers</w:t>
      </w:r>
      <w:r w:rsidR="00197C4A" w:rsidRPr="00A31525">
        <w:rPr>
          <w:rFonts w:ascii="Arial" w:hAnsi="Arial" w:cs="Arial"/>
          <w:sz w:val="24"/>
          <w:szCs w:val="24"/>
        </w:rPr>
        <w:t xml:space="preserve"> carries out internal monitoring in a sample of completed audits to ensure that they are of high quality and meet the professional standards. The independent reviews are essential in ensuring that the internal auditors uphold ethical standards when doing their jobs. Internal audits at PWC are crucial because they provide primary data that can be analysed and addressed to provide quality services continuously and engage clients better. The internal audits are subject to be reviewed, monitored, and inspected by external audit regulators to improve audit quality. PWC audit plans were affected by the coronavirus pandemic and no longer reflected its risk profile. Therefore, carrying out a new audit, new risk assessments, and engaging with the business goals and objectives has helped PWC maintain good customer relationships.</w:t>
      </w:r>
    </w:p>
    <w:p w14:paraId="769A6B3D" w14:textId="3B8DA771" w:rsidR="00197C4A" w:rsidRPr="00A31525" w:rsidRDefault="00EE7B7C" w:rsidP="00A31525">
      <w:pPr>
        <w:spacing w:line="360" w:lineRule="auto"/>
        <w:jc w:val="both"/>
        <w:rPr>
          <w:rFonts w:ascii="Arial" w:hAnsi="Arial" w:cs="Arial"/>
          <w:sz w:val="24"/>
          <w:szCs w:val="24"/>
        </w:rPr>
      </w:pPr>
      <w:r>
        <w:rPr>
          <w:rFonts w:ascii="Arial" w:hAnsi="Arial" w:cs="Arial"/>
          <w:sz w:val="24"/>
          <w:szCs w:val="24"/>
          <w:shd w:val="clear" w:color="auto" w:fill="FFFFFF"/>
        </w:rPr>
        <w:t xml:space="preserve">    </w:t>
      </w:r>
      <w:r w:rsidR="00197C4A" w:rsidRPr="00A31525">
        <w:rPr>
          <w:rFonts w:ascii="Arial" w:hAnsi="Arial" w:cs="Arial"/>
          <w:sz w:val="24"/>
          <w:szCs w:val="24"/>
          <w:shd w:val="clear" w:color="auto" w:fill="FFFFFF"/>
        </w:rPr>
        <w:t>Christensen</w:t>
      </w:r>
      <w:r w:rsidR="00197C4A" w:rsidRPr="00A31525">
        <w:rPr>
          <w:rFonts w:ascii="Arial" w:hAnsi="Arial" w:cs="Arial"/>
          <w:sz w:val="24"/>
          <w:szCs w:val="24"/>
        </w:rPr>
        <w:t xml:space="preserve"> et al. (2016) argue that transparency is the first step toward accountability. On the other hand, accountability is vital to a firm winning the trust of clients. Periodical internal and external audits that PWC carries from time to time have been essential in increasing its transparency level, translating to quality services. Every customer wishes to receive quality services from a professional company like PWC. Therefore, PWC's quality services resulting from timely audits have been essential in meeting their clients' needs and maintaining good customer relationships with their customers.</w:t>
      </w:r>
    </w:p>
    <w:p w14:paraId="1D10F25B"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10" w:name="_Toc57215413"/>
      <w:r w:rsidRPr="00A31525">
        <w:rPr>
          <w:rFonts w:ascii="Arial" w:hAnsi="Arial" w:cs="Arial"/>
          <w:b/>
          <w:bCs/>
          <w:color w:val="auto"/>
          <w:sz w:val="24"/>
          <w:szCs w:val="24"/>
        </w:rPr>
        <w:t>Quality Culture</w:t>
      </w:r>
      <w:bookmarkEnd w:id="10"/>
    </w:p>
    <w:p w14:paraId="2E2E55D1" w14:textId="23FD4885"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PricewaterhouseCoopers (PWC) has a culture that emphasizes that quality is everyone's responsibility in the organization. This is because they agree with </w:t>
      </w:r>
      <w:r w:rsidR="00197C4A" w:rsidRPr="00A31525">
        <w:rPr>
          <w:rFonts w:ascii="Arial" w:hAnsi="Arial" w:cs="Arial"/>
          <w:sz w:val="24"/>
          <w:szCs w:val="24"/>
          <w:shd w:val="clear" w:color="auto" w:fill="FFFFFF"/>
        </w:rPr>
        <w:t>Gilmore</w:t>
      </w:r>
      <w:r w:rsidR="00197C4A" w:rsidRPr="00A31525">
        <w:rPr>
          <w:rFonts w:ascii="Arial" w:hAnsi="Arial" w:cs="Arial"/>
          <w:sz w:val="24"/>
          <w:szCs w:val="24"/>
        </w:rPr>
        <w:t xml:space="preserve"> et al. (2017) that continuous quality service that meets all stakeholders' expectations </w:t>
      </w:r>
      <w:r w:rsidR="00197C4A" w:rsidRPr="00A31525">
        <w:rPr>
          <w:rFonts w:ascii="Arial" w:hAnsi="Arial" w:cs="Arial"/>
          <w:sz w:val="24"/>
          <w:szCs w:val="24"/>
        </w:rPr>
        <w:lastRenderedPageBreak/>
        <w:t>can only be attained when everyone in the organization holds their hands together. PWC culture emotionally attaches its employees to have one core value of building trust in society and solving core societal problems. Besides, PWC's quality culture makes its employees loyal and committed to achieving their goals and objectives. When the organization's strategies balance its culture, it becomes easier to attain its goals and objectives as there will be less resentment from the employees.</w:t>
      </w:r>
    </w:p>
    <w:p w14:paraId="429EF4B7" w14:textId="0FC5BDC3"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874D52" w:rsidRPr="00A31525">
        <w:rPr>
          <w:rFonts w:ascii="Arial" w:hAnsi="Arial" w:cs="Arial"/>
          <w:sz w:val="24"/>
          <w:szCs w:val="24"/>
        </w:rPr>
        <w:t>PricewaterhouseCoopers</w:t>
      </w:r>
      <w:r w:rsidR="00197C4A" w:rsidRPr="00A31525">
        <w:rPr>
          <w:rFonts w:ascii="Arial" w:hAnsi="Arial" w:cs="Arial"/>
          <w:sz w:val="24"/>
          <w:szCs w:val="24"/>
        </w:rPr>
        <w:t xml:space="preserve"> global and local leadership play an essential role in ensuring the right culture is in place for all their employees worldwide. Even though PWC employees come from different cultures, PWC leadership captures all employees' aspirations and expectations. It ensures that they align their actions and behaviours towards achieving a common goal. Besides, the leadership is also responsible for making the firm friendly and pleasant. To make the firm friendly and enjoyable, the administration organizes more sociable and sports events for their employees to intermingle and get to know each other better.</w:t>
      </w:r>
    </w:p>
    <w:p w14:paraId="671ED663" w14:textId="16643F93"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A quality culture that emphasizes everyone's responsibility at PWC has been vital in building ethical and trustful behaviour during this challenging pandemic. Organizational behaviour is essential in determining how customers will trust or continue seeking the organization's services after the pandemic. Organizations with ethical and trustful culture connect emotionally with their customers and win their loyalty at this difficult coronavirus time. PWC creating a trustable behaviour and culture during this crisis time will strengthen the customer experience and help them maintain their customers even after post-corona. PWC's quality culture has also been essential in creating an upbeat personality, which is vital in assuring consumers that the company will continue upholding its values even if it is undergoing difficult times due to Coronavirus's adverse effects.</w:t>
      </w:r>
    </w:p>
    <w:p w14:paraId="25137FDD"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11" w:name="_Toc57215414"/>
      <w:r w:rsidRPr="00A31525">
        <w:rPr>
          <w:rFonts w:ascii="Arial" w:hAnsi="Arial" w:cs="Arial"/>
          <w:b/>
          <w:bCs/>
          <w:color w:val="auto"/>
          <w:sz w:val="24"/>
          <w:szCs w:val="24"/>
        </w:rPr>
        <w:t>Technology</w:t>
      </w:r>
      <w:bookmarkEnd w:id="11"/>
    </w:p>
    <w:p w14:paraId="781D0A56" w14:textId="2324634A"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The use of more advanced technology gives PWC automation and the ability to provide services at a low cost. Besides, technology makes it easy for PWC to get clients' feedback and gather customer data. The data is analysed to know PWC's shortcomings and improve their weak links on service delivery. In the future, technology will impact how to audit and other accounting tasks are undertaken. Thus, the use of technology in audit and professional accounting services will influence how </w:t>
      </w:r>
      <w:r w:rsidR="00197C4A" w:rsidRPr="00A31525">
        <w:rPr>
          <w:rFonts w:ascii="Arial" w:hAnsi="Arial" w:cs="Arial"/>
          <w:sz w:val="24"/>
          <w:szCs w:val="24"/>
        </w:rPr>
        <w:lastRenderedPageBreak/>
        <w:t>accounting firms interact and engage with their customers in the future (</w:t>
      </w:r>
      <w:r w:rsidR="00197C4A" w:rsidRPr="00A31525">
        <w:rPr>
          <w:rFonts w:ascii="Arial" w:hAnsi="Arial" w:cs="Arial"/>
          <w:sz w:val="24"/>
          <w:szCs w:val="24"/>
          <w:shd w:val="clear" w:color="auto" w:fill="FFFFFF"/>
        </w:rPr>
        <w:t>Klovienė and Gimzauskiene, 2015)</w:t>
      </w:r>
      <w:r w:rsidR="00197C4A" w:rsidRPr="00A31525">
        <w:rPr>
          <w:rFonts w:ascii="Arial" w:hAnsi="Arial" w:cs="Arial"/>
          <w:sz w:val="24"/>
          <w:szCs w:val="24"/>
        </w:rPr>
        <w:t>. According to the inferences of consistency theory, organizations need to move very first and adapt quickly to new enhanced technologies. Without doing so, the organizations risk losing out their customers since they will not provide them with timely quality services at affordable costs.</w:t>
      </w:r>
    </w:p>
    <w:p w14:paraId="0D228945" w14:textId="32637039"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To ensure that they remain consistent in providing quality professional accounting services globally, </w:t>
      </w:r>
      <w:r w:rsidR="0015248E" w:rsidRPr="00A31525">
        <w:rPr>
          <w:rFonts w:ascii="Arial" w:hAnsi="Arial" w:cs="Arial"/>
          <w:sz w:val="24"/>
          <w:szCs w:val="24"/>
        </w:rPr>
        <w:t xml:space="preserve">PricewaterhouseCoopers </w:t>
      </w:r>
      <w:r w:rsidR="00197C4A" w:rsidRPr="00A31525">
        <w:rPr>
          <w:rFonts w:ascii="Arial" w:hAnsi="Arial" w:cs="Arial"/>
          <w:sz w:val="24"/>
          <w:szCs w:val="24"/>
        </w:rPr>
        <w:t xml:space="preserve">has already embraced the use of GL.ai, an artificial intelligence (AL) technology that detects anomalies in a company's artificial ledger. In this knowledge era, AL is vital because it will help eliminate human error in professional auditing and accounting services. Consequently, AL technology will PWC accomplish tasks very first and accurately. PWC also uses email, a modern and first means of communication, to quickly pass information from one department to another, or from one employee to another. Therefore, embracing and using new technologies has already proved to be one system that </w:t>
      </w:r>
      <w:r w:rsidR="0015248E" w:rsidRPr="00A31525">
        <w:rPr>
          <w:rFonts w:ascii="Arial" w:hAnsi="Arial" w:cs="Arial"/>
          <w:sz w:val="24"/>
          <w:szCs w:val="24"/>
        </w:rPr>
        <w:t>PricewaterhouseCoopers</w:t>
      </w:r>
      <w:r w:rsidR="00197C4A" w:rsidRPr="00A31525">
        <w:rPr>
          <w:rFonts w:ascii="Arial" w:hAnsi="Arial" w:cs="Arial"/>
          <w:sz w:val="24"/>
          <w:szCs w:val="24"/>
        </w:rPr>
        <w:t xml:space="preserve"> uses to enhance quality services.</w:t>
      </w:r>
    </w:p>
    <w:p w14:paraId="00F8D1A5" w14:textId="22943F7D"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During this coronavirus era, PWC's use of technology has effectively met clients' requirements and maintained good customer relations in many ways. First, technology has helped PWC to minimize risk by reducing physical interaction in the firm. In reducing physical contract in line with the societal responsibilities of eliminating any opportunities of spreading the virus. Secondly, technology has enabled PWC to become a joy to its clients because it supports customers' emotional needs who are trapped at home. Finally, the use of technology has helped PWC form a purpose-driven bond with its customers. The bond arises from the company staying true to its vision while showing that they care about its customers through real-time engagement with its stakeholders about Coronavirus's impact on audit compliance. Therefore, arguing that coronavirus pandemic has helped most companies, including PWC, form a personal relationship with its customers will not be far-fetched.</w:t>
      </w:r>
    </w:p>
    <w:p w14:paraId="648F558B" w14:textId="77777777" w:rsidR="00197C4A" w:rsidRPr="00A31525" w:rsidRDefault="00197C4A" w:rsidP="00A31525">
      <w:pPr>
        <w:pStyle w:val="Heading2"/>
        <w:spacing w:line="360" w:lineRule="auto"/>
        <w:jc w:val="both"/>
        <w:rPr>
          <w:rFonts w:ascii="Arial" w:hAnsi="Arial" w:cs="Arial"/>
          <w:b/>
          <w:bCs/>
          <w:color w:val="auto"/>
          <w:sz w:val="24"/>
          <w:szCs w:val="24"/>
        </w:rPr>
      </w:pPr>
      <w:bookmarkStart w:id="12" w:name="_Toc57215415"/>
      <w:r w:rsidRPr="00A31525">
        <w:rPr>
          <w:rFonts w:ascii="Arial" w:hAnsi="Arial" w:cs="Arial"/>
          <w:b/>
          <w:bCs/>
          <w:color w:val="auto"/>
          <w:sz w:val="24"/>
          <w:szCs w:val="24"/>
        </w:rPr>
        <w:t>Monitoring and Evaluation (After Action Reviews)</w:t>
      </w:r>
      <w:bookmarkEnd w:id="12"/>
    </w:p>
    <w:p w14:paraId="69D1B4F3" w14:textId="3163D328"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PWC's monitoring and evaluation system ensures that the organization's services meet or surpass its standards or goals. To ensure that the organization's tasks are correctly and timely done, </w:t>
      </w:r>
      <w:r w:rsidR="00275D99" w:rsidRPr="00A31525">
        <w:rPr>
          <w:rFonts w:ascii="Arial" w:hAnsi="Arial" w:cs="Arial"/>
          <w:sz w:val="24"/>
          <w:szCs w:val="24"/>
        </w:rPr>
        <w:t>PricewaterhouseCoopers</w:t>
      </w:r>
      <w:r w:rsidR="00197C4A" w:rsidRPr="00A31525">
        <w:rPr>
          <w:rFonts w:ascii="Arial" w:hAnsi="Arial" w:cs="Arial"/>
          <w:sz w:val="24"/>
          <w:szCs w:val="24"/>
        </w:rPr>
        <w:t xml:space="preserve"> monitoring and evaluation department uses the After-Action Reviews (AAR) at every stage of the provision of </w:t>
      </w:r>
      <w:r w:rsidR="00197C4A" w:rsidRPr="00A31525">
        <w:rPr>
          <w:rFonts w:ascii="Arial" w:hAnsi="Arial" w:cs="Arial"/>
          <w:sz w:val="24"/>
          <w:szCs w:val="24"/>
        </w:rPr>
        <w:lastRenderedPageBreak/>
        <w:t>services. An after-Action review is a powerful tool that organizations use to continuously assess their work's progress and reflect upon a project during and after its completion. AAR focuses on what is currently happening compared to what was intended to happen and encourages participation (</w:t>
      </w:r>
      <w:r w:rsidR="00197C4A" w:rsidRPr="00A31525">
        <w:rPr>
          <w:rFonts w:ascii="Arial" w:hAnsi="Arial" w:cs="Arial"/>
          <w:sz w:val="24"/>
          <w:szCs w:val="24"/>
          <w:shd w:val="clear" w:color="auto" w:fill="FFFFFF"/>
        </w:rPr>
        <w:t>Chapman et al., 2016)</w:t>
      </w:r>
      <w:r w:rsidR="00197C4A" w:rsidRPr="00A31525">
        <w:rPr>
          <w:rFonts w:ascii="Arial" w:hAnsi="Arial" w:cs="Arial"/>
          <w:sz w:val="24"/>
          <w:szCs w:val="24"/>
        </w:rPr>
        <w:t>. Therefore, AAR is important to PWC because it gives room to identify errors and rectify them before the error causes more damage.</w:t>
      </w:r>
    </w:p>
    <w:p w14:paraId="2D17B275" w14:textId="01E903B4"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In this Covid-19 times, whereby everyone is uncertain of the damage the virus might cause, monitoring and evaluation help organizations maintain quality services to their clients. For instance, PWC revisits its crisis and continuity plan now and then. Monitoring helps PWC review and monitor global activities concerning what countries are doing to help contain the virus. At the start of the Coronavirus, most countries closed their borders and went on lockdowns. This made PWC adjust their policies to enable their employees to work from home and continue delivering quality services to their clients. With the infection rate going down in some countries, the countries relaxed some of their strict measures and allowed employees to go back to work physically. PWC adjusted their offices to be compliant with the social distancing rules and are now slowly devising how they can restore normal conditions. Restoring normal conditions is essential and per PWC business continuity plans.</w:t>
      </w:r>
    </w:p>
    <w:p w14:paraId="6ABCC59C" w14:textId="5C3920BE" w:rsidR="00197C4A" w:rsidRPr="00A31525" w:rsidRDefault="00197C4A" w:rsidP="00AD62BE">
      <w:pPr>
        <w:pStyle w:val="Heading1"/>
        <w:numPr>
          <w:ilvl w:val="0"/>
          <w:numId w:val="2"/>
        </w:numPr>
        <w:spacing w:before="0" w:after="240" w:line="360" w:lineRule="auto"/>
        <w:jc w:val="both"/>
        <w:rPr>
          <w:rFonts w:ascii="Arial" w:hAnsi="Arial" w:cs="Arial"/>
          <w:b/>
          <w:bCs/>
          <w:color w:val="auto"/>
          <w:sz w:val="24"/>
          <w:szCs w:val="24"/>
        </w:rPr>
      </w:pPr>
      <w:bookmarkStart w:id="13" w:name="_Toc57215416"/>
      <w:r w:rsidRPr="00A31525">
        <w:rPr>
          <w:rFonts w:ascii="Arial" w:hAnsi="Arial" w:cs="Arial"/>
          <w:b/>
          <w:bCs/>
          <w:color w:val="auto"/>
          <w:sz w:val="24"/>
          <w:szCs w:val="24"/>
        </w:rPr>
        <w:t>Benefits and Challenges of Developing and Maintaining Good Customer Relationships</w:t>
      </w:r>
      <w:bookmarkEnd w:id="13"/>
    </w:p>
    <w:p w14:paraId="66F5EE20" w14:textId="2C1DA791"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Developing and maintaining good customer relationships has numerous benefits as well as some challenges associated with its implementation.</w:t>
      </w:r>
    </w:p>
    <w:p w14:paraId="03BD3684" w14:textId="77777777" w:rsidR="00197C4A" w:rsidRPr="00A31525" w:rsidRDefault="00197C4A" w:rsidP="00A31525">
      <w:pPr>
        <w:pStyle w:val="Heading2"/>
        <w:spacing w:before="0" w:after="240" w:line="360" w:lineRule="auto"/>
        <w:jc w:val="both"/>
        <w:rPr>
          <w:rFonts w:ascii="Arial" w:hAnsi="Arial" w:cs="Arial"/>
          <w:b/>
          <w:bCs/>
          <w:color w:val="auto"/>
          <w:sz w:val="24"/>
          <w:szCs w:val="24"/>
        </w:rPr>
      </w:pPr>
      <w:bookmarkStart w:id="14" w:name="_Toc57215417"/>
      <w:r w:rsidRPr="00A31525">
        <w:rPr>
          <w:rFonts w:ascii="Arial" w:hAnsi="Arial" w:cs="Arial"/>
          <w:b/>
          <w:bCs/>
          <w:color w:val="auto"/>
          <w:sz w:val="24"/>
          <w:szCs w:val="24"/>
        </w:rPr>
        <w:t>Benefits</w:t>
      </w:r>
      <w:bookmarkEnd w:id="14"/>
    </w:p>
    <w:p w14:paraId="0CE12738" w14:textId="42D1C120"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Organization customer relationships enhance customer loyalty. Customer loyalty is essential in promoting the goods and services of an organization. Besides, customer loyalty makes organizations get positive customer feedback, which they use to promote business services to new prospects.</w:t>
      </w:r>
    </w:p>
    <w:p w14:paraId="34AA4AD6" w14:textId="59F5E826"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Developing and maintaining good customer relationships help organizations understand the needs and the behaviour of their customers. This helps organizations </w:t>
      </w:r>
      <w:r w:rsidR="00197C4A" w:rsidRPr="00A31525">
        <w:rPr>
          <w:rFonts w:ascii="Arial" w:hAnsi="Arial" w:cs="Arial"/>
          <w:sz w:val="24"/>
          <w:szCs w:val="24"/>
        </w:rPr>
        <w:lastRenderedPageBreak/>
        <w:t>tailor their products or services to fit their customers' personal preferences and immediate needs.</w:t>
      </w:r>
    </w:p>
    <w:p w14:paraId="0405D621" w14:textId="1F39FC58"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Customer relations is essential to organizations recording their customers' order history and customer details. The archived customer information is vital in devising personalized services and products for customers based on their past relationship with the organization. Besides, the archived information makes it possible for organization employees to contact their customers and have personalized communication concerning the organization's services.</w:t>
      </w:r>
    </w:p>
    <w:p w14:paraId="6EF4500E" w14:textId="1D8D8EC7"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Developing and maintaining good customer relationships also facilitates optimized marketing in organizations. This is because organizations understand their customers' needs and behaviours, and thus they know the correct time to market their products to customers.</w:t>
      </w:r>
    </w:p>
    <w:p w14:paraId="2DB01F66" w14:textId="77777777" w:rsidR="00197C4A" w:rsidRPr="00A31525" w:rsidRDefault="00197C4A" w:rsidP="00A31525">
      <w:pPr>
        <w:pStyle w:val="Heading2"/>
        <w:spacing w:before="0" w:after="240" w:line="360" w:lineRule="auto"/>
        <w:jc w:val="both"/>
        <w:rPr>
          <w:rFonts w:ascii="Arial" w:hAnsi="Arial" w:cs="Arial"/>
          <w:b/>
          <w:bCs/>
          <w:color w:val="auto"/>
          <w:sz w:val="24"/>
          <w:szCs w:val="24"/>
        </w:rPr>
      </w:pPr>
      <w:bookmarkStart w:id="15" w:name="_Toc57215418"/>
      <w:r w:rsidRPr="00A31525">
        <w:rPr>
          <w:rFonts w:ascii="Arial" w:hAnsi="Arial" w:cs="Arial"/>
          <w:b/>
          <w:bCs/>
          <w:color w:val="auto"/>
          <w:sz w:val="24"/>
          <w:szCs w:val="24"/>
        </w:rPr>
        <w:t>Disadvantages</w:t>
      </w:r>
      <w:bookmarkEnd w:id="15"/>
    </w:p>
    <w:p w14:paraId="58B15EB3" w14:textId="56ED1A08"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Failing to set clear goals and objectives when developing a customer relationship strategy often leads to inefficient results and losses in terms of resources wasted by the planning organization. For a customer relationship to be successful, all departments and everyone in the organization must take part. Success is almost unlikely in a scenario that there is no coordination in setting goals and working towards achieving them. Most organizations know this; however, it still comes out as a major challenge in customer relationships.</w:t>
      </w:r>
    </w:p>
    <w:p w14:paraId="278AE048" w14:textId="06C4CEC3"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Maintaining good relationships is hard. Advanced social media technology makes it very easy for organizations to get in touch with their customers. However, what is most challenging to organizations is to maintain a good relationship with their audience. This is because the process requires substantial financial investment and time to engage the customers well personally.</w:t>
      </w:r>
    </w:p>
    <w:p w14:paraId="15CAE92D" w14:textId="5069D43D" w:rsidR="00197C4A" w:rsidRPr="00A31525" w:rsidRDefault="00197C4A" w:rsidP="00AD62BE">
      <w:pPr>
        <w:pStyle w:val="Heading2"/>
        <w:numPr>
          <w:ilvl w:val="0"/>
          <w:numId w:val="2"/>
        </w:numPr>
        <w:spacing w:before="0" w:after="240" w:line="360" w:lineRule="auto"/>
        <w:jc w:val="both"/>
        <w:rPr>
          <w:rFonts w:ascii="Arial" w:hAnsi="Arial" w:cs="Arial"/>
          <w:b/>
          <w:bCs/>
          <w:color w:val="auto"/>
          <w:sz w:val="24"/>
          <w:szCs w:val="24"/>
        </w:rPr>
      </w:pPr>
      <w:bookmarkStart w:id="16" w:name="_Toc57215419"/>
      <w:r w:rsidRPr="00A31525">
        <w:rPr>
          <w:rFonts w:ascii="Arial" w:hAnsi="Arial" w:cs="Arial"/>
          <w:b/>
          <w:bCs/>
          <w:color w:val="auto"/>
          <w:sz w:val="24"/>
          <w:szCs w:val="24"/>
        </w:rPr>
        <w:t>Recommendation for Developing and Maintaining Good Customer Relationships</w:t>
      </w:r>
      <w:bookmarkEnd w:id="16"/>
    </w:p>
    <w:p w14:paraId="24600D9C" w14:textId="2C55C759" w:rsidR="00197C4A" w:rsidRPr="00A31525" w:rsidRDefault="00EE7B7C" w:rsidP="00A31525">
      <w:pPr>
        <w:spacing w:after="240"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 xml:space="preserve">Developing and maintaining a good customer relationship is crucial for any business entity. In as much as it has its challenges, it also has benefits that outdo the </w:t>
      </w:r>
      <w:r w:rsidR="00197C4A" w:rsidRPr="00A31525">
        <w:rPr>
          <w:rFonts w:ascii="Arial" w:hAnsi="Arial" w:cs="Arial"/>
          <w:sz w:val="24"/>
          <w:szCs w:val="24"/>
        </w:rPr>
        <w:lastRenderedPageBreak/>
        <w:t>challenges. Therefore a business needs to invest hugely in nurturing relationships and having personalized relationships with their customers. The long-term effect of the relationships is a business is a success, which every business entity desires.</w:t>
      </w:r>
    </w:p>
    <w:p w14:paraId="13F6DE3C" w14:textId="6E44D495" w:rsidR="00197C4A" w:rsidRPr="00A31525" w:rsidRDefault="00197C4A" w:rsidP="00AD62BE">
      <w:pPr>
        <w:pStyle w:val="Heading1"/>
        <w:numPr>
          <w:ilvl w:val="0"/>
          <w:numId w:val="2"/>
        </w:numPr>
        <w:spacing w:line="360" w:lineRule="auto"/>
        <w:jc w:val="both"/>
        <w:rPr>
          <w:rFonts w:ascii="Arial" w:hAnsi="Arial" w:cs="Arial"/>
          <w:b/>
          <w:bCs/>
          <w:color w:val="auto"/>
          <w:sz w:val="24"/>
          <w:szCs w:val="24"/>
        </w:rPr>
      </w:pPr>
      <w:bookmarkStart w:id="17" w:name="_Toc57215420"/>
      <w:r w:rsidRPr="00A31525">
        <w:rPr>
          <w:rFonts w:ascii="Arial" w:hAnsi="Arial" w:cs="Arial"/>
          <w:b/>
          <w:bCs/>
          <w:color w:val="auto"/>
          <w:sz w:val="24"/>
          <w:szCs w:val="24"/>
        </w:rPr>
        <w:t>Conclusion</w:t>
      </w:r>
      <w:bookmarkEnd w:id="17"/>
    </w:p>
    <w:p w14:paraId="00B85EFF" w14:textId="24D165B8" w:rsidR="00197C4A" w:rsidRPr="00A31525" w:rsidRDefault="00EE7B7C" w:rsidP="00A31525">
      <w:pPr>
        <w:spacing w:line="360" w:lineRule="auto"/>
        <w:jc w:val="both"/>
        <w:rPr>
          <w:rFonts w:ascii="Arial" w:hAnsi="Arial" w:cs="Arial"/>
          <w:sz w:val="24"/>
          <w:szCs w:val="24"/>
        </w:rPr>
      </w:pPr>
      <w:r>
        <w:rPr>
          <w:rFonts w:ascii="Arial" w:hAnsi="Arial" w:cs="Arial"/>
          <w:sz w:val="24"/>
          <w:szCs w:val="24"/>
        </w:rPr>
        <w:t xml:space="preserve">   </w:t>
      </w:r>
      <w:r w:rsidR="00197C4A" w:rsidRPr="00A31525">
        <w:rPr>
          <w:rFonts w:ascii="Arial" w:hAnsi="Arial" w:cs="Arial"/>
          <w:sz w:val="24"/>
          <w:szCs w:val="24"/>
        </w:rPr>
        <w:t>In summary, Covid-19 has brought difficult times to both businesses, enterprises, and customers. Customers have been forced to adhere to strict health guidelines to reduce the spread of the virus and mitigate the effects of the Covid-19 pandemic. This has made customers try new methods of purchasing goods and services using online platforms. On the other hand, organizations have been forced to try new means like using technology to maintain an excellent personal relationship with their customers before the outbreak of covid-19.  For instance, PWC heightened their use of technology to work from home as a means of consistently serving the needs of their clients during the covid-19 pandemic period.</w:t>
      </w:r>
    </w:p>
    <w:p w14:paraId="3C20FCC8" w14:textId="77777777" w:rsidR="00197C4A" w:rsidRPr="00A31525" w:rsidRDefault="00197C4A" w:rsidP="00A31525">
      <w:pPr>
        <w:spacing w:line="360" w:lineRule="auto"/>
        <w:jc w:val="both"/>
        <w:rPr>
          <w:rFonts w:ascii="Arial" w:hAnsi="Arial" w:cs="Arial"/>
          <w:sz w:val="24"/>
          <w:szCs w:val="24"/>
        </w:rPr>
      </w:pPr>
    </w:p>
    <w:p w14:paraId="588E5B93" w14:textId="77777777" w:rsidR="00197C4A" w:rsidRPr="00A31525" w:rsidRDefault="00197C4A" w:rsidP="00A31525">
      <w:pPr>
        <w:spacing w:line="360" w:lineRule="auto"/>
        <w:jc w:val="both"/>
        <w:rPr>
          <w:rFonts w:ascii="Arial" w:hAnsi="Arial" w:cs="Arial"/>
          <w:sz w:val="24"/>
          <w:szCs w:val="24"/>
        </w:rPr>
      </w:pPr>
    </w:p>
    <w:p w14:paraId="685BF050" w14:textId="05B89FFB" w:rsidR="00197C4A" w:rsidRDefault="00197C4A" w:rsidP="00A31525">
      <w:pPr>
        <w:spacing w:line="360" w:lineRule="auto"/>
        <w:jc w:val="both"/>
        <w:rPr>
          <w:rFonts w:ascii="Arial" w:hAnsi="Arial" w:cs="Arial"/>
          <w:sz w:val="24"/>
          <w:szCs w:val="24"/>
        </w:rPr>
      </w:pPr>
    </w:p>
    <w:p w14:paraId="16DE1E74" w14:textId="6242F971" w:rsidR="00EE7B7C" w:rsidRDefault="00EE7B7C" w:rsidP="00A31525">
      <w:pPr>
        <w:spacing w:line="360" w:lineRule="auto"/>
        <w:jc w:val="both"/>
        <w:rPr>
          <w:rFonts w:ascii="Arial" w:hAnsi="Arial" w:cs="Arial"/>
          <w:sz w:val="24"/>
          <w:szCs w:val="24"/>
        </w:rPr>
      </w:pPr>
    </w:p>
    <w:p w14:paraId="3E6851D2" w14:textId="4317C319" w:rsidR="00EE7B7C" w:rsidRDefault="00EE7B7C" w:rsidP="00A31525">
      <w:pPr>
        <w:spacing w:line="360" w:lineRule="auto"/>
        <w:jc w:val="both"/>
        <w:rPr>
          <w:rFonts w:ascii="Arial" w:hAnsi="Arial" w:cs="Arial"/>
          <w:sz w:val="24"/>
          <w:szCs w:val="24"/>
        </w:rPr>
      </w:pPr>
    </w:p>
    <w:p w14:paraId="01A47FCF" w14:textId="1EC7E6FE" w:rsidR="00EE7B7C" w:rsidRDefault="00EE7B7C" w:rsidP="00A31525">
      <w:pPr>
        <w:spacing w:line="360" w:lineRule="auto"/>
        <w:jc w:val="both"/>
        <w:rPr>
          <w:rFonts w:ascii="Arial" w:hAnsi="Arial" w:cs="Arial"/>
          <w:sz w:val="24"/>
          <w:szCs w:val="24"/>
        </w:rPr>
      </w:pPr>
    </w:p>
    <w:p w14:paraId="75F559FD" w14:textId="608A41B2" w:rsidR="00EE7B7C" w:rsidRDefault="00EE7B7C" w:rsidP="00A31525">
      <w:pPr>
        <w:spacing w:line="360" w:lineRule="auto"/>
        <w:jc w:val="both"/>
        <w:rPr>
          <w:rFonts w:ascii="Arial" w:hAnsi="Arial" w:cs="Arial"/>
          <w:sz w:val="24"/>
          <w:szCs w:val="24"/>
        </w:rPr>
      </w:pPr>
    </w:p>
    <w:p w14:paraId="330738C9" w14:textId="371A38CF" w:rsidR="00EE7B7C" w:rsidRDefault="00EE7B7C" w:rsidP="00A31525">
      <w:pPr>
        <w:spacing w:line="360" w:lineRule="auto"/>
        <w:jc w:val="both"/>
        <w:rPr>
          <w:rFonts w:ascii="Arial" w:hAnsi="Arial" w:cs="Arial"/>
          <w:sz w:val="24"/>
          <w:szCs w:val="24"/>
        </w:rPr>
      </w:pPr>
    </w:p>
    <w:p w14:paraId="0402231C" w14:textId="6109AEB4" w:rsidR="00EE7B7C" w:rsidRDefault="00EE7B7C" w:rsidP="00A31525">
      <w:pPr>
        <w:spacing w:line="360" w:lineRule="auto"/>
        <w:jc w:val="both"/>
        <w:rPr>
          <w:rFonts w:ascii="Arial" w:hAnsi="Arial" w:cs="Arial"/>
          <w:sz w:val="24"/>
          <w:szCs w:val="24"/>
        </w:rPr>
      </w:pPr>
    </w:p>
    <w:p w14:paraId="4B801ECF" w14:textId="0D2AC8DD" w:rsidR="00EE7B7C" w:rsidRDefault="00EE7B7C" w:rsidP="00A31525">
      <w:pPr>
        <w:spacing w:line="360" w:lineRule="auto"/>
        <w:jc w:val="both"/>
        <w:rPr>
          <w:rFonts w:ascii="Arial" w:hAnsi="Arial" w:cs="Arial"/>
          <w:sz w:val="24"/>
          <w:szCs w:val="24"/>
        </w:rPr>
      </w:pPr>
    </w:p>
    <w:p w14:paraId="3D687BB6" w14:textId="6C5EBC26" w:rsidR="00EE7B7C" w:rsidRDefault="00EE7B7C" w:rsidP="00A31525">
      <w:pPr>
        <w:spacing w:line="360" w:lineRule="auto"/>
        <w:jc w:val="both"/>
        <w:rPr>
          <w:rFonts w:ascii="Arial" w:hAnsi="Arial" w:cs="Arial"/>
          <w:sz w:val="24"/>
          <w:szCs w:val="24"/>
        </w:rPr>
      </w:pPr>
    </w:p>
    <w:p w14:paraId="0964DF24" w14:textId="7DD119C1" w:rsidR="00EE7B7C" w:rsidRDefault="00EE7B7C" w:rsidP="00A31525">
      <w:pPr>
        <w:spacing w:line="360" w:lineRule="auto"/>
        <w:jc w:val="both"/>
        <w:rPr>
          <w:rFonts w:ascii="Arial" w:hAnsi="Arial" w:cs="Arial"/>
          <w:sz w:val="24"/>
          <w:szCs w:val="24"/>
        </w:rPr>
      </w:pPr>
    </w:p>
    <w:p w14:paraId="59D5EB5C" w14:textId="7EB31823" w:rsidR="00EE7B7C" w:rsidRDefault="00EE7B7C" w:rsidP="00A31525">
      <w:pPr>
        <w:spacing w:line="360" w:lineRule="auto"/>
        <w:jc w:val="both"/>
        <w:rPr>
          <w:rFonts w:ascii="Arial" w:hAnsi="Arial" w:cs="Arial"/>
          <w:sz w:val="24"/>
          <w:szCs w:val="24"/>
        </w:rPr>
      </w:pPr>
    </w:p>
    <w:p w14:paraId="37B1F040" w14:textId="405A92B4" w:rsidR="00EE7B7C" w:rsidRDefault="00EE7B7C" w:rsidP="00A31525">
      <w:pPr>
        <w:spacing w:line="360" w:lineRule="auto"/>
        <w:jc w:val="both"/>
        <w:rPr>
          <w:rFonts w:ascii="Arial" w:hAnsi="Arial" w:cs="Arial"/>
          <w:sz w:val="24"/>
          <w:szCs w:val="24"/>
        </w:rPr>
      </w:pPr>
    </w:p>
    <w:p w14:paraId="6DBAD9DB" w14:textId="77777777" w:rsidR="00EE7B7C" w:rsidRPr="00A31525" w:rsidRDefault="00EE7B7C" w:rsidP="00A31525">
      <w:pPr>
        <w:spacing w:line="360" w:lineRule="auto"/>
        <w:jc w:val="both"/>
        <w:rPr>
          <w:rFonts w:ascii="Arial" w:hAnsi="Arial" w:cs="Arial"/>
          <w:sz w:val="24"/>
          <w:szCs w:val="24"/>
        </w:rPr>
      </w:pPr>
    </w:p>
    <w:p w14:paraId="434A9E74" w14:textId="77777777" w:rsidR="00197C4A" w:rsidRPr="00A31525" w:rsidRDefault="00197C4A" w:rsidP="00A31525">
      <w:pPr>
        <w:spacing w:line="360" w:lineRule="auto"/>
        <w:jc w:val="both"/>
        <w:rPr>
          <w:rFonts w:ascii="Arial" w:hAnsi="Arial" w:cs="Arial"/>
          <w:sz w:val="24"/>
          <w:szCs w:val="24"/>
        </w:rPr>
      </w:pPr>
    </w:p>
    <w:p w14:paraId="20ADB16B" w14:textId="77777777" w:rsidR="00197C4A" w:rsidRPr="00A31525" w:rsidRDefault="00197C4A" w:rsidP="00A31525">
      <w:pPr>
        <w:pStyle w:val="Heading1"/>
        <w:spacing w:line="360" w:lineRule="auto"/>
        <w:jc w:val="both"/>
        <w:rPr>
          <w:rFonts w:ascii="Arial" w:hAnsi="Arial" w:cs="Arial"/>
          <w:b/>
          <w:bCs/>
          <w:color w:val="auto"/>
          <w:sz w:val="24"/>
          <w:szCs w:val="24"/>
        </w:rPr>
      </w:pPr>
      <w:bookmarkStart w:id="18" w:name="_Toc57215421"/>
      <w:r w:rsidRPr="00A31525">
        <w:rPr>
          <w:rFonts w:ascii="Arial" w:hAnsi="Arial" w:cs="Arial"/>
          <w:b/>
          <w:bCs/>
          <w:color w:val="auto"/>
          <w:sz w:val="24"/>
          <w:szCs w:val="24"/>
        </w:rPr>
        <w:t>References</w:t>
      </w:r>
      <w:bookmarkEnd w:id="18"/>
    </w:p>
    <w:p w14:paraId="427C1137" w14:textId="75C63726"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Chapman, S., Sullivan, C., Palm, C., Huynh, U., Diru, W., and Masira, J. (2016). Monitoring and evaluation to support adaptive co-management: lessons learned from the Millennium Villages Project. </w:t>
      </w:r>
      <w:r w:rsidRPr="00EE7B7C">
        <w:rPr>
          <w:rFonts w:ascii="Arial" w:hAnsi="Arial" w:cs="Arial"/>
          <w:i/>
          <w:iCs/>
          <w:sz w:val="24"/>
          <w:szCs w:val="24"/>
          <w:shd w:val="clear" w:color="auto" w:fill="FFFFFF"/>
        </w:rPr>
        <w:t>Journal of environmental management</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183</w:t>
      </w:r>
      <w:r w:rsidRPr="00EE7B7C">
        <w:rPr>
          <w:rFonts w:ascii="Arial" w:hAnsi="Arial" w:cs="Arial"/>
          <w:sz w:val="24"/>
          <w:szCs w:val="24"/>
          <w:shd w:val="clear" w:color="auto" w:fill="FFFFFF"/>
        </w:rPr>
        <w:t>, pp.142-151.</w:t>
      </w:r>
    </w:p>
    <w:p w14:paraId="2CAD3F6D" w14:textId="3AD244CC"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Christensen, B.E., Glover, S.M., Omer, T.C., and Shelley, M.K. (2016). Understanding audit quality: Insights from audit professionals and investors. </w:t>
      </w:r>
      <w:r w:rsidRPr="00EE7B7C">
        <w:rPr>
          <w:rFonts w:ascii="Arial" w:hAnsi="Arial" w:cs="Arial"/>
          <w:i/>
          <w:iCs/>
          <w:sz w:val="24"/>
          <w:szCs w:val="24"/>
          <w:shd w:val="clear" w:color="auto" w:fill="FFFFFF"/>
        </w:rPr>
        <w:t>Contemporary Accounting Research</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33</w:t>
      </w:r>
      <w:r w:rsidRPr="00EE7B7C">
        <w:rPr>
          <w:rFonts w:ascii="Arial" w:hAnsi="Arial" w:cs="Arial"/>
          <w:sz w:val="24"/>
          <w:szCs w:val="24"/>
          <w:shd w:val="clear" w:color="auto" w:fill="FFFFFF"/>
        </w:rPr>
        <w:t>(4), pp.1648-1684.</w:t>
      </w:r>
    </w:p>
    <w:p w14:paraId="0D670747" w14:textId="5E661657"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De Keyser, A., Lemon, K.N., Klaus, P. and Keiningham, T.L. (2015). A framework for understanding and managing the customer experience. </w:t>
      </w:r>
      <w:r w:rsidRPr="00EE7B7C">
        <w:rPr>
          <w:rFonts w:ascii="Arial" w:hAnsi="Arial" w:cs="Arial"/>
          <w:i/>
          <w:iCs/>
          <w:sz w:val="24"/>
          <w:szCs w:val="24"/>
          <w:shd w:val="clear" w:color="auto" w:fill="FFFFFF"/>
        </w:rPr>
        <w:t>Marketing Science Institute working paper series</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85</w:t>
      </w:r>
      <w:r w:rsidRPr="00EE7B7C">
        <w:rPr>
          <w:rFonts w:ascii="Arial" w:hAnsi="Arial" w:cs="Arial"/>
          <w:sz w:val="24"/>
          <w:szCs w:val="24"/>
          <w:shd w:val="clear" w:color="auto" w:fill="FFFFFF"/>
        </w:rPr>
        <w:t>(1), pp.15-121.</w:t>
      </w:r>
    </w:p>
    <w:p w14:paraId="448ED7A1" w14:textId="7AEAAC44"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Duygun, A., and Şen, E. (2020). Evaluation of Consumer Purchasing Behaviors in the COVID-19 Pandemic Period in the Context of Maslow's Hierarchy of Needs. </w:t>
      </w:r>
      <w:r w:rsidRPr="00EE7B7C">
        <w:rPr>
          <w:rFonts w:ascii="Arial" w:hAnsi="Arial" w:cs="Arial"/>
          <w:i/>
          <w:iCs/>
          <w:sz w:val="24"/>
          <w:szCs w:val="24"/>
          <w:shd w:val="clear" w:color="auto" w:fill="FFFFFF"/>
        </w:rPr>
        <w:t>PazarlamaTeorisi ve Uygulamaları Dergisi</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6</w:t>
      </w:r>
      <w:r w:rsidRPr="00EE7B7C">
        <w:rPr>
          <w:rFonts w:ascii="Arial" w:hAnsi="Arial" w:cs="Arial"/>
          <w:sz w:val="24"/>
          <w:szCs w:val="24"/>
          <w:shd w:val="clear" w:color="auto" w:fill="FFFFFF"/>
        </w:rPr>
        <w:t>(1), pp.45-68.</w:t>
      </w:r>
    </w:p>
    <w:p w14:paraId="36F3151A" w14:textId="7BD11CC5"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Fallatah, R.H.M., and Syed, J. (2018). A critical review of Maslow's hierarchy of needs. In </w:t>
      </w:r>
      <w:r w:rsidRPr="00EE7B7C">
        <w:rPr>
          <w:rFonts w:ascii="Arial" w:hAnsi="Arial" w:cs="Arial"/>
          <w:i/>
          <w:iCs/>
          <w:sz w:val="24"/>
          <w:szCs w:val="24"/>
          <w:shd w:val="clear" w:color="auto" w:fill="FFFFFF"/>
        </w:rPr>
        <w:t>Employee Motivation in Saudi Arabia</w:t>
      </w:r>
      <w:r w:rsidRPr="00EE7B7C">
        <w:rPr>
          <w:rFonts w:ascii="Arial" w:hAnsi="Arial" w:cs="Arial"/>
          <w:sz w:val="24"/>
          <w:szCs w:val="24"/>
          <w:shd w:val="clear" w:color="auto" w:fill="FFFFFF"/>
        </w:rPr>
        <w:t> (pp. 19-59). Palgrave Macmillan, Cham.</w:t>
      </w:r>
    </w:p>
    <w:p w14:paraId="267D6994" w14:textId="408271FB"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Gilmore, A., Glow, H., and Johanson, K. (2017). Accounting for quality: Arts evaluation, public value, and the case of "culture counts". </w:t>
      </w:r>
      <w:r w:rsidRPr="00EE7B7C">
        <w:rPr>
          <w:rFonts w:ascii="Arial" w:hAnsi="Arial" w:cs="Arial"/>
          <w:i/>
          <w:iCs/>
          <w:sz w:val="24"/>
          <w:szCs w:val="24"/>
          <w:shd w:val="clear" w:color="auto" w:fill="FFFFFF"/>
        </w:rPr>
        <w:t>Cultural trends</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26</w:t>
      </w:r>
      <w:r w:rsidRPr="00EE7B7C">
        <w:rPr>
          <w:rFonts w:ascii="Arial" w:hAnsi="Arial" w:cs="Arial"/>
          <w:sz w:val="24"/>
          <w:szCs w:val="24"/>
          <w:shd w:val="clear" w:color="auto" w:fill="FFFFFF"/>
        </w:rPr>
        <w:t>(4), pp.282-294.</w:t>
      </w:r>
    </w:p>
    <w:p w14:paraId="34481228" w14:textId="1AD7753D"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Groucutt, J., and Hopkins, C. (2015). </w:t>
      </w:r>
      <w:r w:rsidRPr="00EE7B7C">
        <w:rPr>
          <w:rFonts w:ascii="Arial" w:hAnsi="Arial" w:cs="Arial"/>
          <w:i/>
          <w:iCs/>
          <w:sz w:val="24"/>
          <w:szCs w:val="24"/>
          <w:shd w:val="clear" w:color="auto" w:fill="FFFFFF"/>
        </w:rPr>
        <w:t>Marketing</w:t>
      </w:r>
      <w:r w:rsidRPr="00EE7B7C">
        <w:rPr>
          <w:rFonts w:ascii="Arial" w:hAnsi="Arial" w:cs="Arial"/>
          <w:sz w:val="24"/>
          <w:szCs w:val="24"/>
          <w:shd w:val="clear" w:color="auto" w:fill="FFFFFF"/>
        </w:rPr>
        <w:t>. Macmillan International Higher Education.</w:t>
      </w:r>
    </w:p>
    <w:p w14:paraId="4BED55A2" w14:textId="13FE59B7"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Jain, R., Aagja, J., and Bagdare, S. (2017). Customer experience–a review and research agenda. </w:t>
      </w:r>
      <w:r w:rsidRPr="00EE7B7C">
        <w:rPr>
          <w:rFonts w:ascii="Arial" w:hAnsi="Arial" w:cs="Arial"/>
          <w:i/>
          <w:iCs/>
          <w:sz w:val="24"/>
          <w:szCs w:val="24"/>
          <w:shd w:val="clear" w:color="auto" w:fill="FFFFFF"/>
        </w:rPr>
        <w:t>Journal of Service Theory and Practice</w:t>
      </w:r>
      <w:r w:rsidRPr="00EE7B7C">
        <w:rPr>
          <w:rFonts w:ascii="Arial" w:hAnsi="Arial" w:cs="Arial"/>
          <w:sz w:val="24"/>
          <w:szCs w:val="24"/>
          <w:shd w:val="clear" w:color="auto" w:fill="FFFFFF"/>
        </w:rPr>
        <w:t>.</w:t>
      </w:r>
    </w:p>
    <w:p w14:paraId="6AFAFE2B" w14:textId="5241B634"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Kiessling, T., Isaksson, L., and Yasar, B. (2016). Market orientation and CSR: Performance implications. </w:t>
      </w:r>
      <w:r w:rsidRPr="00EE7B7C">
        <w:rPr>
          <w:rFonts w:ascii="Arial" w:hAnsi="Arial" w:cs="Arial"/>
          <w:i/>
          <w:iCs/>
          <w:sz w:val="24"/>
          <w:szCs w:val="24"/>
          <w:shd w:val="clear" w:color="auto" w:fill="FFFFFF"/>
        </w:rPr>
        <w:t>Journal of Business Ethics</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137</w:t>
      </w:r>
      <w:r w:rsidRPr="00EE7B7C">
        <w:rPr>
          <w:rFonts w:ascii="Arial" w:hAnsi="Arial" w:cs="Arial"/>
          <w:sz w:val="24"/>
          <w:szCs w:val="24"/>
          <w:shd w:val="clear" w:color="auto" w:fill="FFFFFF"/>
        </w:rPr>
        <w:t>(2), pp.269-284.</w:t>
      </w:r>
    </w:p>
    <w:p w14:paraId="39F59B0D" w14:textId="6725E458"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Klovienė, L., and Gimzauskiene, E. (2015). The effect of information technology on accounting system's conformity with business environment: A case study in banking sector company. </w:t>
      </w:r>
      <w:r w:rsidRPr="00EE7B7C">
        <w:rPr>
          <w:rFonts w:ascii="Arial" w:hAnsi="Arial" w:cs="Arial"/>
          <w:i/>
          <w:iCs/>
          <w:sz w:val="24"/>
          <w:szCs w:val="24"/>
          <w:shd w:val="clear" w:color="auto" w:fill="FFFFFF"/>
        </w:rPr>
        <w:t>Procedia Economics and finance</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32</w:t>
      </w:r>
      <w:r w:rsidRPr="00EE7B7C">
        <w:rPr>
          <w:rFonts w:ascii="Arial" w:hAnsi="Arial" w:cs="Arial"/>
          <w:sz w:val="24"/>
          <w:szCs w:val="24"/>
          <w:shd w:val="clear" w:color="auto" w:fill="FFFFFF"/>
        </w:rPr>
        <w:t>, pp.1707-1712.</w:t>
      </w:r>
    </w:p>
    <w:p w14:paraId="1E4A1D10" w14:textId="3B614D7D"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lastRenderedPageBreak/>
        <w:t>Kruglanski, A.W., Jasko, K., Milyavsky, M., Chernikova, M., Webber, D., Pierro, A., and Di Santo, D. (2018). Cognitive consistency theory in social psychology: A paradigm reconsidered. </w:t>
      </w:r>
      <w:r w:rsidRPr="00EE7B7C">
        <w:rPr>
          <w:rFonts w:ascii="Arial" w:hAnsi="Arial" w:cs="Arial"/>
          <w:i/>
          <w:iCs/>
          <w:sz w:val="24"/>
          <w:szCs w:val="24"/>
          <w:shd w:val="clear" w:color="auto" w:fill="FFFFFF"/>
        </w:rPr>
        <w:t>Psychological Inquiry</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29</w:t>
      </w:r>
      <w:r w:rsidRPr="00EE7B7C">
        <w:rPr>
          <w:rFonts w:ascii="Arial" w:hAnsi="Arial" w:cs="Arial"/>
          <w:sz w:val="24"/>
          <w:szCs w:val="24"/>
          <w:shd w:val="clear" w:color="auto" w:fill="FFFFFF"/>
        </w:rPr>
        <w:t>(2), pp.45-59.</w:t>
      </w:r>
    </w:p>
    <w:p w14:paraId="1C49B266" w14:textId="43F2142C"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Lemon, KN, and Verhoef, P.C. (2016). Understanding customer experience throughout the customer journey. </w:t>
      </w:r>
      <w:r w:rsidRPr="00EE7B7C">
        <w:rPr>
          <w:rFonts w:ascii="Arial" w:hAnsi="Arial" w:cs="Arial"/>
          <w:i/>
          <w:iCs/>
          <w:sz w:val="24"/>
          <w:szCs w:val="24"/>
          <w:shd w:val="clear" w:color="auto" w:fill="FFFFFF"/>
        </w:rPr>
        <w:t>Journal of marketing</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80</w:t>
      </w:r>
      <w:r w:rsidRPr="00EE7B7C">
        <w:rPr>
          <w:rFonts w:ascii="Arial" w:hAnsi="Arial" w:cs="Arial"/>
          <w:sz w:val="24"/>
          <w:szCs w:val="24"/>
          <w:shd w:val="clear" w:color="auto" w:fill="FFFFFF"/>
        </w:rPr>
        <w:t>(6), pp.69-96.</w:t>
      </w:r>
    </w:p>
    <w:p w14:paraId="524DC6C0" w14:textId="75E21E3A"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Mahmoud, M.A., Blankson, C., Owusu-Frimpong, N., Nwankwo, S., and Trang, T.P. (2016). Market orientation, learning orientation, and business performance. </w:t>
      </w:r>
      <w:r w:rsidRPr="00EE7B7C">
        <w:rPr>
          <w:rFonts w:ascii="Arial" w:hAnsi="Arial" w:cs="Arial"/>
          <w:i/>
          <w:iCs/>
          <w:sz w:val="24"/>
          <w:szCs w:val="24"/>
          <w:shd w:val="clear" w:color="auto" w:fill="FFFFFF"/>
        </w:rPr>
        <w:t>International Journal of Bank Marketing</w:t>
      </w:r>
      <w:r w:rsidRPr="00EE7B7C">
        <w:rPr>
          <w:rFonts w:ascii="Arial" w:hAnsi="Arial" w:cs="Arial"/>
          <w:sz w:val="24"/>
          <w:szCs w:val="24"/>
          <w:shd w:val="clear" w:color="auto" w:fill="FFFFFF"/>
        </w:rPr>
        <w:t>.</w:t>
      </w:r>
    </w:p>
    <w:p w14:paraId="0CCE8979" w14:textId="3BC66DBE"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Mitra, A. (2016). </w:t>
      </w:r>
      <w:r w:rsidRPr="00EE7B7C">
        <w:rPr>
          <w:rFonts w:ascii="Arial" w:hAnsi="Arial" w:cs="Arial"/>
          <w:i/>
          <w:iCs/>
          <w:sz w:val="24"/>
          <w:szCs w:val="24"/>
          <w:shd w:val="clear" w:color="auto" w:fill="FFFFFF"/>
        </w:rPr>
        <w:t>Fundamentals of quality control and improvement</w:t>
      </w:r>
      <w:r w:rsidRPr="00EE7B7C">
        <w:rPr>
          <w:rFonts w:ascii="Arial" w:hAnsi="Arial" w:cs="Arial"/>
          <w:sz w:val="24"/>
          <w:szCs w:val="24"/>
          <w:shd w:val="clear" w:color="auto" w:fill="FFFFFF"/>
        </w:rPr>
        <w:t>. John Wiley &amp; Sons.</w:t>
      </w:r>
    </w:p>
    <w:p w14:paraId="6A7C92A3" w14:textId="3EE0D7D2" w:rsidR="00197C4A" w:rsidRPr="00EE7B7C" w:rsidRDefault="00197C4A" w:rsidP="00EE7B7C">
      <w:pPr>
        <w:pStyle w:val="ListParagraph"/>
        <w:numPr>
          <w:ilvl w:val="0"/>
          <w:numId w:val="1"/>
        </w:numPr>
        <w:spacing w:line="360" w:lineRule="auto"/>
        <w:jc w:val="both"/>
        <w:rPr>
          <w:rFonts w:ascii="Arial" w:hAnsi="Arial" w:cs="Arial"/>
          <w:sz w:val="24"/>
          <w:szCs w:val="24"/>
        </w:rPr>
      </w:pPr>
      <w:r w:rsidRPr="00EE7B7C">
        <w:rPr>
          <w:rFonts w:ascii="Arial" w:hAnsi="Arial" w:cs="Arial"/>
          <w:sz w:val="24"/>
          <w:szCs w:val="24"/>
          <w:shd w:val="clear" w:color="auto" w:fill="FFFFFF"/>
        </w:rPr>
        <w:t>PwC. 2020. </w:t>
      </w:r>
      <w:r w:rsidRPr="00EE7B7C">
        <w:rPr>
          <w:rFonts w:ascii="Arial" w:hAnsi="Arial" w:cs="Arial"/>
          <w:i/>
          <w:iCs/>
          <w:sz w:val="24"/>
          <w:szCs w:val="24"/>
          <w:shd w:val="clear" w:color="auto" w:fill="FFFFFF"/>
        </w:rPr>
        <w:t>About Us</w:t>
      </w:r>
      <w:r w:rsidRPr="00EE7B7C">
        <w:rPr>
          <w:rFonts w:ascii="Arial" w:hAnsi="Arial" w:cs="Arial"/>
          <w:sz w:val="24"/>
          <w:szCs w:val="24"/>
          <w:shd w:val="clear" w:color="auto" w:fill="FFFFFF"/>
        </w:rPr>
        <w:t>. [online] Available at: &lt;https://www.pwc.com/gx/en/about.html&gt; [Accessed 25 November 2020].</w:t>
      </w:r>
    </w:p>
    <w:p w14:paraId="48127372" w14:textId="4E1A05B2"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Sharp, B. (2017). </w:t>
      </w:r>
      <w:r w:rsidRPr="00EE7B7C">
        <w:rPr>
          <w:rFonts w:ascii="Arial" w:hAnsi="Arial" w:cs="Arial"/>
          <w:i/>
          <w:iCs/>
          <w:sz w:val="24"/>
          <w:szCs w:val="24"/>
          <w:shd w:val="clear" w:color="auto" w:fill="FFFFFF"/>
        </w:rPr>
        <w:t>Marketing: theory, evidence, practice</w:t>
      </w:r>
      <w:r w:rsidRPr="00EE7B7C">
        <w:rPr>
          <w:rFonts w:ascii="Arial" w:hAnsi="Arial" w:cs="Arial"/>
          <w:sz w:val="24"/>
          <w:szCs w:val="24"/>
          <w:shd w:val="clear" w:color="auto" w:fill="FFFFFF"/>
        </w:rPr>
        <w:t>. Oxford University Press,.</w:t>
      </w:r>
    </w:p>
    <w:p w14:paraId="06E3BC67" w14:textId="2FF0EB39" w:rsidR="00197C4A" w:rsidRPr="00EE7B7C" w:rsidRDefault="00197C4A" w:rsidP="00EE7B7C">
      <w:pPr>
        <w:pStyle w:val="ListParagraph"/>
        <w:numPr>
          <w:ilvl w:val="0"/>
          <w:numId w:val="1"/>
        </w:numPr>
        <w:spacing w:line="360" w:lineRule="auto"/>
        <w:jc w:val="both"/>
        <w:rPr>
          <w:rFonts w:ascii="Arial" w:hAnsi="Arial" w:cs="Arial"/>
          <w:sz w:val="24"/>
          <w:szCs w:val="24"/>
          <w:shd w:val="clear" w:color="auto" w:fill="FFFFFF"/>
        </w:rPr>
      </w:pPr>
      <w:r w:rsidRPr="00EE7B7C">
        <w:rPr>
          <w:rFonts w:ascii="Arial" w:hAnsi="Arial" w:cs="Arial"/>
          <w:sz w:val="24"/>
          <w:szCs w:val="24"/>
          <w:shd w:val="clear" w:color="auto" w:fill="FFFFFF"/>
        </w:rPr>
        <w:t>Wilson, J.P., and Campbell, L. (2020). ISO 9001: 2015: the evolution and convergence of quality management and knowledge management for competitive advantage. </w:t>
      </w:r>
      <w:r w:rsidRPr="00EE7B7C">
        <w:rPr>
          <w:rFonts w:ascii="Arial" w:hAnsi="Arial" w:cs="Arial"/>
          <w:i/>
          <w:iCs/>
          <w:sz w:val="24"/>
          <w:szCs w:val="24"/>
          <w:shd w:val="clear" w:color="auto" w:fill="FFFFFF"/>
        </w:rPr>
        <w:t>Total Quality Management &amp; Business Excellence</w:t>
      </w:r>
      <w:r w:rsidRPr="00EE7B7C">
        <w:rPr>
          <w:rFonts w:ascii="Arial" w:hAnsi="Arial" w:cs="Arial"/>
          <w:sz w:val="24"/>
          <w:szCs w:val="24"/>
          <w:shd w:val="clear" w:color="auto" w:fill="FFFFFF"/>
        </w:rPr>
        <w:t>, </w:t>
      </w:r>
      <w:r w:rsidRPr="00EE7B7C">
        <w:rPr>
          <w:rFonts w:ascii="Arial" w:hAnsi="Arial" w:cs="Arial"/>
          <w:i/>
          <w:iCs/>
          <w:sz w:val="24"/>
          <w:szCs w:val="24"/>
          <w:shd w:val="clear" w:color="auto" w:fill="FFFFFF"/>
        </w:rPr>
        <w:t>31</w:t>
      </w:r>
      <w:r w:rsidRPr="00EE7B7C">
        <w:rPr>
          <w:rFonts w:ascii="Arial" w:hAnsi="Arial" w:cs="Arial"/>
          <w:sz w:val="24"/>
          <w:szCs w:val="24"/>
          <w:shd w:val="clear" w:color="auto" w:fill="FFFFFF"/>
        </w:rPr>
        <w:t>(7-8), pp.761-776.</w:t>
      </w:r>
    </w:p>
    <w:p w14:paraId="69BF62AE" w14:textId="77777777" w:rsidR="00197C4A" w:rsidRPr="00A31525" w:rsidRDefault="00197C4A" w:rsidP="00A31525">
      <w:pPr>
        <w:spacing w:line="360" w:lineRule="auto"/>
        <w:jc w:val="both"/>
        <w:rPr>
          <w:rFonts w:ascii="Arial" w:hAnsi="Arial" w:cs="Arial"/>
          <w:sz w:val="24"/>
          <w:szCs w:val="24"/>
          <w:shd w:val="clear" w:color="auto" w:fill="FFFFFF"/>
        </w:rPr>
      </w:pPr>
    </w:p>
    <w:p w14:paraId="6E398DF1" w14:textId="77777777" w:rsidR="00197C4A" w:rsidRPr="00A31525" w:rsidRDefault="00197C4A" w:rsidP="00A31525">
      <w:pPr>
        <w:spacing w:line="360" w:lineRule="auto"/>
        <w:jc w:val="both"/>
        <w:rPr>
          <w:rFonts w:ascii="Arial" w:hAnsi="Arial" w:cs="Arial"/>
          <w:sz w:val="24"/>
          <w:szCs w:val="24"/>
          <w:shd w:val="clear" w:color="auto" w:fill="FFFFFF"/>
        </w:rPr>
      </w:pPr>
    </w:p>
    <w:p w14:paraId="3107437F" w14:textId="77777777" w:rsidR="00197C4A" w:rsidRPr="00A31525" w:rsidRDefault="00197C4A" w:rsidP="00A31525">
      <w:pPr>
        <w:spacing w:line="360" w:lineRule="auto"/>
        <w:jc w:val="both"/>
        <w:rPr>
          <w:rFonts w:ascii="Arial" w:hAnsi="Arial" w:cs="Arial"/>
          <w:sz w:val="24"/>
          <w:szCs w:val="24"/>
          <w:shd w:val="clear" w:color="auto" w:fill="FFFFFF"/>
        </w:rPr>
      </w:pPr>
    </w:p>
    <w:p w14:paraId="7EB53D2B" w14:textId="77777777" w:rsidR="00197C4A" w:rsidRPr="00A31525" w:rsidRDefault="00197C4A" w:rsidP="00A31525">
      <w:pPr>
        <w:spacing w:line="360" w:lineRule="auto"/>
        <w:jc w:val="both"/>
        <w:rPr>
          <w:rFonts w:ascii="Arial" w:hAnsi="Arial" w:cs="Arial"/>
          <w:sz w:val="24"/>
          <w:szCs w:val="24"/>
          <w:shd w:val="clear" w:color="auto" w:fill="FFFFFF"/>
        </w:rPr>
      </w:pPr>
    </w:p>
    <w:p w14:paraId="09F89941" w14:textId="77777777" w:rsidR="00197C4A" w:rsidRPr="00A31525" w:rsidRDefault="00197C4A" w:rsidP="00A31525">
      <w:pPr>
        <w:spacing w:line="360" w:lineRule="auto"/>
        <w:jc w:val="both"/>
        <w:rPr>
          <w:rFonts w:ascii="Arial" w:hAnsi="Arial" w:cs="Arial"/>
          <w:sz w:val="24"/>
          <w:szCs w:val="24"/>
          <w:shd w:val="clear" w:color="auto" w:fill="FFFFFF"/>
        </w:rPr>
      </w:pPr>
    </w:p>
    <w:p w14:paraId="211C0531" w14:textId="77777777" w:rsidR="00197C4A" w:rsidRPr="00A31525" w:rsidRDefault="00197C4A" w:rsidP="00A31525">
      <w:pPr>
        <w:spacing w:line="360" w:lineRule="auto"/>
        <w:jc w:val="both"/>
        <w:rPr>
          <w:rFonts w:ascii="Arial" w:hAnsi="Arial" w:cs="Arial"/>
          <w:sz w:val="24"/>
          <w:szCs w:val="24"/>
          <w:shd w:val="clear" w:color="auto" w:fill="FFFFFF"/>
        </w:rPr>
      </w:pPr>
    </w:p>
    <w:p w14:paraId="4AFFF394" w14:textId="77777777" w:rsidR="00197C4A" w:rsidRPr="00A31525" w:rsidRDefault="00197C4A" w:rsidP="00A31525">
      <w:pPr>
        <w:spacing w:line="360" w:lineRule="auto"/>
        <w:jc w:val="both"/>
        <w:rPr>
          <w:rFonts w:ascii="Arial" w:hAnsi="Arial" w:cs="Arial"/>
          <w:sz w:val="24"/>
          <w:szCs w:val="24"/>
        </w:rPr>
      </w:pPr>
    </w:p>
    <w:p w14:paraId="5830593E" w14:textId="77777777" w:rsidR="00197C4A" w:rsidRPr="00A31525" w:rsidRDefault="00197C4A" w:rsidP="00A31525">
      <w:pPr>
        <w:spacing w:line="360" w:lineRule="auto"/>
        <w:jc w:val="both"/>
        <w:rPr>
          <w:rFonts w:ascii="Arial" w:hAnsi="Arial" w:cs="Arial"/>
          <w:sz w:val="24"/>
          <w:szCs w:val="24"/>
        </w:rPr>
      </w:pPr>
    </w:p>
    <w:p w14:paraId="70B4AC7D" w14:textId="77777777" w:rsidR="00604C3D" w:rsidRPr="00A31525" w:rsidRDefault="00604C3D" w:rsidP="00A31525">
      <w:pPr>
        <w:spacing w:line="360" w:lineRule="auto"/>
        <w:jc w:val="both"/>
        <w:rPr>
          <w:rFonts w:ascii="Arial" w:hAnsi="Arial" w:cs="Arial"/>
          <w:sz w:val="24"/>
          <w:szCs w:val="24"/>
        </w:rPr>
      </w:pPr>
    </w:p>
    <w:sectPr w:rsidR="00604C3D" w:rsidRPr="00A31525" w:rsidSect="003703B8">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D86582" w14:textId="77777777" w:rsidR="00F91044" w:rsidRDefault="00F91044">
      <w:pPr>
        <w:spacing w:after="0" w:line="240" w:lineRule="auto"/>
      </w:pPr>
      <w:r>
        <w:separator/>
      </w:r>
    </w:p>
  </w:endnote>
  <w:endnote w:type="continuationSeparator" w:id="0">
    <w:p w14:paraId="3ADF2320" w14:textId="77777777" w:rsidR="00F91044" w:rsidRDefault="00F91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6F64EA" w14:textId="77777777" w:rsidR="00F91044" w:rsidRDefault="00F91044">
      <w:pPr>
        <w:spacing w:after="0" w:line="240" w:lineRule="auto"/>
      </w:pPr>
      <w:r>
        <w:separator/>
      </w:r>
    </w:p>
  </w:footnote>
  <w:footnote w:type="continuationSeparator" w:id="0">
    <w:p w14:paraId="3041EC06" w14:textId="77777777" w:rsidR="00F91044" w:rsidRDefault="00F910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DC8F9E" w14:textId="77777777" w:rsidR="00E124AC" w:rsidRDefault="00CD6FB1">
    <w:pPr>
      <w:pStyle w:val="Header"/>
    </w:pPr>
    <w:r>
      <w:t xml:space="preserve">                                                                                    Leadership and Management Skills for the Workplace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74E0F"/>
    <w:multiLevelType w:val="hybridMultilevel"/>
    <w:tmpl w:val="EAFA35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7F2CD0"/>
    <w:multiLevelType w:val="hybridMultilevel"/>
    <w:tmpl w:val="A73880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C3MDU3MzA2MjA3trBQ0lEKTi0uzszPAykwqgUA7JbsfSwAAAA="/>
  </w:docVars>
  <w:rsids>
    <w:rsidRoot w:val="00197C4A"/>
    <w:rsid w:val="0015248E"/>
    <w:rsid w:val="00197C4A"/>
    <w:rsid w:val="00223153"/>
    <w:rsid w:val="00247798"/>
    <w:rsid w:val="0027588F"/>
    <w:rsid w:val="00275D99"/>
    <w:rsid w:val="002C79E7"/>
    <w:rsid w:val="00300C33"/>
    <w:rsid w:val="003703B8"/>
    <w:rsid w:val="003E0871"/>
    <w:rsid w:val="004724B9"/>
    <w:rsid w:val="004D733E"/>
    <w:rsid w:val="00506CC8"/>
    <w:rsid w:val="005529F7"/>
    <w:rsid w:val="00572CA2"/>
    <w:rsid w:val="005824F5"/>
    <w:rsid w:val="00604360"/>
    <w:rsid w:val="00604C3D"/>
    <w:rsid w:val="00671804"/>
    <w:rsid w:val="007638D0"/>
    <w:rsid w:val="00764B0C"/>
    <w:rsid w:val="00874D52"/>
    <w:rsid w:val="008E1D7C"/>
    <w:rsid w:val="00972FE1"/>
    <w:rsid w:val="00A31525"/>
    <w:rsid w:val="00A732ED"/>
    <w:rsid w:val="00AD62BE"/>
    <w:rsid w:val="00AF0628"/>
    <w:rsid w:val="00BA39DC"/>
    <w:rsid w:val="00BB2224"/>
    <w:rsid w:val="00BF79A6"/>
    <w:rsid w:val="00C40892"/>
    <w:rsid w:val="00C5223B"/>
    <w:rsid w:val="00C63709"/>
    <w:rsid w:val="00C7081B"/>
    <w:rsid w:val="00CD6FB1"/>
    <w:rsid w:val="00D632B8"/>
    <w:rsid w:val="00D93BFF"/>
    <w:rsid w:val="00E37B5E"/>
    <w:rsid w:val="00E522CD"/>
    <w:rsid w:val="00EE7B7C"/>
    <w:rsid w:val="00F23FDA"/>
    <w:rsid w:val="00F6138A"/>
    <w:rsid w:val="00F825F9"/>
    <w:rsid w:val="00F91044"/>
    <w:rsid w:val="00FD277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60F62"/>
  <w15:chartTrackingRefBased/>
  <w15:docId w15:val="{8BB3CCEE-6D97-40E7-BF25-B34E7ACC2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C4A"/>
  </w:style>
  <w:style w:type="paragraph" w:styleId="Heading1">
    <w:name w:val="heading 1"/>
    <w:basedOn w:val="Normal"/>
    <w:next w:val="Normal"/>
    <w:link w:val="Heading1Char"/>
    <w:uiPriority w:val="9"/>
    <w:qFormat/>
    <w:rsid w:val="00197C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7C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C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7C4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97C4A"/>
    <w:pPr>
      <w:outlineLvl w:val="9"/>
    </w:pPr>
    <w:rPr>
      <w:lang w:val="en-US"/>
    </w:rPr>
  </w:style>
  <w:style w:type="paragraph" w:styleId="TOC1">
    <w:name w:val="toc 1"/>
    <w:basedOn w:val="Normal"/>
    <w:next w:val="Normal"/>
    <w:autoRedefine/>
    <w:uiPriority w:val="39"/>
    <w:unhideWhenUsed/>
    <w:rsid w:val="00197C4A"/>
    <w:pPr>
      <w:spacing w:after="100"/>
    </w:pPr>
  </w:style>
  <w:style w:type="paragraph" w:styleId="TOC2">
    <w:name w:val="toc 2"/>
    <w:basedOn w:val="Normal"/>
    <w:next w:val="Normal"/>
    <w:autoRedefine/>
    <w:uiPriority w:val="39"/>
    <w:unhideWhenUsed/>
    <w:rsid w:val="00197C4A"/>
    <w:pPr>
      <w:spacing w:after="100"/>
      <w:ind w:left="220"/>
    </w:pPr>
  </w:style>
  <w:style w:type="character" w:styleId="Hyperlink">
    <w:name w:val="Hyperlink"/>
    <w:basedOn w:val="DefaultParagraphFont"/>
    <w:uiPriority w:val="99"/>
    <w:unhideWhenUsed/>
    <w:rsid w:val="00197C4A"/>
    <w:rPr>
      <w:color w:val="0563C1" w:themeColor="hyperlink"/>
      <w:u w:val="single"/>
    </w:rPr>
  </w:style>
  <w:style w:type="paragraph" w:styleId="Header">
    <w:name w:val="header"/>
    <w:basedOn w:val="Normal"/>
    <w:link w:val="HeaderChar"/>
    <w:uiPriority w:val="99"/>
    <w:unhideWhenUsed/>
    <w:rsid w:val="00197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C4A"/>
  </w:style>
  <w:style w:type="paragraph" w:styleId="ListParagraph">
    <w:name w:val="List Paragraph"/>
    <w:basedOn w:val="Normal"/>
    <w:uiPriority w:val="34"/>
    <w:qFormat/>
    <w:rsid w:val="00EE7B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235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18</Pages>
  <Words>5324</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Sirkal</dc:creator>
  <cp:keywords/>
  <dc:description/>
  <cp:lastModifiedBy>Ivaylo Dosev (1909471)</cp:lastModifiedBy>
  <cp:revision>14</cp:revision>
  <dcterms:created xsi:type="dcterms:W3CDTF">2020-11-30T15:27:00Z</dcterms:created>
  <dcterms:modified xsi:type="dcterms:W3CDTF">2020-12-11T08:11:00Z</dcterms:modified>
</cp:coreProperties>
</file>