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617D0"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noProof/>
          <w:sz w:val="22"/>
          <w:szCs w:val="22"/>
          <w:lang w:eastAsia="en-GB"/>
        </w:rPr>
        <w:drawing>
          <wp:anchor distT="0" distB="0" distL="114300" distR="114300" simplePos="0" relativeHeight="251658240" behindDoc="0" locked="0" layoutInCell="1" allowOverlap="1" wp14:anchorId="325DB5C8" wp14:editId="50137839">
            <wp:simplePos x="0" y="0"/>
            <wp:positionH relativeFrom="column">
              <wp:posOffset>-209550</wp:posOffset>
            </wp:positionH>
            <wp:positionV relativeFrom="paragraph">
              <wp:posOffset>5080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2C474D" w14:textId="77777777" w:rsidR="00F71E27" w:rsidRPr="003510C2" w:rsidRDefault="00F71E27">
      <w:pPr>
        <w:spacing w:line="360" w:lineRule="auto"/>
        <w:jc w:val="both"/>
        <w:rPr>
          <w:rFonts w:ascii="Arial" w:hAnsi="Arial" w:cs="Arial"/>
          <w:color w:val="000000" w:themeColor="text1"/>
          <w:sz w:val="22"/>
          <w:szCs w:val="22"/>
        </w:rPr>
      </w:pPr>
    </w:p>
    <w:p w14:paraId="5BB82C6A" w14:textId="77777777" w:rsidR="00F71E27" w:rsidRPr="003510C2" w:rsidRDefault="00F71E27">
      <w:pPr>
        <w:spacing w:line="360" w:lineRule="auto"/>
        <w:jc w:val="both"/>
        <w:rPr>
          <w:rFonts w:ascii="Arial" w:hAnsi="Arial" w:cs="Arial"/>
          <w:color w:val="000000" w:themeColor="text1"/>
          <w:sz w:val="22"/>
          <w:szCs w:val="22"/>
        </w:rPr>
      </w:pPr>
    </w:p>
    <w:p w14:paraId="438CB75F" w14:textId="77777777" w:rsidR="00F71E27" w:rsidRPr="003510C2" w:rsidRDefault="00F71E27">
      <w:pPr>
        <w:spacing w:line="360" w:lineRule="auto"/>
        <w:jc w:val="both"/>
        <w:rPr>
          <w:rFonts w:ascii="Arial" w:hAnsi="Arial" w:cs="Arial"/>
          <w:color w:val="000000" w:themeColor="text1"/>
          <w:sz w:val="22"/>
          <w:szCs w:val="22"/>
        </w:rPr>
      </w:pPr>
    </w:p>
    <w:p w14:paraId="0863A1B0" w14:textId="77777777" w:rsidR="00F71E27" w:rsidRPr="003510C2" w:rsidRDefault="00F71E27">
      <w:pPr>
        <w:spacing w:line="360" w:lineRule="auto"/>
        <w:jc w:val="both"/>
        <w:rPr>
          <w:rFonts w:ascii="Arial" w:hAnsi="Arial" w:cs="Arial"/>
          <w:color w:val="000000" w:themeColor="text1"/>
          <w:sz w:val="22"/>
          <w:szCs w:val="22"/>
        </w:rPr>
      </w:pPr>
    </w:p>
    <w:p w14:paraId="713E9F2C" w14:textId="77777777" w:rsidR="00F71E27" w:rsidRPr="003510C2" w:rsidRDefault="00F71E27">
      <w:pPr>
        <w:spacing w:line="360" w:lineRule="auto"/>
        <w:jc w:val="both"/>
        <w:rPr>
          <w:rFonts w:ascii="Arial" w:hAnsi="Arial" w:cs="Arial"/>
          <w:color w:val="000000" w:themeColor="text1"/>
          <w:sz w:val="22"/>
          <w:szCs w:val="22"/>
        </w:rPr>
      </w:pPr>
    </w:p>
    <w:p w14:paraId="0A6D4AB5" w14:textId="77777777" w:rsidR="00F71E27" w:rsidRPr="003510C2" w:rsidRDefault="00F71E27">
      <w:pPr>
        <w:spacing w:line="360" w:lineRule="auto"/>
        <w:jc w:val="both"/>
        <w:rPr>
          <w:rFonts w:ascii="Arial" w:hAnsi="Arial" w:cs="Arial"/>
          <w:color w:val="000000" w:themeColor="text1"/>
          <w:sz w:val="22"/>
          <w:szCs w:val="22"/>
        </w:rPr>
      </w:pPr>
    </w:p>
    <w:p w14:paraId="1DD7AEA3" w14:textId="77777777" w:rsidR="00F71E27" w:rsidRPr="003510C2" w:rsidRDefault="00F71E27">
      <w:pPr>
        <w:spacing w:line="360" w:lineRule="auto"/>
        <w:jc w:val="both"/>
        <w:rPr>
          <w:rFonts w:ascii="Arial" w:hAnsi="Arial" w:cs="Arial"/>
          <w:color w:val="000000" w:themeColor="text1"/>
          <w:sz w:val="22"/>
          <w:szCs w:val="22"/>
        </w:rPr>
      </w:pPr>
    </w:p>
    <w:p w14:paraId="725F4BFB" w14:textId="3B11659C" w:rsidR="00A73680" w:rsidRPr="000405C2" w:rsidRDefault="000405C2" w:rsidP="000405C2">
      <w:pPr>
        <w:spacing w:line="360" w:lineRule="auto"/>
        <w:jc w:val="center"/>
        <w:rPr>
          <w:rFonts w:ascii="Garamond" w:hAnsi="Garamond" w:cs="Arial"/>
          <w:color w:val="000000" w:themeColor="text1"/>
          <w:sz w:val="36"/>
          <w:szCs w:val="36"/>
        </w:rPr>
      </w:pPr>
      <w:bookmarkStart w:id="0" w:name="_Hlk214356005"/>
      <w:r w:rsidRPr="000405C2">
        <w:rPr>
          <w:rFonts w:ascii="Garamond" w:hAnsi="Garamond" w:cs="Arial"/>
          <w:color w:val="000000" w:themeColor="text1"/>
          <w:sz w:val="36"/>
          <w:szCs w:val="36"/>
        </w:rPr>
        <w:t>Module: BMHP5015</w:t>
      </w:r>
    </w:p>
    <w:bookmarkEnd w:id="0"/>
    <w:p w14:paraId="4CF2D857" w14:textId="26F76AFB" w:rsidR="00A73680" w:rsidRDefault="00F71E27" w:rsidP="000405C2">
      <w:pPr>
        <w:spacing w:line="360" w:lineRule="auto"/>
        <w:jc w:val="center"/>
        <w:rPr>
          <w:rFonts w:ascii="Garamond" w:hAnsi="Garamond" w:cs="Arial"/>
          <w:color w:val="000000" w:themeColor="text1"/>
          <w:sz w:val="36"/>
          <w:szCs w:val="36"/>
        </w:rPr>
      </w:pPr>
      <w:r w:rsidRPr="000405C2">
        <w:rPr>
          <w:rFonts w:ascii="Garamond" w:hAnsi="Garamond" w:cs="Arial"/>
          <w:color w:val="000000" w:themeColor="text1"/>
          <w:sz w:val="36"/>
          <w:szCs w:val="36"/>
        </w:rPr>
        <w:t xml:space="preserve">Component 1: </w:t>
      </w:r>
      <w:r w:rsidR="000405C2" w:rsidRPr="000405C2">
        <w:rPr>
          <w:rFonts w:ascii="Garamond" w:hAnsi="Garamond" w:cs="Arial"/>
          <w:color w:val="000000" w:themeColor="text1"/>
          <w:sz w:val="36"/>
          <w:szCs w:val="36"/>
        </w:rPr>
        <w:t>Online Portfolio Report</w:t>
      </w:r>
    </w:p>
    <w:p w14:paraId="622BD09B" w14:textId="77777777" w:rsidR="000405C2" w:rsidRDefault="000405C2" w:rsidP="000405C2">
      <w:pPr>
        <w:spacing w:line="360" w:lineRule="auto"/>
        <w:jc w:val="center"/>
        <w:rPr>
          <w:rFonts w:ascii="Garamond" w:hAnsi="Garamond" w:cs="Arial"/>
          <w:color w:val="000000" w:themeColor="text1"/>
          <w:sz w:val="36"/>
          <w:szCs w:val="36"/>
        </w:rPr>
      </w:pPr>
    </w:p>
    <w:p w14:paraId="735206FA" w14:textId="77777777" w:rsidR="000405C2" w:rsidRPr="000405C2" w:rsidRDefault="000405C2" w:rsidP="000405C2">
      <w:pPr>
        <w:spacing w:line="360" w:lineRule="auto"/>
        <w:jc w:val="center"/>
        <w:rPr>
          <w:rFonts w:ascii="Garamond" w:hAnsi="Garamond" w:cs="Arial"/>
          <w:color w:val="000000" w:themeColor="text1"/>
          <w:sz w:val="36"/>
          <w:szCs w:val="36"/>
        </w:rPr>
      </w:pPr>
    </w:p>
    <w:p w14:paraId="2B6A541B" w14:textId="22891646" w:rsidR="000405C2" w:rsidRPr="000405C2" w:rsidRDefault="000405C2" w:rsidP="000405C2">
      <w:pPr>
        <w:spacing w:line="360" w:lineRule="auto"/>
        <w:jc w:val="center"/>
        <w:rPr>
          <w:rFonts w:ascii="Garamond" w:hAnsi="Garamond" w:cs="Arial"/>
          <w:color w:val="000000" w:themeColor="text1"/>
          <w:sz w:val="36"/>
          <w:szCs w:val="36"/>
        </w:rPr>
      </w:pPr>
      <w:bookmarkStart w:id="1" w:name="_Hlk214356018"/>
    </w:p>
    <w:bookmarkEnd w:id="1"/>
    <w:p w14:paraId="1B625AB3" w14:textId="67E731B1" w:rsidR="00A73680" w:rsidRPr="000405C2" w:rsidRDefault="00F71E27" w:rsidP="000405C2">
      <w:pPr>
        <w:spacing w:line="360" w:lineRule="auto"/>
        <w:jc w:val="center"/>
        <w:rPr>
          <w:rFonts w:ascii="Garamond" w:hAnsi="Garamond" w:cs="Arial"/>
          <w:color w:val="000000" w:themeColor="text1"/>
          <w:sz w:val="36"/>
          <w:szCs w:val="36"/>
        </w:rPr>
      </w:pPr>
      <w:r w:rsidRPr="000405C2">
        <w:rPr>
          <w:rFonts w:ascii="Garamond" w:hAnsi="Garamond" w:cs="Arial"/>
          <w:color w:val="000000" w:themeColor="text1"/>
          <w:sz w:val="36"/>
          <w:szCs w:val="36"/>
        </w:rPr>
        <w:t>Changemakers: Building your Personal Brand for Sustainable Employment</w:t>
      </w:r>
    </w:p>
    <w:p w14:paraId="255C3540" w14:textId="77777777" w:rsidR="000405C2" w:rsidRPr="000405C2" w:rsidRDefault="000405C2" w:rsidP="000405C2">
      <w:pPr>
        <w:spacing w:line="360" w:lineRule="auto"/>
        <w:jc w:val="center"/>
        <w:rPr>
          <w:rFonts w:ascii="Garamond" w:hAnsi="Garamond" w:cs="Arial"/>
          <w:color w:val="000000" w:themeColor="text1"/>
          <w:sz w:val="36"/>
          <w:szCs w:val="36"/>
        </w:rPr>
      </w:pPr>
    </w:p>
    <w:p w14:paraId="37EBFA4A" w14:textId="77777777" w:rsidR="000405C2" w:rsidRPr="000405C2" w:rsidRDefault="000405C2" w:rsidP="000405C2">
      <w:pPr>
        <w:spacing w:line="360" w:lineRule="auto"/>
        <w:jc w:val="center"/>
        <w:rPr>
          <w:rFonts w:ascii="Garamond" w:hAnsi="Garamond" w:cs="Arial"/>
          <w:color w:val="000000" w:themeColor="text1"/>
          <w:sz w:val="36"/>
          <w:szCs w:val="36"/>
        </w:rPr>
      </w:pPr>
    </w:p>
    <w:p w14:paraId="2479BA38" w14:textId="3F746257" w:rsidR="000405C2" w:rsidRPr="000405C2" w:rsidRDefault="000405C2" w:rsidP="000405C2">
      <w:pPr>
        <w:spacing w:line="360" w:lineRule="auto"/>
        <w:jc w:val="center"/>
        <w:rPr>
          <w:rFonts w:ascii="Garamond" w:hAnsi="Garamond" w:cs="Arial"/>
          <w:color w:val="000000" w:themeColor="text1"/>
          <w:sz w:val="36"/>
          <w:szCs w:val="36"/>
        </w:rPr>
      </w:pPr>
      <w:r w:rsidRPr="000405C2">
        <w:rPr>
          <w:rFonts w:ascii="Garamond" w:hAnsi="Garamond" w:cs="Arial"/>
          <w:color w:val="000000" w:themeColor="text1"/>
          <w:sz w:val="36"/>
          <w:szCs w:val="36"/>
        </w:rPr>
        <w:t>Student Name:</w:t>
      </w:r>
      <w:r w:rsidR="00E946E1">
        <w:rPr>
          <w:rFonts w:ascii="Garamond" w:hAnsi="Garamond" w:cs="Arial"/>
          <w:color w:val="000000" w:themeColor="text1"/>
          <w:sz w:val="36"/>
          <w:szCs w:val="36"/>
        </w:rPr>
        <w:t xml:space="preserve"> Codruta Alexandra Mican</w:t>
      </w:r>
    </w:p>
    <w:p w14:paraId="493576FD" w14:textId="64E5DCF8" w:rsidR="000405C2" w:rsidRPr="000405C2" w:rsidRDefault="000405C2" w:rsidP="000405C2">
      <w:pPr>
        <w:spacing w:line="360" w:lineRule="auto"/>
        <w:jc w:val="center"/>
        <w:rPr>
          <w:rFonts w:ascii="Garamond" w:hAnsi="Garamond" w:cs="Arial"/>
          <w:color w:val="000000" w:themeColor="text1"/>
          <w:sz w:val="36"/>
          <w:szCs w:val="36"/>
        </w:rPr>
      </w:pPr>
      <w:r w:rsidRPr="000405C2">
        <w:rPr>
          <w:rFonts w:ascii="Garamond" w:hAnsi="Garamond" w:cs="Arial"/>
          <w:color w:val="000000" w:themeColor="text1"/>
          <w:sz w:val="36"/>
          <w:szCs w:val="36"/>
        </w:rPr>
        <w:t>Student ID:</w:t>
      </w:r>
      <w:r w:rsidR="00E946E1">
        <w:rPr>
          <w:rFonts w:ascii="Garamond" w:hAnsi="Garamond" w:cs="Arial"/>
          <w:color w:val="000000" w:themeColor="text1"/>
          <w:sz w:val="36"/>
          <w:szCs w:val="36"/>
        </w:rPr>
        <w:t xml:space="preserve"> 2320536</w:t>
      </w:r>
    </w:p>
    <w:p w14:paraId="2AE8032F" w14:textId="77777777" w:rsidR="000405C2" w:rsidRDefault="000405C2">
      <w:pPr>
        <w:spacing w:line="360" w:lineRule="auto"/>
        <w:jc w:val="both"/>
        <w:rPr>
          <w:rFonts w:ascii="Arial" w:hAnsi="Arial" w:cs="Arial"/>
          <w:color w:val="000000" w:themeColor="text1"/>
          <w:sz w:val="22"/>
          <w:szCs w:val="22"/>
        </w:rPr>
      </w:pPr>
    </w:p>
    <w:p w14:paraId="18BD9E8F" w14:textId="77777777" w:rsidR="000405C2" w:rsidRPr="003510C2" w:rsidRDefault="000405C2">
      <w:pPr>
        <w:spacing w:line="360" w:lineRule="auto"/>
        <w:jc w:val="both"/>
        <w:rPr>
          <w:rFonts w:ascii="Arial" w:hAnsi="Arial" w:cs="Arial"/>
          <w:color w:val="000000" w:themeColor="text1"/>
          <w:sz w:val="22"/>
          <w:szCs w:val="22"/>
        </w:rPr>
      </w:pPr>
    </w:p>
    <w:p w14:paraId="273E3762" w14:textId="77777777" w:rsidR="00A73680" w:rsidRPr="003510C2" w:rsidRDefault="00F71E27">
      <w:pPr>
        <w:spacing w:line="360" w:lineRule="auto"/>
        <w:rPr>
          <w:rFonts w:ascii="Arial" w:hAnsi="Arial" w:cs="Arial"/>
          <w:color w:val="000000" w:themeColor="text1"/>
          <w:sz w:val="22"/>
          <w:szCs w:val="22"/>
        </w:rPr>
      </w:pPr>
      <w:r w:rsidRPr="003510C2">
        <w:rPr>
          <w:rFonts w:ascii="Arial" w:hAnsi="Arial" w:cs="Arial"/>
          <w:color w:val="000000" w:themeColor="text1"/>
          <w:sz w:val="22"/>
          <w:szCs w:val="22"/>
        </w:rPr>
        <w:br w:type="page"/>
      </w:r>
    </w:p>
    <w:sdt>
      <w:sdtPr>
        <w:rPr>
          <w:rFonts w:ascii="Arial" w:eastAsia="SimSun" w:hAnsi="Arial" w:cs="Arial"/>
          <w:b/>
          <w:color w:val="000000" w:themeColor="text1"/>
          <w:sz w:val="22"/>
          <w:szCs w:val="22"/>
        </w:rPr>
        <w:id w:val="147453010"/>
        <w15:color w:val="DBDBDB"/>
        <w:docPartObj>
          <w:docPartGallery w:val="Table of Contents"/>
          <w:docPartUnique/>
        </w:docPartObj>
      </w:sdtPr>
      <w:sdtEndPr>
        <w:rPr>
          <w:rFonts w:eastAsiaTheme="minorEastAsia"/>
          <w:b w:val="0"/>
        </w:rPr>
      </w:sdtEndPr>
      <w:sdtContent>
        <w:p w14:paraId="18DF607A" w14:textId="77777777" w:rsidR="00A73680" w:rsidRPr="004E3BBA" w:rsidRDefault="00F71E27">
          <w:pPr>
            <w:spacing w:line="360" w:lineRule="auto"/>
            <w:jc w:val="center"/>
            <w:rPr>
              <w:rFonts w:ascii="Arial" w:hAnsi="Arial" w:cs="Arial"/>
              <w:b/>
              <w:color w:val="000000" w:themeColor="text1"/>
              <w:sz w:val="22"/>
              <w:szCs w:val="22"/>
            </w:rPr>
          </w:pPr>
          <w:r w:rsidRPr="004E3BBA">
            <w:rPr>
              <w:rFonts w:ascii="Arial" w:eastAsia="SimSun" w:hAnsi="Arial" w:cs="Arial"/>
              <w:b/>
              <w:color w:val="000000" w:themeColor="text1"/>
              <w:sz w:val="22"/>
              <w:szCs w:val="22"/>
            </w:rPr>
            <w:t>Contents</w:t>
          </w:r>
        </w:p>
        <w:p w14:paraId="4C84F2CC"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r w:rsidRPr="003510C2">
            <w:rPr>
              <w:rFonts w:ascii="Arial" w:hAnsi="Arial" w:cs="Arial"/>
              <w:color w:val="000000" w:themeColor="text1"/>
              <w:sz w:val="22"/>
              <w:szCs w:val="22"/>
            </w:rPr>
            <w:fldChar w:fldCharType="begin"/>
          </w:r>
          <w:r w:rsidRPr="003510C2">
            <w:rPr>
              <w:rFonts w:ascii="Arial" w:hAnsi="Arial" w:cs="Arial"/>
              <w:color w:val="000000" w:themeColor="text1"/>
              <w:sz w:val="22"/>
              <w:szCs w:val="22"/>
            </w:rPr>
            <w:instrText xml:space="preserve">TOC \o "1-3" \h \u </w:instrText>
          </w:r>
          <w:r w:rsidRPr="003510C2">
            <w:rPr>
              <w:rFonts w:ascii="Arial" w:hAnsi="Arial" w:cs="Arial"/>
              <w:color w:val="000000" w:themeColor="text1"/>
              <w:sz w:val="22"/>
              <w:szCs w:val="22"/>
            </w:rPr>
            <w:fldChar w:fldCharType="separate"/>
          </w:r>
          <w:hyperlink w:anchor="_Toc32415" w:history="1">
            <w:r w:rsidRPr="003510C2">
              <w:rPr>
                <w:rFonts w:ascii="Arial" w:hAnsi="Arial" w:cs="Arial"/>
                <w:noProof/>
                <w:color w:val="000000" w:themeColor="text1"/>
                <w:sz w:val="22"/>
                <w:szCs w:val="22"/>
              </w:rPr>
              <w:t>Introduction</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_Toc32415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3</w:t>
            </w:r>
            <w:r w:rsidRPr="003510C2">
              <w:rPr>
                <w:rFonts w:ascii="Arial" w:hAnsi="Arial" w:cs="Arial"/>
                <w:noProof/>
                <w:color w:val="000000" w:themeColor="text1"/>
                <w:sz w:val="22"/>
                <w:szCs w:val="22"/>
              </w:rPr>
              <w:fldChar w:fldCharType="end"/>
            </w:r>
          </w:hyperlink>
        </w:p>
        <w:p w14:paraId="23636B15"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6592" w:history="1">
            <w:r w:rsidRPr="003510C2">
              <w:rPr>
                <w:rFonts w:ascii="Arial" w:hAnsi="Arial" w:cs="Arial"/>
                <w:noProof/>
                <w:color w:val="000000" w:themeColor="text1"/>
                <w:sz w:val="22"/>
                <w:szCs w:val="22"/>
              </w:rPr>
              <w:t>Task 1: Self-Evalation of the Employability Skills and Profession preparedness.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_Toc6592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3</w:t>
            </w:r>
            <w:r w:rsidRPr="003510C2">
              <w:rPr>
                <w:rFonts w:ascii="Arial" w:hAnsi="Arial" w:cs="Arial"/>
                <w:noProof/>
                <w:color w:val="000000" w:themeColor="text1"/>
                <w:sz w:val="22"/>
                <w:szCs w:val="22"/>
              </w:rPr>
              <w:fldChar w:fldCharType="end"/>
            </w:r>
          </w:hyperlink>
        </w:p>
        <w:p w14:paraId="380FB87B"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0884" w:history="1">
            <w:r w:rsidRPr="003510C2">
              <w:rPr>
                <w:rFonts w:ascii="Arial" w:hAnsi="Arial" w:cs="Arial"/>
                <w:noProof/>
                <w:color w:val="000000" w:themeColor="text1"/>
                <w:sz w:val="22"/>
                <w:szCs w:val="22"/>
              </w:rPr>
              <w:t>Realising up-to-date Employability Strengths.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_Toc20884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3</w:t>
            </w:r>
            <w:r w:rsidRPr="003510C2">
              <w:rPr>
                <w:rFonts w:ascii="Arial" w:hAnsi="Arial" w:cs="Arial"/>
                <w:noProof/>
                <w:color w:val="000000" w:themeColor="text1"/>
                <w:sz w:val="22"/>
                <w:szCs w:val="22"/>
              </w:rPr>
              <w:fldChar w:fldCharType="end"/>
            </w:r>
          </w:hyperlink>
        </w:p>
        <w:p w14:paraId="4E2514D5"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30244" w:history="1">
            <w:r w:rsidRPr="003510C2">
              <w:rPr>
                <w:rFonts w:ascii="Arial" w:hAnsi="Arial" w:cs="Arial"/>
                <w:noProof/>
                <w:color w:val="000000" w:themeColor="text1"/>
                <w:sz w:val="22"/>
                <w:szCs w:val="22"/>
              </w:rPr>
              <w:t>Determining Areas of Development.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_Toc30244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3</w:t>
            </w:r>
            <w:r w:rsidRPr="003510C2">
              <w:rPr>
                <w:rFonts w:ascii="Arial" w:hAnsi="Arial" w:cs="Arial"/>
                <w:noProof/>
                <w:color w:val="000000" w:themeColor="text1"/>
                <w:sz w:val="22"/>
                <w:szCs w:val="22"/>
              </w:rPr>
              <w:fldChar w:fldCharType="end"/>
            </w:r>
          </w:hyperlink>
        </w:p>
        <w:p w14:paraId="7F9D1A86"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1578" w:history="1">
            <w:r w:rsidRPr="003510C2">
              <w:rPr>
                <w:rFonts w:ascii="Arial" w:hAnsi="Arial" w:cs="Arial"/>
                <w:noProof/>
                <w:color w:val="000000" w:themeColor="text1"/>
                <w:sz w:val="22"/>
                <w:szCs w:val="22"/>
              </w:rPr>
              <w:t>Congruence with Professional Practice Requirements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_Toc11578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4</w:t>
            </w:r>
            <w:r w:rsidRPr="003510C2">
              <w:rPr>
                <w:rFonts w:ascii="Arial" w:hAnsi="Arial" w:cs="Arial"/>
                <w:noProof/>
                <w:color w:val="000000" w:themeColor="text1"/>
                <w:sz w:val="22"/>
                <w:szCs w:val="22"/>
              </w:rPr>
              <w:fldChar w:fldCharType="end"/>
            </w:r>
          </w:hyperlink>
        </w:p>
        <w:p w14:paraId="490F7D24"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16082" w:history="1">
            <w:r w:rsidRPr="003510C2">
              <w:rPr>
                <w:rFonts w:ascii="Arial" w:hAnsi="Arial" w:cs="Arial"/>
                <w:noProof/>
                <w:color w:val="000000" w:themeColor="text1"/>
                <w:sz w:val="22"/>
                <w:szCs w:val="22"/>
              </w:rPr>
              <w:t>Task 2: Building and Expressing Professional Identity.</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_Toc16082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5</w:t>
            </w:r>
            <w:r w:rsidRPr="003510C2">
              <w:rPr>
                <w:rFonts w:ascii="Arial" w:hAnsi="Arial" w:cs="Arial"/>
                <w:noProof/>
                <w:color w:val="000000" w:themeColor="text1"/>
                <w:sz w:val="22"/>
                <w:szCs w:val="22"/>
              </w:rPr>
              <w:fldChar w:fldCharType="end"/>
            </w:r>
          </w:hyperlink>
        </w:p>
        <w:p w14:paraId="7240AEA8"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3806" w:history="1">
            <w:r w:rsidRPr="003510C2">
              <w:rPr>
                <w:rFonts w:ascii="Arial" w:hAnsi="Arial" w:cs="Arial"/>
                <w:noProof/>
                <w:color w:val="000000" w:themeColor="text1"/>
                <w:sz w:val="22"/>
                <w:szCs w:val="22"/>
              </w:rPr>
              <w:t>Professional Identity in Health and Social Care.</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_Toc13806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5</w:t>
            </w:r>
            <w:r w:rsidRPr="003510C2">
              <w:rPr>
                <w:rFonts w:ascii="Arial" w:hAnsi="Arial" w:cs="Arial"/>
                <w:noProof/>
                <w:color w:val="000000" w:themeColor="text1"/>
                <w:sz w:val="22"/>
                <w:szCs w:val="22"/>
              </w:rPr>
              <w:fldChar w:fldCharType="end"/>
            </w:r>
          </w:hyperlink>
        </w:p>
        <w:p w14:paraId="36796868"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7070" w:history="1">
            <w:r w:rsidRPr="003510C2">
              <w:rPr>
                <w:rFonts w:ascii="Arial" w:hAnsi="Arial" w:cs="Arial"/>
                <w:noProof/>
                <w:color w:val="000000" w:themeColor="text1"/>
                <w:sz w:val="22"/>
                <w:szCs w:val="22"/>
              </w:rPr>
              <w:t>Task 3: Health and Social Care Interpersonal Communication and Skills.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_Toc7070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6</w:t>
            </w:r>
            <w:r w:rsidRPr="003510C2">
              <w:rPr>
                <w:rFonts w:ascii="Arial" w:hAnsi="Arial" w:cs="Arial"/>
                <w:noProof/>
                <w:color w:val="000000" w:themeColor="text1"/>
                <w:sz w:val="22"/>
                <w:szCs w:val="22"/>
              </w:rPr>
              <w:fldChar w:fldCharType="end"/>
            </w:r>
          </w:hyperlink>
        </w:p>
        <w:p w14:paraId="6AA71D8B"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3922" w:history="1">
            <w:r w:rsidRPr="003510C2">
              <w:rPr>
                <w:rFonts w:ascii="Arial" w:hAnsi="Arial" w:cs="Arial"/>
                <w:noProof/>
                <w:color w:val="000000" w:themeColor="text1"/>
                <w:sz w:val="22"/>
                <w:szCs w:val="22"/>
              </w:rPr>
              <w:t>Examining Strengths of Communication.</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_Toc23922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6</w:t>
            </w:r>
            <w:r w:rsidRPr="003510C2">
              <w:rPr>
                <w:rFonts w:ascii="Arial" w:hAnsi="Arial" w:cs="Arial"/>
                <w:noProof/>
                <w:color w:val="000000" w:themeColor="text1"/>
                <w:sz w:val="22"/>
                <w:szCs w:val="22"/>
              </w:rPr>
              <w:fldChar w:fldCharType="end"/>
            </w:r>
          </w:hyperlink>
        </w:p>
        <w:p w14:paraId="28254D71"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893" w:history="1">
            <w:r w:rsidRPr="003510C2">
              <w:rPr>
                <w:rFonts w:ascii="Arial" w:hAnsi="Arial" w:cs="Arial"/>
                <w:noProof/>
                <w:color w:val="000000" w:themeColor="text1"/>
                <w:sz w:val="22"/>
                <w:szCs w:val="22"/>
              </w:rPr>
              <w:t>Socialising and Cooperation with the Team.</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_Toc893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6</w:t>
            </w:r>
            <w:r w:rsidRPr="003510C2">
              <w:rPr>
                <w:rFonts w:ascii="Arial" w:hAnsi="Arial" w:cs="Arial"/>
                <w:noProof/>
                <w:color w:val="000000" w:themeColor="text1"/>
                <w:sz w:val="22"/>
                <w:szCs w:val="22"/>
              </w:rPr>
              <w:fldChar w:fldCharType="end"/>
            </w:r>
          </w:hyperlink>
        </w:p>
        <w:p w14:paraId="3A18A9C3"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6953" w:history="1">
            <w:r w:rsidRPr="003510C2">
              <w:rPr>
                <w:rFonts w:ascii="Arial" w:hAnsi="Arial" w:cs="Arial"/>
                <w:bCs/>
                <w:noProof/>
                <w:color w:val="000000" w:themeColor="text1"/>
                <w:sz w:val="22"/>
                <w:szCs w:val="22"/>
              </w:rPr>
              <w:t>Areas for Enhancement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_Toc16953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6</w:t>
            </w:r>
            <w:r w:rsidRPr="003510C2">
              <w:rPr>
                <w:rFonts w:ascii="Arial" w:hAnsi="Arial" w:cs="Arial"/>
                <w:noProof/>
                <w:color w:val="000000" w:themeColor="text1"/>
                <w:sz w:val="22"/>
                <w:szCs w:val="22"/>
              </w:rPr>
              <w:fldChar w:fldCharType="end"/>
            </w:r>
          </w:hyperlink>
        </w:p>
        <w:p w14:paraId="5F358324"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22813" w:history="1">
            <w:r w:rsidRPr="003510C2">
              <w:rPr>
                <w:rFonts w:ascii="Arial" w:hAnsi="Arial" w:cs="Arial"/>
                <w:noProof/>
                <w:color w:val="000000" w:themeColor="text1"/>
                <w:sz w:val="22"/>
                <w:szCs w:val="22"/>
              </w:rPr>
              <w:t>Task 4: Developing Strength and Overcoming Workplace Stressors.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_Toc22813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7</w:t>
            </w:r>
            <w:r w:rsidRPr="003510C2">
              <w:rPr>
                <w:rFonts w:ascii="Arial" w:hAnsi="Arial" w:cs="Arial"/>
                <w:noProof/>
                <w:color w:val="000000" w:themeColor="text1"/>
                <w:sz w:val="22"/>
                <w:szCs w:val="22"/>
              </w:rPr>
              <w:fldChar w:fldCharType="end"/>
            </w:r>
          </w:hyperlink>
        </w:p>
        <w:p w14:paraId="22F4EC19"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0779" w:history="1">
            <w:r w:rsidRPr="003510C2">
              <w:rPr>
                <w:rFonts w:ascii="Arial" w:hAnsi="Arial" w:cs="Arial"/>
                <w:noProof/>
                <w:color w:val="000000" w:themeColor="text1"/>
                <w:sz w:val="22"/>
                <w:szCs w:val="22"/>
              </w:rPr>
              <w:t>Knowledge on Resilience in Health and Social Care.</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_Toc10779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7</w:t>
            </w:r>
            <w:r w:rsidRPr="003510C2">
              <w:rPr>
                <w:rFonts w:ascii="Arial" w:hAnsi="Arial" w:cs="Arial"/>
                <w:noProof/>
                <w:color w:val="000000" w:themeColor="text1"/>
                <w:sz w:val="22"/>
                <w:szCs w:val="22"/>
              </w:rPr>
              <w:fldChar w:fldCharType="end"/>
            </w:r>
          </w:hyperlink>
        </w:p>
        <w:p w14:paraId="291243C4"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385" w:history="1">
            <w:r w:rsidRPr="003510C2">
              <w:rPr>
                <w:rFonts w:ascii="Arial" w:hAnsi="Arial" w:cs="Arial"/>
                <w:bCs/>
                <w:noProof/>
                <w:color w:val="000000" w:themeColor="text1"/>
                <w:sz w:val="22"/>
                <w:szCs w:val="22"/>
              </w:rPr>
              <w:t>Strategies of personal resilience.</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_Toc2385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7</w:t>
            </w:r>
            <w:r w:rsidRPr="003510C2">
              <w:rPr>
                <w:rFonts w:ascii="Arial" w:hAnsi="Arial" w:cs="Arial"/>
                <w:noProof/>
                <w:color w:val="000000" w:themeColor="text1"/>
                <w:sz w:val="22"/>
                <w:szCs w:val="22"/>
              </w:rPr>
              <w:fldChar w:fldCharType="end"/>
            </w:r>
          </w:hyperlink>
        </w:p>
        <w:p w14:paraId="3CBE7106"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31634" w:history="1">
            <w:r w:rsidRPr="003510C2">
              <w:rPr>
                <w:rFonts w:ascii="Arial" w:hAnsi="Arial" w:cs="Arial"/>
                <w:noProof/>
                <w:color w:val="000000" w:themeColor="text1"/>
                <w:sz w:val="22"/>
                <w:szCs w:val="22"/>
              </w:rPr>
              <w:t>Sustainable Employment Organisational Support.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_Toc31634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7</w:t>
            </w:r>
            <w:r w:rsidRPr="003510C2">
              <w:rPr>
                <w:rFonts w:ascii="Arial" w:hAnsi="Arial" w:cs="Arial"/>
                <w:noProof/>
                <w:color w:val="000000" w:themeColor="text1"/>
                <w:sz w:val="22"/>
                <w:szCs w:val="22"/>
              </w:rPr>
              <w:fldChar w:fldCharType="end"/>
            </w:r>
          </w:hyperlink>
        </w:p>
        <w:p w14:paraId="7102BD35"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8659" w:history="1">
            <w:r w:rsidRPr="003510C2">
              <w:rPr>
                <w:rFonts w:ascii="Arial" w:hAnsi="Arial" w:cs="Arial"/>
                <w:noProof/>
                <w:color w:val="000000" w:themeColor="text1"/>
                <w:sz w:val="22"/>
                <w:szCs w:val="22"/>
              </w:rPr>
              <w:t>Task 5: Career Planning and Goal setting.</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_Toc8659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8</w:t>
            </w:r>
            <w:r w:rsidRPr="003510C2">
              <w:rPr>
                <w:rFonts w:ascii="Arial" w:hAnsi="Arial" w:cs="Arial"/>
                <w:noProof/>
                <w:color w:val="000000" w:themeColor="text1"/>
                <w:sz w:val="22"/>
                <w:szCs w:val="22"/>
              </w:rPr>
              <w:fldChar w:fldCharType="end"/>
            </w:r>
          </w:hyperlink>
        </w:p>
        <w:p w14:paraId="112185C7"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9168" w:history="1">
            <w:r w:rsidRPr="003510C2">
              <w:rPr>
                <w:rFonts w:ascii="Arial" w:hAnsi="Arial" w:cs="Arial"/>
                <w:noProof/>
                <w:color w:val="000000" w:themeColor="text1"/>
                <w:sz w:val="22"/>
                <w:szCs w:val="22"/>
              </w:rPr>
              <w:t>Short-term Professional Objectives (1-2 Years)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_Toc29168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8</w:t>
            </w:r>
            <w:r w:rsidRPr="003510C2">
              <w:rPr>
                <w:rFonts w:ascii="Arial" w:hAnsi="Arial" w:cs="Arial"/>
                <w:noProof/>
                <w:color w:val="000000" w:themeColor="text1"/>
                <w:sz w:val="22"/>
                <w:szCs w:val="22"/>
              </w:rPr>
              <w:fldChar w:fldCharType="end"/>
            </w:r>
          </w:hyperlink>
        </w:p>
        <w:p w14:paraId="4E15EFF2"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9245" w:history="1">
            <w:r w:rsidRPr="003510C2">
              <w:rPr>
                <w:rFonts w:ascii="Arial" w:hAnsi="Arial" w:cs="Arial"/>
                <w:noProof/>
                <w:color w:val="000000" w:themeColor="text1"/>
                <w:sz w:val="22"/>
                <w:szCs w:val="22"/>
              </w:rPr>
              <w:t>Long-term career goals (3 5+ Years)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_Toc19245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8</w:t>
            </w:r>
            <w:r w:rsidRPr="003510C2">
              <w:rPr>
                <w:rFonts w:ascii="Arial" w:hAnsi="Arial" w:cs="Arial"/>
                <w:noProof/>
                <w:color w:val="000000" w:themeColor="text1"/>
                <w:sz w:val="22"/>
                <w:szCs w:val="22"/>
              </w:rPr>
              <w:fldChar w:fldCharType="end"/>
            </w:r>
          </w:hyperlink>
        </w:p>
        <w:p w14:paraId="3AA2E9C9"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7690" w:history="1">
            <w:r w:rsidRPr="003510C2">
              <w:rPr>
                <w:rFonts w:ascii="Arial" w:hAnsi="Arial" w:cs="Arial"/>
                <w:bCs/>
                <w:noProof/>
                <w:color w:val="000000" w:themeColor="text1"/>
                <w:sz w:val="22"/>
                <w:szCs w:val="22"/>
              </w:rPr>
              <w:t>Implementation Pathways</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_Toc27690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8</w:t>
            </w:r>
            <w:r w:rsidRPr="003510C2">
              <w:rPr>
                <w:rFonts w:ascii="Arial" w:hAnsi="Arial" w:cs="Arial"/>
                <w:noProof/>
                <w:color w:val="000000" w:themeColor="text1"/>
                <w:sz w:val="22"/>
                <w:szCs w:val="22"/>
              </w:rPr>
              <w:fldChar w:fldCharType="end"/>
            </w:r>
          </w:hyperlink>
        </w:p>
        <w:p w14:paraId="16EF99D1"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9924" w:history="1">
            <w:r w:rsidRPr="003510C2">
              <w:rPr>
                <w:rFonts w:ascii="Arial" w:hAnsi="Arial" w:cs="Arial"/>
                <w:noProof/>
                <w:color w:val="000000" w:themeColor="text1"/>
                <w:sz w:val="22"/>
                <w:szCs w:val="22"/>
              </w:rPr>
              <w:t>Task 6: Personal Brand Statement.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_Toc9924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9</w:t>
            </w:r>
            <w:r w:rsidRPr="003510C2">
              <w:rPr>
                <w:rFonts w:ascii="Arial" w:hAnsi="Arial" w:cs="Arial"/>
                <w:noProof/>
                <w:color w:val="000000" w:themeColor="text1"/>
                <w:sz w:val="22"/>
                <w:szCs w:val="22"/>
              </w:rPr>
              <w:fldChar w:fldCharType="end"/>
            </w:r>
          </w:hyperlink>
        </w:p>
        <w:p w14:paraId="00EC9995"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29493" w:history="1">
            <w:r w:rsidRPr="003510C2">
              <w:rPr>
                <w:rFonts w:ascii="Arial" w:hAnsi="Arial" w:cs="Arial"/>
                <w:noProof/>
                <w:color w:val="000000" w:themeColor="text1"/>
                <w:sz w:val="22"/>
                <w:szCs w:val="22"/>
              </w:rPr>
              <w:t>Task 7: Networking and Professional Development.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_Toc29493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9</w:t>
            </w:r>
            <w:r w:rsidRPr="003510C2">
              <w:rPr>
                <w:rFonts w:ascii="Arial" w:hAnsi="Arial" w:cs="Arial"/>
                <w:noProof/>
                <w:color w:val="000000" w:themeColor="text1"/>
                <w:sz w:val="22"/>
                <w:szCs w:val="22"/>
              </w:rPr>
              <w:fldChar w:fldCharType="end"/>
            </w:r>
          </w:hyperlink>
        </w:p>
        <w:p w14:paraId="0FCC9484"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3127" w:history="1">
            <w:r w:rsidRPr="003510C2">
              <w:rPr>
                <w:rFonts w:ascii="Arial" w:hAnsi="Arial" w:cs="Arial"/>
                <w:noProof/>
                <w:color w:val="000000" w:themeColor="text1"/>
                <w:sz w:val="22"/>
                <w:szCs w:val="22"/>
              </w:rPr>
              <w:t xml:space="preserve">Networking the Professionals. </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_Toc23127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9</w:t>
            </w:r>
            <w:r w:rsidRPr="003510C2">
              <w:rPr>
                <w:rFonts w:ascii="Arial" w:hAnsi="Arial" w:cs="Arial"/>
                <w:noProof/>
                <w:color w:val="000000" w:themeColor="text1"/>
                <w:sz w:val="22"/>
                <w:szCs w:val="22"/>
              </w:rPr>
              <w:fldChar w:fldCharType="end"/>
            </w:r>
          </w:hyperlink>
        </w:p>
        <w:p w14:paraId="366A45F3"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5362" w:history="1">
            <w:r w:rsidRPr="003510C2">
              <w:rPr>
                <w:rFonts w:ascii="Arial" w:hAnsi="Arial" w:cs="Arial"/>
                <w:noProof/>
                <w:color w:val="000000" w:themeColor="text1"/>
                <w:sz w:val="22"/>
                <w:szCs w:val="22"/>
              </w:rPr>
              <w:t>Also Learned to never stop learning.</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_Toc15362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10</w:t>
            </w:r>
            <w:r w:rsidRPr="003510C2">
              <w:rPr>
                <w:rFonts w:ascii="Arial" w:hAnsi="Arial" w:cs="Arial"/>
                <w:noProof/>
                <w:color w:val="000000" w:themeColor="text1"/>
                <w:sz w:val="22"/>
                <w:szCs w:val="22"/>
              </w:rPr>
              <w:fldChar w:fldCharType="end"/>
            </w:r>
          </w:hyperlink>
        </w:p>
        <w:p w14:paraId="260A50E3"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7290" w:history="1">
            <w:r w:rsidRPr="003510C2">
              <w:rPr>
                <w:rFonts w:ascii="Arial" w:hAnsi="Arial" w:cs="Arial"/>
                <w:noProof/>
                <w:color w:val="000000" w:themeColor="text1"/>
                <w:sz w:val="22"/>
                <w:szCs w:val="22"/>
              </w:rPr>
              <w:t>Task 8:Integration and Future direction.</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_Toc7290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10</w:t>
            </w:r>
            <w:r w:rsidRPr="003510C2">
              <w:rPr>
                <w:rFonts w:ascii="Arial" w:hAnsi="Arial" w:cs="Arial"/>
                <w:noProof/>
                <w:color w:val="000000" w:themeColor="text1"/>
                <w:sz w:val="22"/>
                <w:szCs w:val="22"/>
              </w:rPr>
              <w:fldChar w:fldCharType="end"/>
            </w:r>
          </w:hyperlink>
        </w:p>
        <w:p w14:paraId="74CDC8E9"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19098" w:history="1">
            <w:r w:rsidRPr="003510C2">
              <w:rPr>
                <w:rFonts w:ascii="Arial" w:hAnsi="Arial" w:cs="Arial"/>
                <w:noProof/>
                <w:color w:val="000000" w:themeColor="text1"/>
                <w:sz w:val="22"/>
                <w:szCs w:val="22"/>
              </w:rPr>
              <w:t>Synthesis of Learning</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_Toc19098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10</w:t>
            </w:r>
            <w:r w:rsidRPr="003510C2">
              <w:rPr>
                <w:rFonts w:ascii="Arial" w:hAnsi="Arial" w:cs="Arial"/>
                <w:noProof/>
                <w:color w:val="000000" w:themeColor="text1"/>
                <w:sz w:val="22"/>
                <w:szCs w:val="22"/>
              </w:rPr>
              <w:fldChar w:fldCharType="end"/>
            </w:r>
          </w:hyperlink>
        </w:p>
        <w:p w14:paraId="15A1988B" w14:textId="77777777" w:rsidR="00A73680" w:rsidRPr="003510C2" w:rsidRDefault="00F71E27">
          <w:pPr>
            <w:pStyle w:val="WPSOffice2"/>
            <w:tabs>
              <w:tab w:val="right" w:leader="dot" w:pos="8306"/>
            </w:tabs>
            <w:spacing w:line="360" w:lineRule="auto"/>
            <w:ind w:left="400"/>
            <w:rPr>
              <w:rFonts w:ascii="Arial" w:hAnsi="Arial" w:cs="Arial"/>
              <w:noProof/>
              <w:color w:val="000000" w:themeColor="text1"/>
              <w:sz w:val="22"/>
              <w:szCs w:val="22"/>
            </w:rPr>
          </w:pPr>
          <w:hyperlink w:anchor="_Toc29132" w:history="1">
            <w:r w:rsidRPr="003510C2">
              <w:rPr>
                <w:rFonts w:ascii="Arial" w:hAnsi="Arial" w:cs="Arial"/>
                <w:noProof/>
                <w:color w:val="000000" w:themeColor="text1"/>
                <w:sz w:val="22"/>
                <w:szCs w:val="22"/>
              </w:rPr>
              <w:t>Readiness for Sustainable Employment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_Toc29132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10</w:t>
            </w:r>
            <w:r w:rsidRPr="003510C2">
              <w:rPr>
                <w:rFonts w:ascii="Arial" w:hAnsi="Arial" w:cs="Arial"/>
                <w:noProof/>
                <w:color w:val="000000" w:themeColor="text1"/>
                <w:sz w:val="22"/>
                <w:szCs w:val="22"/>
              </w:rPr>
              <w:fldChar w:fldCharType="end"/>
            </w:r>
          </w:hyperlink>
        </w:p>
        <w:p w14:paraId="7365D6BF"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18162" w:history="1">
            <w:r w:rsidRPr="003510C2">
              <w:rPr>
                <w:rFonts w:ascii="Arial" w:hAnsi="Arial" w:cs="Arial"/>
                <w:noProof/>
                <w:color w:val="000000" w:themeColor="text1"/>
                <w:sz w:val="22"/>
                <w:szCs w:val="22"/>
              </w:rPr>
              <w:t>Conclusion</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_Toc18162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10</w:t>
            </w:r>
            <w:r w:rsidRPr="003510C2">
              <w:rPr>
                <w:rFonts w:ascii="Arial" w:hAnsi="Arial" w:cs="Arial"/>
                <w:noProof/>
                <w:color w:val="000000" w:themeColor="text1"/>
                <w:sz w:val="22"/>
                <w:szCs w:val="22"/>
              </w:rPr>
              <w:fldChar w:fldCharType="end"/>
            </w:r>
          </w:hyperlink>
        </w:p>
        <w:p w14:paraId="24EC5DD1" w14:textId="77777777" w:rsidR="00A73680" w:rsidRPr="003510C2" w:rsidRDefault="00F71E27">
          <w:pPr>
            <w:pStyle w:val="WPSOffice1"/>
            <w:tabs>
              <w:tab w:val="right" w:leader="dot" w:pos="8306"/>
            </w:tabs>
            <w:spacing w:line="360" w:lineRule="auto"/>
            <w:rPr>
              <w:rFonts w:ascii="Arial" w:hAnsi="Arial" w:cs="Arial"/>
              <w:noProof/>
              <w:color w:val="000000" w:themeColor="text1"/>
              <w:sz w:val="22"/>
              <w:szCs w:val="22"/>
            </w:rPr>
          </w:pPr>
          <w:hyperlink w:anchor="_Toc2299" w:history="1">
            <w:r w:rsidRPr="003510C2">
              <w:rPr>
                <w:rFonts w:ascii="Arial" w:hAnsi="Arial" w:cs="Arial"/>
                <w:noProof/>
                <w:color w:val="000000" w:themeColor="text1"/>
                <w:sz w:val="22"/>
                <w:szCs w:val="22"/>
              </w:rPr>
              <w:t>Reference List</w:t>
            </w:r>
            <w:r w:rsidRPr="003510C2">
              <w:rPr>
                <w:rFonts w:ascii="Arial" w:hAnsi="Arial" w:cs="Arial"/>
                <w:noProof/>
                <w:color w:val="000000" w:themeColor="text1"/>
                <w:sz w:val="22"/>
                <w:szCs w:val="22"/>
              </w:rPr>
              <w:tab/>
            </w:r>
            <w:r w:rsidRPr="003510C2">
              <w:rPr>
                <w:rFonts w:ascii="Arial" w:hAnsi="Arial" w:cs="Arial"/>
                <w:noProof/>
                <w:color w:val="000000" w:themeColor="text1"/>
                <w:sz w:val="22"/>
                <w:szCs w:val="22"/>
              </w:rPr>
              <w:fldChar w:fldCharType="begin"/>
            </w:r>
            <w:r w:rsidRPr="003510C2">
              <w:rPr>
                <w:rFonts w:ascii="Arial" w:hAnsi="Arial" w:cs="Arial"/>
                <w:noProof/>
                <w:color w:val="000000" w:themeColor="text1"/>
                <w:sz w:val="22"/>
                <w:szCs w:val="22"/>
              </w:rPr>
              <w:instrText xml:space="preserve"> PAGEREF _Toc2299 \h </w:instrText>
            </w:r>
            <w:r w:rsidRPr="003510C2">
              <w:rPr>
                <w:rFonts w:ascii="Arial" w:hAnsi="Arial" w:cs="Arial"/>
                <w:noProof/>
                <w:color w:val="000000" w:themeColor="text1"/>
                <w:sz w:val="22"/>
                <w:szCs w:val="22"/>
              </w:rPr>
            </w:r>
            <w:r w:rsidRPr="003510C2">
              <w:rPr>
                <w:rFonts w:ascii="Arial" w:hAnsi="Arial" w:cs="Arial"/>
                <w:noProof/>
                <w:color w:val="000000" w:themeColor="text1"/>
                <w:sz w:val="22"/>
                <w:szCs w:val="22"/>
              </w:rPr>
              <w:fldChar w:fldCharType="separate"/>
            </w:r>
            <w:r w:rsidR="000E788D">
              <w:rPr>
                <w:rFonts w:ascii="Arial" w:hAnsi="Arial" w:cs="Arial"/>
                <w:noProof/>
                <w:color w:val="000000" w:themeColor="text1"/>
                <w:sz w:val="22"/>
                <w:szCs w:val="22"/>
              </w:rPr>
              <w:t>11</w:t>
            </w:r>
            <w:r w:rsidRPr="003510C2">
              <w:rPr>
                <w:rFonts w:ascii="Arial" w:hAnsi="Arial" w:cs="Arial"/>
                <w:noProof/>
                <w:color w:val="000000" w:themeColor="text1"/>
                <w:sz w:val="22"/>
                <w:szCs w:val="22"/>
              </w:rPr>
              <w:fldChar w:fldCharType="end"/>
            </w:r>
          </w:hyperlink>
        </w:p>
        <w:p w14:paraId="1AD7DB4B"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fldChar w:fldCharType="end"/>
          </w:r>
        </w:p>
      </w:sdtContent>
    </w:sdt>
    <w:p w14:paraId="660480D8" w14:textId="77777777" w:rsidR="00A73680" w:rsidRPr="003510C2" w:rsidRDefault="00A73680">
      <w:pPr>
        <w:spacing w:line="360" w:lineRule="auto"/>
        <w:jc w:val="both"/>
        <w:rPr>
          <w:rFonts w:ascii="Arial" w:hAnsi="Arial" w:cs="Arial"/>
          <w:color w:val="000000" w:themeColor="text1"/>
          <w:sz w:val="22"/>
          <w:szCs w:val="22"/>
        </w:rPr>
      </w:pPr>
    </w:p>
    <w:p w14:paraId="55CFCBF0" w14:textId="77777777" w:rsidR="00A73680" w:rsidRPr="003510C2" w:rsidRDefault="00A73680">
      <w:pPr>
        <w:spacing w:line="360" w:lineRule="auto"/>
        <w:jc w:val="both"/>
        <w:rPr>
          <w:rFonts w:ascii="Arial" w:hAnsi="Arial" w:cs="Arial"/>
          <w:color w:val="000000" w:themeColor="text1"/>
          <w:sz w:val="22"/>
          <w:szCs w:val="22"/>
        </w:rPr>
      </w:pPr>
    </w:p>
    <w:p w14:paraId="1FCF9E7D" w14:textId="77777777" w:rsidR="00A73680" w:rsidRPr="003510C2" w:rsidRDefault="00A73680">
      <w:pPr>
        <w:spacing w:line="360" w:lineRule="auto"/>
        <w:jc w:val="both"/>
        <w:rPr>
          <w:rFonts w:ascii="Arial" w:hAnsi="Arial" w:cs="Arial"/>
          <w:color w:val="000000" w:themeColor="text1"/>
          <w:sz w:val="22"/>
          <w:szCs w:val="22"/>
        </w:rPr>
      </w:pPr>
    </w:p>
    <w:p w14:paraId="7AFFF540" w14:textId="77777777" w:rsidR="00A73680" w:rsidRPr="003510C2" w:rsidRDefault="00A73680">
      <w:pPr>
        <w:spacing w:line="360" w:lineRule="auto"/>
        <w:rPr>
          <w:rFonts w:ascii="Arial" w:hAnsi="Arial" w:cs="Arial"/>
          <w:color w:val="000000" w:themeColor="text1"/>
          <w:sz w:val="22"/>
          <w:szCs w:val="22"/>
        </w:rPr>
      </w:pPr>
    </w:p>
    <w:p w14:paraId="4870A245" w14:textId="77777777" w:rsidR="00A73680" w:rsidRPr="003510C2" w:rsidRDefault="00F71E27">
      <w:pPr>
        <w:pStyle w:val="Titlu1"/>
        <w:spacing w:line="360" w:lineRule="auto"/>
        <w:jc w:val="both"/>
        <w:rPr>
          <w:rFonts w:ascii="Arial" w:hAnsi="Arial" w:cs="Arial"/>
          <w:color w:val="000000" w:themeColor="text1"/>
          <w:sz w:val="22"/>
          <w:szCs w:val="22"/>
        </w:rPr>
      </w:pPr>
      <w:bookmarkStart w:id="2" w:name="_Toc32415"/>
      <w:r w:rsidRPr="003510C2">
        <w:rPr>
          <w:rFonts w:ascii="Arial" w:hAnsi="Arial" w:cs="Arial"/>
          <w:color w:val="000000" w:themeColor="text1"/>
          <w:sz w:val="22"/>
          <w:szCs w:val="22"/>
        </w:rPr>
        <w:t>Introduction</w:t>
      </w:r>
      <w:bookmarkEnd w:id="2"/>
    </w:p>
    <w:p w14:paraId="240DFB06"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Sustainable employment in the health and social care sector is not possible without the creation of the professional personal brand. The portfolio shows the interactions with the major module content, and it critically reflects on how employability skills and building a professional identity can be applied in a context of a real-world health and social care scenario. The report below summarises eight systematic activities, covering both learning outcomes of the module, which are the assessment of individual employability competencies and their alignment with the demands of professional practise, and building a personal brand that facilitates professional identity on a targeted audience (Department of Health and Social Care, 2023). This is the evidence of the reflective practise, critical analysis and application of theories and models applicable in the employment in health and social care nowadays.</w:t>
      </w:r>
    </w:p>
    <w:p w14:paraId="4763D35F" w14:textId="77777777" w:rsidR="00A73680" w:rsidRPr="003510C2" w:rsidRDefault="00F71E27">
      <w:pPr>
        <w:pStyle w:val="Titlu1"/>
        <w:spacing w:line="360" w:lineRule="auto"/>
        <w:jc w:val="both"/>
        <w:rPr>
          <w:rFonts w:ascii="Arial" w:hAnsi="Arial" w:cs="Arial"/>
          <w:color w:val="000000" w:themeColor="text1"/>
          <w:sz w:val="22"/>
          <w:szCs w:val="22"/>
        </w:rPr>
      </w:pPr>
      <w:bookmarkStart w:id="3" w:name="_Toc6592"/>
      <w:r w:rsidRPr="003510C2">
        <w:rPr>
          <w:rFonts w:ascii="Arial" w:hAnsi="Arial" w:cs="Arial"/>
          <w:color w:val="000000" w:themeColor="text1"/>
          <w:sz w:val="22"/>
          <w:szCs w:val="22"/>
        </w:rPr>
        <w:t xml:space="preserve">Task 1: </w:t>
      </w:r>
      <w:proofErr w:type="spellStart"/>
      <w:r w:rsidRPr="003510C2">
        <w:rPr>
          <w:rFonts w:ascii="Arial" w:hAnsi="Arial" w:cs="Arial"/>
          <w:color w:val="000000" w:themeColor="text1"/>
          <w:sz w:val="22"/>
          <w:szCs w:val="22"/>
        </w:rPr>
        <w:t>Self-Evalation</w:t>
      </w:r>
      <w:proofErr w:type="spellEnd"/>
      <w:r w:rsidRPr="003510C2">
        <w:rPr>
          <w:rFonts w:ascii="Arial" w:hAnsi="Arial" w:cs="Arial"/>
          <w:color w:val="000000" w:themeColor="text1"/>
          <w:sz w:val="22"/>
          <w:szCs w:val="22"/>
        </w:rPr>
        <w:t xml:space="preserve"> of the Employability Skills and Profession preparedness.</w:t>
      </w:r>
      <w:bookmarkEnd w:id="3"/>
    </w:p>
    <w:p w14:paraId="5BB0B435" w14:textId="77777777" w:rsidR="00A73680" w:rsidRPr="003510C2" w:rsidRDefault="00F71E27">
      <w:pPr>
        <w:pStyle w:val="Titlu2"/>
        <w:spacing w:line="360" w:lineRule="auto"/>
        <w:jc w:val="both"/>
        <w:rPr>
          <w:rFonts w:ascii="Arial" w:hAnsi="Arial" w:cs="Arial"/>
          <w:color w:val="000000" w:themeColor="text1"/>
          <w:sz w:val="22"/>
          <w:szCs w:val="22"/>
        </w:rPr>
      </w:pPr>
      <w:bookmarkStart w:id="4" w:name="_Toc20884"/>
      <w:r w:rsidRPr="003510C2">
        <w:rPr>
          <w:rFonts w:ascii="Arial" w:hAnsi="Arial" w:cs="Arial"/>
          <w:color w:val="000000" w:themeColor="text1"/>
          <w:sz w:val="22"/>
          <w:szCs w:val="22"/>
        </w:rPr>
        <w:t>Realising up-to-date Employability Strengths.</w:t>
      </w:r>
      <w:bookmarkEnd w:id="4"/>
    </w:p>
    <w:p w14:paraId="24FE4726"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Sustainable employability in health and social care is based on effective self-assessment. The communication skills, ability to adapt to difficult conditions and resilient adherence to person-centred care principles are recognised as the key strengths. These are competencies that align with values of the NHS Constitution of England that underlines the relevance of professional accountability, respect, and teamwork (Department of Health and Social Care, 2023). As well, proper organisational skills, evidence-based decision-making processes, and the ability to work as a single individual and within multidisciplinary groups were exhibited.</w:t>
      </w:r>
    </w:p>
    <w:p w14:paraId="49FC33E0" w14:textId="77777777" w:rsidR="00A73680" w:rsidRPr="003510C2" w:rsidRDefault="00F71E27">
      <w:pPr>
        <w:pStyle w:val="Titlu2"/>
        <w:spacing w:line="360" w:lineRule="auto"/>
        <w:jc w:val="both"/>
        <w:rPr>
          <w:rFonts w:ascii="Arial" w:hAnsi="Arial" w:cs="Arial"/>
          <w:color w:val="000000" w:themeColor="text1"/>
          <w:sz w:val="22"/>
          <w:szCs w:val="22"/>
        </w:rPr>
      </w:pPr>
      <w:bookmarkStart w:id="5" w:name="_Toc30244"/>
      <w:r w:rsidRPr="003510C2">
        <w:rPr>
          <w:rFonts w:ascii="Arial" w:hAnsi="Arial" w:cs="Arial"/>
          <w:color w:val="000000" w:themeColor="text1"/>
          <w:sz w:val="22"/>
          <w:szCs w:val="22"/>
        </w:rPr>
        <w:t>Determining Areas of Development.</w:t>
      </w:r>
      <w:bookmarkEnd w:id="5"/>
    </w:p>
    <w:p w14:paraId="6B5F059E"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Although the current skills base offers a good base, there are a number of areas, which should be developed. These include the possession of higher levels of clinical knowledge that is specialised to particular settings of health and social care, greater digital literacy concerning the newer healthcare technologies, and a richer capacity to comprehend research designs. The acknowledgment of such gaps indicates the presence of critical professional knowledge and commitment to post-academic growth which are the key measures of sustainable career in the long term (</w:t>
      </w:r>
      <w:proofErr w:type="spellStart"/>
      <w:r w:rsidRPr="003510C2">
        <w:rPr>
          <w:rFonts w:ascii="Arial" w:hAnsi="Arial" w:cs="Arial"/>
          <w:color w:val="000000" w:themeColor="text1"/>
          <w:sz w:val="22"/>
          <w:szCs w:val="22"/>
        </w:rPr>
        <w:t>Thiagraj</w:t>
      </w:r>
      <w:proofErr w:type="spellEnd"/>
      <w:r w:rsidRPr="003510C2">
        <w:rPr>
          <w:rFonts w:ascii="Arial" w:hAnsi="Arial" w:cs="Arial"/>
          <w:color w:val="000000" w:themeColor="text1"/>
          <w:sz w:val="22"/>
          <w:szCs w:val="22"/>
        </w:rPr>
        <w:t xml:space="preserve"> et al., 2021). The self-directed learning opportunities and development pathways can be identified and the developed through engaging in reflective practises.</w:t>
      </w:r>
    </w:p>
    <w:p w14:paraId="37677828" w14:textId="77777777" w:rsidR="00A73680" w:rsidRPr="003510C2" w:rsidRDefault="00F71E27">
      <w:pPr>
        <w:pStyle w:val="Titlu2"/>
        <w:spacing w:line="360" w:lineRule="auto"/>
        <w:jc w:val="both"/>
        <w:rPr>
          <w:rFonts w:ascii="Arial" w:hAnsi="Arial" w:cs="Arial"/>
          <w:color w:val="000000" w:themeColor="text1"/>
          <w:sz w:val="22"/>
          <w:szCs w:val="22"/>
        </w:rPr>
      </w:pPr>
      <w:bookmarkStart w:id="6" w:name="_Toc11578"/>
      <w:r w:rsidRPr="003510C2">
        <w:rPr>
          <w:rFonts w:ascii="Arial" w:hAnsi="Arial" w:cs="Arial"/>
          <w:color w:val="000000" w:themeColor="text1"/>
          <w:sz w:val="22"/>
          <w:szCs w:val="22"/>
        </w:rPr>
        <w:t>Congruence with Professional Practice Requirements</w:t>
      </w:r>
      <w:bookmarkEnd w:id="6"/>
    </w:p>
    <w:p w14:paraId="177976D1"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 xml:space="preserve">The correspondence of the personal skills with the professional needs is the key to the long-term working position. Skills for Care (2023) relates that health and social care workers need the prowess in connecting, emotional intellect, problem-solving, and ethical determination. The current competences reveal a reasonable level of congruence with the described requirements though specific focus on the development of advanced clinical evaluation skills and domain of specialist knowledge would enhance my place in the employment landscape in competitive human resource practises.  </w:t>
      </w:r>
    </w:p>
    <w:tbl>
      <w:tblPr>
        <w:tblW w:w="8933" w:type="dxa"/>
        <w:tblCellMar>
          <w:top w:w="15" w:type="dxa"/>
          <w:left w:w="15" w:type="dxa"/>
          <w:bottom w:w="15" w:type="dxa"/>
          <w:right w:w="15" w:type="dxa"/>
        </w:tblCellMar>
        <w:tblLook w:val="04A0" w:firstRow="1" w:lastRow="0" w:firstColumn="1" w:lastColumn="0" w:noHBand="0" w:noVBand="1"/>
      </w:tblPr>
      <w:tblGrid>
        <w:gridCol w:w="4575"/>
        <w:gridCol w:w="4358"/>
      </w:tblGrid>
      <w:tr w:rsidR="00A73680" w:rsidRPr="003510C2" w14:paraId="594696E4" w14:textId="77777777">
        <w:tc>
          <w:tcPr>
            <w:tcW w:w="0" w:type="auto"/>
            <w:tcBorders>
              <w:top w:val="single" w:sz="8" w:space="0" w:color="F79646"/>
              <w:left w:val="single" w:sz="8" w:space="0" w:color="F79646"/>
              <w:bottom w:val="single" w:sz="18" w:space="0" w:color="FFFFFF"/>
              <w:right w:val="single" w:sz="8" w:space="0" w:color="F79646"/>
            </w:tcBorders>
            <w:shd w:val="clear" w:color="auto" w:fill="F79646"/>
            <w:tcMar>
              <w:top w:w="180" w:type="dxa"/>
              <w:left w:w="180" w:type="dxa"/>
              <w:bottom w:w="180" w:type="dxa"/>
              <w:right w:w="180" w:type="dxa"/>
            </w:tcMar>
            <w:vAlign w:val="center"/>
          </w:tcPr>
          <w:p w14:paraId="29CFF310" w14:textId="77777777" w:rsidR="00A73680" w:rsidRPr="003510C2" w:rsidRDefault="00F71E27">
            <w:pPr>
              <w:spacing w:line="360" w:lineRule="auto"/>
              <w:rPr>
                <w:rFonts w:ascii="Arial" w:hAnsi="Arial" w:cs="Arial"/>
                <w:b/>
                <w:bCs/>
                <w:color w:val="000000" w:themeColor="text1"/>
                <w:sz w:val="22"/>
                <w:szCs w:val="22"/>
              </w:rPr>
            </w:pPr>
            <w:r w:rsidRPr="003510C2">
              <w:rPr>
                <w:rFonts w:ascii="Arial" w:eastAsia="SimSun" w:hAnsi="Arial" w:cs="Arial"/>
                <w:b/>
                <w:bCs/>
                <w:color w:val="000000" w:themeColor="text1"/>
                <w:sz w:val="22"/>
                <w:szCs w:val="22"/>
                <w:lang w:bidi="ar"/>
              </w:rPr>
              <w:t>STRENGTHS</w:t>
            </w:r>
          </w:p>
        </w:tc>
        <w:tc>
          <w:tcPr>
            <w:tcW w:w="0" w:type="auto"/>
            <w:tcBorders>
              <w:top w:val="single" w:sz="8" w:space="0" w:color="F79646"/>
              <w:left w:val="single" w:sz="8" w:space="0" w:color="F79646"/>
              <w:bottom w:val="single" w:sz="18" w:space="0" w:color="FFFFFF"/>
              <w:right w:val="single" w:sz="8" w:space="0" w:color="F79646"/>
            </w:tcBorders>
            <w:shd w:val="clear" w:color="auto" w:fill="F79646"/>
            <w:tcMar>
              <w:top w:w="180" w:type="dxa"/>
              <w:left w:w="180" w:type="dxa"/>
              <w:bottom w:w="180" w:type="dxa"/>
              <w:right w:w="180" w:type="dxa"/>
            </w:tcMar>
            <w:vAlign w:val="center"/>
          </w:tcPr>
          <w:p w14:paraId="29AC7D10" w14:textId="77777777" w:rsidR="00A73680" w:rsidRPr="003510C2" w:rsidRDefault="00F71E27">
            <w:pPr>
              <w:spacing w:line="360" w:lineRule="auto"/>
              <w:rPr>
                <w:rFonts w:ascii="Arial" w:hAnsi="Arial" w:cs="Arial"/>
                <w:b/>
                <w:bCs/>
                <w:color w:val="000000" w:themeColor="text1"/>
                <w:sz w:val="22"/>
                <w:szCs w:val="22"/>
              </w:rPr>
            </w:pPr>
            <w:r w:rsidRPr="003510C2">
              <w:rPr>
                <w:rFonts w:ascii="Arial" w:eastAsia="SimSun" w:hAnsi="Arial" w:cs="Arial"/>
                <w:b/>
                <w:bCs/>
                <w:color w:val="000000" w:themeColor="text1"/>
                <w:sz w:val="22"/>
                <w:szCs w:val="22"/>
                <w:lang w:bidi="ar"/>
              </w:rPr>
              <w:t>WEAKNESSES</w:t>
            </w:r>
          </w:p>
        </w:tc>
      </w:tr>
      <w:tr w:rsidR="00A73680" w:rsidRPr="003510C2" w14:paraId="104FBECF" w14:textId="77777777">
        <w:tc>
          <w:tcPr>
            <w:tcW w:w="0" w:type="auto"/>
            <w:tcBorders>
              <w:top w:val="single" w:sz="18" w:space="0" w:color="FFFFFF"/>
              <w:left w:val="single" w:sz="8" w:space="0" w:color="F79646"/>
              <w:bottom w:val="single" w:sz="8" w:space="0" w:color="F79646"/>
              <w:right w:val="single" w:sz="8" w:space="0" w:color="F79646"/>
            </w:tcBorders>
            <w:shd w:val="clear" w:color="auto" w:fill="FBD5B5"/>
            <w:tcMar>
              <w:top w:w="180" w:type="dxa"/>
              <w:left w:w="180" w:type="dxa"/>
              <w:bottom w:w="180" w:type="dxa"/>
              <w:right w:w="180" w:type="dxa"/>
            </w:tcMar>
          </w:tcPr>
          <w:p w14:paraId="04179EFE" w14:textId="77777777" w:rsidR="00A73680" w:rsidRPr="003510C2" w:rsidRDefault="00F71E27">
            <w:pPr>
              <w:spacing w:line="360" w:lineRule="auto"/>
              <w:textAlignment w:val="top"/>
              <w:rPr>
                <w:rFonts w:ascii="Arial" w:hAnsi="Arial" w:cs="Arial"/>
                <w:color w:val="000000" w:themeColor="text1"/>
                <w:sz w:val="22"/>
                <w:szCs w:val="22"/>
              </w:rPr>
            </w:pPr>
            <w:r w:rsidRPr="003510C2">
              <w:rPr>
                <w:rStyle w:val="Robust"/>
                <w:rFonts w:ascii="Arial" w:eastAsia="SimSun" w:hAnsi="Arial" w:cs="Arial"/>
                <w:color w:val="000000" w:themeColor="text1"/>
                <w:sz w:val="22"/>
                <w:szCs w:val="22"/>
                <w:lang w:bidi="ar"/>
              </w:rPr>
              <w:t>Internal Positive Attributes:</w:t>
            </w:r>
            <w:r w:rsidRPr="003510C2">
              <w:rPr>
                <w:rFonts w:ascii="Arial" w:eastAsia="SimSun" w:hAnsi="Arial" w:cs="Arial"/>
                <w:color w:val="000000" w:themeColor="text1"/>
                <w:sz w:val="22"/>
                <w:szCs w:val="22"/>
                <w:lang w:bidi="ar"/>
              </w:rPr>
              <w:br/>
              <w:t>• Strong communication and interpersonal skills</w:t>
            </w:r>
            <w:r w:rsidRPr="003510C2">
              <w:rPr>
                <w:rFonts w:ascii="Arial" w:eastAsia="SimSun" w:hAnsi="Arial" w:cs="Arial"/>
                <w:color w:val="000000" w:themeColor="text1"/>
                <w:sz w:val="22"/>
                <w:szCs w:val="22"/>
                <w:lang w:bidi="ar"/>
              </w:rPr>
              <w:br/>
              <w:t>• Commitment to person-centred care</w:t>
            </w:r>
            <w:r w:rsidRPr="003510C2">
              <w:rPr>
                <w:rFonts w:ascii="Arial" w:eastAsia="SimSun" w:hAnsi="Arial" w:cs="Arial"/>
                <w:color w:val="000000" w:themeColor="text1"/>
                <w:sz w:val="22"/>
                <w:szCs w:val="22"/>
                <w:lang w:bidi="ar"/>
              </w:rPr>
              <w:br/>
              <w:t>• Collaborative multidisciplinary teamwork</w:t>
            </w:r>
            <w:r w:rsidRPr="003510C2">
              <w:rPr>
                <w:rFonts w:ascii="Arial" w:eastAsia="SimSun" w:hAnsi="Arial" w:cs="Arial"/>
                <w:color w:val="000000" w:themeColor="text1"/>
                <w:sz w:val="22"/>
                <w:szCs w:val="22"/>
                <w:lang w:bidi="ar"/>
              </w:rPr>
              <w:br/>
              <w:t>• Sound clinical knowledge and evidence-based practice</w:t>
            </w:r>
            <w:r w:rsidRPr="003510C2">
              <w:rPr>
                <w:rFonts w:ascii="Arial" w:eastAsia="SimSun" w:hAnsi="Arial" w:cs="Arial"/>
                <w:color w:val="000000" w:themeColor="text1"/>
                <w:sz w:val="22"/>
                <w:szCs w:val="22"/>
                <w:lang w:bidi="ar"/>
              </w:rPr>
              <w:br/>
              <w:t>• Adaptability and emotional intelligence</w:t>
            </w:r>
            <w:r w:rsidRPr="003510C2">
              <w:rPr>
                <w:rFonts w:ascii="Arial" w:eastAsia="SimSun" w:hAnsi="Arial" w:cs="Arial"/>
                <w:color w:val="000000" w:themeColor="text1"/>
                <w:sz w:val="22"/>
                <w:szCs w:val="22"/>
                <w:lang w:bidi="ar"/>
              </w:rPr>
              <w:br/>
              <w:t>• Professional integrity and ethical practice</w:t>
            </w:r>
          </w:p>
        </w:tc>
        <w:tc>
          <w:tcPr>
            <w:tcW w:w="0" w:type="auto"/>
            <w:tcBorders>
              <w:top w:val="single" w:sz="18" w:space="0" w:color="FFFFFF"/>
              <w:left w:val="single" w:sz="8" w:space="0" w:color="F79646"/>
              <w:bottom w:val="single" w:sz="8" w:space="0" w:color="F79646"/>
              <w:right w:val="single" w:sz="8" w:space="0" w:color="F79646"/>
            </w:tcBorders>
            <w:shd w:val="clear" w:color="auto" w:fill="FBD5B5"/>
            <w:tcMar>
              <w:top w:w="180" w:type="dxa"/>
              <w:left w:w="180" w:type="dxa"/>
              <w:bottom w:w="180" w:type="dxa"/>
              <w:right w:w="180" w:type="dxa"/>
            </w:tcMar>
          </w:tcPr>
          <w:p w14:paraId="193B3AE9" w14:textId="77777777" w:rsidR="00A73680" w:rsidRPr="003510C2" w:rsidRDefault="00F71E27">
            <w:pPr>
              <w:spacing w:line="360" w:lineRule="auto"/>
              <w:textAlignment w:val="top"/>
              <w:rPr>
                <w:rFonts w:ascii="Arial" w:hAnsi="Arial" w:cs="Arial"/>
                <w:color w:val="000000" w:themeColor="text1"/>
                <w:sz w:val="22"/>
                <w:szCs w:val="22"/>
              </w:rPr>
            </w:pPr>
            <w:r w:rsidRPr="003510C2">
              <w:rPr>
                <w:rStyle w:val="Robust"/>
                <w:rFonts w:ascii="Arial" w:eastAsia="SimSun" w:hAnsi="Arial" w:cs="Arial"/>
                <w:color w:val="000000" w:themeColor="text1"/>
                <w:sz w:val="22"/>
                <w:szCs w:val="22"/>
                <w:lang w:bidi="ar"/>
              </w:rPr>
              <w:t>Internal Areas for Development:</w:t>
            </w:r>
            <w:r w:rsidRPr="003510C2">
              <w:rPr>
                <w:rFonts w:ascii="Arial" w:eastAsia="SimSun" w:hAnsi="Arial" w:cs="Arial"/>
                <w:color w:val="000000" w:themeColor="text1"/>
                <w:sz w:val="22"/>
                <w:szCs w:val="22"/>
                <w:lang w:bidi="ar"/>
              </w:rPr>
              <w:br/>
              <w:t>• Limited specialist clinical experience</w:t>
            </w:r>
            <w:r w:rsidRPr="003510C2">
              <w:rPr>
                <w:rFonts w:ascii="Arial" w:eastAsia="SimSun" w:hAnsi="Arial" w:cs="Arial"/>
                <w:color w:val="000000" w:themeColor="text1"/>
                <w:sz w:val="22"/>
                <w:szCs w:val="22"/>
                <w:lang w:bidi="ar"/>
              </w:rPr>
              <w:br/>
              <w:t>• Developing digital literacy and health IT skills</w:t>
            </w:r>
            <w:r w:rsidRPr="003510C2">
              <w:rPr>
                <w:rFonts w:ascii="Arial" w:eastAsia="SimSun" w:hAnsi="Arial" w:cs="Arial"/>
                <w:color w:val="000000" w:themeColor="text1"/>
                <w:sz w:val="22"/>
                <w:szCs w:val="22"/>
                <w:lang w:bidi="ar"/>
              </w:rPr>
              <w:br/>
              <w:t>• Minimal research or publication experience</w:t>
            </w:r>
            <w:r w:rsidRPr="003510C2">
              <w:rPr>
                <w:rFonts w:ascii="Arial" w:eastAsia="SimSun" w:hAnsi="Arial" w:cs="Arial"/>
                <w:color w:val="000000" w:themeColor="text1"/>
                <w:sz w:val="22"/>
                <w:szCs w:val="22"/>
                <w:lang w:bidi="ar"/>
              </w:rPr>
              <w:br/>
              <w:t>• Limited leadership or management background</w:t>
            </w:r>
            <w:r w:rsidRPr="003510C2">
              <w:rPr>
                <w:rFonts w:ascii="Arial" w:eastAsia="SimSun" w:hAnsi="Arial" w:cs="Arial"/>
                <w:color w:val="000000" w:themeColor="text1"/>
                <w:sz w:val="22"/>
                <w:szCs w:val="22"/>
                <w:lang w:bidi="ar"/>
              </w:rPr>
              <w:br/>
              <w:t>• Difficulty asserting needs hierarchically</w:t>
            </w:r>
            <w:r w:rsidRPr="003510C2">
              <w:rPr>
                <w:rFonts w:ascii="Arial" w:eastAsia="SimSun" w:hAnsi="Arial" w:cs="Arial"/>
                <w:color w:val="000000" w:themeColor="text1"/>
                <w:sz w:val="22"/>
                <w:szCs w:val="22"/>
                <w:lang w:bidi="ar"/>
              </w:rPr>
              <w:br/>
              <w:t>• Emerging complex case management expertise</w:t>
            </w:r>
          </w:p>
        </w:tc>
      </w:tr>
      <w:tr w:rsidR="00A73680" w:rsidRPr="003510C2" w14:paraId="0D4E4BF4" w14:textId="77777777">
        <w:tc>
          <w:tcPr>
            <w:tcW w:w="0" w:type="auto"/>
            <w:tcBorders>
              <w:top w:val="single" w:sz="8" w:space="0" w:color="F79646"/>
              <w:left w:val="single" w:sz="8" w:space="0" w:color="F79646"/>
              <w:bottom w:val="single" w:sz="8" w:space="0" w:color="F79646"/>
              <w:right w:val="single" w:sz="8" w:space="0" w:color="F79646"/>
            </w:tcBorders>
            <w:shd w:val="clear" w:color="auto" w:fill="FFFFFF"/>
            <w:tcMar>
              <w:top w:w="180" w:type="dxa"/>
              <w:left w:w="180" w:type="dxa"/>
              <w:bottom w:w="180" w:type="dxa"/>
              <w:right w:w="180" w:type="dxa"/>
            </w:tcMar>
            <w:vAlign w:val="center"/>
          </w:tcPr>
          <w:p w14:paraId="5E57CD96" w14:textId="77777777" w:rsidR="00A73680" w:rsidRPr="003510C2" w:rsidRDefault="00F71E27">
            <w:pPr>
              <w:spacing w:line="360" w:lineRule="auto"/>
              <w:rPr>
                <w:rFonts w:ascii="Arial" w:hAnsi="Arial" w:cs="Arial"/>
                <w:b/>
                <w:bCs/>
                <w:color w:val="000000" w:themeColor="text1"/>
                <w:sz w:val="22"/>
                <w:szCs w:val="22"/>
              </w:rPr>
            </w:pPr>
            <w:r w:rsidRPr="003510C2">
              <w:rPr>
                <w:rFonts w:ascii="Arial" w:eastAsia="SimSun" w:hAnsi="Arial" w:cs="Arial"/>
                <w:b/>
                <w:bCs/>
                <w:color w:val="000000" w:themeColor="text1"/>
                <w:sz w:val="22"/>
                <w:szCs w:val="22"/>
                <w:lang w:bidi="ar"/>
              </w:rPr>
              <w:t>OPPORTUNITIES</w:t>
            </w:r>
          </w:p>
        </w:tc>
        <w:tc>
          <w:tcPr>
            <w:tcW w:w="0" w:type="auto"/>
            <w:tcBorders>
              <w:top w:val="single" w:sz="8" w:space="0" w:color="F79646"/>
              <w:left w:val="single" w:sz="8" w:space="0" w:color="F79646"/>
              <w:bottom w:val="single" w:sz="8" w:space="0" w:color="F79646"/>
              <w:right w:val="single" w:sz="8" w:space="0" w:color="F79646"/>
            </w:tcBorders>
            <w:shd w:val="clear" w:color="auto" w:fill="FFFFFF"/>
            <w:tcMar>
              <w:top w:w="180" w:type="dxa"/>
              <w:left w:w="180" w:type="dxa"/>
              <w:bottom w:w="180" w:type="dxa"/>
              <w:right w:w="180" w:type="dxa"/>
            </w:tcMar>
            <w:vAlign w:val="center"/>
          </w:tcPr>
          <w:p w14:paraId="6976CAC8" w14:textId="77777777" w:rsidR="00A73680" w:rsidRPr="003510C2" w:rsidRDefault="00F71E27">
            <w:pPr>
              <w:spacing w:line="360" w:lineRule="auto"/>
              <w:rPr>
                <w:rFonts w:ascii="Arial" w:hAnsi="Arial" w:cs="Arial"/>
                <w:b/>
                <w:bCs/>
                <w:color w:val="000000" w:themeColor="text1"/>
                <w:sz w:val="22"/>
                <w:szCs w:val="22"/>
              </w:rPr>
            </w:pPr>
            <w:r w:rsidRPr="003510C2">
              <w:rPr>
                <w:rFonts w:ascii="Arial" w:eastAsia="SimSun" w:hAnsi="Arial" w:cs="Arial"/>
                <w:b/>
                <w:bCs/>
                <w:color w:val="000000" w:themeColor="text1"/>
                <w:sz w:val="22"/>
                <w:szCs w:val="22"/>
                <w:lang w:bidi="ar"/>
              </w:rPr>
              <w:t>THREATS</w:t>
            </w:r>
          </w:p>
        </w:tc>
      </w:tr>
      <w:tr w:rsidR="00A73680" w:rsidRPr="003510C2" w14:paraId="72B2898B" w14:textId="77777777">
        <w:tc>
          <w:tcPr>
            <w:tcW w:w="0" w:type="auto"/>
            <w:tcBorders>
              <w:top w:val="single" w:sz="8" w:space="0" w:color="F79646"/>
              <w:left w:val="single" w:sz="8" w:space="0" w:color="F79646"/>
              <w:bottom w:val="single" w:sz="8" w:space="0" w:color="F79646"/>
              <w:right w:val="single" w:sz="8" w:space="0" w:color="F79646"/>
            </w:tcBorders>
            <w:shd w:val="clear" w:color="auto" w:fill="FBD5B5"/>
            <w:tcMar>
              <w:top w:w="180" w:type="dxa"/>
              <w:left w:w="180" w:type="dxa"/>
              <w:bottom w:w="180" w:type="dxa"/>
              <w:right w:w="180" w:type="dxa"/>
            </w:tcMar>
          </w:tcPr>
          <w:p w14:paraId="0FC47555" w14:textId="77777777" w:rsidR="00A73680" w:rsidRPr="003510C2" w:rsidRDefault="00F71E27">
            <w:pPr>
              <w:spacing w:line="360" w:lineRule="auto"/>
              <w:textAlignment w:val="top"/>
              <w:rPr>
                <w:rFonts w:ascii="Arial" w:hAnsi="Arial" w:cs="Arial"/>
                <w:color w:val="000000" w:themeColor="text1"/>
                <w:sz w:val="22"/>
                <w:szCs w:val="22"/>
              </w:rPr>
            </w:pPr>
            <w:r w:rsidRPr="003510C2">
              <w:rPr>
                <w:rStyle w:val="Robust"/>
                <w:rFonts w:ascii="Arial" w:eastAsia="SimSun" w:hAnsi="Arial" w:cs="Arial"/>
                <w:color w:val="000000" w:themeColor="text1"/>
                <w:sz w:val="22"/>
                <w:szCs w:val="22"/>
                <w:lang w:bidi="ar"/>
              </w:rPr>
              <w:t>External Growth Resources:</w:t>
            </w:r>
            <w:r w:rsidRPr="003510C2">
              <w:rPr>
                <w:rFonts w:ascii="Arial" w:eastAsia="SimSun" w:hAnsi="Arial" w:cs="Arial"/>
                <w:color w:val="000000" w:themeColor="text1"/>
                <w:sz w:val="22"/>
                <w:szCs w:val="22"/>
                <w:lang w:bidi="ar"/>
              </w:rPr>
              <w:br/>
              <w:t>• Access specialist training and qualifications</w:t>
            </w:r>
            <w:r w:rsidRPr="003510C2">
              <w:rPr>
                <w:rFonts w:ascii="Arial" w:eastAsia="SimSun" w:hAnsi="Arial" w:cs="Arial"/>
                <w:color w:val="000000" w:themeColor="text1"/>
                <w:sz w:val="22"/>
                <w:szCs w:val="22"/>
                <w:lang w:bidi="ar"/>
              </w:rPr>
              <w:br/>
              <w:t>• Engage with emerging digital health technologies</w:t>
            </w:r>
            <w:r w:rsidRPr="003510C2">
              <w:rPr>
                <w:rFonts w:ascii="Arial" w:eastAsia="SimSun" w:hAnsi="Arial" w:cs="Arial"/>
                <w:color w:val="000000" w:themeColor="text1"/>
                <w:sz w:val="22"/>
                <w:szCs w:val="22"/>
                <w:lang w:bidi="ar"/>
              </w:rPr>
              <w:br/>
              <w:t>• Pursue leadership development pathways</w:t>
            </w:r>
            <w:r w:rsidRPr="003510C2">
              <w:rPr>
                <w:rFonts w:ascii="Arial" w:eastAsia="SimSun" w:hAnsi="Arial" w:cs="Arial"/>
                <w:color w:val="000000" w:themeColor="text1"/>
                <w:sz w:val="22"/>
                <w:szCs w:val="22"/>
                <w:lang w:bidi="ar"/>
              </w:rPr>
              <w:br/>
              <w:t>• Contribute to service improvement initiatives</w:t>
            </w:r>
            <w:r w:rsidRPr="003510C2">
              <w:rPr>
                <w:rFonts w:ascii="Arial" w:eastAsia="SimSun" w:hAnsi="Arial" w:cs="Arial"/>
                <w:color w:val="000000" w:themeColor="text1"/>
                <w:sz w:val="22"/>
                <w:szCs w:val="22"/>
                <w:lang w:bidi="ar"/>
              </w:rPr>
              <w:br/>
              <w:t>• Build professional networks via conferences</w:t>
            </w:r>
            <w:r w:rsidRPr="003510C2">
              <w:rPr>
                <w:rFonts w:ascii="Arial" w:eastAsia="SimSun" w:hAnsi="Arial" w:cs="Arial"/>
                <w:color w:val="000000" w:themeColor="text1"/>
                <w:sz w:val="22"/>
                <w:szCs w:val="22"/>
                <w:lang w:bidi="ar"/>
              </w:rPr>
              <w:br/>
              <w:t>• Develop research and evidence generation skills</w:t>
            </w:r>
          </w:p>
        </w:tc>
        <w:tc>
          <w:tcPr>
            <w:tcW w:w="0" w:type="auto"/>
            <w:tcBorders>
              <w:top w:val="single" w:sz="8" w:space="0" w:color="F79646"/>
              <w:left w:val="single" w:sz="8" w:space="0" w:color="F79646"/>
              <w:bottom w:val="single" w:sz="8" w:space="0" w:color="F79646"/>
              <w:right w:val="single" w:sz="8" w:space="0" w:color="F79646"/>
            </w:tcBorders>
            <w:shd w:val="clear" w:color="auto" w:fill="FBD5B5"/>
            <w:tcMar>
              <w:top w:w="180" w:type="dxa"/>
              <w:left w:w="180" w:type="dxa"/>
              <w:bottom w:w="180" w:type="dxa"/>
              <w:right w:w="180" w:type="dxa"/>
            </w:tcMar>
          </w:tcPr>
          <w:p w14:paraId="7ED5FF5D" w14:textId="77777777" w:rsidR="00A73680" w:rsidRPr="003510C2" w:rsidRDefault="00F71E27">
            <w:pPr>
              <w:spacing w:line="360" w:lineRule="auto"/>
              <w:textAlignment w:val="top"/>
              <w:rPr>
                <w:rFonts w:ascii="Arial" w:hAnsi="Arial" w:cs="Arial"/>
                <w:color w:val="000000" w:themeColor="text1"/>
                <w:sz w:val="22"/>
                <w:szCs w:val="22"/>
              </w:rPr>
            </w:pPr>
            <w:r w:rsidRPr="003510C2">
              <w:rPr>
                <w:rStyle w:val="Robust"/>
                <w:rFonts w:ascii="Arial" w:eastAsia="SimSun" w:hAnsi="Arial" w:cs="Arial"/>
                <w:color w:val="000000" w:themeColor="text1"/>
                <w:sz w:val="22"/>
                <w:szCs w:val="22"/>
                <w:lang w:bidi="ar"/>
              </w:rPr>
              <w:t>External Challenges:</w:t>
            </w:r>
            <w:r w:rsidRPr="003510C2">
              <w:rPr>
                <w:rFonts w:ascii="Arial" w:eastAsia="SimSun" w:hAnsi="Arial" w:cs="Arial"/>
                <w:color w:val="000000" w:themeColor="text1"/>
                <w:sz w:val="22"/>
                <w:szCs w:val="22"/>
                <w:lang w:bidi="ar"/>
              </w:rPr>
              <w:br/>
              <w:t>• Competitive job market requiring continuous updates</w:t>
            </w:r>
            <w:r w:rsidRPr="003510C2">
              <w:rPr>
                <w:rFonts w:ascii="Arial" w:eastAsia="SimSun" w:hAnsi="Arial" w:cs="Arial"/>
                <w:color w:val="000000" w:themeColor="text1"/>
                <w:sz w:val="22"/>
                <w:szCs w:val="22"/>
                <w:lang w:bidi="ar"/>
              </w:rPr>
              <w:br/>
              <w:t>• Rapid technological healthcare changes</w:t>
            </w:r>
            <w:r w:rsidRPr="003510C2">
              <w:rPr>
                <w:rFonts w:ascii="Arial" w:eastAsia="SimSun" w:hAnsi="Arial" w:cs="Arial"/>
                <w:color w:val="000000" w:themeColor="text1"/>
                <w:sz w:val="22"/>
                <w:szCs w:val="22"/>
                <w:lang w:bidi="ar"/>
              </w:rPr>
              <w:br/>
              <w:t>• Workforce shortages and burnout risks</w:t>
            </w:r>
            <w:r w:rsidRPr="003510C2">
              <w:rPr>
                <w:rFonts w:ascii="Arial" w:eastAsia="SimSun" w:hAnsi="Arial" w:cs="Arial"/>
                <w:color w:val="000000" w:themeColor="text1"/>
                <w:sz w:val="22"/>
                <w:szCs w:val="22"/>
                <w:lang w:bidi="ar"/>
              </w:rPr>
              <w:br/>
              <w:t>• Limited professional development funding</w:t>
            </w:r>
            <w:r w:rsidRPr="003510C2">
              <w:rPr>
                <w:rFonts w:ascii="Arial" w:eastAsia="SimSun" w:hAnsi="Arial" w:cs="Arial"/>
                <w:color w:val="000000" w:themeColor="text1"/>
                <w:sz w:val="22"/>
                <w:szCs w:val="22"/>
                <w:lang w:bidi="ar"/>
              </w:rPr>
              <w:br/>
              <w:t>• Changing regulatory requirements</w:t>
            </w:r>
            <w:r w:rsidRPr="003510C2">
              <w:rPr>
                <w:rFonts w:ascii="Arial" w:eastAsia="SimSun" w:hAnsi="Arial" w:cs="Arial"/>
                <w:color w:val="000000" w:themeColor="text1"/>
                <w:sz w:val="22"/>
                <w:szCs w:val="22"/>
                <w:lang w:bidi="ar"/>
              </w:rPr>
              <w:br/>
              <w:t>• Shifting service delivery models</w:t>
            </w:r>
          </w:p>
        </w:tc>
      </w:tr>
    </w:tbl>
    <w:p w14:paraId="465395F4" w14:textId="77777777" w:rsidR="00A73680" w:rsidRPr="003510C2" w:rsidRDefault="00A73680">
      <w:pPr>
        <w:spacing w:line="360" w:lineRule="auto"/>
        <w:jc w:val="both"/>
        <w:rPr>
          <w:rFonts w:ascii="Arial" w:hAnsi="Arial" w:cs="Arial"/>
          <w:color w:val="000000" w:themeColor="text1"/>
          <w:sz w:val="22"/>
          <w:szCs w:val="22"/>
        </w:rPr>
      </w:pPr>
    </w:p>
    <w:p w14:paraId="0FAC803E" w14:textId="77777777" w:rsidR="00A73680" w:rsidRPr="003510C2" w:rsidRDefault="00F71E27">
      <w:pPr>
        <w:pStyle w:val="Titlu1"/>
        <w:spacing w:line="360" w:lineRule="auto"/>
        <w:jc w:val="both"/>
        <w:rPr>
          <w:rFonts w:ascii="Arial" w:hAnsi="Arial" w:cs="Arial"/>
          <w:color w:val="000000" w:themeColor="text1"/>
          <w:sz w:val="22"/>
          <w:szCs w:val="22"/>
        </w:rPr>
      </w:pPr>
      <w:bookmarkStart w:id="7" w:name="_Toc16082"/>
      <w:r w:rsidRPr="003510C2">
        <w:rPr>
          <w:rFonts w:ascii="Arial" w:hAnsi="Arial" w:cs="Arial"/>
          <w:color w:val="000000" w:themeColor="text1"/>
          <w:sz w:val="22"/>
          <w:szCs w:val="22"/>
        </w:rPr>
        <w:t>Task 2: Building and Expressing Professional Identity.</w:t>
      </w:r>
      <w:bookmarkEnd w:id="7"/>
      <w:r w:rsidRPr="003510C2">
        <w:rPr>
          <w:rFonts w:ascii="Arial" w:hAnsi="Arial" w:cs="Arial"/>
          <w:color w:val="000000" w:themeColor="text1"/>
          <w:sz w:val="22"/>
          <w:szCs w:val="22"/>
        </w:rPr>
        <w:t xml:space="preserve">  </w:t>
      </w:r>
    </w:p>
    <w:p w14:paraId="67C092C1" w14:textId="77777777" w:rsidR="00A73680" w:rsidRPr="003510C2" w:rsidRDefault="00F71E27">
      <w:pPr>
        <w:pStyle w:val="Titlu2"/>
        <w:spacing w:line="360" w:lineRule="auto"/>
        <w:jc w:val="both"/>
        <w:rPr>
          <w:rFonts w:ascii="Arial" w:hAnsi="Arial" w:cs="Arial"/>
          <w:color w:val="000000" w:themeColor="text1"/>
          <w:sz w:val="22"/>
          <w:szCs w:val="22"/>
        </w:rPr>
      </w:pPr>
      <w:bookmarkStart w:id="8" w:name="_Toc13806"/>
      <w:r w:rsidRPr="003510C2">
        <w:rPr>
          <w:rFonts w:ascii="Arial" w:hAnsi="Arial" w:cs="Arial"/>
          <w:color w:val="000000" w:themeColor="text1"/>
          <w:sz w:val="22"/>
          <w:szCs w:val="22"/>
        </w:rPr>
        <w:t>Professional Identity in Health and Social Care.</w:t>
      </w:r>
      <w:bookmarkEnd w:id="8"/>
      <w:r w:rsidRPr="003510C2">
        <w:rPr>
          <w:rFonts w:ascii="Arial" w:hAnsi="Arial" w:cs="Arial"/>
          <w:color w:val="000000" w:themeColor="text1"/>
          <w:sz w:val="22"/>
          <w:szCs w:val="22"/>
        </w:rPr>
        <w:t xml:space="preserve">  </w:t>
      </w:r>
    </w:p>
    <w:p w14:paraId="61CAD3D9"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 xml:space="preserve">Professional identity can be defined as the values, beliefs, and competencies which shape out one approach to a health and social care practise. Person-centred care, social justice, and the desire to decrease health inequalities are the values of my professional identity. These values are part of the modern health and social care provision and do mirror the values that the NHS Leadership Academy (2021) advocates authenticity, integrity, and focus on developing others. The concept has further contributed to my professional identity by helping me understand that health and social care workers collaborate with vulnerable groups that they must treat compassionately, with cultural competence, and using evidence-based practise.  </w:t>
      </w:r>
    </w:p>
    <w:p w14:paraId="3D2E0E97"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b/>
          <w:bCs/>
          <w:color w:val="000000" w:themeColor="text1"/>
          <w:sz w:val="22"/>
          <w:szCs w:val="22"/>
        </w:rPr>
        <w:t>Values</w:t>
      </w:r>
      <w:r w:rsidRPr="003510C2">
        <w:rPr>
          <w:rFonts w:ascii="Cambria Math" w:hAnsi="Cambria Math" w:cs="Cambria Math"/>
          <w:b/>
          <w:bCs/>
          <w:color w:val="000000" w:themeColor="text1"/>
          <w:sz w:val="22"/>
          <w:szCs w:val="22"/>
        </w:rPr>
        <w:t>‑</w:t>
      </w:r>
      <w:r w:rsidRPr="003510C2">
        <w:rPr>
          <w:rFonts w:ascii="Arial" w:hAnsi="Arial" w:cs="Arial"/>
          <w:b/>
          <w:bCs/>
          <w:color w:val="000000" w:themeColor="text1"/>
          <w:sz w:val="22"/>
          <w:szCs w:val="22"/>
        </w:rPr>
        <w:t xml:space="preserve">Based Practice  </w:t>
      </w:r>
    </w:p>
    <w:p w14:paraId="2AF279C5"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 xml:space="preserve">The key aspect in my professional identity will be the adherence to values-based practise and this means by combining personal and professional values with goals of an organisation and requirements of a service-user. The strategy follows the requirement of the NHS Constitution which emphasises respect and dignity, and commitment towards quality care (Department of Health and Social Care, 2023). My values include service-user autonomy, shared decision making, and sensitive delivery of care, which are culturally sensitive. These values assist me in my practise every day and make a decision in complex scenarios using the ethical code.  </w:t>
      </w:r>
    </w:p>
    <w:p w14:paraId="333635E9"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b/>
          <w:bCs/>
          <w:color w:val="000000" w:themeColor="text1"/>
          <w:sz w:val="22"/>
          <w:szCs w:val="22"/>
        </w:rPr>
        <w:t xml:space="preserve">Career Dynamics and Professional growth.  </w:t>
      </w:r>
    </w:p>
    <w:p w14:paraId="41BF0017"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My professional identity is still developing as a result of reflective practise and interaction with current healthcare issues. In the future, I would like to gain higher levels of clinical competency, perhaps, by acquiring specialist skills, or senior management positions in health and social care organisations. This path represents recognition of the fact that professional identity is an evolving phenomenon, which is developed and changes in the framework of ongoing learning, active practise, and critical reflection on practise.</w:t>
      </w:r>
    </w:p>
    <w:p w14:paraId="57734107" w14:textId="77777777" w:rsidR="00A73680" w:rsidRPr="003510C2" w:rsidRDefault="00F71E27">
      <w:pPr>
        <w:pStyle w:val="Titlu1"/>
        <w:spacing w:line="360" w:lineRule="auto"/>
        <w:jc w:val="both"/>
        <w:rPr>
          <w:rFonts w:ascii="Arial" w:hAnsi="Arial" w:cs="Arial"/>
          <w:color w:val="000000" w:themeColor="text1"/>
          <w:sz w:val="22"/>
          <w:szCs w:val="22"/>
        </w:rPr>
      </w:pPr>
      <w:bookmarkStart w:id="9" w:name="_Toc7070"/>
      <w:r w:rsidRPr="003510C2">
        <w:rPr>
          <w:rFonts w:ascii="Arial" w:hAnsi="Arial" w:cs="Arial"/>
          <w:color w:val="000000" w:themeColor="text1"/>
          <w:sz w:val="22"/>
          <w:szCs w:val="22"/>
        </w:rPr>
        <w:t>Task 3: Health and Social Care Interpersonal Communication and Skills.</w:t>
      </w:r>
      <w:bookmarkEnd w:id="9"/>
    </w:p>
    <w:p w14:paraId="7B929F1A" w14:textId="77777777" w:rsidR="00A73680" w:rsidRPr="003510C2" w:rsidRDefault="00F71E27">
      <w:pPr>
        <w:pStyle w:val="Titlu2"/>
        <w:spacing w:line="360" w:lineRule="auto"/>
        <w:jc w:val="both"/>
        <w:rPr>
          <w:rFonts w:ascii="Arial" w:hAnsi="Arial" w:cs="Arial"/>
          <w:color w:val="000000" w:themeColor="text1"/>
          <w:sz w:val="22"/>
          <w:szCs w:val="22"/>
        </w:rPr>
      </w:pPr>
      <w:bookmarkStart w:id="10" w:name="_Toc23922"/>
      <w:r w:rsidRPr="003510C2">
        <w:rPr>
          <w:rFonts w:ascii="Arial" w:hAnsi="Arial" w:cs="Arial"/>
          <w:color w:val="000000" w:themeColor="text1"/>
          <w:sz w:val="22"/>
          <w:szCs w:val="22"/>
        </w:rPr>
        <w:t>Examining Strengths of Communication.</w:t>
      </w:r>
      <w:bookmarkEnd w:id="10"/>
    </w:p>
    <w:p w14:paraId="42EEA86C"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Health and social care practise heavily rely on effective communication. The person will exhibit abilities in active listening, effective use of words, and flexibility in communication with different classes of people such as service users, their families, and colleagues in the institution of various disciplines. The semantic proficiency of professional communication (the ability to transmit meaning accurately and decode information of a complicated nature) also adds more value to collaborative activities and guarantee the better patient outcome (Gholipour et al., 2025). Besides, competence is also evident in written communication which involves clinical documentation and professional correspondence.</w:t>
      </w:r>
    </w:p>
    <w:p w14:paraId="58C01A5D" w14:textId="77777777" w:rsidR="00A73680" w:rsidRPr="003510C2" w:rsidRDefault="00F71E27">
      <w:pPr>
        <w:pStyle w:val="Titlu2"/>
        <w:spacing w:line="360" w:lineRule="auto"/>
        <w:jc w:val="both"/>
        <w:rPr>
          <w:rFonts w:ascii="Arial" w:hAnsi="Arial" w:cs="Arial"/>
          <w:color w:val="000000" w:themeColor="text1"/>
          <w:sz w:val="22"/>
          <w:szCs w:val="22"/>
        </w:rPr>
      </w:pPr>
      <w:bookmarkStart w:id="11" w:name="_Toc893"/>
      <w:r w:rsidRPr="003510C2">
        <w:rPr>
          <w:rFonts w:ascii="Arial" w:hAnsi="Arial" w:cs="Arial"/>
          <w:color w:val="000000" w:themeColor="text1"/>
          <w:sz w:val="22"/>
          <w:szCs w:val="22"/>
        </w:rPr>
        <w:t>Socialising and Cooperation with the Team.</w:t>
      </w:r>
      <w:bookmarkEnd w:id="11"/>
    </w:p>
    <w:p w14:paraId="5CC04789"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Teamwork in the health and social care is crucial. The available empirical research on team dynamics shows that a clear conception of individual roles and contributions can bring about high team performance and business performance (</w:t>
      </w:r>
      <w:proofErr w:type="spellStart"/>
      <w:r w:rsidRPr="003510C2">
        <w:rPr>
          <w:rFonts w:ascii="Arial" w:hAnsi="Arial" w:cs="Arial"/>
          <w:color w:val="000000" w:themeColor="text1"/>
          <w:sz w:val="22"/>
          <w:szCs w:val="22"/>
        </w:rPr>
        <w:t>Monsalves</w:t>
      </w:r>
      <w:proofErr w:type="spellEnd"/>
      <w:r w:rsidRPr="003510C2">
        <w:rPr>
          <w:rFonts w:ascii="Arial" w:hAnsi="Arial" w:cs="Arial"/>
          <w:color w:val="000000" w:themeColor="text1"/>
          <w:sz w:val="22"/>
          <w:szCs w:val="22"/>
        </w:rPr>
        <w:t xml:space="preserve"> et al., 2023). The practitioner appreciates his role as part of teams, respects diversity of opinions and feels comfortable addressing problems with their partners. Empathy, conflict management, and the ability to form rapport with colleagues and service users with heterogeneous backgrounds are considered the core interpersonal attributes.</w:t>
      </w:r>
    </w:p>
    <w:p w14:paraId="5785463C" w14:textId="77777777" w:rsidR="00A73680" w:rsidRPr="003510C2" w:rsidRDefault="00F71E27">
      <w:pPr>
        <w:pStyle w:val="Titlu2"/>
        <w:spacing w:line="360" w:lineRule="auto"/>
        <w:jc w:val="both"/>
        <w:rPr>
          <w:rFonts w:ascii="Arial" w:hAnsi="Arial" w:cs="Arial"/>
          <w:color w:val="000000" w:themeColor="text1"/>
          <w:sz w:val="22"/>
          <w:szCs w:val="22"/>
        </w:rPr>
      </w:pPr>
      <w:bookmarkStart w:id="12" w:name="_Toc16953"/>
      <w:r w:rsidRPr="003510C2">
        <w:rPr>
          <w:rFonts w:ascii="Arial" w:hAnsi="Arial" w:cs="Arial"/>
          <w:color w:val="000000" w:themeColor="text1"/>
          <w:sz w:val="22"/>
          <w:szCs w:val="22"/>
        </w:rPr>
        <w:t>Areas for Enhancement</w:t>
      </w:r>
      <w:bookmarkEnd w:id="12"/>
    </w:p>
    <w:p w14:paraId="2EE4421E"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Even though communication skills are typically underdeveloped, additional work with the area of assertive communication is justified especially when it comes to raising performance concerns, or representing service users at a multidisciplinary level. Also, the researcher would enhance the skills of using digital communication platforms and health information technologies to supplement her communication array in more technology-mediated healthcare settings.</w:t>
      </w:r>
    </w:p>
    <w:p w14:paraId="05C935F8" w14:textId="77777777" w:rsidR="00A73680" w:rsidRPr="003510C2" w:rsidRDefault="00F71E27">
      <w:pPr>
        <w:pStyle w:val="Titlu1"/>
        <w:spacing w:line="360" w:lineRule="auto"/>
        <w:jc w:val="both"/>
        <w:rPr>
          <w:rFonts w:ascii="Arial" w:hAnsi="Arial" w:cs="Arial"/>
          <w:color w:val="000000" w:themeColor="text1"/>
          <w:sz w:val="22"/>
          <w:szCs w:val="22"/>
        </w:rPr>
      </w:pPr>
      <w:bookmarkStart w:id="13" w:name="_Toc22813"/>
      <w:r w:rsidRPr="003510C2">
        <w:rPr>
          <w:rFonts w:ascii="Arial" w:hAnsi="Arial" w:cs="Arial"/>
          <w:color w:val="000000" w:themeColor="text1"/>
          <w:sz w:val="22"/>
          <w:szCs w:val="22"/>
        </w:rPr>
        <w:t>Task 4: Developing Strength and Overcoming Workplace Stressors.</w:t>
      </w:r>
      <w:bookmarkEnd w:id="13"/>
    </w:p>
    <w:p w14:paraId="13281FFF" w14:textId="77777777" w:rsidR="00A73680" w:rsidRPr="003510C2" w:rsidRDefault="00F71E27">
      <w:pPr>
        <w:pStyle w:val="Titlu2"/>
        <w:spacing w:line="360" w:lineRule="auto"/>
        <w:jc w:val="both"/>
        <w:rPr>
          <w:rFonts w:ascii="Arial" w:hAnsi="Arial" w:cs="Arial"/>
          <w:color w:val="000000" w:themeColor="text1"/>
          <w:sz w:val="22"/>
          <w:szCs w:val="22"/>
        </w:rPr>
      </w:pPr>
      <w:bookmarkStart w:id="14" w:name="_Toc10779"/>
      <w:r w:rsidRPr="003510C2">
        <w:rPr>
          <w:rFonts w:ascii="Arial" w:hAnsi="Arial" w:cs="Arial"/>
          <w:color w:val="000000" w:themeColor="text1"/>
          <w:sz w:val="22"/>
          <w:szCs w:val="22"/>
        </w:rPr>
        <w:t>Knowledge on Resilience in Health and Social Care.</w:t>
      </w:r>
      <w:bookmarkEnd w:id="14"/>
    </w:p>
    <w:p w14:paraId="05603642"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Resilience, as the ability to endure wellbeing and continue professional performance throughout the workplace adversity is an essential attribute to the long-term employment in the health and social care. This industry is faced with significant stressors such as high workload, emotional demands, limited resources, and traumatic experiencesAs Mind (2022) finds, resilience consists of coping mechanisms, social assistance, and self-care practises. Resilience cannot be achieved through the action of a single individual, it needs encouraging organisational cultures and structural measures on wellbeing.</w:t>
      </w:r>
    </w:p>
    <w:p w14:paraId="570E336E" w14:textId="77777777" w:rsidR="00A73680" w:rsidRPr="003510C2" w:rsidRDefault="00F71E27">
      <w:pPr>
        <w:pStyle w:val="Titlu2"/>
        <w:spacing w:line="360" w:lineRule="auto"/>
        <w:jc w:val="both"/>
        <w:rPr>
          <w:rFonts w:ascii="Arial" w:hAnsi="Arial" w:cs="Arial"/>
          <w:color w:val="000000" w:themeColor="text1"/>
          <w:sz w:val="22"/>
          <w:szCs w:val="22"/>
        </w:rPr>
      </w:pPr>
      <w:bookmarkStart w:id="15" w:name="_Toc2385"/>
      <w:r w:rsidRPr="003510C2">
        <w:rPr>
          <w:rFonts w:ascii="Arial" w:hAnsi="Arial" w:cs="Arial"/>
          <w:color w:val="000000" w:themeColor="text1"/>
          <w:sz w:val="22"/>
          <w:szCs w:val="22"/>
        </w:rPr>
        <w:t>Strategies of personal resilience.</w:t>
      </w:r>
      <w:bookmarkEnd w:id="15"/>
    </w:p>
    <w:p w14:paraId="56D7D84E"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My resilience strategy has employed a number of evidence-based plans to develop resiliency. They are such as keeping clear the line between work and personal life, physical activity and mindfulness, as well as a robust relationship in the workplace that would support each other. Also, I am an individual who pursues supervision and reflective practise to process improvement to avoid compassion fatigue (Mind, 2022). The awareness that stress is a normal emotional reaction to hard work, coupled with active coping methods, prevents psychological disorders and other stress-related issues and ensures professional performance.</w:t>
      </w:r>
    </w:p>
    <w:p w14:paraId="3191FDE8" w14:textId="77777777" w:rsidR="00A73680" w:rsidRPr="003510C2" w:rsidRDefault="00F71E27">
      <w:pPr>
        <w:pStyle w:val="Titlu2"/>
        <w:spacing w:line="360" w:lineRule="auto"/>
        <w:jc w:val="both"/>
        <w:rPr>
          <w:rFonts w:ascii="Arial" w:hAnsi="Arial" w:cs="Arial"/>
          <w:color w:val="000000" w:themeColor="text1"/>
          <w:sz w:val="22"/>
          <w:szCs w:val="22"/>
        </w:rPr>
      </w:pPr>
      <w:bookmarkStart w:id="16" w:name="_Toc31634"/>
      <w:r w:rsidRPr="003510C2">
        <w:rPr>
          <w:rFonts w:ascii="Arial" w:hAnsi="Arial" w:cs="Arial"/>
          <w:color w:val="000000" w:themeColor="text1"/>
          <w:sz w:val="22"/>
          <w:szCs w:val="22"/>
        </w:rPr>
        <w:t>Sustainable Employment Organisational Support.</w:t>
      </w:r>
      <w:bookmarkEnd w:id="16"/>
    </w:p>
    <w:p w14:paraId="48C67164"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Even though personal resilience-enhancing is paramount, employment at sustainable levels necessitates organisational dedication to staff wellbeing. According to the NHS Leadership Academy (2021), the role of leaders lies in helping to develop psychologically safe environments where staff members will be able to express concerns, get support services, and practise self-reflection. Such a systematic mindset of resilience, combined with personal coping mechanisms, provides environments favourable to long-term successful health and social care professions.</w:t>
      </w:r>
    </w:p>
    <w:p w14:paraId="7FF8E76F" w14:textId="77777777" w:rsidR="00A73680" w:rsidRPr="003510C2" w:rsidRDefault="00F71E27">
      <w:pPr>
        <w:pStyle w:val="Titlu1"/>
        <w:spacing w:line="360" w:lineRule="auto"/>
        <w:jc w:val="both"/>
        <w:rPr>
          <w:rFonts w:ascii="Arial" w:hAnsi="Arial" w:cs="Arial"/>
          <w:color w:val="000000" w:themeColor="text1"/>
          <w:sz w:val="22"/>
          <w:szCs w:val="22"/>
        </w:rPr>
      </w:pPr>
      <w:bookmarkStart w:id="17" w:name="_Toc8659"/>
      <w:r w:rsidRPr="003510C2">
        <w:rPr>
          <w:rFonts w:ascii="Arial" w:hAnsi="Arial" w:cs="Arial"/>
          <w:color w:val="000000" w:themeColor="text1"/>
          <w:sz w:val="22"/>
          <w:szCs w:val="22"/>
        </w:rPr>
        <w:t>Task 5: Career Planning and Goal setting.</w:t>
      </w:r>
      <w:bookmarkEnd w:id="17"/>
    </w:p>
    <w:p w14:paraId="0AD392ED" w14:textId="77777777" w:rsidR="00A73680" w:rsidRPr="003510C2" w:rsidRDefault="00F71E27">
      <w:pPr>
        <w:pStyle w:val="Titlu2"/>
        <w:spacing w:line="360" w:lineRule="auto"/>
        <w:jc w:val="both"/>
        <w:rPr>
          <w:rFonts w:ascii="Arial" w:hAnsi="Arial" w:cs="Arial"/>
          <w:color w:val="000000" w:themeColor="text1"/>
          <w:sz w:val="22"/>
          <w:szCs w:val="22"/>
        </w:rPr>
      </w:pPr>
      <w:bookmarkStart w:id="18" w:name="_Toc29168"/>
      <w:r w:rsidRPr="003510C2">
        <w:rPr>
          <w:rFonts w:ascii="Arial" w:hAnsi="Arial" w:cs="Arial"/>
          <w:color w:val="000000" w:themeColor="text1"/>
          <w:sz w:val="22"/>
          <w:szCs w:val="22"/>
        </w:rPr>
        <w:t>Short-term Professional Objectives (1-2 Years)</w:t>
      </w:r>
      <w:bookmarkEnd w:id="18"/>
    </w:p>
    <w:p w14:paraId="71B83C7A"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My career plans in the short run are to consolidate clinical knowledge, acquire applicable specialist qualifications, and build leadership skills. In particular I hope to complete superior training in my area and take up mentoring roles among junior staff. The latter goals are based on self-assessment results and are oriented to the needs of organisational development recognised on the basis of the Skills for Care (2023) workforce analysis.</w:t>
      </w:r>
    </w:p>
    <w:p w14:paraId="43F4FEDE" w14:textId="77777777" w:rsidR="00A73680" w:rsidRPr="003510C2" w:rsidRDefault="00F71E27">
      <w:pPr>
        <w:pStyle w:val="Titlu2"/>
        <w:spacing w:line="360" w:lineRule="auto"/>
        <w:jc w:val="both"/>
        <w:rPr>
          <w:rFonts w:ascii="Arial" w:hAnsi="Arial" w:cs="Arial"/>
          <w:color w:val="000000" w:themeColor="text1"/>
          <w:sz w:val="22"/>
          <w:szCs w:val="22"/>
        </w:rPr>
      </w:pPr>
      <w:bookmarkStart w:id="19" w:name="_Toc19245"/>
      <w:r w:rsidRPr="003510C2">
        <w:rPr>
          <w:rFonts w:ascii="Arial" w:hAnsi="Arial" w:cs="Arial"/>
          <w:color w:val="000000" w:themeColor="text1"/>
          <w:sz w:val="22"/>
          <w:szCs w:val="22"/>
        </w:rPr>
        <w:t>Long-term career goals (3 5+ Years)</w:t>
      </w:r>
      <w:bookmarkEnd w:id="19"/>
    </w:p>
    <w:p w14:paraId="28E26FE1"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Long term career objectives are advancement to senior or specialist positions which may have an executive or educational aspect. I hope to attract improvement of the services, practise based research, and development of future health and social care professionals. These dreams highlight the importance of professional progress and help bring improvement in the sector that goes beyond that of individual practise.</w:t>
      </w:r>
    </w:p>
    <w:p w14:paraId="11EACD6D" w14:textId="77777777" w:rsidR="00A73680" w:rsidRPr="003510C2" w:rsidRDefault="00F71E27">
      <w:pPr>
        <w:pStyle w:val="Titlu2"/>
        <w:spacing w:line="360" w:lineRule="auto"/>
        <w:jc w:val="both"/>
        <w:rPr>
          <w:rFonts w:ascii="Arial" w:hAnsi="Arial" w:cs="Arial"/>
          <w:color w:val="000000" w:themeColor="text1"/>
          <w:sz w:val="22"/>
          <w:szCs w:val="22"/>
        </w:rPr>
      </w:pPr>
      <w:bookmarkStart w:id="20" w:name="_Toc27690"/>
      <w:r w:rsidRPr="003510C2">
        <w:rPr>
          <w:rFonts w:ascii="Arial" w:hAnsi="Arial" w:cs="Arial"/>
          <w:color w:val="000000" w:themeColor="text1"/>
          <w:sz w:val="22"/>
          <w:szCs w:val="22"/>
        </w:rPr>
        <w:t>Implementation Pathways</w:t>
      </w:r>
      <w:bookmarkEnd w:id="20"/>
      <w:r w:rsidRPr="003510C2">
        <w:rPr>
          <w:rFonts w:ascii="Arial" w:hAnsi="Arial" w:cs="Arial"/>
          <w:color w:val="000000" w:themeColor="text1"/>
          <w:sz w:val="22"/>
          <w:szCs w:val="22"/>
        </w:rPr>
        <w:t xml:space="preserve">  </w:t>
      </w:r>
    </w:p>
    <w:p w14:paraId="77D79B65"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 xml:space="preserve">Achievement of these goals would require carefully designed planning, including discovering educational opportunities, forming mentorship relationships and offering career development assistance. The approach described by </w:t>
      </w:r>
      <w:proofErr w:type="spellStart"/>
      <w:r w:rsidRPr="003510C2">
        <w:rPr>
          <w:rFonts w:ascii="Arial" w:hAnsi="Arial" w:cs="Arial"/>
          <w:color w:val="000000" w:themeColor="text1"/>
          <w:sz w:val="22"/>
          <w:szCs w:val="22"/>
        </w:rPr>
        <w:t>Thiagraj</w:t>
      </w:r>
      <w:proofErr w:type="spellEnd"/>
      <w:r w:rsidRPr="003510C2">
        <w:rPr>
          <w:rFonts w:ascii="Arial" w:hAnsi="Arial" w:cs="Arial"/>
          <w:color w:val="000000" w:themeColor="text1"/>
          <w:sz w:val="22"/>
          <w:szCs w:val="22"/>
        </w:rPr>
        <w:t xml:space="preserve"> et al. (2021), which assumes reflective practise, helps to identify personal needs related to self-directed learning, as well as create unique learning paths to match future career goals.</w:t>
      </w:r>
    </w:p>
    <w:p w14:paraId="257178DD" w14:textId="77777777" w:rsidR="00A73680" w:rsidRPr="003510C2" w:rsidRDefault="00F71E27">
      <w:pPr>
        <w:spacing w:line="360" w:lineRule="auto"/>
        <w:jc w:val="center"/>
        <w:rPr>
          <w:rFonts w:ascii="Arial" w:hAnsi="Arial" w:cs="Arial"/>
          <w:i/>
          <w:iCs/>
          <w:color w:val="000000" w:themeColor="text1"/>
          <w:sz w:val="22"/>
          <w:szCs w:val="22"/>
        </w:rPr>
      </w:pPr>
      <w:r w:rsidRPr="003510C2">
        <w:rPr>
          <w:rFonts w:ascii="Arial" w:hAnsi="Arial" w:cs="Arial"/>
          <w:i/>
          <w:iCs/>
          <w:noProof/>
          <w:color w:val="000000" w:themeColor="text1"/>
          <w:sz w:val="22"/>
          <w:szCs w:val="22"/>
          <w:lang w:eastAsia="en-GB"/>
        </w:rPr>
        <w:drawing>
          <wp:inline distT="0" distB="0" distL="114300" distR="114300" wp14:anchorId="15F7EFE3" wp14:editId="63BA8E63">
            <wp:extent cx="5270500" cy="3224530"/>
            <wp:effectExtent l="9525" t="9525" r="15875" b="234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lum contrast="-6000"/>
                    </a:blip>
                    <a:stretch>
                      <a:fillRect/>
                    </a:stretch>
                  </pic:blipFill>
                  <pic:spPr>
                    <a:xfrm>
                      <a:off x="0" y="0"/>
                      <a:ext cx="5270500" cy="3224530"/>
                    </a:xfrm>
                    <a:prstGeom prst="rect">
                      <a:avLst/>
                    </a:prstGeom>
                    <a:noFill/>
                    <a:ln>
                      <a:solidFill>
                        <a:srgbClr val="0000FF"/>
                      </a:solidFill>
                    </a:ln>
                  </pic:spPr>
                </pic:pic>
              </a:graphicData>
            </a:graphic>
          </wp:inline>
        </w:drawing>
      </w:r>
    </w:p>
    <w:p w14:paraId="0D3683D7" w14:textId="77777777" w:rsidR="00A73680" w:rsidRPr="003510C2" w:rsidRDefault="00F71E27">
      <w:pPr>
        <w:pStyle w:val="Legend"/>
        <w:spacing w:line="360" w:lineRule="auto"/>
        <w:jc w:val="center"/>
        <w:rPr>
          <w:color w:val="000000" w:themeColor="text1"/>
          <w:sz w:val="22"/>
          <w:szCs w:val="22"/>
        </w:rPr>
      </w:pPr>
      <w:r w:rsidRPr="003510C2">
        <w:rPr>
          <w:i/>
          <w:iCs/>
          <w:color w:val="000000" w:themeColor="text1"/>
          <w:sz w:val="22"/>
          <w:szCs w:val="22"/>
        </w:rPr>
        <w:t xml:space="preserve">Figure </w:t>
      </w:r>
      <w:r w:rsidRPr="003510C2">
        <w:rPr>
          <w:i/>
          <w:iCs/>
          <w:color w:val="000000" w:themeColor="text1"/>
          <w:sz w:val="22"/>
          <w:szCs w:val="22"/>
        </w:rPr>
        <w:fldChar w:fldCharType="begin"/>
      </w:r>
      <w:r w:rsidRPr="003510C2">
        <w:rPr>
          <w:i/>
          <w:iCs/>
          <w:color w:val="000000" w:themeColor="text1"/>
          <w:sz w:val="22"/>
          <w:szCs w:val="22"/>
        </w:rPr>
        <w:instrText xml:space="preserve"> SEQ Figure \* ARABIC </w:instrText>
      </w:r>
      <w:r w:rsidRPr="003510C2">
        <w:rPr>
          <w:i/>
          <w:iCs/>
          <w:color w:val="000000" w:themeColor="text1"/>
          <w:sz w:val="22"/>
          <w:szCs w:val="22"/>
        </w:rPr>
        <w:fldChar w:fldCharType="separate"/>
      </w:r>
      <w:r w:rsidRPr="003510C2">
        <w:rPr>
          <w:i/>
          <w:iCs/>
          <w:color w:val="000000" w:themeColor="text1"/>
          <w:sz w:val="22"/>
          <w:szCs w:val="22"/>
        </w:rPr>
        <w:t>1</w:t>
      </w:r>
      <w:r w:rsidRPr="003510C2">
        <w:rPr>
          <w:i/>
          <w:iCs/>
          <w:color w:val="000000" w:themeColor="text1"/>
          <w:sz w:val="22"/>
          <w:szCs w:val="22"/>
        </w:rPr>
        <w:fldChar w:fldCharType="end"/>
      </w:r>
      <w:r w:rsidRPr="003510C2">
        <w:rPr>
          <w:i/>
          <w:iCs/>
          <w:color w:val="000000" w:themeColor="text1"/>
          <w:sz w:val="22"/>
          <w:szCs w:val="22"/>
        </w:rPr>
        <w:t>: Gantt Chart Timeline; Source: Self</w:t>
      </w:r>
    </w:p>
    <w:p w14:paraId="7F6C8281" w14:textId="77777777" w:rsidR="00A73680" w:rsidRPr="003510C2" w:rsidRDefault="00F71E27">
      <w:pPr>
        <w:pStyle w:val="Titlu1"/>
        <w:spacing w:line="360" w:lineRule="auto"/>
        <w:jc w:val="both"/>
        <w:rPr>
          <w:rFonts w:ascii="Arial" w:hAnsi="Arial" w:cs="Arial"/>
          <w:color w:val="000000" w:themeColor="text1"/>
          <w:sz w:val="22"/>
          <w:szCs w:val="22"/>
        </w:rPr>
      </w:pPr>
      <w:bookmarkStart w:id="21" w:name="_Toc9924"/>
      <w:r w:rsidRPr="003510C2">
        <w:rPr>
          <w:rFonts w:ascii="Arial" w:hAnsi="Arial" w:cs="Arial"/>
          <w:color w:val="000000" w:themeColor="text1"/>
          <w:sz w:val="22"/>
          <w:szCs w:val="22"/>
        </w:rPr>
        <w:t>Task 6: Personal Brand Statement.</w:t>
      </w:r>
      <w:bookmarkEnd w:id="21"/>
      <w:r w:rsidRPr="003510C2">
        <w:rPr>
          <w:rFonts w:ascii="Arial" w:hAnsi="Arial" w:cs="Arial"/>
          <w:color w:val="000000" w:themeColor="text1"/>
          <w:sz w:val="22"/>
          <w:szCs w:val="22"/>
        </w:rPr>
        <w:t xml:space="preserve">  </w:t>
      </w:r>
    </w:p>
    <w:p w14:paraId="00D77FEF"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Professional Brand Storey: I am an evidence-based practitioner and compassionate health and social care professional committed to the promotion of equity in health and person-centred practise and continuous professional growth. I have strong communication skills, the spirit of teamwork and the strong desire to serve vulnerable communities. My professional brand is based on being genuine, upright, and committed to putting values into a working practise. I look after the opportunities that enable me to utilise clinical skills to positively influence the outcomes of the service users, deepen specialist knowledge, and promote organisational excellence.</w:t>
      </w:r>
    </w:p>
    <w:p w14:paraId="6653AB0B" w14:textId="77777777" w:rsidR="00A73680" w:rsidRPr="003510C2" w:rsidRDefault="00F71E27">
      <w:pPr>
        <w:pStyle w:val="Titlu1"/>
        <w:spacing w:line="360" w:lineRule="auto"/>
        <w:jc w:val="both"/>
        <w:rPr>
          <w:rFonts w:ascii="Arial" w:hAnsi="Arial" w:cs="Arial"/>
          <w:color w:val="000000" w:themeColor="text1"/>
          <w:sz w:val="22"/>
          <w:szCs w:val="22"/>
        </w:rPr>
      </w:pPr>
      <w:bookmarkStart w:id="22" w:name="_Toc29493"/>
      <w:r w:rsidRPr="003510C2">
        <w:rPr>
          <w:rFonts w:ascii="Arial" w:hAnsi="Arial" w:cs="Arial"/>
          <w:color w:val="000000" w:themeColor="text1"/>
          <w:sz w:val="22"/>
          <w:szCs w:val="22"/>
        </w:rPr>
        <w:t>Task 7: Networking and Professional Development.</w:t>
      </w:r>
      <w:bookmarkEnd w:id="22"/>
      <w:r w:rsidRPr="003510C2">
        <w:rPr>
          <w:rFonts w:ascii="Arial" w:hAnsi="Arial" w:cs="Arial"/>
          <w:color w:val="000000" w:themeColor="text1"/>
          <w:sz w:val="22"/>
          <w:szCs w:val="22"/>
        </w:rPr>
        <w:t xml:space="preserve">  </w:t>
      </w:r>
    </w:p>
    <w:p w14:paraId="32D5C02E" w14:textId="77777777" w:rsidR="00A73680" w:rsidRPr="003510C2" w:rsidRDefault="00F71E27">
      <w:pPr>
        <w:spacing w:line="360" w:lineRule="auto"/>
        <w:jc w:val="both"/>
        <w:rPr>
          <w:rFonts w:ascii="Arial" w:hAnsi="Arial" w:cs="Arial"/>
          <w:color w:val="000000" w:themeColor="text1"/>
          <w:sz w:val="22"/>
          <w:szCs w:val="22"/>
        </w:rPr>
      </w:pPr>
      <w:bookmarkStart w:id="23" w:name="_Toc23127"/>
      <w:r w:rsidRPr="003510C2">
        <w:rPr>
          <w:rStyle w:val="Titlu2Caracter"/>
          <w:rFonts w:ascii="Arial" w:hAnsi="Arial" w:cs="Arial"/>
          <w:color w:val="000000" w:themeColor="text1"/>
          <w:sz w:val="22"/>
          <w:szCs w:val="22"/>
        </w:rPr>
        <w:t xml:space="preserve">Networking the Professionals. </w:t>
      </w:r>
      <w:bookmarkEnd w:id="23"/>
      <w:r w:rsidRPr="003510C2">
        <w:rPr>
          <w:rFonts w:ascii="Arial" w:hAnsi="Arial" w:cs="Arial"/>
          <w:color w:val="000000" w:themeColor="text1"/>
          <w:sz w:val="22"/>
          <w:szCs w:val="22"/>
        </w:rPr>
        <w:t xml:space="preserve"> </w:t>
      </w:r>
    </w:p>
    <w:p w14:paraId="4D3A7B54"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The process of maintaining employability requires participation in professional networks and communities of practise. These networks provide a chance to learn, possibility of professional growth and mutual support. I do take active participation in professional associations, visit conferences and seminars, and even join online communities which are related to my sphere of practise.</w:t>
      </w:r>
    </w:p>
    <w:p w14:paraId="579A1E74" w14:textId="77777777" w:rsidR="00A73680" w:rsidRPr="003510C2" w:rsidRDefault="00F71E27">
      <w:pPr>
        <w:pStyle w:val="Titlu2"/>
        <w:spacing w:line="360" w:lineRule="auto"/>
        <w:jc w:val="both"/>
        <w:rPr>
          <w:rFonts w:ascii="Arial" w:hAnsi="Arial" w:cs="Arial"/>
          <w:color w:val="000000" w:themeColor="text1"/>
          <w:sz w:val="22"/>
          <w:szCs w:val="22"/>
        </w:rPr>
      </w:pPr>
      <w:bookmarkStart w:id="24" w:name="_Toc15362"/>
      <w:r w:rsidRPr="003510C2">
        <w:rPr>
          <w:rFonts w:ascii="Arial" w:hAnsi="Arial" w:cs="Arial"/>
          <w:color w:val="000000" w:themeColor="text1"/>
          <w:sz w:val="22"/>
          <w:szCs w:val="22"/>
        </w:rPr>
        <w:t>Also Learned to never stop learning.</w:t>
      </w:r>
      <w:bookmarkEnd w:id="24"/>
      <w:r w:rsidRPr="003510C2">
        <w:rPr>
          <w:rFonts w:ascii="Arial" w:hAnsi="Arial" w:cs="Arial"/>
          <w:color w:val="000000" w:themeColor="text1"/>
          <w:sz w:val="22"/>
          <w:szCs w:val="22"/>
        </w:rPr>
        <w:t xml:space="preserve">  </w:t>
      </w:r>
    </w:p>
    <w:p w14:paraId="4E8F3948"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Unless you uphold professional capability and career sustainability, lifelong learning is indispensable. I use evidence based literature, participate in formal and informal training programmes and critically reflect on the practise experiences to identify learning requirements and growth opportunities.</w:t>
      </w:r>
    </w:p>
    <w:p w14:paraId="679563A2" w14:textId="77777777" w:rsidR="00A73680" w:rsidRPr="003510C2" w:rsidRDefault="00F71E27">
      <w:pPr>
        <w:pStyle w:val="Titlu1"/>
        <w:spacing w:line="360" w:lineRule="auto"/>
        <w:jc w:val="both"/>
        <w:rPr>
          <w:rFonts w:ascii="Arial" w:hAnsi="Arial" w:cs="Arial"/>
          <w:color w:val="000000" w:themeColor="text1"/>
          <w:sz w:val="22"/>
          <w:szCs w:val="22"/>
        </w:rPr>
      </w:pPr>
      <w:bookmarkStart w:id="25" w:name="_Toc7290"/>
      <w:r w:rsidRPr="003510C2">
        <w:rPr>
          <w:rFonts w:ascii="Arial" w:hAnsi="Arial" w:cs="Arial"/>
          <w:color w:val="000000" w:themeColor="text1"/>
          <w:sz w:val="22"/>
          <w:szCs w:val="22"/>
        </w:rPr>
        <w:t>Task 8:Integration and Future direction.</w:t>
      </w:r>
      <w:bookmarkEnd w:id="25"/>
      <w:r w:rsidRPr="003510C2">
        <w:rPr>
          <w:rFonts w:ascii="Arial" w:hAnsi="Arial" w:cs="Arial"/>
          <w:color w:val="000000" w:themeColor="text1"/>
          <w:sz w:val="22"/>
          <w:szCs w:val="22"/>
        </w:rPr>
        <w:t xml:space="preserve">  </w:t>
      </w:r>
    </w:p>
    <w:p w14:paraId="691C2DF1" w14:textId="77777777" w:rsidR="00A73680" w:rsidRPr="003510C2" w:rsidRDefault="00F71E27">
      <w:pPr>
        <w:pStyle w:val="Titlu2"/>
        <w:spacing w:line="360" w:lineRule="auto"/>
        <w:jc w:val="both"/>
        <w:rPr>
          <w:rFonts w:ascii="Arial" w:hAnsi="Arial" w:cs="Arial"/>
          <w:color w:val="000000" w:themeColor="text1"/>
          <w:sz w:val="22"/>
          <w:szCs w:val="22"/>
        </w:rPr>
      </w:pPr>
      <w:bookmarkStart w:id="26" w:name="_Toc19098"/>
      <w:r w:rsidRPr="003510C2">
        <w:rPr>
          <w:rFonts w:ascii="Arial" w:hAnsi="Arial" w:cs="Arial"/>
          <w:color w:val="000000" w:themeColor="text1"/>
          <w:sz w:val="22"/>
          <w:szCs w:val="22"/>
        </w:rPr>
        <w:t>Synthesis of Learning</w:t>
      </w:r>
      <w:bookmarkEnd w:id="26"/>
      <w:r w:rsidRPr="003510C2">
        <w:rPr>
          <w:rFonts w:ascii="Arial" w:hAnsi="Arial" w:cs="Arial"/>
          <w:color w:val="000000" w:themeColor="text1"/>
          <w:sz w:val="22"/>
          <w:szCs w:val="22"/>
        </w:rPr>
        <w:t xml:space="preserve">  </w:t>
      </w:r>
    </w:p>
    <w:p w14:paraId="791B6C8F"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This is a portfolio that represents an extreme use of personal brand development and employment competencies related to health and social care. The key lessons are that the formation of professional brands is a continuous process that requires constant self-reflection, education, and the presence of adaptation to the constantly changing healthcare setting and personal professional goals.</w:t>
      </w:r>
    </w:p>
    <w:p w14:paraId="2C20AD60" w14:textId="77777777" w:rsidR="00A73680" w:rsidRPr="003510C2" w:rsidRDefault="00F71E27">
      <w:pPr>
        <w:pStyle w:val="Titlu2"/>
        <w:spacing w:line="360" w:lineRule="auto"/>
        <w:jc w:val="both"/>
        <w:rPr>
          <w:rFonts w:ascii="Arial" w:hAnsi="Arial" w:cs="Arial"/>
          <w:color w:val="000000" w:themeColor="text1"/>
          <w:sz w:val="22"/>
          <w:szCs w:val="22"/>
        </w:rPr>
      </w:pPr>
      <w:bookmarkStart w:id="27" w:name="_Toc29132"/>
      <w:r w:rsidRPr="003510C2">
        <w:rPr>
          <w:rFonts w:ascii="Arial" w:hAnsi="Arial" w:cs="Arial"/>
          <w:color w:val="000000" w:themeColor="text1"/>
          <w:sz w:val="22"/>
          <w:szCs w:val="22"/>
        </w:rPr>
        <w:t>Readiness for Sustainable Employment</w:t>
      </w:r>
      <w:bookmarkEnd w:id="27"/>
    </w:p>
    <w:p w14:paraId="7CA8066D"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 xml:space="preserve">Since the eight tasks were completed, I have gained a new clarity in relation to my professional identity, the determination of the main strengths in employability and areas of development, and the development of systematic plans to reach the goals of the career. Sustainable and </w:t>
      </w:r>
      <w:proofErr w:type="spellStart"/>
      <w:r w:rsidRPr="003510C2">
        <w:rPr>
          <w:rFonts w:ascii="Arial" w:hAnsi="Arial" w:cs="Arial"/>
          <w:color w:val="000000" w:themeColor="text1"/>
          <w:sz w:val="22"/>
          <w:szCs w:val="22"/>
        </w:rPr>
        <w:t>fullfilling</w:t>
      </w:r>
      <w:proofErr w:type="spellEnd"/>
      <w:r w:rsidRPr="003510C2">
        <w:rPr>
          <w:rFonts w:ascii="Arial" w:hAnsi="Arial" w:cs="Arial"/>
          <w:color w:val="000000" w:themeColor="text1"/>
          <w:sz w:val="22"/>
          <w:szCs w:val="22"/>
        </w:rPr>
        <w:t xml:space="preserve"> jobs in the ever changing health and social care facilities are built on this strategic positioning.</w:t>
      </w:r>
    </w:p>
    <w:p w14:paraId="550B7989" w14:textId="77777777" w:rsidR="00A73680" w:rsidRPr="003510C2" w:rsidRDefault="00F71E27">
      <w:pPr>
        <w:pStyle w:val="Titlu1"/>
        <w:spacing w:line="360" w:lineRule="auto"/>
        <w:jc w:val="both"/>
        <w:rPr>
          <w:rFonts w:ascii="Arial" w:hAnsi="Arial" w:cs="Arial"/>
          <w:color w:val="000000" w:themeColor="text1"/>
          <w:sz w:val="22"/>
          <w:szCs w:val="22"/>
        </w:rPr>
      </w:pPr>
      <w:bookmarkStart w:id="28" w:name="_Toc18162"/>
      <w:r w:rsidRPr="003510C2">
        <w:rPr>
          <w:rFonts w:ascii="Arial" w:hAnsi="Arial" w:cs="Arial"/>
          <w:color w:val="000000" w:themeColor="text1"/>
          <w:sz w:val="22"/>
          <w:szCs w:val="22"/>
        </w:rPr>
        <w:t>Conclusion</w:t>
      </w:r>
      <w:bookmarkEnd w:id="28"/>
      <w:r w:rsidRPr="003510C2">
        <w:rPr>
          <w:rFonts w:ascii="Arial" w:hAnsi="Arial" w:cs="Arial"/>
          <w:color w:val="000000" w:themeColor="text1"/>
          <w:sz w:val="22"/>
          <w:szCs w:val="22"/>
        </w:rPr>
        <w:t xml:space="preserve"> </w:t>
      </w:r>
    </w:p>
    <w:p w14:paraId="34425303" w14:textId="77777777" w:rsidR="00A73680" w:rsidRPr="003510C2" w:rsidRDefault="00F71E27">
      <w:pPr>
        <w:spacing w:line="360" w:lineRule="auto"/>
        <w:jc w:val="both"/>
        <w:rPr>
          <w:rFonts w:ascii="Arial" w:hAnsi="Arial" w:cs="Arial"/>
          <w:color w:val="000000" w:themeColor="text1"/>
          <w:sz w:val="22"/>
          <w:szCs w:val="22"/>
        </w:rPr>
      </w:pPr>
      <w:r w:rsidRPr="003510C2">
        <w:rPr>
          <w:rFonts w:ascii="Arial" w:hAnsi="Arial" w:cs="Arial"/>
          <w:color w:val="000000" w:themeColor="text1"/>
          <w:sz w:val="22"/>
          <w:szCs w:val="22"/>
        </w:rPr>
        <w:t>The given portfolio provides some evidence of active work with personal brand development and employability skills to gain sustainable employment in health and social care. Through all reflective analyses of professional identity, communication competence, resilience and professional planning, I have developed a consistent professional brand that reflects current healthcare values and employment requirements. The long-term maintenance of the reflective practise, professional development, and organisational support will help further growth and contribution to excellence in health and social care. The skills developed during this module create a supportive foundation towards achieving long term career goals and maintaining a healthy life and unwaveringly the service-user-centred practise.</w:t>
      </w:r>
    </w:p>
    <w:p w14:paraId="6F77768C" w14:textId="77777777" w:rsidR="00A73680" w:rsidRPr="003510C2" w:rsidRDefault="00F71E27">
      <w:pPr>
        <w:spacing w:line="360" w:lineRule="auto"/>
        <w:rPr>
          <w:rFonts w:ascii="Arial" w:hAnsi="Arial" w:cs="Arial"/>
          <w:color w:val="000000" w:themeColor="text1"/>
          <w:sz w:val="22"/>
          <w:szCs w:val="22"/>
        </w:rPr>
      </w:pPr>
      <w:r w:rsidRPr="003510C2">
        <w:rPr>
          <w:rFonts w:ascii="Arial" w:hAnsi="Arial" w:cs="Arial"/>
          <w:color w:val="000000" w:themeColor="text1"/>
          <w:sz w:val="22"/>
          <w:szCs w:val="22"/>
        </w:rPr>
        <w:br w:type="page"/>
      </w:r>
    </w:p>
    <w:p w14:paraId="550BDE9B" w14:textId="77777777" w:rsidR="00A73680" w:rsidRPr="003510C2" w:rsidRDefault="00F71E27">
      <w:pPr>
        <w:pStyle w:val="Titlu1"/>
        <w:spacing w:line="360" w:lineRule="auto"/>
        <w:rPr>
          <w:rFonts w:ascii="Arial" w:hAnsi="Arial" w:cs="Arial"/>
          <w:color w:val="000000" w:themeColor="text1"/>
          <w:sz w:val="22"/>
          <w:szCs w:val="22"/>
        </w:rPr>
      </w:pPr>
      <w:r w:rsidRPr="003510C2">
        <w:rPr>
          <w:rFonts w:ascii="Arial" w:hAnsi="Arial" w:cs="Arial"/>
          <w:color w:val="000000" w:themeColor="text1"/>
          <w:sz w:val="22"/>
          <w:szCs w:val="22"/>
        </w:rPr>
        <w:t xml:space="preserve"> </w:t>
      </w:r>
      <w:bookmarkStart w:id="29" w:name="_Toc2299"/>
      <w:r w:rsidRPr="003510C2">
        <w:rPr>
          <w:rFonts w:ascii="Arial" w:hAnsi="Arial" w:cs="Arial"/>
          <w:color w:val="000000" w:themeColor="text1"/>
          <w:sz w:val="22"/>
          <w:szCs w:val="22"/>
        </w:rPr>
        <w:t>Reference List</w:t>
      </w:r>
      <w:bookmarkEnd w:id="29"/>
    </w:p>
    <w:p w14:paraId="4367C2FD"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Department of Health and Social Care (2023) </w:t>
      </w:r>
      <w:r w:rsidRPr="003510C2">
        <w:rPr>
          <w:rStyle w:val="Accentuat"/>
          <w:rFonts w:ascii="Arial" w:hAnsi="Arial" w:cs="Arial"/>
          <w:color w:val="000000" w:themeColor="text1"/>
          <w:sz w:val="22"/>
          <w:szCs w:val="22"/>
        </w:rPr>
        <w:t>The NHS Constitution for England</w:t>
      </w:r>
      <w:r w:rsidRPr="003510C2">
        <w:rPr>
          <w:rFonts w:ascii="Arial" w:hAnsi="Arial" w:cs="Arial"/>
          <w:color w:val="000000" w:themeColor="text1"/>
          <w:sz w:val="22"/>
          <w:szCs w:val="22"/>
        </w:rPr>
        <w:t xml:space="preserve">. Available at: </w:t>
      </w:r>
      <w:hyperlink r:id="rId7" w:tgtFrame="_new" w:history="1">
        <w:r w:rsidRPr="003510C2">
          <w:rPr>
            <w:rStyle w:val="Hyperlink"/>
            <w:rFonts w:ascii="Arial" w:hAnsi="Arial" w:cs="Arial"/>
            <w:color w:val="000000" w:themeColor="text1"/>
            <w:sz w:val="22"/>
            <w:szCs w:val="22"/>
          </w:rPr>
          <w:t>https://www.gov.uk/government/publications/the-nhs-constitution-for-england/the-nhs-constitution-for-england</w:t>
        </w:r>
      </w:hyperlink>
      <w:r w:rsidRPr="003510C2">
        <w:rPr>
          <w:rFonts w:ascii="Arial" w:hAnsi="Arial" w:cs="Arial"/>
          <w:color w:val="000000" w:themeColor="text1"/>
          <w:sz w:val="22"/>
          <w:szCs w:val="22"/>
        </w:rPr>
        <w:t xml:space="preserve"> (Accessed: 16 November 2025).</w:t>
      </w:r>
    </w:p>
    <w:p w14:paraId="7EB04636"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Gholipour, J., Schaefer, R.F. and </w:t>
      </w:r>
      <w:proofErr w:type="spellStart"/>
      <w:r w:rsidRPr="003510C2">
        <w:rPr>
          <w:rFonts w:ascii="Arial" w:hAnsi="Arial" w:cs="Arial"/>
          <w:color w:val="000000" w:themeColor="text1"/>
          <w:sz w:val="22"/>
          <w:szCs w:val="22"/>
        </w:rPr>
        <w:t>Fettweis</w:t>
      </w:r>
      <w:proofErr w:type="spellEnd"/>
      <w:r w:rsidRPr="003510C2">
        <w:rPr>
          <w:rFonts w:ascii="Arial" w:hAnsi="Arial" w:cs="Arial"/>
          <w:color w:val="000000" w:themeColor="text1"/>
          <w:sz w:val="22"/>
          <w:szCs w:val="22"/>
        </w:rPr>
        <w:t xml:space="preserve">, G.P. (2025) ‘Semantic Communication: From Philosophical Conceptions Towards a Mathematical Framework’, </w:t>
      </w:r>
      <w:r w:rsidRPr="003510C2">
        <w:rPr>
          <w:rStyle w:val="Accentuat"/>
          <w:rFonts w:ascii="Arial" w:hAnsi="Arial" w:cs="Arial"/>
          <w:color w:val="000000" w:themeColor="text1"/>
          <w:sz w:val="22"/>
          <w:szCs w:val="22"/>
        </w:rPr>
        <w:t>arXiv preprint</w:t>
      </w:r>
      <w:r w:rsidRPr="003510C2">
        <w:rPr>
          <w:rFonts w:ascii="Arial" w:hAnsi="Arial" w:cs="Arial"/>
          <w:color w:val="000000" w:themeColor="text1"/>
          <w:sz w:val="22"/>
          <w:szCs w:val="22"/>
        </w:rPr>
        <w:t>, arXiv:2505.01342.</w:t>
      </w:r>
    </w:p>
    <w:p w14:paraId="4B8291CF"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Mind (2022) </w:t>
      </w:r>
      <w:r w:rsidRPr="003510C2">
        <w:rPr>
          <w:rStyle w:val="Accentuat"/>
          <w:rFonts w:ascii="Arial" w:hAnsi="Arial" w:cs="Arial"/>
          <w:color w:val="000000" w:themeColor="text1"/>
          <w:sz w:val="22"/>
          <w:szCs w:val="22"/>
        </w:rPr>
        <w:t>Managing stress and building resilience – tips</w:t>
      </w:r>
      <w:r w:rsidRPr="003510C2">
        <w:rPr>
          <w:rFonts w:ascii="Arial" w:hAnsi="Arial" w:cs="Arial"/>
          <w:color w:val="000000" w:themeColor="text1"/>
          <w:sz w:val="22"/>
          <w:szCs w:val="22"/>
        </w:rPr>
        <w:t xml:space="preserve">. Available at: </w:t>
      </w:r>
      <w:hyperlink r:id="rId8" w:tgtFrame="_new" w:history="1">
        <w:r w:rsidRPr="003510C2">
          <w:rPr>
            <w:rStyle w:val="Hyperlink"/>
            <w:rFonts w:ascii="Arial" w:hAnsi="Arial" w:cs="Arial"/>
            <w:color w:val="000000" w:themeColor="text1"/>
            <w:sz w:val="22"/>
            <w:szCs w:val="22"/>
          </w:rPr>
          <w:t>https://www.mind.org.uk/information-support/types-of-mental-health-problems/stress/managing-stress-and-building-resilience/</w:t>
        </w:r>
      </w:hyperlink>
      <w:r w:rsidRPr="003510C2">
        <w:rPr>
          <w:rFonts w:ascii="Arial" w:hAnsi="Arial" w:cs="Arial"/>
          <w:color w:val="000000" w:themeColor="text1"/>
          <w:sz w:val="22"/>
          <w:szCs w:val="22"/>
        </w:rPr>
        <w:t xml:space="preserve"> (Accessed: 16 November 2025).</w:t>
      </w:r>
    </w:p>
    <w:p w14:paraId="6B208657"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proofErr w:type="spellStart"/>
      <w:r w:rsidRPr="003510C2">
        <w:rPr>
          <w:rFonts w:ascii="Arial" w:hAnsi="Arial" w:cs="Arial"/>
          <w:color w:val="000000" w:themeColor="text1"/>
          <w:sz w:val="22"/>
          <w:szCs w:val="22"/>
        </w:rPr>
        <w:t>Monsalves</w:t>
      </w:r>
      <w:proofErr w:type="spellEnd"/>
      <w:r w:rsidRPr="003510C2">
        <w:rPr>
          <w:rFonts w:ascii="Arial" w:hAnsi="Arial" w:cs="Arial"/>
          <w:color w:val="000000" w:themeColor="text1"/>
          <w:sz w:val="22"/>
          <w:szCs w:val="22"/>
        </w:rPr>
        <w:t xml:space="preserve">, D., </w:t>
      </w:r>
      <w:proofErr w:type="spellStart"/>
      <w:r w:rsidRPr="003510C2">
        <w:rPr>
          <w:rFonts w:ascii="Arial" w:hAnsi="Arial" w:cs="Arial"/>
          <w:color w:val="000000" w:themeColor="text1"/>
          <w:sz w:val="22"/>
          <w:szCs w:val="22"/>
        </w:rPr>
        <w:t>Cornide-Reyes</w:t>
      </w:r>
      <w:proofErr w:type="spellEnd"/>
      <w:r w:rsidRPr="003510C2">
        <w:rPr>
          <w:rFonts w:ascii="Arial" w:hAnsi="Arial" w:cs="Arial"/>
          <w:color w:val="000000" w:themeColor="text1"/>
          <w:sz w:val="22"/>
          <w:szCs w:val="22"/>
        </w:rPr>
        <w:t xml:space="preserve">, H. and Riquelme, F. (2023) ‘Relationships between social interactions and Belbin role types in collaborative agile teams’, </w:t>
      </w:r>
      <w:r w:rsidRPr="003510C2">
        <w:rPr>
          <w:rStyle w:val="Accentuat"/>
          <w:rFonts w:ascii="Arial" w:hAnsi="Arial" w:cs="Arial"/>
          <w:color w:val="000000" w:themeColor="text1"/>
          <w:sz w:val="22"/>
          <w:szCs w:val="22"/>
        </w:rPr>
        <w:t>IEEE Access</w:t>
      </w:r>
      <w:r w:rsidRPr="003510C2">
        <w:rPr>
          <w:rFonts w:ascii="Arial" w:hAnsi="Arial" w:cs="Arial"/>
          <w:color w:val="000000" w:themeColor="text1"/>
          <w:sz w:val="22"/>
          <w:szCs w:val="22"/>
        </w:rPr>
        <w:t>, 11, pp. 17002–17020.</w:t>
      </w:r>
    </w:p>
    <w:p w14:paraId="59CEB722"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NHS Leadership Academy (2021) </w:t>
      </w:r>
      <w:r w:rsidRPr="003510C2">
        <w:rPr>
          <w:rStyle w:val="Accentuat"/>
          <w:rFonts w:ascii="Arial" w:hAnsi="Arial" w:cs="Arial"/>
          <w:color w:val="000000" w:themeColor="text1"/>
          <w:sz w:val="22"/>
          <w:szCs w:val="22"/>
        </w:rPr>
        <w:t>Healthcare Leadership Model</w:t>
      </w:r>
      <w:r w:rsidRPr="003510C2">
        <w:rPr>
          <w:rFonts w:ascii="Arial" w:hAnsi="Arial" w:cs="Arial"/>
          <w:color w:val="000000" w:themeColor="text1"/>
          <w:sz w:val="22"/>
          <w:szCs w:val="22"/>
        </w:rPr>
        <w:t xml:space="preserve">. Available at: </w:t>
      </w:r>
      <w:hyperlink r:id="rId9" w:tgtFrame="_new" w:history="1">
        <w:r w:rsidRPr="003510C2">
          <w:rPr>
            <w:rStyle w:val="Hyperlink"/>
            <w:rFonts w:ascii="Arial" w:hAnsi="Arial" w:cs="Arial"/>
            <w:color w:val="000000" w:themeColor="text1"/>
            <w:sz w:val="22"/>
            <w:szCs w:val="22"/>
          </w:rPr>
          <w:t>https://www.leadershipacademy.nhs.uk/healthcare-leadership-model/</w:t>
        </w:r>
      </w:hyperlink>
      <w:r w:rsidRPr="003510C2">
        <w:rPr>
          <w:rFonts w:ascii="Arial" w:hAnsi="Arial" w:cs="Arial"/>
          <w:color w:val="000000" w:themeColor="text1"/>
          <w:sz w:val="22"/>
          <w:szCs w:val="22"/>
        </w:rPr>
        <w:t xml:space="preserve"> (Accessed: 16 November 2025).</w:t>
      </w:r>
    </w:p>
    <w:p w14:paraId="6A54732F"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Robinson, P. and Bond, C. (2025) ‘A systematic literature review of teachers’ beliefs about intelligence and mindset and the potential impact on their practice’, </w:t>
      </w:r>
      <w:r w:rsidRPr="003510C2">
        <w:rPr>
          <w:rStyle w:val="Accentuat"/>
          <w:rFonts w:ascii="Arial" w:hAnsi="Arial" w:cs="Arial"/>
          <w:color w:val="000000" w:themeColor="text1"/>
          <w:sz w:val="22"/>
          <w:szCs w:val="22"/>
        </w:rPr>
        <w:t>Educational Psychology in Practice</w:t>
      </w:r>
      <w:r w:rsidRPr="003510C2">
        <w:rPr>
          <w:rFonts w:ascii="Arial" w:hAnsi="Arial" w:cs="Arial"/>
          <w:color w:val="000000" w:themeColor="text1"/>
          <w:sz w:val="22"/>
          <w:szCs w:val="22"/>
        </w:rPr>
        <w:t>, 41(2), pp. 150–165.</w:t>
      </w:r>
    </w:p>
    <w:p w14:paraId="44D3B820" w14:textId="77777777" w:rsidR="00A73680" w:rsidRPr="003510C2" w:rsidRDefault="00F71E27">
      <w:pPr>
        <w:pStyle w:val="NormalWeb"/>
        <w:spacing w:line="360" w:lineRule="auto"/>
        <w:ind w:left="330" w:hangingChars="150" w:hanging="330"/>
        <w:jc w:val="both"/>
        <w:rPr>
          <w:rFonts w:ascii="Arial" w:hAnsi="Arial" w:cs="Arial"/>
          <w:color w:val="000000" w:themeColor="text1"/>
          <w:sz w:val="22"/>
          <w:szCs w:val="22"/>
        </w:rPr>
      </w:pPr>
      <w:r w:rsidRPr="003510C2">
        <w:rPr>
          <w:rFonts w:ascii="Arial" w:hAnsi="Arial" w:cs="Arial"/>
          <w:color w:val="000000" w:themeColor="text1"/>
          <w:sz w:val="22"/>
          <w:szCs w:val="22"/>
        </w:rPr>
        <w:t xml:space="preserve">Skills for Care (2023) </w:t>
      </w:r>
      <w:r w:rsidRPr="003510C2">
        <w:rPr>
          <w:rStyle w:val="Accentuat"/>
          <w:rFonts w:ascii="Arial" w:hAnsi="Arial" w:cs="Arial"/>
          <w:color w:val="000000" w:themeColor="text1"/>
          <w:sz w:val="22"/>
          <w:szCs w:val="22"/>
        </w:rPr>
        <w:t>Skills for Care – Home</w:t>
      </w:r>
      <w:r w:rsidRPr="003510C2">
        <w:rPr>
          <w:rFonts w:ascii="Arial" w:hAnsi="Arial" w:cs="Arial"/>
          <w:color w:val="000000" w:themeColor="text1"/>
          <w:sz w:val="22"/>
          <w:szCs w:val="22"/>
        </w:rPr>
        <w:t xml:space="preserve">. Available at: </w:t>
      </w:r>
      <w:hyperlink r:id="rId10" w:tgtFrame="_new" w:history="1">
        <w:r w:rsidRPr="003510C2">
          <w:rPr>
            <w:rStyle w:val="Hyperlink"/>
            <w:rFonts w:ascii="Arial" w:hAnsi="Arial" w:cs="Arial"/>
            <w:color w:val="000000" w:themeColor="text1"/>
            <w:sz w:val="22"/>
            <w:szCs w:val="22"/>
          </w:rPr>
          <w:t>https://www.skillsforcare.org.uk/Home.aspx</w:t>
        </w:r>
      </w:hyperlink>
      <w:r w:rsidRPr="003510C2">
        <w:rPr>
          <w:rFonts w:ascii="Arial" w:hAnsi="Arial" w:cs="Arial"/>
          <w:color w:val="000000" w:themeColor="text1"/>
          <w:sz w:val="22"/>
          <w:szCs w:val="22"/>
        </w:rPr>
        <w:t xml:space="preserve"> (Accessed: 16 November 2025).</w:t>
      </w:r>
    </w:p>
    <w:p w14:paraId="094B8C9A" w14:textId="77777777" w:rsidR="00A73680" w:rsidRPr="004E3BBA" w:rsidRDefault="00F71E27" w:rsidP="004E3BBA">
      <w:pPr>
        <w:pStyle w:val="NormalWeb"/>
        <w:spacing w:line="360" w:lineRule="auto"/>
        <w:ind w:left="330" w:hangingChars="150" w:hanging="330"/>
        <w:jc w:val="both"/>
        <w:rPr>
          <w:rFonts w:ascii="Arial" w:hAnsi="Arial" w:cs="Arial"/>
          <w:color w:val="000000" w:themeColor="text1"/>
          <w:sz w:val="22"/>
          <w:szCs w:val="22"/>
          <w:lang w:val="en-GB"/>
        </w:rPr>
      </w:pPr>
      <w:r w:rsidRPr="003510C2">
        <w:rPr>
          <w:rFonts w:ascii="Arial" w:hAnsi="Arial" w:cs="Arial"/>
          <w:color w:val="000000" w:themeColor="text1"/>
          <w:sz w:val="22"/>
          <w:szCs w:val="22"/>
        </w:rPr>
        <w:t xml:space="preserve">Thıagraj, M., Karım, A.M.A. and </w:t>
      </w:r>
      <w:proofErr w:type="spellStart"/>
      <w:r w:rsidRPr="003510C2">
        <w:rPr>
          <w:rFonts w:ascii="Arial" w:hAnsi="Arial" w:cs="Arial"/>
          <w:color w:val="000000" w:themeColor="text1"/>
          <w:sz w:val="22"/>
          <w:szCs w:val="22"/>
        </w:rPr>
        <w:t>Veloo</w:t>
      </w:r>
      <w:proofErr w:type="spellEnd"/>
      <w:r w:rsidRPr="003510C2">
        <w:rPr>
          <w:rFonts w:ascii="Arial" w:hAnsi="Arial" w:cs="Arial"/>
          <w:color w:val="000000" w:themeColor="text1"/>
          <w:sz w:val="22"/>
          <w:szCs w:val="22"/>
        </w:rPr>
        <w:t xml:space="preserve">, A. (2021) ‘Using reflective practices to explore postgraduate students’ self-directed learning readiness in mobile learning platform and task-centered activity’, </w:t>
      </w:r>
      <w:r w:rsidRPr="003510C2">
        <w:rPr>
          <w:rStyle w:val="Accentuat"/>
          <w:rFonts w:ascii="Arial" w:hAnsi="Arial" w:cs="Arial"/>
          <w:color w:val="000000" w:themeColor="text1"/>
          <w:sz w:val="22"/>
          <w:szCs w:val="22"/>
        </w:rPr>
        <w:t>Turkish Online Journal of Distance Education</w:t>
      </w:r>
      <w:r w:rsidRPr="003510C2">
        <w:rPr>
          <w:rFonts w:ascii="Arial" w:hAnsi="Arial" w:cs="Arial"/>
          <w:color w:val="000000" w:themeColor="text1"/>
          <w:sz w:val="22"/>
          <w:szCs w:val="22"/>
        </w:rPr>
        <w:t>, 22(2), pp. 192–205.</w:t>
      </w:r>
    </w:p>
    <w:sectPr w:rsidR="00A73680" w:rsidRPr="004E3BBA">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hideSpellingErrors/>
  <w:hideGrammaticalErrors/>
  <w:proofState w:spelling="clean"/>
  <w:revisionView w:inkAnnotations="0"/>
  <w:defaultTabStop w:val="720"/>
  <w:hyphenationZone w:val="425"/>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6EC64DD"/>
    <w:rsid w:val="00014DB8"/>
    <w:rsid w:val="000240BE"/>
    <w:rsid w:val="0002720B"/>
    <w:rsid w:val="000405C2"/>
    <w:rsid w:val="0005056A"/>
    <w:rsid w:val="000E788D"/>
    <w:rsid w:val="003510C2"/>
    <w:rsid w:val="004E3BBA"/>
    <w:rsid w:val="00533B8D"/>
    <w:rsid w:val="00577E1E"/>
    <w:rsid w:val="005D3235"/>
    <w:rsid w:val="00666C82"/>
    <w:rsid w:val="007D319C"/>
    <w:rsid w:val="008F713C"/>
    <w:rsid w:val="00A73680"/>
    <w:rsid w:val="00BD3B37"/>
    <w:rsid w:val="00D16BF1"/>
    <w:rsid w:val="00E946E1"/>
    <w:rsid w:val="00F71E27"/>
    <w:rsid w:val="495F67CD"/>
    <w:rsid w:val="6CAB1285"/>
    <w:rsid w:val="76EC64D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0D676D"/>
  <w15:docId w15:val="{5DEBD700-42A0-450F-8E37-53848D311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Titlu1">
    <w:name w:val="heading 1"/>
    <w:basedOn w:val="Normal"/>
    <w:next w:val="Normal"/>
    <w:qFormat/>
    <w:pPr>
      <w:keepNext/>
      <w:keepLines/>
      <w:spacing w:before="340" w:after="330" w:line="578" w:lineRule="auto"/>
      <w:outlineLvl w:val="0"/>
    </w:pPr>
    <w:rPr>
      <w:b/>
      <w:bCs/>
      <w:kern w:val="44"/>
      <w:sz w:val="44"/>
      <w:szCs w:val="44"/>
    </w:rPr>
  </w:style>
  <w:style w:type="paragraph" w:styleId="Titlu2">
    <w:name w:val="heading 2"/>
    <w:basedOn w:val="Normal"/>
    <w:next w:val="Normal"/>
    <w:link w:val="Titlu2Caracter"/>
    <w:unhideWhenUsed/>
    <w:qFormat/>
    <w:pPr>
      <w:keepNext/>
      <w:keepLines/>
      <w:spacing w:before="260" w:after="260" w:line="416" w:lineRule="auto"/>
      <w:outlineLvl w:val="1"/>
    </w:pPr>
    <w:rPr>
      <w:b/>
      <w:bCs/>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egend">
    <w:name w:val="caption"/>
    <w:basedOn w:val="Normal"/>
    <w:next w:val="Normal"/>
    <w:semiHidden/>
    <w:unhideWhenUsed/>
    <w:qFormat/>
    <w:rPr>
      <w:rFonts w:ascii="Arial" w:eastAsia="SimHei" w:hAnsi="Arial" w:cs="Arial"/>
    </w:rPr>
  </w:style>
  <w:style w:type="character" w:styleId="Accentuat">
    <w:name w:val="Emphasis"/>
    <w:basedOn w:val="Fontdeparagrafimplicit"/>
    <w:qFormat/>
    <w:rPr>
      <w:i/>
      <w:iCs/>
    </w:rPr>
  </w:style>
  <w:style w:type="character" w:styleId="Hyperlink">
    <w:name w:val="Hyperlink"/>
    <w:basedOn w:val="Fontdeparagrafimplicit"/>
    <w:rPr>
      <w:color w:val="0000FF"/>
      <w:u w:val="single"/>
    </w:rPr>
  </w:style>
  <w:style w:type="paragraph" w:styleId="NormalWeb">
    <w:name w:val="Normal (Web)"/>
    <w:qFormat/>
    <w:pPr>
      <w:spacing w:beforeAutospacing="1" w:afterAutospacing="1"/>
    </w:pPr>
    <w:rPr>
      <w:sz w:val="24"/>
      <w:szCs w:val="24"/>
      <w:lang w:val="en-US" w:eastAsia="zh-CN"/>
    </w:rPr>
  </w:style>
  <w:style w:type="character" w:styleId="Robust">
    <w:name w:val="Strong"/>
    <w:basedOn w:val="Fontdeparagrafimplicit"/>
    <w:qFormat/>
    <w:rPr>
      <w:b/>
      <w:bCs/>
    </w:rPr>
  </w:style>
  <w:style w:type="character" w:customStyle="1" w:styleId="Titlu2Caracter">
    <w:name w:val="Titlu 2 Caracter"/>
    <w:link w:val="Titlu2"/>
    <w:rPr>
      <w:b/>
      <w:bCs/>
      <w:sz w:val="32"/>
      <w:szCs w:val="32"/>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tress/managing-stress-and-building-resilience/" TargetMode="External"/><Relationship Id="rId3" Type="http://schemas.openxmlformats.org/officeDocument/2006/relationships/webSettings" Target="webSettings.xml"/><Relationship Id="rId7" Type="http://schemas.openxmlformats.org/officeDocument/2006/relationships/hyperlink" Target="https://www.gov.uk/government/publications/the-nhs-constitution-for-england/the-nhs-constitution-for-englan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www.skillsforcare.org.uk/Home.aspx" TargetMode="External"/><Relationship Id="rId4" Type="http://schemas.openxmlformats.org/officeDocument/2006/relationships/image" Target="media/image1.png"/><Relationship Id="rId9" Type="http://schemas.openxmlformats.org/officeDocument/2006/relationships/hyperlink" Target="https://www.leadershipacademy.nhs.uk/healthcare-leadership-mode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2415</Words>
  <Characters>17623</Characters>
  <Application>Microsoft Office Word</Application>
  <DocSecurity>0</DocSecurity>
  <Lines>146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Mican, Codruta Alexandra</cp:lastModifiedBy>
  <cp:revision>2</cp:revision>
  <dcterms:created xsi:type="dcterms:W3CDTF">2025-11-18T11:05:00Z</dcterms:created>
  <dcterms:modified xsi:type="dcterms:W3CDTF">2025-11-18T11:05:00Z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E9317644D1A248B0ADAF7BDD622E463E_13</vt:lpwstr>
  </property>
</Properties>
</file>