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5E3EE9" w:rsidRDefault="00012B16">
      <w:r w:rsidRPr="005E3EE9">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5E3EE9" w:rsidRDefault="00563B58" w:rsidP="0040668F">
      <w:pPr>
        <w:rPr>
          <w:rFonts w:ascii="Times New Roman" w:hAnsi="Times New Roman" w:cs="Times New Roman"/>
          <w:sz w:val="24"/>
          <w:szCs w:val="24"/>
        </w:rPr>
      </w:pPr>
    </w:p>
    <w:p w14:paraId="1ED29290" w14:textId="77777777" w:rsidR="00F927A1" w:rsidRPr="005E3EE9" w:rsidRDefault="00F927A1" w:rsidP="00FF7EBB">
      <w:pPr>
        <w:overflowPunct/>
        <w:autoSpaceDE/>
        <w:autoSpaceDN/>
        <w:adjustRightInd/>
        <w:textAlignment w:val="auto"/>
        <w:rPr>
          <w:rFonts w:ascii="Times New Roman" w:hAnsi="Times New Roman"/>
          <w:b/>
          <w:bCs/>
          <w:color w:val="auto"/>
          <w:sz w:val="48"/>
          <w:szCs w:val="48"/>
        </w:rPr>
      </w:pPr>
      <w:r w:rsidRPr="005E3EE9">
        <w:rPr>
          <w:rFonts w:ascii="Times New Roman" w:hAnsi="Times New Roman" w:cs="Times New Roman"/>
          <w:b/>
          <w:color w:val="auto"/>
          <w:sz w:val="48"/>
          <w:szCs w:val="48"/>
        </w:rPr>
        <w:t xml:space="preserve">GRADUATE CERTIFICATE in </w:t>
      </w:r>
      <w:r w:rsidRPr="005E3EE9">
        <w:rPr>
          <w:rFonts w:ascii="Times New Roman" w:hAnsi="Times New Roman"/>
          <w:b/>
          <w:bCs/>
          <w:color w:val="auto"/>
          <w:sz w:val="48"/>
          <w:szCs w:val="48"/>
        </w:rPr>
        <w:t>Consolidation of Social Work Practice</w:t>
      </w:r>
    </w:p>
    <w:p w14:paraId="0F4D6E7D" w14:textId="7C8C0132" w:rsidR="0085230E" w:rsidRPr="005E3EE9" w:rsidRDefault="0085230E" w:rsidP="00FF7EBB">
      <w:pPr>
        <w:overflowPunct/>
        <w:autoSpaceDE/>
        <w:autoSpaceDN/>
        <w:adjustRightInd/>
        <w:ind w:right="-957"/>
        <w:textAlignment w:val="auto"/>
        <w:rPr>
          <w:rFonts w:ascii="Times New Roman" w:hAnsi="Times New Roman" w:cs="Times New Roman"/>
          <w:b/>
          <w:color w:val="auto"/>
          <w:sz w:val="48"/>
        </w:rPr>
      </w:pPr>
      <w:r w:rsidRPr="005E3EE9">
        <w:rPr>
          <w:rFonts w:ascii="Times New Roman" w:hAnsi="Times New Roman" w:cs="Times New Roman"/>
          <w:b/>
          <w:color w:val="auto"/>
          <w:sz w:val="48"/>
        </w:rPr>
        <w:t>LEVEL 6 - 60 Credits</w:t>
      </w:r>
    </w:p>
    <w:p w14:paraId="2216C5B7" w14:textId="5A138451" w:rsidR="00706BB5" w:rsidRPr="005E3EE9" w:rsidRDefault="00706BB5" w:rsidP="00FF7EBB">
      <w:pPr>
        <w:overflowPunct/>
        <w:autoSpaceDE/>
        <w:autoSpaceDN/>
        <w:adjustRightInd/>
        <w:ind w:right="-957"/>
        <w:textAlignment w:val="auto"/>
        <w:rPr>
          <w:rFonts w:ascii="Times New Roman" w:hAnsi="Times New Roman" w:cs="Times New Roman"/>
          <w:b/>
          <w:color w:val="auto"/>
          <w:sz w:val="48"/>
        </w:rPr>
      </w:pPr>
      <w:r w:rsidRPr="005E3EE9">
        <w:rPr>
          <w:rFonts w:ascii="Times New Roman" w:hAnsi="Times New Roman" w:cs="Times New Roman"/>
          <w:b/>
          <w:color w:val="auto"/>
          <w:sz w:val="48"/>
        </w:rPr>
        <w:t>BMPF6044</w:t>
      </w:r>
    </w:p>
    <w:p w14:paraId="28947286" w14:textId="77777777" w:rsidR="00F927A1" w:rsidRPr="005E3EE9"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5E3EE9"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5E3EE9" w:rsidRDefault="0085230E" w:rsidP="00F927A1">
      <w:pPr>
        <w:overflowPunct/>
        <w:autoSpaceDE/>
        <w:autoSpaceDN/>
        <w:adjustRightInd/>
        <w:ind w:right="-957"/>
        <w:textAlignment w:val="auto"/>
        <w:rPr>
          <w:rFonts w:ascii="Times New Roman" w:hAnsi="Times New Roman" w:cs="Times New Roman"/>
          <w:b/>
          <w:color w:val="auto"/>
          <w:sz w:val="48"/>
        </w:rPr>
      </w:pPr>
      <w:r w:rsidRPr="005E3EE9">
        <w:rPr>
          <w:rFonts w:ascii="Times New Roman" w:hAnsi="Times New Roman" w:cs="Times New Roman"/>
          <w:b/>
          <w:color w:val="auto"/>
          <w:sz w:val="48"/>
        </w:rPr>
        <w:t xml:space="preserve">LEARNER </w:t>
      </w:r>
      <w:r w:rsidR="00F927A1" w:rsidRPr="005E3EE9">
        <w:rPr>
          <w:rFonts w:ascii="Times New Roman" w:hAnsi="Times New Roman" w:cs="Times New Roman"/>
          <w:b/>
          <w:color w:val="auto"/>
          <w:sz w:val="48"/>
        </w:rPr>
        <w:t>PORTFOLIO</w:t>
      </w:r>
    </w:p>
    <w:p w14:paraId="333E90F0" w14:textId="62DD2FD5" w:rsidR="00F927A1" w:rsidRPr="005E3EE9" w:rsidRDefault="00F927A1">
      <w:pPr>
        <w:overflowPunct/>
        <w:autoSpaceDE/>
        <w:autoSpaceDN/>
        <w:adjustRightInd/>
        <w:ind w:right="-957"/>
        <w:textAlignment w:val="auto"/>
        <w:rPr>
          <w:rFonts w:ascii="Times New Roman" w:hAnsi="Times New Roman" w:cs="Times New Roman"/>
          <w:b/>
          <w:bCs/>
          <w:color w:val="auto"/>
          <w:sz w:val="48"/>
          <w:szCs w:val="48"/>
        </w:rPr>
      </w:pPr>
      <w:r w:rsidRPr="005E3EE9">
        <w:rPr>
          <w:rFonts w:ascii="Times New Roman" w:hAnsi="Times New Roman" w:cs="Times New Roman"/>
          <w:b/>
          <w:bCs/>
          <w:color w:val="auto"/>
          <w:sz w:val="48"/>
          <w:szCs w:val="48"/>
        </w:rPr>
        <w:t>(PORTH AGORED and U</w:t>
      </w:r>
      <w:r w:rsidR="6E4F6729" w:rsidRPr="005E3EE9">
        <w:rPr>
          <w:rFonts w:ascii="Times New Roman" w:hAnsi="Times New Roman" w:cs="Times New Roman"/>
          <w:b/>
          <w:bCs/>
          <w:color w:val="auto"/>
          <w:sz w:val="48"/>
          <w:szCs w:val="48"/>
        </w:rPr>
        <w:t>NIVERSITY OF WALES TRINITY SAINT DAVID</w:t>
      </w:r>
      <w:r w:rsidRPr="005E3EE9">
        <w:rPr>
          <w:rFonts w:ascii="Times New Roman" w:hAnsi="Times New Roman" w:cs="Times New Roman"/>
          <w:b/>
          <w:bCs/>
          <w:color w:val="auto"/>
          <w:sz w:val="48"/>
          <w:szCs w:val="48"/>
        </w:rPr>
        <w:t>)</w:t>
      </w:r>
    </w:p>
    <w:p w14:paraId="024B1E2F" w14:textId="77777777" w:rsidR="0085230E" w:rsidRPr="005E3EE9"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5E3EE9"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E3EE9" w14:paraId="68CAA39D" w14:textId="77777777" w:rsidTr="005D3F07">
        <w:tc>
          <w:tcPr>
            <w:tcW w:w="10368" w:type="dxa"/>
          </w:tcPr>
          <w:p w14:paraId="287D2274" w14:textId="77777777" w:rsidR="00F6244F" w:rsidRPr="00064028" w:rsidRDefault="00F6244F" w:rsidP="00F6244F">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Learner’s name: </w:t>
            </w:r>
            <w:r>
              <w:rPr>
                <w:rFonts w:ascii="Times New Roman" w:hAnsi="Times New Roman" w:cs="Times New Roman"/>
                <w:bCs/>
                <w:color w:val="auto"/>
                <w:sz w:val="48"/>
              </w:rPr>
              <w:t>Lauren Goffin</w:t>
            </w:r>
          </w:p>
          <w:p w14:paraId="639F95D4" w14:textId="77777777" w:rsidR="00F6244F" w:rsidRDefault="00F6244F" w:rsidP="00F6244F">
            <w:pPr>
              <w:overflowPunct/>
              <w:autoSpaceDE/>
              <w:autoSpaceDN/>
              <w:adjustRightInd/>
              <w:ind w:right="-957"/>
              <w:textAlignment w:val="auto"/>
              <w:rPr>
                <w:rFonts w:ascii="Times New Roman" w:hAnsi="Times New Roman" w:cs="Times New Roman"/>
                <w:b/>
                <w:color w:val="auto"/>
                <w:sz w:val="48"/>
              </w:rPr>
            </w:pPr>
          </w:p>
          <w:p w14:paraId="7C43D01C" w14:textId="77777777" w:rsidR="00F6244F" w:rsidRPr="00535380" w:rsidRDefault="00F6244F" w:rsidP="00F6244F">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 xml:space="preserve">Email address: </w:t>
            </w:r>
            <w:hyperlink r:id="rId11" w:history="1">
              <w:r w:rsidRPr="00A63E5D">
                <w:rPr>
                  <w:rStyle w:val="Hyperlink"/>
                  <w:rFonts w:ascii="Times New Roman" w:hAnsi="Times New Roman" w:cs="Times New Roman"/>
                  <w:bCs/>
                  <w:sz w:val="48"/>
                </w:rPr>
                <w:t>lauren.g1996@hotmail.co.uk</w:t>
              </w:r>
            </w:hyperlink>
            <w:r>
              <w:rPr>
                <w:rFonts w:ascii="Times New Roman" w:hAnsi="Times New Roman" w:cs="Times New Roman"/>
                <w:bCs/>
                <w:color w:val="auto"/>
                <w:sz w:val="48"/>
              </w:rPr>
              <w:t xml:space="preserve"> </w:t>
            </w:r>
          </w:p>
          <w:p w14:paraId="5093CA2B" w14:textId="77777777" w:rsidR="00F6244F" w:rsidRDefault="00F6244F" w:rsidP="00F6244F">
            <w:pPr>
              <w:overflowPunct/>
              <w:autoSpaceDE/>
              <w:autoSpaceDN/>
              <w:adjustRightInd/>
              <w:ind w:right="-957"/>
              <w:textAlignment w:val="auto"/>
              <w:rPr>
                <w:rFonts w:ascii="Times New Roman" w:hAnsi="Times New Roman" w:cs="Times New Roman"/>
                <w:b/>
                <w:color w:val="auto"/>
                <w:sz w:val="48"/>
              </w:rPr>
            </w:pPr>
          </w:p>
          <w:p w14:paraId="50BFA12C" w14:textId="77777777" w:rsidR="00F6244F" w:rsidRDefault="00F6244F" w:rsidP="00F6244F">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6296EEBF" w14:textId="77777777" w:rsidR="00F6244F" w:rsidRPr="000E273F" w:rsidRDefault="00F6244F" w:rsidP="00F6244F">
            <w:pPr>
              <w:overflowPunct/>
              <w:autoSpaceDE/>
              <w:autoSpaceDN/>
              <w:adjustRightInd/>
              <w:ind w:right="-957"/>
              <w:textAlignment w:val="auto"/>
              <w:rPr>
                <w:rFonts w:ascii="Times New Roman" w:hAnsi="Times New Roman" w:cs="Times New Roman"/>
                <w:bCs/>
                <w:color w:val="auto"/>
                <w:sz w:val="48"/>
              </w:rPr>
            </w:pPr>
            <w:r w:rsidRPr="000E273F">
              <w:rPr>
                <w:rFonts w:ascii="Times New Roman" w:hAnsi="Times New Roman" w:cs="Times New Roman"/>
                <w:bCs/>
                <w:color w:val="auto"/>
                <w:sz w:val="48"/>
              </w:rPr>
              <w:t>2520750</w:t>
            </w:r>
          </w:p>
          <w:p w14:paraId="53520674" w14:textId="77777777" w:rsidR="00F6244F" w:rsidRPr="005D3F07" w:rsidRDefault="00F6244F" w:rsidP="00F6244F">
            <w:pPr>
              <w:overflowPunct/>
              <w:autoSpaceDE/>
              <w:autoSpaceDN/>
              <w:adjustRightInd/>
              <w:ind w:right="-957"/>
              <w:textAlignment w:val="auto"/>
              <w:rPr>
                <w:rFonts w:ascii="Times New Roman" w:hAnsi="Times New Roman" w:cs="Times New Roman"/>
                <w:b/>
                <w:color w:val="auto"/>
                <w:sz w:val="48"/>
              </w:rPr>
            </w:pPr>
          </w:p>
          <w:p w14:paraId="5F84129B" w14:textId="0CCE6DA8" w:rsidR="0085230E" w:rsidRPr="005E3EE9" w:rsidRDefault="00F6244F" w:rsidP="00F6244F">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5E3EE9" w:rsidRDefault="008420E1" w:rsidP="00986B43">
      <w:pPr>
        <w:overflowPunct/>
        <w:autoSpaceDE/>
        <w:autoSpaceDN/>
        <w:adjustRightInd/>
        <w:ind w:right="-957"/>
        <w:textAlignment w:val="auto"/>
        <w:rPr>
          <w:rFonts w:ascii="Times New Roman" w:hAnsi="Times New Roman" w:cs="Times New Roman"/>
          <w:b/>
          <w:color w:val="auto"/>
          <w:sz w:val="48"/>
        </w:rPr>
      </w:pPr>
      <w:r w:rsidRPr="005E3EE9">
        <w:rPr>
          <w:rFonts w:ascii="Times New Roman" w:hAnsi="Times New Roman" w:cs="Times New Roman"/>
          <w:b/>
          <w:color w:val="auto"/>
          <w:sz w:val="48"/>
        </w:rPr>
        <w:t xml:space="preserve"> </w:t>
      </w:r>
    </w:p>
    <w:p w14:paraId="621AF8BA" w14:textId="77777777" w:rsidR="00F927A1" w:rsidRPr="005E3EE9"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5E3EE9"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Pr="005E3EE9" w:rsidRDefault="00E83F91" w:rsidP="005B3A2D">
      <w:pPr>
        <w:jc w:val="center"/>
        <w:rPr>
          <w:b/>
          <w:sz w:val="24"/>
          <w:szCs w:val="24"/>
        </w:rPr>
      </w:pPr>
      <w:r w:rsidRPr="005E3EE9">
        <w:rPr>
          <w:b/>
          <w:sz w:val="24"/>
          <w:szCs w:val="24"/>
        </w:rPr>
        <w:br w:type="page"/>
      </w:r>
    </w:p>
    <w:p w14:paraId="70797153" w14:textId="77777777" w:rsidR="007F312E" w:rsidRPr="005E3EE9" w:rsidRDefault="007F312E" w:rsidP="005F64AA">
      <w:pPr>
        <w:jc w:val="center"/>
        <w:rPr>
          <w:b/>
          <w:sz w:val="28"/>
          <w:szCs w:val="28"/>
        </w:rPr>
      </w:pPr>
    </w:p>
    <w:p w14:paraId="1D68DA91" w14:textId="77777777" w:rsidR="00D3203C" w:rsidRPr="005E3EE9" w:rsidRDefault="00D3203C" w:rsidP="00EE5BC3">
      <w:pPr>
        <w:jc w:val="center"/>
        <w:rPr>
          <w:b/>
          <w:sz w:val="24"/>
          <w:szCs w:val="24"/>
        </w:rPr>
      </w:pPr>
    </w:p>
    <w:p w14:paraId="5A670606" w14:textId="63DC81B5" w:rsidR="00F546D1" w:rsidRPr="005E3EE9" w:rsidRDefault="007374EF" w:rsidP="00EE5BC3">
      <w:pPr>
        <w:jc w:val="center"/>
        <w:rPr>
          <w:sz w:val="28"/>
          <w:szCs w:val="28"/>
        </w:rPr>
      </w:pPr>
      <w:r w:rsidRPr="005E3EE9">
        <w:rPr>
          <w:b/>
          <w:sz w:val="28"/>
          <w:szCs w:val="28"/>
        </w:rPr>
        <w:t>Task 3</w:t>
      </w:r>
    </w:p>
    <w:p w14:paraId="3D5F0C24" w14:textId="77777777" w:rsidR="00F546D1" w:rsidRPr="005E3EE9" w:rsidRDefault="00F546D1" w:rsidP="00EE5BC3">
      <w:pPr>
        <w:jc w:val="center"/>
        <w:rPr>
          <w:b/>
          <w:sz w:val="28"/>
          <w:szCs w:val="28"/>
        </w:rPr>
      </w:pPr>
    </w:p>
    <w:p w14:paraId="02619381" w14:textId="77777777" w:rsidR="00A12F22" w:rsidRPr="005E3EE9" w:rsidRDefault="00E559CE" w:rsidP="00EE5BC3">
      <w:pPr>
        <w:jc w:val="center"/>
        <w:rPr>
          <w:b/>
          <w:color w:val="auto"/>
          <w:sz w:val="28"/>
          <w:szCs w:val="28"/>
        </w:rPr>
      </w:pPr>
      <w:r w:rsidRPr="005E3EE9">
        <w:rPr>
          <w:b/>
          <w:color w:val="auto"/>
          <w:sz w:val="28"/>
          <w:szCs w:val="28"/>
        </w:rPr>
        <w:t>Safeguarding and working in complex situations</w:t>
      </w:r>
      <w:r w:rsidR="00002C7A" w:rsidRPr="005E3EE9">
        <w:rPr>
          <w:b/>
          <w:color w:val="auto"/>
          <w:sz w:val="28"/>
          <w:szCs w:val="28"/>
        </w:rPr>
        <w:t xml:space="preserve"> – Case Study</w:t>
      </w:r>
    </w:p>
    <w:p w14:paraId="746467D8" w14:textId="77777777" w:rsidR="007C5ABE" w:rsidRPr="005E3EE9" w:rsidRDefault="007C5ABE" w:rsidP="0093018C">
      <w:pPr>
        <w:rPr>
          <w:b/>
          <w:color w:val="auto"/>
          <w:sz w:val="24"/>
          <w:szCs w:val="24"/>
        </w:rPr>
      </w:pPr>
    </w:p>
    <w:p w14:paraId="4AF0BB36" w14:textId="77777777" w:rsidR="00D0503D" w:rsidRPr="005E3EE9" w:rsidRDefault="00D0503D" w:rsidP="0093018C">
      <w:pPr>
        <w:rPr>
          <w:b/>
          <w:color w:val="auto"/>
          <w:sz w:val="24"/>
          <w:szCs w:val="24"/>
        </w:rPr>
      </w:pPr>
      <w:r w:rsidRPr="005E3EE9">
        <w:rPr>
          <w:b/>
          <w:color w:val="auto"/>
          <w:sz w:val="24"/>
          <w:szCs w:val="24"/>
        </w:rPr>
        <w:t>Guidance</w:t>
      </w:r>
      <w:r w:rsidR="00084DA6" w:rsidRPr="005E3EE9">
        <w:rPr>
          <w:b/>
          <w:color w:val="auto"/>
          <w:sz w:val="24"/>
          <w:szCs w:val="24"/>
        </w:rPr>
        <w:t>;</w:t>
      </w:r>
    </w:p>
    <w:p w14:paraId="104AED32" w14:textId="11F293C2" w:rsidR="007C5ABE" w:rsidRPr="005E3EE9" w:rsidRDefault="00084DA6">
      <w:pPr>
        <w:jc w:val="both"/>
        <w:rPr>
          <w:sz w:val="24"/>
          <w:szCs w:val="24"/>
        </w:rPr>
      </w:pPr>
      <w:r w:rsidRPr="005E3EE9">
        <w:rPr>
          <w:sz w:val="24"/>
          <w:szCs w:val="24"/>
        </w:rPr>
        <w:t xml:space="preserve">Please ensure that you </w:t>
      </w:r>
      <w:r w:rsidR="00F45521" w:rsidRPr="005E3EE9">
        <w:rPr>
          <w:sz w:val="24"/>
          <w:szCs w:val="24"/>
        </w:rPr>
        <w:t>meet</w:t>
      </w:r>
      <w:r w:rsidRPr="005E3EE9">
        <w:rPr>
          <w:sz w:val="24"/>
          <w:szCs w:val="24"/>
        </w:rPr>
        <w:t xml:space="preserve"> the </w:t>
      </w:r>
      <w:r w:rsidR="00AA7960" w:rsidRPr="005E3EE9">
        <w:rPr>
          <w:sz w:val="24"/>
          <w:szCs w:val="24"/>
        </w:rPr>
        <w:t xml:space="preserve">National Occupational Standards and assigned </w:t>
      </w:r>
      <w:r w:rsidRPr="005E3EE9">
        <w:rPr>
          <w:sz w:val="24"/>
          <w:szCs w:val="24"/>
        </w:rPr>
        <w:t>Learning Outcomes for this task</w:t>
      </w:r>
      <w:r w:rsidR="00AA7960" w:rsidRPr="005E3EE9">
        <w:rPr>
          <w:sz w:val="24"/>
          <w:szCs w:val="24"/>
        </w:rPr>
        <w:t xml:space="preserve"> (s</w:t>
      </w:r>
      <w:r w:rsidRPr="005E3EE9">
        <w:rPr>
          <w:sz w:val="24"/>
          <w:szCs w:val="24"/>
        </w:rPr>
        <w:t xml:space="preserve">ee </w:t>
      </w:r>
      <w:r w:rsidR="6D1B720D" w:rsidRPr="005E3EE9">
        <w:rPr>
          <w:sz w:val="24"/>
          <w:szCs w:val="24"/>
        </w:rPr>
        <w:t>handbook</w:t>
      </w:r>
      <w:r w:rsidR="00AA7960" w:rsidRPr="005E3EE9">
        <w:rPr>
          <w:sz w:val="24"/>
          <w:szCs w:val="24"/>
        </w:rPr>
        <w:t>)</w:t>
      </w:r>
      <w:r w:rsidR="007374EF" w:rsidRPr="005E3EE9">
        <w:rPr>
          <w:sz w:val="24"/>
          <w:szCs w:val="24"/>
        </w:rPr>
        <w:t>.</w:t>
      </w:r>
      <w:r w:rsidR="00540EEC" w:rsidRPr="005E3EE9">
        <w:rPr>
          <w:sz w:val="24"/>
          <w:szCs w:val="24"/>
        </w:rPr>
        <w:t xml:space="preserve"> </w:t>
      </w:r>
    </w:p>
    <w:p w14:paraId="257A6431" w14:textId="77777777" w:rsidR="008B28E7" w:rsidRPr="005E3EE9"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5E3EE9" w14:paraId="2E129DEE" w14:textId="77777777" w:rsidTr="7B2CF1A9">
        <w:tc>
          <w:tcPr>
            <w:tcW w:w="10031" w:type="dxa"/>
          </w:tcPr>
          <w:p w14:paraId="63627B26" w14:textId="64A7A177" w:rsidR="006872A0" w:rsidRPr="005E3EE9" w:rsidRDefault="006872A0" w:rsidP="00064063">
            <w:pPr>
              <w:jc w:val="both"/>
              <w:rPr>
                <w:b/>
                <w:sz w:val="24"/>
                <w:szCs w:val="24"/>
              </w:rPr>
            </w:pPr>
            <w:r w:rsidRPr="005E3EE9">
              <w:rPr>
                <w:b/>
                <w:sz w:val="24"/>
                <w:szCs w:val="24"/>
              </w:rPr>
              <w:t>Question</w:t>
            </w:r>
            <w:r w:rsidR="007A628F" w:rsidRPr="005E3EE9">
              <w:rPr>
                <w:b/>
                <w:sz w:val="24"/>
                <w:szCs w:val="24"/>
              </w:rPr>
              <w:t>:</w:t>
            </w:r>
          </w:p>
          <w:p w14:paraId="541B485B" w14:textId="4CB44B06" w:rsidR="00C77FA5" w:rsidRPr="005E3EE9" w:rsidRDefault="000A584A">
            <w:pPr>
              <w:jc w:val="both"/>
              <w:rPr>
                <w:sz w:val="24"/>
                <w:szCs w:val="24"/>
              </w:rPr>
            </w:pPr>
            <w:r w:rsidRPr="005E3EE9">
              <w:rPr>
                <w:sz w:val="24"/>
                <w:szCs w:val="24"/>
              </w:rPr>
              <w:t xml:space="preserve">Complete a critically reflective case study </w:t>
            </w:r>
            <w:r w:rsidR="00D0503D" w:rsidRPr="005E3EE9">
              <w:rPr>
                <w:sz w:val="24"/>
                <w:szCs w:val="24"/>
              </w:rPr>
              <w:t>based</w:t>
            </w:r>
            <w:r w:rsidRPr="005E3EE9">
              <w:rPr>
                <w:sz w:val="24"/>
                <w:szCs w:val="24"/>
              </w:rPr>
              <w:t xml:space="preserve"> on</w:t>
            </w:r>
            <w:r w:rsidR="00696A88" w:rsidRPr="005E3EE9">
              <w:rPr>
                <w:sz w:val="24"/>
                <w:szCs w:val="24"/>
              </w:rPr>
              <w:t xml:space="preserve"> </w:t>
            </w:r>
            <w:r w:rsidR="00411EF7" w:rsidRPr="005E3EE9">
              <w:rPr>
                <w:sz w:val="24"/>
                <w:szCs w:val="24"/>
              </w:rPr>
              <w:t>an assessment</w:t>
            </w:r>
            <w:r w:rsidR="007F312E" w:rsidRPr="005E3EE9">
              <w:rPr>
                <w:sz w:val="24"/>
                <w:szCs w:val="24"/>
              </w:rPr>
              <w:t xml:space="preserve"> </w:t>
            </w:r>
            <w:r w:rsidR="007C5ABE" w:rsidRPr="005E3EE9">
              <w:rPr>
                <w:sz w:val="24"/>
                <w:szCs w:val="24"/>
              </w:rPr>
              <w:t xml:space="preserve">that you have </w:t>
            </w:r>
            <w:r w:rsidRPr="005E3EE9">
              <w:rPr>
                <w:sz w:val="24"/>
                <w:szCs w:val="24"/>
              </w:rPr>
              <w:t xml:space="preserve">undertaken with </w:t>
            </w:r>
            <w:r w:rsidR="00D0503D" w:rsidRPr="005E3EE9">
              <w:rPr>
                <w:sz w:val="24"/>
                <w:szCs w:val="24"/>
              </w:rPr>
              <w:t>others,</w:t>
            </w:r>
            <w:r w:rsidR="00D0503D" w:rsidRPr="005E3EE9">
              <w:rPr>
                <w:b/>
                <w:bCs/>
                <w:sz w:val="24"/>
                <w:szCs w:val="24"/>
              </w:rPr>
              <w:t xml:space="preserve"> </w:t>
            </w:r>
            <w:r w:rsidR="00D0503D" w:rsidRPr="005E3EE9">
              <w:rPr>
                <w:sz w:val="24"/>
                <w:szCs w:val="24"/>
              </w:rPr>
              <w:t>in</w:t>
            </w:r>
            <w:r w:rsidR="0002440E" w:rsidRPr="005E3EE9">
              <w:rPr>
                <w:sz w:val="24"/>
                <w:szCs w:val="24"/>
              </w:rPr>
              <w:t xml:space="preserve"> your own area of work</w:t>
            </w:r>
            <w:r w:rsidR="00D0503D" w:rsidRPr="005E3EE9">
              <w:rPr>
                <w:sz w:val="24"/>
                <w:szCs w:val="24"/>
              </w:rPr>
              <w:t xml:space="preserve">, </w:t>
            </w:r>
            <w:r w:rsidR="00587923" w:rsidRPr="005E3EE9">
              <w:rPr>
                <w:sz w:val="24"/>
                <w:szCs w:val="24"/>
              </w:rPr>
              <w:t>c</w:t>
            </w:r>
            <w:r w:rsidR="008B28E7" w:rsidRPr="005E3EE9">
              <w:rPr>
                <w:sz w:val="24"/>
                <w:szCs w:val="24"/>
              </w:rPr>
              <w:t>oncerning the safeguarding of either an adult or a child</w:t>
            </w:r>
            <w:r w:rsidRPr="005E3EE9">
              <w:rPr>
                <w:sz w:val="24"/>
                <w:szCs w:val="24"/>
              </w:rPr>
              <w:t xml:space="preserve">. </w:t>
            </w:r>
            <w:r w:rsidR="00216563" w:rsidRPr="005E3EE9">
              <w:rPr>
                <w:sz w:val="24"/>
                <w:szCs w:val="24"/>
              </w:rPr>
              <w:t xml:space="preserve">You must demonstrate how </w:t>
            </w:r>
            <w:r w:rsidR="00F34C86" w:rsidRPr="005E3EE9">
              <w:rPr>
                <w:sz w:val="24"/>
                <w:szCs w:val="24"/>
              </w:rPr>
              <w:t xml:space="preserve">the case relates to or could relate to safeguarding </w:t>
            </w:r>
            <w:r w:rsidR="00216563" w:rsidRPr="005E3EE9">
              <w:rPr>
                <w:sz w:val="24"/>
                <w:szCs w:val="24"/>
              </w:rPr>
              <w:t>legislation, policies</w:t>
            </w:r>
            <w:r w:rsidR="00F34C86" w:rsidRPr="005E3EE9">
              <w:rPr>
                <w:sz w:val="24"/>
                <w:szCs w:val="24"/>
              </w:rPr>
              <w:t>, strategies and procedures</w:t>
            </w:r>
            <w:r w:rsidR="7AAB400D" w:rsidRPr="005E3EE9">
              <w:rPr>
                <w:sz w:val="24"/>
                <w:szCs w:val="24"/>
              </w:rPr>
              <w:t xml:space="preserve"> </w:t>
            </w:r>
            <w:r w:rsidR="623F2A43" w:rsidRPr="005E3EE9">
              <w:rPr>
                <w:sz w:val="24"/>
                <w:szCs w:val="24"/>
              </w:rPr>
              <w:t>(</w:t>
            </w:r>
            <w:r w:rsidR="7AAB400D" w:rsidRPr="005E3EE9">
              <w:rPr>
                <w:sz w:val="24"/>
                <w:szCs w:val="24"/>
              </w:rPr>
              <w:t>i</w:t>
            </w:r>
            <w:r w:rsidR="623F2A43" w:rsidRPr="005E3EE9">
              <w:rPr>
                <w:sz w:val="24"/>
                <w:szCs w:val="24"/>
              </w:rPr>
              <w:t xml:space="preserve">ncluding </w:t>
            </w:r>
            <w:r w:rsidR="322513AD" w:rsidRPr="005E3EE9">
              <w:rPr>
                <w:sz w:val="24"/>
                <w:szCs w:val="24"/>
              </w:rPr>
              <w:t>d</w:t>
            </w:r>
            <w:r w:rsidR="7E97696C" w:rsidRPr="005E3EE9">
              <w:rPr>
                <w:sz w:val="24"/>
                <w:szCs w:val="24"/>
              </w:rPr>
              <w:t xml:space="preserve">emonstrating an understanding of </w:t>
            </w:r>
            <w:r w:rsidR="623F2A43" w:rsidRPr="005E3EE9">
              <w:rPr>
                <w:sz w:val="24"/>
                <w:szCs w:val="24"/>
              </w:rPr>
              <w:t>the</w:t>
            </w:r>
            <w:r w:rsidR="350F702B" w:rsidRPr="005E3EE9">
              <w:rPr>
                <w:sz w:val="24"/>
                <w:szCs w:val="24"/>
              </w:rPr>
              <w:t xml:space="preserve"> </w:t>
            </w:r>
            <w:r w:rsidR="3B2446CA" w:rsidRPr="005E3EE9">
              <w:rPr>
                <w:rFonts w:eastAsia="Arial"/>
                <w:color w:val="000000" w:themeColor="text1"/>
                <w:sz w:val="24"/>
                <w:szCs w:val="24"/>
              </w:rPr>
              <w:t xml:space="preserve">interface </w:t>
            </w:r>
            <w:r w:rsidR="534A9052" w:rsidRPr="005E3EE9">
              <w:rPr>
                <w:rFonts w:eastAsia="Arial"/>
                <w:color w:val="000000" w:themeColor="text1"/>
                <w:sz w:val="24"/>
                <w:szCs w:val="24"/>
              </w:rPr>
              <w:t>between social services provision in Wales with the United Kingdom, the European Union</w:t>
            </w:r>
            <w:r w:rsidR="007A628F" w:rsidRPr="005E3EE9">
              <w:rPr>
                <w:rFonts w:eastAsia="Arial"/>
                <w:color w:val="000000" w:themeColor="text1"/>
                <w:sz w:val="24"/>
                <w:szCs w:val="24"/>
              </w:rPr>
              <w:t xml:space="preserve"> (EU)</w:t>
            </w:r>
            <w:r w:rsidR="534A9052" w:rsidRPr="005E3EE9">
              <w:rPr>
                <w:rFonts w:eastAsia="Arial"/>
                <w:color w:val="000000" w:themeColor="text1"/>
                <w:sz w:val="24"/>
                <w:szCs w:val="24"/>
              </w:rPr>
              <w:t xml:space="preserve"> and outside the EU</w:t>
            </w:r>
            <w:r w:rsidR="623F2A43" w:rsidRPr="005E3EE9">
              <w:rPr>
                <w:rFonts w:eastAsia="Arial"/>
                <w:color w:val="000000" w:themeColor="text1"/>
                <w:sz w:val="24"/>
                <w:szCs w:val="24"/>
              </w:rPr>
              <w:t>)</w:t>
            </w:r>
            <w:r w:rsidR="00411EF7" w:rsidRPr="005E3EE9">
              <w:rPr>
                <w:sz w:val="24"/>
                <w:szCs w:val="24"/>
              </w:rPr>
              <w:t>.</w:t>
            </w:r>
            <w:r w:rsidR="00354B6D" w:rsidRPr="005E3EE9">
              <w:rPr>
                <w:sz w:val="24"/>
                <w:szCs w:val="24"/>
              </w:rPr>
              <w:t xml:space="preserve"> </w:t>
            </w:r>
            <w:r w:rsidR="102A3950" w:rsidRPr="005E3EE9">
              <w:rPr>
                <w:sz w:val="24"/>
                <w:szCs w:val="24"/>
              </w:rPr>
              <w:t>You</w:t>
            </w:r>
            <w:r w:rsidR="00354B6D" w:rsidRPr="005E3EE9">
              <w:rPr>
                <w:sz w:val="24"/>
                <w:szCs w:val="24"/>
              </w:rPr>
              <w:t xml:space="preserve"> must</w:t>
            </w:r>
            <w:r w:rsidR="00411EF7" w:rsidRPr="005E3EE9">
              <w:rPr>
                <w:sz w:val="24"/>
                <w:szCs w:val="24"/>
              </w:rPr>
              <w:t xml:space="preserve"> </w:t>
            </w:r>
            <w:r w:rsidR="00354B6D" w:rsidRPr="005E3EE9">
              <w:rPr>
                <w:sz w:val="24"/>
                <w:szCs w:val="24"/>
              </w:rPr>
              <w:t>demonstrate your understanding of</w:t>
            </w:r>
            <w:r w:rsidR="00F34C86" w:rsidRPr="005E3EE9">
              <w:rPr>
                <w:sz w:val="24"/>
                <w:szCs w:val="24"/>
              </w:rPr>
              <w:t xml:space="preserve"> </w:t>
            </w:r>
            <w:r w:rsidR="00411EF7" w:rsidRPr="005E3EE9">
              <w:rPr>
                <w:sz w:val="24"/>
                <w:szCs w:val="24"/>
              </w:rPr>
              <w:t xml:space="preserve">the </w:t>
            </w:r>
            <w:r w:rsidR="00216563" w:rsidRPr="005E3EE9">
              <w:rPr>
                <w:sz w:val="24"/>
                <w:szCs w:val="24"/>
              </w:rPr>
              <w:t xml:space="preserve">integration of </w:t>
            </w:r>
            <w:r w:rsidR="6A854C79" w:rsidRPr="005E3EE9">
              <w:rPr>
                <w:sz w:val="24"/>
                <w:szCs w:val="24"/>
              </w:rPr>
              <w:t>analysis in asses</w:t>
            </w:r>
            <w:r w:rsidR="0F77E214" w:rsidRPr="005E3EE9">
              <w:rPr>
                <w:sz w:val="24"/>
                <w:szCs w:val="24"/>
              </w:rPr>
              <w:t>sment, collabo</w:t>
            </w:r>
            <w:r w:rsidR="6A854C79" w:rsidRPr="005E3EE9">
              <w:rPr>
                <w:sz w:val="24"/>
                <w:szCs w:val="24"/>
              </w:rPr>
              <w:t>rative work</w:t>
            </w:r>
            <w:r w:rsidR="0F77E214" w:rsidRPr="005E3EE9">
              <w:rPr>
                <w:sz w:val="24"/>
                <w:szCs w:val="24"/>
              </w:rPr>
              <w:t>ing</w:t>
            </w:r>
            <w:r w:rsidR="6A854C79" w:rsidRPr="005E3EE9">
              <w:rPr>
                <w:sz w:val="24"/>
                <w:szCs w:val="24"/>
              </w:rPr>
              <w:t xml:space="preserve"> a</w:t>
            </w:r>
            <w:r w:rsidR="0F77E214" w:rsidRPr="005E3EE9">
              <w:rPr>
                <w:sz w:val="24"/>
                <w:szCs w:val="24"/>
              </w:rPr>
              <w:t xml:space="preserve">nd </w:t>
            </w:r>
            <w:r w:rsidR="6A854C79" w:rsidRPr="005E3EE9">
              <w:rPr>
                <w:sz w:val="24"/>
                <w:szCs w:val="24"/>
              </w:rPr>
              <w:t>professional</w:t>
            </w:r>
            <w:r w:rsidR="00F34C86" w:rsidRPr="005E3EE9">
              <w:rPr>
                <w:sz w:val="24"/>
                <w:szCs w:val="24"/>
              </w:rPr>
              <w:t xml:space="preserve"> </w:t>
            </w:r>
            <w:r w:rsidR="00216563" w:rsidRPr="005E3EE9">
              <w:rPr>
                <w:sz w:val="24"/>
                <w:szCs w:val="24"/>
              </w:rPr>
              <w:t>judgements</w:t>
            </w:r>
            <w:r w:rsidR="0F77E214" w:rsidRPr="005E3EE9">
              <w:rPr>
                <w:sz w:val="24"/>
                <w:szCs w:val="24"/>
              </w:rPr>
              <w:t xml:space="preserve"> in increasingly complex situations </w:t>
            </w:r>
            <w:r w:rsidR="00E5498A" w:rsidRPr="005E3EE9">
              <w:rPr>
                <w:sz w:val="24"/>
                <w:szCs w:val="24"/>
              </w:rPr>
              <w:t>and</w:t>
            </w:r>
            <w:r w:rsidR="1D6670C0" w:rsidRPr="005E3EE9">
              <w:rPr>
                <w:sz w:val="24"/>
                <w:szCs w:val="24"/>
              </w:rPr>
              <w:t xml:space="preserve"> </w:t>
            </w:r>
            <w:r w:rsidR="39C47EB7" w:rsidRPr="005E3EE9">
              <w:rPr>
                <w:sz w:val="24"/>
                <w:szCs w:val="24"/>
              </w:rPr>
              <w:t>the</w:t>
            </w:r>
            <w:r w:rsidR="25F327FB" w:rsidRPr="005E3EE9">
              <w:rPr>
                <w:sz w:val="24"/>
                <w:szCs w:val="24"/>
              </w:rPr>
              <w:t xml:space="preserve"> </w:t>
            </w:r>
            <w:r w:rsidR="00F34C86" w:rsidRPr="005E3EE9">
              <w:rPr>
                <w:sz w:val="24"/>
                <w:szCs w:val="24"/>
              </w:rPr>
              <w:t>use of social work theories</w:t>
            </w:r>
            <w:r w:rsidR="756EEE2D" w:rsidRPr="005E3EE9">
              <w:rPr>
                <w:sz w:val="24"/>
                <w:szCs w:val="24"/>
              </w:rPr>
              <w:t>.</w:t>
            </w:r>
            <w:r w:rsidR="00216563" w:rsidRPr="005E3EE9">
              <w:rPr>
                <w:sz w:val="24"/>
                <w:szCs w:val="24"/>
              </w:rPr>
              <w:t xml:space="preserve"> </w:t>
            </w:r>
            <w:r w:rsidR="756EEE2D" w:rsidRPr="005E3EE9">
              <w:rPr>
                <w:sz w:val="24"/>
                <w:szCs w:val="24"/>
              </w:rPr>
              <w:t>You</w:t>
            </w:r>
            <w:r w:rsidR="00216563" w:rsidRPr="005E3EE9">
              <w:rPr>
                <w:sz w:val="24"/>
                <w:szCs w:val="24"/>
              </w:rPr>
              <w:t xml:space="preserve"> </w:t>
            </w:r>
            <w:r w:rsidR="00E5498A" w:rsidRPr="005E3EE9">
              <w:rPr>
                <w:sz w:val="24"/>
                <w:szCs w:val="24"/>
              </w:rPr>
              <w:t xml:space="preserve">must </w:t>
            </w:r>
            <w:r w:rsidR="00F030D4" w:rsidRPr="005E3EE9">
              <w:rPr>
                <w:sz w:val="24"/>
                <w:szCs w:val="24"/>
              </w:rPr>
              <w:t>refer to</w:t>
            </w:r>
            <w:r w:rsidR="00216563" w:rsidRPr="005E3EE9">
              <w:rPr>
                <w:sz w:val="24"/>
                <w:szCs w:val="24"/>
              </w:rPr>
              <w:t xml:space="preserve"> </w:t>
            </w:r>
            <w:r w:rsidR="00F34C86" w:rsidRPr="005E3EE9">
              <w:rPr>
                <w:sz w:val="24"/>
                <w:szCs w:val="24"/>
              </w:rPr>
              <w:t>the specific dimensions of working in Wales</w:t>
            </w:r>
            <w:r w:rsidR="00411EF7" w:rsidRPr="005E3EE9">
              <w:rPr>
                <w:sz w:val="24"/>
                <w:szCs w:val="24"/>
              </w:rPr>
              <w:t xml:space="preserve">. </w:t>
            </w:r>
          </w:p>
          <w:p w14:paraId="2F8A7CA5" w14:textId="6EDC9DFB" w:rsidR="008D5999" w:rsidRPr="005E3EE9" w:rsidRDefault="008D5999" w:rsidP="00064063">
            <w:pPr>
              <w:jc w:val="both"/>
              <w:rPr>
                <w:sz w:val="24"/>
                <w:szCs w:val="24"/>
              </w:rPr>
            </w:pPr>
          </w:p>
          <w:p w14:paraId="20A5906F" w14:textId="77777777" w:rsidR="008D5999" w:rsidRPr="005E3EE9" w:rsidRDefault="008D5999" w:rsidP="00064063">
            <w:pPr>
              <w:jc w:val="both"/>
              <w:rPr>
                <w:sz w:val="24"/>
                <w:szCs w:val="24"/>
              </w:rPr>
            </w:pPr>
          </w:p>
          <w:p w14:paraId="51AF4546" w14:textId="476CB9AF" w:rsidR="00D3203C" w:rsidRPr="005E3EE9" w:rsidRDefault="00045C40" w:rsidP="00FF7EBB">
            <w:pPr>
              <w:jc w:val="both"/>
              <w:rPr>
                <w:sz w:val="24"/>
                <w:szCs w:val="24"/>
              </w:rPr>
            </w:pPr>
            <w:r w:rsidRPr="005E3EE9">
              <w:rPr>
                <w:sz w:val="24"/>
                <w:szCs w:val="24"/>
              </w:rPr>
              <w:t xml:space="preserve">4000 </w:t>
            </w:r>
            <w:r w:rsidR="008B28E7" w:rsidRPr="005E3EE9">
              <w:rPr>
                <w:sz w:val="24"/>
                <w:szCs w:val="24"/>
              </w:rPr>
              <w:t>words (+/- 10%: include your actual word count at the end of each section)</w:t>
            </w:r>
            <w:r w:rsidR="007A628F" w:rsidRPr="005E3EE9">
              <w:rPr>
                <w:sz w:val="24"/>
                <w:szCs w:val="24"/>
              </w:rPr>
              <w:t>.</w:t>
            </w:r>
          </w:p>
          <w:p w14:paraId="701D8D4D" w14:textId="38C2B218" w:rsidR="00D3203C" w:rsidRPr="005E3EE9" w:rsidRDefault="00D3203C" w:rsidP="00FF7EBB">
            <w:pPr>
              <w:jc w:val="both"/>
              <w:rPr>
                <w:sz w:val="24"/>
                <w:szCs w:val="24"/>
              </w:rPr>
            </w:pPr>
          </w:p>
          <w:p w14:paraId="20370495" w14:textId="79B79501" w:rsidR="00D3203C" w:rsidRPr="005E3EE9" w:rsidRDefault="00D3203C" w:rsidP="00FF7EBB">
            <w:pPr>
              <w:jc w:val="both"/>
              <w:rPr>
                <w:sz w:val="24"/>
                <w:szCs w:val="24"/>
              </w:rPr>
            </w:pPr>
          </w:p>
          <w:p w14:paraId="09C8D1B0" w14:textId="77777777" w:rsidR="005E3EE9" w:rsidRDefault="005E3EE9" w:rsidP="005E3EE9">
            <w:pPr>
              <w:jc w:val="both"/>
              <w:rPr>
                <w:sz w:val="24"/>
                <w:szCs w:val="24"/>
              </w:rPr>
            </w:pPr>
            <w:r w:rsidRPr="005E3EE9">
              <w:rPr>
                <w:sz w:val="24"/>
                <w:szCs w:val="24"/>
              </w:rPr>
              <w:t>In this essay, I will critically reflect on a case study based on an assessment I undertook in my current role as a Social Worker within a long-term adult care team for a Local Authority in Wales. The case study I will reflect on is SU1, an adult of working age, whom I am co-working with alongside their care co-ordinator, an Occupational Therapist (P1) from the Local Health Board’s Community Mental Health Team. SU1 has a longstanding history of involvement with mental health services, including over seventy hospital admissions and between three and four hundred reported suicide attempts. SU1 has diagnoses of Diabetes, Post-Traumatic Stress Disorder (PTSD), Emotionally Unstable Personality Disorder (EUPD), depression and anxiety, and is awaiting assessment for mild learning difficulties and Autism.</w:t>
            </w:r>
          </w:p>
          <w:p w14:paraId="60D9CD5D" w14:textId="77777777" w:rsidR="005E3EE9" w:rsidRPr="005E3EE9" w:rsidRDefault="005E3EE9" w:rsidP="005E3EE9">
            <w:pPr>
              <w:jc w:val="both"/>
              <w:rPr>
                <w:sz w:val="24"/>
                <w:szCs w:val="24"/>
              </w:rPr>
            </w:pPr>
          </w:p>
          <w:p w14:paraId="78210CB3" w14:textId="77777777" w:rsidR="005E3EE9" w:rsidRDefault="005E3EE9" w:rsidP="005E3EE9">
            <w:pPr>
              <w:jc w:val="both"/>
              <w:rPr>
                <w:sz w:val="24"/>
                <w:szCs w:val="24"/>
              </w:rPr>
            </w:pPr>
            <w:r w:rsidRPr="005E3EE9">
              <w:rPr>
                <w:sz w:val="24"/>
                <w:szCs w:val="24"/>
              </w:rPr>
              <w:t>I will be using Driscoll’s (1994) model of reflection structure: “what?”, “so what?” and “now what?” (The University of Edinburgh, 2026) to reflect on my practice and support future development, focusing on the safeguarding element of SU1’s situation and how legislation, policy, and theory inform practice and development. Working in Wales, I will pay particular attention to the Social Services and Well-being (Wales) Act (SSWB(W)A) (2014) and reflect on how Welsh social work practice links to or interacts with UK-wide legislation and other international frameworks. I will also be considering the role of multi-agency working, professional judgement in complex scenarios, and the integration of social work theories, particularly attachment theory and crisis intervention theory, in supporting analytical assessment.</w:t>
            </w:r>
          </w:p>
          <w:p w14:paraId="0A66CDF7" w14:textId="77777777" w:rsidR="005E3EE9" w:rsidRPr="005E3EE9" w:rsidRDefault="005E3EE9" w:rsidP="005E3EE9">
            <w:pPr>
              <w:jc w:val="both"/>
              <w:rPr>
                <w:sz w:val="24"/>
                <w:szCs w:val="24"/>
              </w:rPr>
            </w:pPr>
          </w:p>
          <w:p w14:paraId="26F11EF9" w14:textId="77777777" w:rsidR="005E3EE9" w:rsidRDefault="005E3EE9" w:rsidP="005E3EE9">
            <w:pPr>
              <w:jc w:val="both"/>
              <w:rPr>
                <w:sz w:val="24"/>
                <w:szCs w:val="24"/>
              </w:rPr>
            </w:pPr>
            <w:r w:rsidRPr="005E3EE9">
              <w:rPr>
                <w:sz w:val="24"/>
                <w:szCs w:val="24"/>
              </w:rPr>
              <w:lastRenderedPageBreak/>
              <w:t>Firstly, using Driscoll’s (1994) model, I will consider the “what?”. SU1 is an adult with significant and ongoing mental health needs, characterised by instability and repeated crises. SU1 presents with consistent episodes of suicidal ideation with repeated attempts of suicide and self-harm, often using diabetes management and medication as a method of harm in an attempt to take their life. During my initial involvement, SU1 was back in the community living with their Husband following a recent discharge from hospital. However, within a few months, SU1 made another 2 self-harm attempts</w:t>
            </w:r>
            <w:r w:rsidRPr="005E3EE9">
              <w:rPr>
                <w:sz w:val="24"/>
                <w:szCs w:val="24"/>
                <w:u w:val="single"/>
              </w:rPr>
              <w:t xml:space="preserve"> </w:t>
            </w:r>
            <w:r w:rsidRPr="005E3EE9">
              <w:rPr>
                <w:sz w:val="24"/>
                <w:szCs w:val="24"/>
              </w:rPr>
              <w:t>resulting in hospital admission, where they currently remain.  SU1’s needs are further compounded by adversity throughout childhood and into adulthood, resulting in a lot of trauma, adding to the complexity of this case.</w:t>
            </w:r>
          </w:p>
          <w:p w14:paraId="7A0892FA" w14:textId="77777777" w:rsidR="005E3EE9" w:rsidRPr="005E3EE9" w:rsidRDefault="005E3EE9" w:rsidP="005E3EE9">
            <w:pPr>
              <w:jc w:val="both"/>
              <w:rPr>
                <w:sz w:val="24"/>
                <w:szCs w:val="24"/>
              </w:rPr>
            </w:pPr>
          </w:p>
          <w:p w14:paraId="0B3DF853" w14:textId="77777777" w:rsidR="005E3EE9" w:rsidRPr="005E3EE9" w:rsidRDefault="005E3EE9" w:rsidP="005E3EE9">
            <w:pPr>
              <w:jc w:val="both"/>
              <w:rPr>
                <w:sz w:val="24"/>
                <w:szCs w:val="24"/>
              </w:rPr>
            </w:pPr>
            <w:r w:rsidRPr="005E3EE9">
              <w:rPr>
                <w:sz w:val="24"/>
                <w:szCs w:val="24"/>
              </w:rPr>
              <w:t>Safeguarding concerns in this case included self-harm but also included risks arising from SU1’s relationship with their partner. These concerns encompassed suspected financial abuse, emotional abuse, and elements of coercive and controlling behaviour, which appeared to compound SU1’s vulnerability further. Within the SSWB(W)A, 2014, an “adult at risk” is defined as someone who is experiencing or is at risk of abuse or neglect and is unable to protect themselves due to their needs for care and support. Initially, there were no concerns regarding SU1’s mental capacity, and it was understood within the multidisciplinary team that she retained capacity to make decisions about her care and circumstances. As such, despite numerous conversations with myself and safeguarding practitioners, and referrals from P1, it was felt that SU1 did not meet the criteria as an adult at risk, as she could protect herself.</w:t>
            </w:r>
          </w:p>
          <w:p w14:paraId="636C2EAA" w14:textId="77777777" w:rsidR="005E3EE9" w:rsidRDefault="005E3EE9" w:rsidP="005E3EE9">
            <w:pPr>
              <w:jc w:val="both"/>
              <w:rPr>
                <w:sz w:val="24"/>
                <w:szCs w:val="24"/>
              </w:rPr>
            </w:pPr>
            <w:r w:rsidRPr="005E3EE9">
              <w:rPr>
                <w:sz w:val="24"/>
                <w:szCs w:val="24"/>
              </w:rPr>
              <w:t>However, after attending a training session on mental capacity assessments, I began to critically reflect on applying the “using and weighing” component of the Mental Capacity Act (MCA) 2005. As a result, with P1, we reconsidered whether SU1 was able to fully process and evaluate the risks associated with returning home, particularly in light of their partner’s behaviours resulting in her calling the police within just a day of their first discharge from hospital, and subsequent threats from him stating he was ending their marriage. During a joint visit with P1, further concerns emerged about SU1’s ability to make informed decisions about residence and discharge planning. During this time, P1 had made a referral to Safeguarding as SU1’s husband had told her that he would harm SU1 should “we send her back home to him”. Because we now had enough to rebut the assumption of SU1’s capacity, in line with the principles of the MCA, 2005, Safeguarding accepted this referral. This then resulted in a Strategy discussion with Safeguarding and the Police, a Joint Investigation, which I attended with Police and a Multi-Agency Risk Assessment Conference (MARAC) meeting. I feel that, should we not have taken SU1’s capacity into account, which would have been unlikely to happen at this time had I not attended that particular training to develop further my knowledge of the MCA (2005) and capacity assessments, this beneficial multi-agency work would not have taken place. As a result of the Strategy discussion, Police were able to ethically record an offence of Coercive Control with SU1 as the victim, as there was a long-standing history of Police being called, and SU1 declining to press charges. This would give SU1 more protection, should there be further incidents in the future. This situation also highlighted the dilemmas, conflicts and power dynamics within social work practice. On one hand, there was a duty to respect SU1’s autonomy and right to make unwise decisions under the MCA (2005). On the other, there was a professional responsibility to protect a potentially vulnerable adult from harm where concerns existed regarding coercive control, domestic abuse and their ability to understand and weigh relevant information fully.</w:t>
            </w:r>
          </w:p>
          <w:p w14:paraId="6C04D646" w14:textId="77777777" w:rsidR="005E3EE9" w:rsidRPr="005E3EE9" w:rsidRDefault="005E3EE9" w:rsidP="005E3EE9">
            <w:pPr>
              <w:jc w:val="both"/>
              <w:rPr>
                <w:sz w:val="24"/>
                <w:szCs w:val="24"/>
              </w:rPr>
            </w:pPr>
          </w:p>
          <w:p w14:paraId="48471789" w14:textId="77777777" w:rsidR="005E3EE9" w:rsidRPr="005E3EE9" w:rsidRDefault="005E3EE9" w:rsidP="005E3EE9">
            <w:pPr>
              <w:jc w:val="both"/>
              <w:rPr>
                <w:sz w:val="24"/>
                <w:szCs w:val="24"/>
              </w:rPr>
            </w:pPr>
            <w:r w:rsidRPr="005E3EE9">
              <w:rPr>
                <w:sz w:val="24"/>
                <w:szCs w:val="24"/>
              </w:rPr>
              <w:lastRenderedPageBreak/>
              <w:t>Due to the complexity SU1 presents, I did not have the experience or knowledge to undertake the capacity assessment myself. I decided to seek specialist support. P1 and I therefore engaged the Best Interests Team within the Health Board, who undertook two comprehensive mental capacity assessments. These assessments concluded that SU1 lacked capacity to make decisions about residence and hospital arrangements. Psychiatrists reviewed and ratified these findings, ensuring the decisions were robust, legally defensible, and aligned with best practice. Whilst the MCA (2005) framework was followed, there were also queries about whether SU1 would meet the criteria for the Mental Health Act (MHA) (1983) for assessment.</w:t>
            </w:r>
          </w:p>
          <w:p w14:paraId="6A5EAC32" w14:textId="77777777" w:rsidR="005E3EE9" w:rsidRDefault="005E3EE9" w:rsidP="005E3EE9">
            <w:pPr>
              <w:jc w:val="both"/>
              <w:rPr>
                <w:sz w:val="24"/>
                <w:szCs w:val="24"/>
              </w:rPr>
            </w:pPr>
            <w:r w:rsidRPr="005E3EE9">
              <w:rPr>
                <w:sz w:val="24"/>
                <w:szCs w:val="24"/>
              </w:rPr>
              <w:t xml:space="preserve">This then prompted the Deprivation of Liberty Safeguards (DoLS) MCA (2005) framework. My role involved working collaboratively with P1 and other professionals to assess risk, develop care plans, and support SU1’s well-being whilst balancing autonomy and safety as far as possible. Initially, SU1 was offered a ‘relaxed </w:t>
            </w:r>
            <w:proofErr w:type="spellStart"/>
            <w:r w:rsidRPr="005E3EE9">
              <w:rPr>
                <w:sz w:val="24"/>
                <w:szCs w:val="24"/>
              </w:rPr>
              <w:t>DoLS’</w:t>
            </w:r>
            <w:proofErr w:type="spellEnd"/>
            <w:r w:rsidRPr="005E3EE9">
              <w:rPr>
                <w:sz w:val="24"/>
                <w:szCs w:val="24"/>
              </w:rPr>
              <w:t xml:space="preserve"> on the ward, meaning they could leave the ward for a short period if staff were aware. However, SU1 on four occasions used this opportunity to purchase medication and overdose to try and end their life. This then resulted in a psychiatrist assessing them and requiring observation off-site. Whilst the least restrictive approach was initially adopted, in line with the MCA (2005), increasing concerns regarding risk required more restrictive interventions. I found this challenging, particularly when these measures were not what SU1 wanted. It reinforced the importance of continually weighing rights, risks and professional responsibilities, recognising that safeguarding practice often involves navigating difficult ethical dilemmas with no straightforward solution. However, working in a multidisciplinary context supports this.</w:t>
            </w:r>
          </w:p>
          <w:p w14:paraId="6801ABA0" w14:textId="77777777" w:rsidR="005E3EE9" w:rsidRPr="005E3EE9" w:rsidRDefault="005E3EE9" w:rsidP="005E3EE9">
            <w:pPr>
              <w:jc w:val="both"/>
              <w:rPr>
                <w:sz w:val="24"/>
                <w:szCs w:val="24"/>
              </w:rPr>
            </w:pPr>
          </w:p>
          <w:p w14:paraId="4D00FAAA" w14:textId="77777777" w:rsidR="005E3EE9" w:rsidRDefault="005E3EE9" w:rsidP="005E3EE9">
            <w:pPr>
              <w:jc w:val="both"/>
              <w:rPr>
                <w:sz w:val="24"/>
                <w:szCs w:val="24"/>
              </w:rPr>
            </w:pPr>
            <w:r w:rsidRPr="005E3EE9">
              <w:rPr>
                <w:sz w:val="24"/>
                <w:szCs w:val="24"/>
              </w:rPr>
              <w:t>The SSWB(W)A (2014) emphasises the importance of well-being, to include physical, emotional and social aspects, and promotes voice and control for individuals receiving care. Part 7 of the SSWB(W)A (2014) also places a duty on local authorities to investigate where there are concerns that an adult is at risk. This legislation is supported by the Wales Safeguarding Procedures (2019), giving guidance for responding to safeguarding concerns. These procedures emphasise that interventions or enquiries should be proportionate and require partnership and prevention, which aligns with the broader Welsh policy direction. In this case, whilst SU1 did not initially meet the safeguarding criteria, I contacted the social worker on duty on around four occasions for advice due to my concerns. Following their involvement, which did not go beyond a strategy discussion, it was felt that their involvement and enquiries were not required, as SU1 was in a safe place and P1 and I had a clear plan in place. This was to avoid further distress to SU1, and not to duplicate any work.  </w:t>
            </w:r>
          </w:p>
          <w:p w14:paraId="1F1CE836" w14:textId="77777777" w:rsidR="005E3EE9" w:rsidRPr="005E3EE9" w:rsidRDefault="005E3EE9" w:rsidP="005E3EE9">
            <w:pPr>
              <w:jc w:val="both"/>
              <w:rPr>
                <w:sz w:val="24"/>
                <w:szCs w:val="24"/>
              </w:rPr>
            </w:pPr>
          </w:p>
          <w:p w14:paraId="399D394E" w14:textId="77777777" w:rsidR="005E3EE9" w:rsidRDefault="005E3EE9" w:rsidP="005E3EE9">
            <w:pPr>
              <w:jc w:val="both"/>
              <w:rPr>
                <w:sz w:val="24"/>
                <w:szCs w:val="24"/>
              </w:rPr>
            </w:pPr>
            <w:r w:rsidRPr="005E3EE9">
              <w:rPr>
                <w:sz w:val="24"/>
                <w:szCs w:val="24"/>
              </w:rPr>
              <w:t>In addition to legislation specific to Wales, the MCA (2005) is relevant to this case. The presumption of capacity initially led me to think that SU1 had capacity to make decisions regarding their residency and discharge. However, as my understanding of capacity assessments developed, I began to reflect more critically on the ‘using and weighing’ element of the functional test and whether SU1 was able to fully consider the risks associated with their decisions. This highlighted the complexity of applying the MCA (2005) in practice, particularly where there are multiple interacting factors that may influence decision-making. P1 and I met with SU1 to discuss residency and discharge and felt that we had enough reason to rebut capacity. As such, we requested a specialist team to undertake the assessment, who also required the outcome to be ratified by a psychiatrist.</w:t>
            </w:r>
          </w:p>
          <w:p w14:paraId="46DB88A0" w14:textId="77777777" w:rsidR="005E3EE9" w:rsidRPr="005E3EE9" w:rsidRDefault="005E3EE9" w:rsidP="005E3EE9">
            <w:pPr>
              <w:jc w:val="both"/>
              <w:rPr>
                <w:sz w:val="24"/>
                <w:szCs w:val="24"/>
              </w:rPr>
            </w:pPr>
          </w:p>
          <w:p w14:paraId="5FAC2E3D" w14:textId="77777777" w:rsidR="005E3EE9" w:rsidRDefault="005E3EE9" w:rsidP="005E3EE9">
            <w:pPr>
              <w:jc w:val="both"/>
              <w:rPr>
                <w:sz w:val="24"/>
                <w:szCs w:val="24"/>
              </w:rPr>
            </w:pPr>
            <w:r w:rsidRPr="005E3EE9">
              <w:rPr>
                <w:sz w:val="24"/>
                <w:szCs w:val="24"/>
              </w:rPr>
              <w:lastRenderedPageBreak/>
              <w:t>Reflecting on this experience, I recognised the importance of professional curiosity and not accepting initial assumptions without continuing to analyse. As concerns increased regarding risk, capacity and potential coercion within the relationship, the case reached safeguarding thresholds, prompting a multi-agency response, with me recognising that safeguarding thresholds are not always clear-cut and require a careful balance of uncertainty, risk and evidence whilst remaining person-centred. The outcome also highlighted the value of collaborative working, with specialist assessments helping to inform care planning and ensure decisions were made in SU1’s best interests.</w:t>
            </w:r>
          </w:p>
          <w:p w14:paraId="36EF1B06" w14:textId="77777777" w:rsidR="005E3EE9" w:rsidRPr="005E3EE9" w:rsidRDefault="005E3EE9" w:rsidP="005E3EE9">
            <w:pPr>
              <w:jc w:val="both"/>
              <w:rPr>
                <w:sz w:val="24"/>
                <w:szCs w:val="24"/>
              </w:rPr>
            </w:pPr>
          </w:p>
          <w:p w14:paraId="6B76D03F" w14:textId="77777777" w:rsidR="005E3EE9" w:rsidRDefault="005E3EE9" w:rsidP="005E3EE9">
            <w:pPr>
              <w:jc w:val="both"/>
              <w:rPr>
                <w:sz w:val="24"/>
                <w:szCs w:val="24"/>
              </w:rPr>
            </w:pPr>
            <w:r w:rsidRPr="005E3EE9">
              <w:rPr>
                <w:sz w:val="24"/>
                <w:szCs w:val="24"/>
              </w:rPr>
              <w:t>There were also conflicting thoughts around which legal framework would best meet SU1’s needs: MCA (2005) or the MHA (1983). Those specialising in working under the Mental Capacity Act who undertook the assessment suggested a MHA (1983) Assessment, which could have led to potential detention within a psychiatric unit. However, as SU1 has a personality disorder, the consultant explained that this cannot be medicated, so SU1 would only be detained for a short period at times of crisis and would offer no real therapeutic support. The least restrictive and most appropriate framework was decided to be the MCA (2005) and DoLS framework. On reflection, I feel this was a positive outcome, as it presented the least restrictive option whilst still providing the necessary safeguards to support SU1’s safety and wellbeing.</w:t>
            </w:r>
          </w:p>
          <w:p w14:paraId="12492FC6" w14:textId="77777777" w:rsidR="005E3EE9" w:rsidRPr="005E3EE9" w:rsidRDefault="005E3EE9" w:rsidP="005E3EE9">
            <w:pPr>
              <w:jc w:val="both"/>
              <w:rPr>
                <w:sz w:val="24"/>
                <w:szCs w:val="24"/>
              </w:rPr>
            </w:pPr>
          </w:p>
          <w:p w14:paraId="481FE4EA" w14:textId="77777777" w:rsidR="005E3EE9" w:rsidRDefault="005E3EE9" w:rsidP="005E3EE9">
            <w:pPr>
              <w:jc w:val="both"/>
              <w:rPr>
                <w:sz w:val="24"/>
                <w:szCs w:val="24"/>
              </w:rPr>
            </w:pPr>
            <w:r w:rsidRPr="005E3EE9">
              <w:rPr>
                <w:sz w:val="24"/>
                <w:szCs w:val="24"/>
              </w:rPr>
              <w:t>Despite being the least restrictive option, the DoLS framework does interfere with rights protected under the Human Rights Act (1998), particularly Article 8, the right to respect for private and family life. However, in safeguarding practice, rights do not exist in isolation and can often come into conflict. In this case, restricting aspects of SU1’s freedom and autonomy was considered necessary to uphold Article 2, the right to life, because of significant concerns about their safety and risk of harm. This also aligns with the Local Authority's duty to promote wellbeing and protect adults at risk under the SSWB(W)A 2014. The issue of balancing legislation is also highlighted within the thematic safeguarding adults review in respect of suicide prevention (Surrey Safeguarding Adults Board, 2025)</w:t>
            </w:r>
          </w:p>
          <w:p w14:paraId="5F0DDCA6" w14:textId="77777777" w:rsidR="005E3EE9" w:rsidRPr="005E3EE9" w:rsidRDefault="005E3EE9" w:rsidP="005E3EE9">
            <w:pPr>
              <w:jc w:val="both"/>
              <w:rPr>
                <w:sz w:val="24"/>
                <w:szCs w:val="24"/>
              </w:rPr>
            </w:pPr>
          </w:p>
          <w:p w14:paraId="0A9DD1BB" w14:textId="77777777" w:rsidR="005E3EE9" w:rsidRDefault="005E3EE9" w:rsidP="005E3EE9">
            <w:pPr>
              <w:jc w:val="both"/>
              <w:rPr>
                <w:sz w:val="24"/>
                <w:szCs w:val="24"/>
              </w:rPr>
            </w:pPr>
            <w:r w:rsidRPr="005E3EE9">
              <w:rPr>
                <w:sz w:val="24"/>
                <w:szCs w:val="24"/>
              </w:rPr>
              <w:t>Reflecting on this, I recognise that safeguarding often involves navigating competing rights and ethical dilemmas, rather than identifying a correct action or answer. It is important to consider whether interventions are lawful, proportionate and necessary, balancing an individual's wishes and autonomy against the risk of serious harm. This case supported my learning and understanding that restrictive interventions should only be used when justified by the level of risk and when less restrictive alternatives have been considered. Ultimately, the MCA 2005 framework achieved the most proportionate balance between protecting SU1's rights and ensuring their safety and wellbeing.</w:t>
            </w:r>
          </w:p>
          <w:p w14:paraId="0C03FE8D" w14:textId="77777777" w:rsidR="005E3EE9" w:rsidRPr="005E3EE9" w:rsidRDefault="005E3EE9" w:rsidP="005E3EE9">
            <w:pPr>
              <w:jc w:val="both"/>
              <w:rPr>
                <w:sz w:val="24"/>
                <w:szCs w:val="24"/>
              </w:rPr>
            </w:pPr>
          </w:p>
          <w:p w14:paraId="6383BBE9" w14:textId="77777777" w:rsidR="005E3EE9" w:rsidRDefault="005E3EE9" w:rsidP="005E3EE9">
            <w:pPr>
              <w:jc w:val="both"/>
              <w:rPr>
                <w:sz w:val="24"/>
                <w:szCs w:val="24"/>
              </w:rPr>
            </w:pPr>
            <w:r w:rsidRPr="005E3EE9">
              <w:rPr>
                <w:sz w:val="24"/>
                <w:szCs w:val="24"/>
              </w:rPr>
              <w:t xml:space="preserve">In addition, relevant to this case is legislation that exists in Wales but not England, which is the Violence Against Women, Domestic Abuse and Sexual Violence (Wales) Act(VAWDASV, 2015). This act enforces a duty on those working with adults to ‘ask and act’ to proactively identify domestic abuse. This is something that I have become more confident in since qualifying: having those difficult conversations and being confident to be professionally curious. Initially, when I first came to practice, I had worried about seeming ‘nosy’ and not confident in my own observations, and I worried that this may negatively impact my working </w:t>
            </w:r>
            <w:r w:rsidRPr="005E3EE9">
              <w:rPr>
                <w:sz w:val="24"/>
                <w:szCs w:val="24"/>
              </w:rPr>
              <w:lastRenderedPageBreak/>
              <w:t>relationship with those I am supporting. However, with SU1, I feel that whilst initially my curiosity and questions ‘asking’ about things I was aware of and enquiring whether there were concerns around domestic abuse, it has strengthened our working relationship in the long run, and I have got to a point now that SU1 can speak openly with me about the abuse they experienced from their husband. Professional curiosity has been recognised within children’s safeguarding for many years, and my Local Authority offers robust training around it for practitioners working with children; I have carried it into adult services.</w:t>
            </w:r>
          </w:p>
          <w:p w14:paraId="62AEF82D" w14:textId="77777777" w:rsidR="005E3EE9" w:rsidRPr="005E3EE9" w:rsidRDefault="005E3EE9" w:rsidP="005E3EE9">
            <w:pPr>
              <w:jc w:val="both"/>
              <w:rPr>
                <w:sz w:val="24"/>
                <w:szCs w:val="24"/>
              </w:rPr>
            </w:pPr>
          </w:p>
          <w:p w14:paraId="4FCCD6B3" w14:textId="77777777" w:rsidR="005E3EE9" w:rsidRDefault="005E3EE9" w:rsidP="005E3EE9">
            <w:pPr>
              <w:jc w:val="both"/>
              <w:rPr>
                <w:sz w:val="24"/>
                <w:szCs w:val="24"/>
              </w:rPr>
            </w:pPr>
            <w:r w:rsidRPr="005E3EE9">
              <w:rPr>
                <w:sz w:val="24"/>
                <w:szCs w:val="24"/>
              </w:rPr>
              <w:t>When considering the “so what?”, particularly in relation to assessing and developing SU1’s care plan to support hospital discharge, careful analysis was required due to the complexity of their presentation. A critical issue in terms of assessment was differentiating between</w:t>
            </w:r>
            <w:r w:rsidRPr="005E3EE9">
              <w:rPr>
                <w:b/>
                <w:bCs/>
                <w:sz w:val="24"/>
                <w:szCs w:val="24"/>
              </w:rPr>
              <w:t xml:space="preserve"> </w:t>
            </w:r>
            <w:r w:rsidRPr="005E3EE9">
              <w:rPr>
                <w:sz w:val="24"/>
                <w:szCs w:val="24"/>
              </w:rPr>
              <w:t>risk-taking and behaviour driven by their mental health, and how to risk manage this. The MCA (2005) emphasises that individuals have the right to make decisions that professionals may consider unwise, without presuming a lack of capacity. Due to SU1’s diagnosis of a personality disorder, the consultant had confirmed that psychosocial factors will likely impact SU1’s moods throughout their life, and suicidal ideation will likely factor during these times. And as such, the MHA (1983) was not felt to be the correct framework at this particular time, especially given that SU1 is no longer presenting with suicidal ideation. This may need to be considered in the future; however, SU1 is likely to meet the criteria during times of crisis. I am mindful that fluctuating capacity may be at play. SU1’s ability to make informed decisions may vary depending on their mental state, requiring continuous reassessment. This aligns with guidance that capacity is both decision-specific and time-specific as noted within the MCA (2005). Another challenge I found when working with mental health professionals was potentially risk normalisation or differing thresholds to my own. Reflecting on my practice, I recognise that maintaining professional curiosity was essential, and that I should advocate for SU1 to get the right kind of support from services that, in my experience and my colleagues', can easily be placed back onto social care to manage.</w:t>
            </w:r>
          </w:p>
          <w:p w14:paraId="75EB457B" w14:textId="77777777" w:rsidR="005E3EE9" w:rsidRPr="005E3EE9" w:rsidRDefault="005E3EE9" w:rsidP="005E3EE9">
            <w:pPr>
              <w:jc w:val="both"/>
              <w:rPr>
                <w:sz w:val="24"/>
                <w:szCs w:val="24"/>
              </w:rPr>
            </w:pPr>
          </w:p>
          <w:p w14:paraId="005570F1" w14:textId="77777777" w:rsidR="005E3EE9" w:rsidRDefault="005E3EE9" w:rsidP="005E3EE9">
            <w:pPr>
              <w:jc w:val="both"/>
              <w:rPr>
                <w:sz w:val="24"/>
                <w:szCs w:val="24"/>
              </w:rPr>
            </w:pPr>
            <w:r w:rsidRPr="005E3EE9">
              <w:rPr>
                <w:sz w:val="24"/>
                <w:szCs w:val="24"/>
              </w:rPr>
              <w:t>During the process of care planning, I needed to be mindful to think of SU1 as a whole person, or holistically, and not just the element that alarmed me most and how to manage that, but also the other potential unmet needs and how meeting these would support the mental health element. This will not eliminate the risk of self-harm and suicide; however, I hope long term it will reduce these risks for SU1. I found reflection with peers and using theories to understand better SU1 really helpful in doing this.</w:t>
            </w:r>
          </w:p>
          <w:p w14:paraId="28282405" w14:textId="77777777" w:rsidR="005E3EE9" w:rsidRPr="005E3EE9" w:rsidRDefault="005E3EE9" w:rsidP="005E3EE9">
            <w:pPr>
              <w:jc w:val="both"/>
              <w:rPr>
                <w:sz w:val="24"/>
                <w:szCs w:val="24"/>
              </w:rPr>
            </w:pPr>
          </w:p>
          <w:p w14:paraId="68DA6DD8" w14:textId="77777777" w:rsidR="005E3EE9" w:rsidRDefault="005E3EE9" w:rsidP="005E3EE9">
            <w:pPr>
              <w:jc w:val="both"/>
              <w:rPr>
                <w:sz w:val="24"/>
                <w:szCs w:val="24"/>
              </w:rPr>
            </w:pPr>
            <w:r w:rsidRPr="005E3EE9">
              <w:rPr>
                <w:sz w:val="24"/>
                <w:szCs w:val="24"/>
              </w:rPr>
              <w:t xml:space="preserve">The first theory I considered in relation to SU1 was the Attachment theory (Bowlby, 1969) cited within Simply Psychology (2026), which provided a valuable framework for understanding SU1’s relational patterns. I know that SU1 had a complex relationship with their parents, and their child was removed from their care and placed with SU1’s parents. From her attachment to the abusive husband and comments around previous relationships with abusive men, I hypothesised that SU1 presented with anxious or disorganised attachment styles, characterised by a fear of abandonment and difficulty regulating emotions. SU1 very quickly seemed to move on from being adamant about returning to the unsafe environment of home to quickly wanting to move to an area where another individual on the ward I was supporting may be moving to (SU2). Health Board safeguarding became involved, as the ward had to submit a Datix about SU1 pursuing SU2. It became clear that SU1 had formed what she </w:t>
            </w:r>
            <w:r w:rsidRPr="005E3EE9">
              <w:rPr>
                <w:sz w:val="24"/>
                <w:szCs w:val="24"/>
              </w:rPr>
              <w:lastRenderedPageBreak/>
              <w:t xml:space="preserve">believed was a strong attachment to SU2, which was not reciprocated in reality, but to her it was. This caused a conflict for me, as SU2 stated his discomfort with this. As a result, I needed to move forward with plans to discharge SU2 from the hospital sooner than planned, while also considering the impact this would have on SU1’s emotional well-being as well as SU2’s also. </w:t>
            </w:r>
          </w:p>
          <w:p w14:paraId="20379594" w14:textId="77777777" w:rsidR="005E3EE9" w:rsidRPr="005E3EE9" w:rsidRDefault="005E3EE9" w:rsidP="005E3EE9">
            <w:pPr>
              <w:jc w:val="both"/>
              <w:rPr>
                <w:sz w:val="24"/>
                <w:szCs w:val="24"/>
              </w:rPr>
            </w:pPr>
          </w:p>
          <w:p w14:paraId="1EB4DC53" w14:textId="1EC7A0EF" w:rsidR="005E3EE9" w:rsidRDefault="005E3EE9" w:rsidP="005E3EE9">
            <w:pPr>
              <w:jc w:val="both"/>
              <w:rPr>
                <w:sz w:val="24"/>
                <w:szCs w:val="24"/>
              </w:rPr>
            </w:pPr>
            <w:r w:rsidRPr="005E3EE9">
              <w:rPr>
                <w:sz w:val="24"/>
                <w:szCs w:val="24"/>
              </w:rPr>
              <w:t>Considering attachment theory helps me better understand SU1’s relationship patterns and plan for future placement opportunities. As such, I am mindful of</w:t>
            </w:r>
            <w:r>
              <w:rPr>
                <w:sz w:val="24"/>
                <w:szCs w:val="24"/>
              </w:rPr>
              <w:t xml:space="preserve"> </w:t>
            </w:r>
            <w:r w:rsidRPr="005E3EE9">
              <w:rPr>
                <w:sz w:val="24"/>
                <w:szCs w:val="24"/>
              </w:rPr>
              <w:t xml:space="preserve">when </w:t>
            </w:r>
            <w:r>
              <w:rPr>
                <w:sz w:val="24"/>
                <w:szCs w:val="24"/>
              </w:rPr>
              <w:t>matching</w:t>
            </w:r>
            <w:r w:rsidRPr="005E3EE9">
              <w:rPr>
                <w:sz w:val="24"/>
                <w:szCs w:val="24"/>
              </w:rPr>
              <w:t xml:space="preserve"> placements with other service users to minimise the risk of SU1 being placed alongside others she may form an attachment to in an unhealthy way. But it has also made me more mindful of my professional relationship with SU1 and to try to balance their dependence on me, and I will be careful coming toward a point of closure so that they do not feel abandoned by me. One limitation of this theory, however, is that it attributes behaviours to early experiences, so I had to ensure I considered SU1’s wider environment in context, in addition to this.</w:t>
            </w:r>
          </w:p>
          <w:p w14:paraId="0309CADA" w14:textId="77777777" w:rsidR="005E3EE9" w:rsidRPr="005E3EE9" w:rsidRDefault="005E3EE9" w:rsidP="005E3EE9">
            <w:pPr>
              <w:jc w:val="both"/>
              <w:rPr>
                <w:sz w:val="24"/>
                <w:szCs w:val="24"/>
              </w:rPr>
            </w:pPr>
          </w:p>
          <w:p w14:paraId="1B7530C0" w14:textId="77777777" w:rsidR="005E3EE9" w:rsidRDefault="005E3EE9" w:rsidP="005E3EE9">
            <w:pPr>
              <w:jc w:val="both"/>
              <w:rPr>
                <w:sz w:val="24"/>
                <w:szCs w:val="24"/>
              </w:rPr>
            </w:pPr>
            <w:r w:rsidRPr="005E3EE9">
              <w:rPr>
                <w:sz w:val="24"/>
                <w:szCs w:val="24"/>
              </w:rPr>
              <w:t>The second theory I considered was crisis intervention theory (Caplan, 1964), cited in Cognitive Psychology (n.d.), which gives a framework for supporting individuals experiencing acute psychological distress to stabilise them. Immediate priorities to improve SU1’s safety, given the recent suicide attempts and ongoing risk behaviours, have included the implementation of restrictions via a DoLS framework and intensive observation, regular medication reviews, visits from the mental health crisis team for review and the prescription of medication, as well as emotional support from myself, P1 and the ward staff. All of the crisis intervention also feeds into the care planning that I and P1 are jointly working on, searching for appropriate placements and determining support from both a social care and medical perspective, with the hopes that what is happening now will lay the groundwork for longer-term therapeutic engagement. The theory also notes the importance of a trusting working relationship and rapport. Despite the restrictions and irritation of SU1at times of crisis, both I and P1 continue to work hard to maintain the positive working relationship with SU1. Being open, honest, and transparent goes a long way.</w:t>
            </w:r>
          </w:p>
          <w:p w14:paraId="65F96427" w14:textId="77777777" w:rsidR="005E3EE9" w:rsidRPr="005E3EE9" w:rsidRDefault="005E3EE9" w:rsidP="005E3EE9">
            <w:pPr>
              <w:jc w:val="both"/>
              <w:rPr>
                <w:sz w:val="24"/>
                <w:szCs w:val="24"/>
              </w:rPr>
            </w:pPr>
          </w:p>
          <w:p w14:paraId="79DBEBFF" w14:textId="77777777" w:rsidR="005E3EE9" w:rsidRDefault="005E3EE9" w:rsidP="005E3EE9">
            <w:pPr>
              <w:jc w:val="both"/>
              <w:rPr>
                <w:sz w:val="24"/>
                <w:szCs w:val="24"/>
              </w:rPr>
            </w:pPr>
            <w:r w:rsidRPr="005E3EE9">
              <w:rPr>
                <w:sz w:val="24"/>
                <w:szCs w:val="24"/>
              </w:rPr>
              <w:t xml:space="preserve">A multi-agency and collaborative approach with mental health services and the hospital has been central to supporting SU1’s complex needs. Working alongside P1 and the Community Mental Health Team allowed for a more holistic approach, combining social and clinical perspectives. It improved risk assessment, shared responsibility, shared expertise, and continuity of care for SU1. However, there were also some challenges. Sometimes my priorities did not align with P1’s, as she is involved specifically around mental health, whereas I have a broader oversight. In addition, SU1 is medically fit for discharge; however, due to SU1’s complexities and risks, finding a placement suitable for SU1’s needs is challenging.  This is causing some tension from the medical staff on the ward, who don’t often work within this process and don’t fully understand the lengthy process, as well as the discharge team within the hospital. Communication can also sometimes be inconsistent, particularly during crises, with the ward not reporting four overdoses within three weeks, despite me visiting the ward during this time. This aligns with research suggesting that poor information sharing remains a barrier to safeguarding, despite being identified as a key issue in Laming's report (Laming, 2003). Within Wales, multi-agency working is a key principle of the SSWB(W)A (2014), and I feel that for the most part this has worked well for SU1, especially </w:t>
            </w:r>
            <w:r w:rsidRPr="005E3EE9">
              <w:rPr>
                <w:sz w:val="24"/>
                <w:szCs w:val="24"/>
              </w:rPr>
              <w:lastRenderedPageBreak/>
              <w:t>given the large number of professionals involved. Most importantly, I think this is due to the good working relationship between P1 and me, and our shared understanding, effective communication, and clear roles.</w:t>
            </w:r>
          </w:p>
          <w:p w14:paraId="0F067CB1" w14:textId="77777777" w:rsidR="005E3EE9" w:rsidRPr="005E3EE9" w:rsidRDefault="005E3EE9" w:rsidP="005E3EE9">
            <w:pPr>
              <w:jc w:val="both"/>
              <w:rPr>
                <w:sz w:val="24"/>
                <w:szCs w:val="24"/>
              </w:rPr>
            </w:pPr>
          </w:p>
          <w:p w14:paraId="04F982F6" w14:textId="77777777" w:rsidR="005E3EE9" w:rsidRDefault="005E3EE9" w:rsidP="005E3EE9">
            <w:pPr>
              <w:jc w:val="both"/>
              <w:rPr>
                <w:sz w:val="24"/>
                <w:szCs w:val="24"/>
              </w:rPr>
            </w:pPr>
            <w:r w:rsidRPr="005E3EE9">
              <w:rPr>
                <w:sz w:val="24"/>
                <w:szCs w:val="24"/>
              </w:rPr>
              <w:t>Professional judgement was central in balancing SU1’s right to make their own decisions with my duty to protect them from harm. I found SU1’s wish to return to an abusive environment challenging, particularly given the ongoing risks of abuse, self-harm and repeated hospital admissions. However, I recognised that under the MCA (2005), a person with capacity has the right to make decisions others may consider to be unwise, and at that time I believed her to have capacity.</w:t>
            </w:r>
          </w:p>
          <w:p w14:paraId="43A295F1" w14:textId="77777777" w:rsidR="005E3EE9" w:rsidRPr="005E3EE9" w:rsidRDefault="005E3EE9" w:rsidP="005E3EE9">
            <w:pPr>
              <w:jc w:val="both"/>
              <w:rPr>
                <w:sz w:val="24"/>
                <w:szCs w:val="24"/>
              </w:rPr>
            </w:pPr>
          </w:p>
          <w:p w14:paraId="7321CB71" w14:textId="77777777" w:rsidR="005E3EE9" w:rsidRDefault="005E3EE9" w:rsidP="005E3EE9">
            <w:pPr>
              <w:jc w:val="both"/>
              <w:rPr>
                <w:sz w:val="24"/>
                <w:szCs w:val="24"/>
              </w:rPr>
            </w:pPr>
            <w:r w:rsidRPr="005E3EE9">
              <w:rPr>
                <w:sz w:val="24"/>
                <w:szCs w:val="24"/>
              </w:rPr>
              <w:t>On reflection, my background in children’s services may have influenced my initial response, as abuse would typically prompt greater statutory intervention. I also had limited experience working with someone who had made multiple suicide attempts, which heightened my emotional response to the risks involved. This reinforced the importance of self-awareness, supervision and multi-agency working to ensure my decisions remained objective and evidence-based.</w:t>
            </w:r>
          </w:p>
          <w:p w14:paraId="68F749F3" w14:textId="77777777" w:rsidR="005E3EE9" w:rsidRPr="005E3EE9" w:rsidRDefault="005E3EE9" w:rsidP="005E3EE9">
            <w:pPr>
              <w:jc w:val="both"/>
              <w:rPr>
                <w:sz w:val="24"/>
                <w:szCs w:val="24"/>
              </w:rPr>
            </w:pPr>
          </w:p>
          <w:p w14:paraId="7286911A" w14:textId="77777777" w:rsidR="005E3EE9" w:rsidRDefault="005E3EE9" w:rsidP="005E3EE9">
            <w:pPr>
              <w:jc w:val="both"/>
              <w:rPr>
                <w:sz w:val="24"/>
                <w:szCs w:val="24"/>
              </w:rPr>
            </w:pPr>
            <w:r w:rsidRPr="005E3EE9">
              <w:rPr>
                <w:sz w:val="24"/>
                <w:szCs w:val="24"/>
              </w:rPr>
              <w:t>This experience highlighted to me that professional judgement underpins decision-making by helping practitioners balance risk, autonomy and legal duties. It also demonstrated the importance of recognising personal biases and ensuring decisions are guided by legislation, professional values and the individual’s rights rather than personal views about the outcomes. I particularly found supervision and talking with colleagues helpful for reflection.</w:t>
            </w:r>
          </w:p>
          <w:p w14:paraId="72B3E968" w14:textId="77777777" w:rsidR="005E3EE9" w:rsidRPr="005E3EE9" w:rsidRDefault="005E3EE9" w:rsidP="005E3EE9">
            <w:pPr>
              <w:jc w:val="both"/>
              <w:rPr>
                <w:sz w:val="24"/>
                <w:szCs w:val="24"/>
              </w:rPr>
            </w:pPr>
          </w:p>
          <w:p w14:paraId="2F7997BE" w14:textId="77777777" w:rsidR="005E3EE9" w:rsidRDefault="005E3EE9" w:rsidP="005E3EE9">
            <w:pPr>
              <w:jc w:val="both"/>
              <w:rPr>
                <w:sz w:val="24"/>
                <w:szCs w:val="24"/>
              </w:rPr>
            </w:pPr>
            <w:r w:rsidRPr="005E3EE9">
              <w:rPr>
                <w:sz w:val="24"/>
                <w:szCs w:val="24"/>
              </w:rPr>
              <w:t>In regard to the “now what?” element, I have reflected on my future learning and development. I feel as though this case has significantly influenced my professional development; particularly being new to working within the adult context, the complexities with SU1 have given me experience in many areas so far. I have developed greater confidence in undertaking risk assessments, the application of adult legislation and multi-agency working. In particular, I have gained confidence in sharing my own views within a multi-disciplinary environment, despite being new to the role. This was a particular challenge, bringing up my views around querying SU1’s capacity with mental health professionals who have worked with them far longer than I have, and who would know the legislation better than I do, as well as SU1.</w:t>
            </w:r>
          </w:p>
          <w:p w14:paraId="2FD99790" w14:textId="77777777" w:rsidR="005E3EE9" w:rsidRPr="005E3EE9" w:rsidRDefault="005E3EE9" w:rsidP="005E3EE9">
            <w:pPr>
              <w:jc w:val="both"/>
              <w:rPr>
                <w:sz w:val="24"/>
                <w:szCs w:val="24"/>
              </w:rPr>
            </w:pPr>
          </w:p>
          <w:p w14:paraId="66BF3341" w14:textId="77777777" w:rsidR="005E3EE9" w:rsidRDefault="005E3EE9" w:rsidP="005E3EE9">
            <w:pPr>
              <w:jc w:val="both"/>
              <w:rPr>
                <w:sz w:val="24"/>
                <w:szCs w:val="24"/>
              </w:rPr>
            </w:pPr>
            <w:r w:rsidRPr="005E3EE9">
              <w:rPr>
                <w:sz w:val="24"/>
                <w:szCs w:val="24"/>
              </w:rPr>
              <w:t>However, I recognise that I have much more to learn. While I am better at understanding where to question or rebut capacity, the causative nexus is something I know I need to understand better. To date, I have observed an MCA assessor complete a capacity assessment on SU1, had an in-depth discussion with them after the assessment, and had the opportunity to ask questions to support my learning. The MHA (1983) is also a piece of legislation I need to better understand, and how it applies alongside other legislation. More generally, I also recognise that I need to research more theories to aid critical reflection in regard to adults, as those I naturally go to are ones I used throughout children’s services, so may not be the best to apply, as well as the need to reflect more regularly. In the future, I will focus on balancing autonomy and protection more effectively and strengthening preventative approaches.</w:t>
            </w:r>
          </w:p>
          <w:p w14:paraId="44549BB6" w14:textId="77777777" w:rsidR="005E3EE9" w:rsidRPr="005E3EE9" w:rsidRDefault="005E3EE9" w:rsidP="005E3EE9">
            <w:pPr>
              <w:jc w:val="both"/>
              <w:rPr>
                <w:sz w:val="24"/>
                <w:szCs w:val="24"/>
              </w:rPr>
            </w:pPr>
          </w:p>
          <w:p w14:paraId="501E3FA5" w14:textId="77777777" w:rsidR="005E3EE9" w:rsidRDefault="005E3EE9" w:rsidP="005E3EE9">
            <w:pPr>
              <w:jc w:val="both"/>
              <w:rPr>
                <w:sz w:val="24"/>
                <w:szCs w:val="24"/>
              </w:rPr>
            </w:pPr>
            <w:r w:rsidRPr="005E3EE9">
              <w:rPr>
                <w:sz w:val="24"/>
                <w:szCs w:val="24"/>
              </w:rPr>
              <w:lastRenderedPageBreak/>
              <w:t>Within the Welsh context, social workers must work in accordance with the SSWB(W)A (2014), which promotes well-being, voice and control, and person-centred practice. It also emphasises the importance of meeting eligible needs in the least restrictive environment while promoting independence and safeguarding individuals from harm. For SU1, balancing these principles against the ongoing risk to life and safety was particularly challenging, as detailed above.</w:t>
            </w:r>
          </w:p>
          <w:p w14:paraId="259A5624" w14:textId="77777777" w:rsidR="005E3EE9" w:rsidRPr="005E3EE9" w:rsidRDefault="005E3EE9" w:rsidP="005E3EE9">
            <w:pPr>
              <w:jc w:val="both"/>
              <w:rPr>
                <w:sz w:val="24"/>
                <w:szCs w:val="24"/>
              </w:rPr>
            </w:pPr>
          </w:p>
          <w:p w14:paraId="337C8086" w14:textId="77777777" w:rsidR="005E3EE9" w:rsidRPr="005E3EE9" w:rsidRDefault="005E3EE9" w:rsidP="005E3EE9">
            <w:pPr>
              <w:jc w:val="both"/>
              <w:rPr>
                <w:sz w:val="24"/>
                <w:szCs w:val="24"/>
              </w:rPr>
            </w:pPr>
            <w:r w:rsidRPr="005E3EE9">
              <w:rPr>
                <w:sz w:val="24"/>
                <w:szCs w:val="24"/>
              </w:rPr>
              <w:t>Another challenge was the rurality and types of placements within my Local Authority area. Many of the placement opportunities were for older people, with a large population of the older generation in the area, or some were for those with learning disabilities. Still, there are not many options in the county to support mental health needs. The only two suitable placements with a void were unsuitable for matching. This resulted in ongoing out-of-county placement searches, generally at higher cost. And whilst SU1 does not mind this, it is not their first option.</w:t>
            </w:r>
          </w:p>
          <w:p w14:paraId="4A5B5784" w14:textId="77777777" w:rsidR="005E3EE9" w:rsidRDefault="005E3EE9" w:rsidP="005E3EE9">
            <w:pPr>
              <w:jc w:val="both"/>
              <w:rPr>
                <w:sz w:val="24"/>
                <w:szCs w:val="24"/>
              </w:rPr>
            </w:pPr>
            <w:r w:rsidRPr="005E3EE9">
              <w:rPr>
                <w:sz w:val="24"/>
                <w:szCs w:val="24"/>
              </w:rPr>
              <w:t>Another challenge has been in relation to funding responsibility. Although I consider SU1's primary need to be mental health, securing health funding for a specialist placement is proving to be complex. Health and social care agencies hold differing views regarding whether SU1's needs met the threshold for health-funded care, resulting in delays and uncertainty during the ongoing placement search.</w:t>
            </w:r>
          </w:p>
          <w:p w14:paraId="7BC54DB2" w14:textId="77777777" w:rsidR="005E3EE9" w:rsidRPr="005E3EE9" w:rsidRDefault="005E3EE9" w:rsidP="005E3EE9">
            <w:pPr>
              <w:jc w:val="both"/>
              <w:rPr>
                <w:sz w:val="24"/>
                <w:szCs w:val="24"/>
              </w:rPr>
            </w:pPr>
          </w:p>
          <w:p w14:paraId="2D393DB1" w14:textId="77777777" w:rsidR="005E3EE9" w:rsidRDefault="005E3EE9" w:rsidP="005E3EE9">
            <w:pPr>
              <w:jc w:val="both"/>
              <w:rPr>
                <w:sz w:val="24"/>
                <w:szCs w:val="24"/>
              </w:rPr>
            </w:pPr>
            <w:r w:rsidRPr="005E3EE9">
              <w:rPr>
                <w:sz w:val="24"/>
                <w:szCs w:val="24"/>
              </w:rPr>
              <w:t>This situation shows the challenges faced by Welsh local authorities, particularly those serving rural communities where there is limited local provision, high-risk presentations, and complexities surrounding health and social care funding which can create barriers to timely placement arrangements.</w:t>
            </w:r>
          </w:p>
          <w:p w14:paraId="62ED4FAA" w14:textId="77777777" w:rsidR="005E3EE9" w:rsidRPr="005E3EE9" w:rsidRDefault="005E3EE9" w:rsidP="005E3EE9">
            <w:pPr>
              <w:jc w:val="both"/>
              <w:rPr>
                <w:sz w:val="24"/>
                <w:szCs w:val="24"/>
              </w:rPr>
            </w:pPr>
          </w:p>
          <w:p w14:paraId="080087DF" w14:textId="77777777" w:rsidR="005E3EE9" w:rsidRPr="005E3EE9" w:rsidRDefault="005E3EE9" w:rsidP="005E3EE9">
            <w:pPr>
              <w:jc w:val="both"/>
              <w:rPr>
                <w:sz w:val="24"/>
                <w:szCs w:val="24"/>
              </w:rPr>
            </w:pPr>
            <w:r w:rsidRPr="005E3EE9">
              <w:rPr>
                <w:sz w:val="24"/>
                <w:szCs w:val="24"/>
              </w:rPr>
              <w:t>In conclusion, this essay has demonstrated the complexity of safeguarding in adults where mental health is involved. It has highlighted the importance of integrating legislation, theory and professional judgement within a Welsh context. Ultimately, safeguarding is not about eliminating risk, but about supporting individuals to live meaningful lives while managing risk.</w:t>
            </w:r>
          </w:p>
          <w:p w14:paraId="247A410B" w14:textId="77777777" w:rsidR="005E3EE9" w:rsidRPr="005E3EE9" w:rsidRDefault="005E3EE9" w:rsidP="00FF7EBB">
            <w:pPr>
              <w:jc w:val="both"/>
              <w:rPr>
                <w:sz w:val="24"/>
                <w:szCs w:val="24"/>
              </w:rPr>
            </w:pPr>
          </w:p>
          <w:p w14:paraId="218C27EC" w14:textId="6C3B8E3E" w:rsidR="005E3EE9" w:rsidRPr="005E3EE9" w:rsidRDefault="005E3EE9" w:rsidP="00FF7EBB">
            <w:pPr>
              <w:jc w:val="both"/>
              <w:rPr>
                <w:sz w:val="24"/>
                <w:szCs w:val="24"/>
              </w:rPr>
            </w:pPr>
            <w:r w:rsidRPr="005E3EE9">
              <w:rPr>
                <w:sz w:val="24"/>
                <w:szCs w:val="24"/>
              </w:rPr>
              <w:t xml:space="preserve">Word Count: </w:t>
            </w:r>
            <w:r>
              <w:rPr>
                <w:sz w:val="24"/>
                <w:szCs w:val="24"/>
              </w:rPr>
              <w:t>4017</w:t>
            </w:r>
          </w:p>
          <w:p w14:paraId="1225D23D" w14:textId="4FFF3138" w:rsidR="00D3203C" w:rsidRPr="005E3EE9" w:rsidRDefault="00D3203C" w:rsidP="00FF7EBB">
            <w:pPr>
              <w:jc w:val="both"/>
              <w:rPr>
                <w:sz w:val="24"/>
                <w:szCs w:val="24"/>
              </w:rPr>
            </w:pPr>
          </w:p>
          <w:p w14:paraId="0C1020FE" w14:textId="61CE561C" w:rsidR="00D3203C" w:rsidRPr="005E3EE9" w:rsidRDefault="00D3203C" w:rsidP="00FF7EBB">
            <w:pPr>
              <w:jc w:val="both"/>
              <w:rPr>
                <w:sz w:val="24"/>
                <w:szCs w:val="24"/>
              </w:rPr>
            </w:pPr>
          </w:p>
          <w:p w14:paraId="43CA65F6" w14:textId="46B65686" w:rsidR="00D3203C" w:rsidRPr="005E3EE9" w:rsidRDefault="00D3203C" w:rsidP="00FF7EBB">
            <w:pPr>
              <w:jc w:val="both"/>
              <w:rPr>
                <w:sz w:val="24"/>
                <w:szCs w:val="24"/>
              </w:rPr>
            </w:pPr>
          </w:p>
          <w:p w14:paraId="5C222972" w14:textId="259CE14B" w:rsidR="00D3203C" w:rsidRPr="005E3EE9" w:rsidRDefault="00D3203C" w:rsidP="00FF7EBB">
            <w:pPr>
              <w:jc w:val="both"/>
              <w:rPr>
                <w:sz w:val="24"/>
                <w:szCs w:val="24"/>
              </w:rPr>
            </w:pPr>
          </w:p>
          <w:p w14:paraId="0E7BBCC9" w14:textId="77777777" w:rsidR="00D3203C" w:rsidRPr="005E3EE9" w:rsidRDefault="00D3203C" w:rsidP="00FF7EBB">
            <w:pPr>
              <w:jc w:val="both"/>
              <w:rPr>
                <w:sz w:val="24"/>
                <w:szCs w:val="24"/>
              </w:rPr>
            </w:pPr>
          </w:p>
          <w:p w14:paraId="47F21B6A" w14:textId="007FFCCE" w:rsidR="007A628F" w:rsidRPr="005E3EE9" w:rsidRDefault="007A628F" w:rsidP="00FF7EBB">
            <w:pPr>
              <w:jc w:val="both"/>
              <w:rPr>
                <w:sz w:val="24"/>
                <w:szCs w:val="24"/>
              </w:rPr>
            </w:pPr>
          </w:p>
        </w:tc>
      </w:tr>
    </w:tbl>
    <w:p w14:paraId="1B4186EF" w14:textId="77777777" w:rsidR="00D3442D" w:rsidRPr="005E3EE9" w:rsidRDefault="00D3442D" w:rsidP="00D3442D">
      <w:pPr>
        <w:jc w:val="both"/>
        <w:rPr>
          <w:sz w:val="24"/>
          <w:szCs w:val="24"/>
        </w:rPr>
      </w:pPr>
    </w:p>
    <w:p w14:paraId="3BE23FA3" w14:textId="77777777" w:rsidR="00DD31C5" w:rsidRPr="005E3EE9" w:rsidRDefault="00DD31C5" w:rsidP="00064063">
      <w:pPr>
        <w:ind w:firstLine="720"/>
        <w:jc w:val="both"/>
        <w:rPr>
          <w:b/>
          <w:sz w:val="24"/>
          <w:szCs w:val="24"/>
        </w:rPr>
      </w:pPr>
    </w:p>
    <w:p w14:paraId="71B02E9F" w14:textId="77777777" w:rsidR="00DD31C5" w:rsidRPr="005E3EE9" w:rsidRDefault="00DD31C5" w:rsidP="00064063">
      <w:pPr>
        <w:ind w:firstLine="720"/>
        <w:jc w:val="both"/>
        <w:rPr>
          <w:b/>
          <w:sz w:val="24"/>
          <w:szCs w:val="24"/>
        </w:rPr>
      </w:pPr>
    </w:p>
    <w:p w14:paraId="7F4433FA" w14:textId="247A8309" w:rsidR="00CC135E" w:rsidRPr="005E3EE9" w:rsidRDefault="00CC135E" w:rsidP="003B29BC">
      <w:pPr>
        <w:rPr>
          <w:color w:val="auto"/>
          <w:sz w:val="24"/>
          <w:szCs w:val="24"/>
        </w:rPr>
      </w:pPr>
    </w:p>
    <w:sectPr w:rsidR="00CC135E" w:rsidRPr="005E3EE9"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C8E31" w14:textId="77777777" w:rsidR="002F65C1" w:rsidRDefault="002F65C1">
      <w:r>
        <w:separator/>
      </w:r>
    </w:p>
  </w:endnote>
  <w:endnote w:type="continuationSeparator" w:id="0">
    <w:p w14:paraId="42A5A0AD" w14:textId="77777777" w:rsidR="002F65C1" w:rsidRDefault="002F6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26550" w14:textId="77777777" w:rsidR="002F65C1" w:rsidRDefault="002F65C1">
      <w:r>
        <w:separator/>
      </w:r>
    </w:p>
  </w:footnote>
  <w:footnote w:type="continuationSeparator" w:id="0">
    <w:p w14:paraId="0A6CC438" w14:textId="77777777" w:rsidR="002F65C1" w:rsidRDefault="002F65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1FFC"/>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5C1"/>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0B93"/>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1E0A"/>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3EE9"/>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47172"/>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44F"/>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40FE"/>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auren.g1996@hotmai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4119</Words>
  <Characters>23480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Goffin, Lauren</cp:lastModifiedBy>
  <cp:revision>3</cp:revision>
  <cp:lastPrinted>2020-02-11T19:20:00Z</cp:lastPrinted>
  <dcterms:created xsi:type="dcterms:W3CDTF">2026-09-28T18:00:00Z</dcterms:created>
  <dcterms:modified xsi:type="dcterms:W3CDTF">2026-09-29T08:44:00Z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