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508"/>
        <w:gridCol w:w="4508"/>
      </w:tblGrid>
      <w:tr w:rsidR="006D4A1C" w:rsidRPr="006D4A1C" w14:paraId="6E814999" w14:textId="77777777" w:rsidTr="006D4A1C">
        <w:tc>
          <w:tcPr>
            <w:tcW w:w="4508" w:type="dxa"/>
          </w:tcPr>
          <w:p w14:paraId="34F65AB2" w14:textId="4E846F88"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Student Name</w:t>
            </w:r>
          </w:p>
        </w:tc>
        <w:tc>
          <w:tcPr>
            <w:tcW w:w="4508" w:type="dxa"/>
          </w:tcPr>
          <w:p w14:paraId="6A021F8D" w14:textId="6128B7CE"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Uzma Mehtab</w:t>
            </w:r>
          </w:p>
        </w:tc>
      </w:tr>
      <w:tr w:rsidR="006D4A1C" w:rsidRPr="006D4A1C" w14:paraId="5A483136" w14:textId="77777777" w:rsidTr="006D4A1C">
        <w:tc>
          <w:tcPr>
            <w:tcW w:w="4508" w:type="dxa"/>
          </w:tcPr>
          <w:p w14:paraId="70F16991" w14:textId="1FE58643"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Student Number</w:t>
            </w:r>
          </w:p>
        </w:tc>
        <w:tc>
          <w:tcPr>
            <w:tcW w:w="4508" w:type="dxa"/>
          </w:tcPr>
          <w:p w14:paraId="786BCA98" w14:textId="36617548"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2330366</w:t>
            </w:r>
          </w:p>
        </w:tc>
      </w:tr>
      <w:tr w:rsidR="006D4A1C" w:rsidRPr="006D4A1C" w14:paraId="733D69AF" w14:textId="77777777" w:rsidTr="006D4A1C">
        <w:tc>
          <w:tcPr>
            <w:tcW w:w="4508" w:type="dxa"/>
          </w:tcPr>
          <w:p w14:paraId="1E94D889" w14:textId="5725F02E"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Module Code</w:t>
            </w:r>
          </w:p>
        </w:tc>
        <w:tc>
          <w:tcPr>
            <w:tcW w:w="4508" w:type="dxa"/>
          </w:tcPr>
          <w:p w14:paraId="4F43B32B" w14:textId="10331EEE"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BMHP5019</w:t>
            </w:r>
          </w:p>
        </w:tc>
      </w:tr>
      <w:tr w:rsidR="006D4A1C" w:rsidRPr="006D4A1C" w14:paraId="7C7726C2" w14:textId="77777777" w:rsidTr="006D4A1C">
        <w:tc>
          <w:tcPr>
            <w:tcW w:w="4508" w:type="dxa"/>
          </w:tcPr>
          <w:p w14:paraId="160C6273" w14:textId="76A28F2E"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Module Name</w:t>
            </w:r>
          </w:p>
        </w:tc>
        <w:tc>
          <w:tcPr>
            <w:tcW w:w="4508" w:type="dxa"/>
          </w:tcPr>
          <w:p w14:paraId="7429A3A0" w14:textId="51A88E4D"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Introduction to independent research skills</w:t>
            </w:r>
          </w:p>
        </w:tc>
      </w:tr>
      <w:tr w:rsidR="006D4A1C" w:rsidRPr="006D4A1C" w14:paraId="2A418586" w14:textId="77777777" w:rsidTr="006D4A1C">
        <w:tc>
          <w:tcPr>
            <w:tcW w:w="4508" w:type="dxa"/>
          </w:tcPr>
          <w:p w14:paraId="0216E76D" w14:textId="67A91D50"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Lecturer</w:t>
            </w:r>
          </w:p>
        </w:tc>
        <w:tc>
          <w:tcPr>
            <w:tcW w:w="4508" w:type="dxa"/>
          </w:tcPr>
          <w:p w14:paraId="43B8F952" w14:textId="23995A13" w:rsidR="006D4A1C" w:rsidRPr="006D4A1C" w:rsidRDefault="006D4A1C" w:rsidP="00E57726">
            <w:pPr>
              <w:spacing w:before="100" w:beforeAutospacing="1" w:after="100" w:afterAutospacing="1"/>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Dr Ayaz Safi</w:t>
            </w:r>
          </w:p>
        </w:tc>
      </w:tr>
    </w:tbl>
    <w:p w14:paraId="4C51F33F" w14:textId="23C73DEE" w:rsidR="00E57726" w:rsidRPr="006D4A1C" w:rsidRDefault="00E57726" w:rsidP="00E57726">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Research Proposal: A Scoping Review of Smoking Cessation Interventions in UK Health and Social Care Practice</w:t>
      </w:r>
    </w:p>
    <w:p w14:paraId="7EED9A7D" w14:textId="77777777" w:rsidR="00E57726" w:rsidRPr="006D4A1C" w:rsidRDefault="00E57726" w:rsidP="00E57726">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Topic, Review Question and Objectives</w:t>
      </w:r>
    </w:p>
    <w:p w14:paraId="7C4CAF1C"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Smoking remains one of the leading causes of preventable disease and premature mortality in the UK, placing sustained pressure on health and social care services. This study will focus on smoking cessation interventions delivered within UK health, social care, and digital health settings. </w:t>
      </w:r>
      <w:r w:rsidRPr="006D4A1C">
        <w:rPr>
          <w:rFonts w:ascii="Times New Roman" w:eastAsia="Times New Roman" w:hAnsi="Times New Roman" w:cs="Times New Roman"/>
          <w:i/>
          <w:iCs/>
          <w:kern w:val="0"/>
          <w:lang w:eastAsia="en-GB"/>
          <w14:ligatures w14:val="none"/>
        </w:rPr>
        <w:t>(Office for National Statistics, 2023; Public Health England, 2020)</w:t>
      </w:r>
    </w:p>
    <w:p w14:paraId="24E6AF33"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b/>
          <w:bCs/>
          <w:kern w:val="0"/>
          <w:lang w:eastAsia="en-GB"/>
          <w14:ligatures w14:val="none"/>
        </w:rPr>
        <w:t>Review question:</w:t>
      </w:r>
      <w:r w:rsidRPr="006D4A1C">
        <w:rPr>
          <w:rFonts w:ascii="Times New Roman" w:eastAsia="Times New Roman" w:hAnsi="Times New Roman" w:cs="Times New Roman"/>
          <w:kern w:val="0"/>
          <w:lang w:eastAsia="en-GB"/>
          <w14:ligatures w14:val="none"/>
        </w:rPr>
        <w:br/>
        <w:t xml:space="preserve">What does existing UK-based literature report on the effectiveness, accessibility, and implementation of smoking cessation interventions within health and social care practice? </w:t>
      </w:r>
      <w:r w:rsidRPr="006D4A1C">
        <w:rPr>
          <w:rFonts w:ascii="Times New Roman" w:eastAsia="Times New Roman" w:hAnsi="Times New Roman" w:cs="Times New Roman"/>
          <w:i/>
          <w:iCs/>
          <w:kern w:val="0"/>
          <w:lang w:eastAsia="en-GB"/>
          <w14:ligatures w14:val="none"/>
        </w:rPr>
        <w:t>(</w:t>
      </w:r>
      <w:proofErr w:type="spellStart"/>
      <w:r w:rsidRPr="006D4A1C">
        <w:rPr>
          <w:rFonts w:ascii="Times New Roman" w:eastAsia="Times New Roman" w:hAnsi="Times New Roman" w:cs="Times New Roman"/>
          <w:i/>
          <w:iCs/>
          <w:kern w:val="0"/>
          <w:lang w:eastAsia="en-GB"/>
          <w14:ligatures w14:val="none"/>
        </w:rPr>
        <w:t>Tricco</w:t>
      </w:r>
      <w:proofErr w:type="spellEnd"/>
      <w:r w:rsidRPr="006D4A1C">
        <w:rPr>
          <w:rFonts w:ascii="Times New Roman" w:eastAsia="Times New Roman" w:hAnsi="Times New Roman" w:cs="Times New Roman"/>
          <w:i/>
          <w:iCs/>
          <w:kern w:val="0"/>
          <w:lang w:eastAsia="en-GB"/>
          <w14:ligatures w14:val="none"/>
        </w:rPr>
        <w:t xml:space="preserve"> et al., 2018; Arksey and O’Malley, 2005)</w:t>
      </w:r>
    </w:p>
    <w:p w14:paraId="40DBEBE7"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b/>
          <w:bCs/>
          <w:kern w:val="0"/>
          <w:lang w:eastAsia="en-GB"/>
          <w14:ligatures w14:val="none"/>
        </w:rPr>
        <w:t>Objectives:</w:t>
      </w:r>
    </w:p>
    <w:p w14:paraId="4FF5D57C" w14:textId="77777777" w:rsidR="00E57726" w:rsidRPr="006D4A1C" w:rsidRDefault="00E57726" w:rsidP="00E57726">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To map existing UK research on smoking cessation interventions across health, social care, and digital health contexts. </w:t>
      </w:r>
      <w:r w:rsidRPr="006D4A1C">
        <w:rPr>
          <w:rFonts w:ascii="Times New Roman" w:eastAsia="Times New Roman" w:hAnsi="Times New Roman" w:cs="Times New Roman"/>
          <w:i/>
          <w:iCs/>
          <w:kern w:val="0"/>
          <w:lang w:eastAsia="en-GB"/>
          <w14:ligatures w14:val="none"/>
        </w:rPr>
        <w:t>(Arksey and O’Malley, 2005)</w:t>
      </w:r>
    </w:p>
    <w:p w14:paraId="250BC459" w14:textId="77777777" w:rsidR="00E57726" w:rsidRPr="006D4A1C" w:rsidRDefault="00E57726" w:rsidP="00E57726">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To identify key intervention approaches and delivery settings used to support smoking cessation. </w:t>
      </w:r>
      <w:r w:rsidRPr="006D4A1C">
        <w:rPr>
          <w:rFonts w:ascii="Times New Roman" w:eastAsia="Times New Roman" w:hAnsi="Times New Roman" w:cs="Times New Roman"/>
          <w:i/>
          <w:iCs/>
          <w:kern w:val="0"/>
          <w:lang w:eastAsia="en-GB"/>
          <w14:ligatures w14:val="none"/>
        </w:rPr>
        <w:t>(NHS England, 2019)</w:t>
      </w:r>
    </w:p>
    <w:p w14:paraId="07428802" w14:textId="77777777" w:rsidR="00E57726" w:rsidRPr="006D4A1C" w:rsidRDefault="00E57726" w:rsidP="00E57726">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To identify gaps in the evidence to inform future research priorities and service development. </w:t>
      </w:r>
      <w:r w:rsidRPr="006D4A1C">
        <w:rPr>
          <w:rFonts w:ascii="Times New Roman" w:eastAsia="Times New Roman" w:hAnsi="Times New Roman" w:cs="Times New Roman"/>
          <w:i/>
          <w:iCs/>
          <w:kern w:val="0"/>
          <w:lang w:eastAsia="en-GB"/>
          <w14:ligatures w14:val="none"/>
        </w:rPr>
        <w:t>(</w:t>
      </w:r>
      <w:proofErr w:type="spellStart"/>
      <w:r w:rsidRPr="006D4A1C">
        <w:rPr>
          <w:rFonts w:ascii="Times New Roman" w:eastAsia="Times New Roman" w:hAnsi="Times New Roman" w:cs="Times New Roman"/>
          <w:i/>
          <w:iCs/>
          <w:kern w:val="0"/>
          <w:lang w:eastAsia="en-GB"/>
          <w14:ligatures w14:val="none"/>
        </w:rPr>
        <w:t>Tricco</w:t>
      </w:r>
      <w:proofErr w:type="spellEnd"/>
      <w:r w:rsidRPr="006D4A1C">
        <w:rPr>
          <w:rFonts w:ascii="Times New Roman" w:eastAsia="Times New Roman" w:hAnsi="Times New Roman" w:cs="Times New Roman"/>
          <w:i/>
          <w:iCs/>
          <w:kern w:val="0"/>
          <w:lang w:eastAsia="en-GB"/>
          <w14:ligatures w14:val="none"/>
        </w:rPr>
        <w:t xml:space="preserve"> et al., 2018; Arksey and O’Malley, 2005</w:t>
      </w:r>
    </w:p>
    <w:p w14:paraId="4A0263CF" w14:textId="310AD2B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b/>
          <w:bCs/>
          <w:kern w:val="0"/>
          <w:lang w:eastAsia="en-GB"/>
          <w14:ligatures w14:val="none"/>
        </w:rPr>
        <w:t>Rationale</w:t>
      </w:r>
    </w:p>
    <w:p w14:paraId="58BBCD32"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Smoking is responsible for approximately 75,000 deaths annually in the UK and is strongly associated with long-term conditions including cardiovascular disease, cancer, and pulmonary disease. </w:t>
      </w:r>
      <w:r w:rsidRPr="006D4A1C">
        <w:rPr>
          <w:rFonts w:ascii="Times New Roman" w:eastAsia="Times New Roman" w:hAnsi="Times New Roman" w:cs="Times New Roman"/>
          <w:i/>
          <w:iCs/>
          <w:kern w:val="0"/>
          <w:lang w:eastAsia="en-GB"/>
          <w14:ligatures w14:val="none"/>
        </w:rPr>
        <w:t>(Office for National Statistics, 2023; Public Health England, 2020)</w:t>
      </w:r>
    </w:p>
    <w:p w14:paraId="37BBDE91"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Although overall smoking prevalence has declined, inequalities persist, with higher smoking rates among people experiencing socioeconomic disadvantage and among those with mental health conditions. These disparities contribute to avoidable illness and increased demand on NHS and wider care services. </w:t>
      </w:r>
      <w:r w:rsidRPr="006D4A1C">
        <w:rPr>
          <w:rFonts w:ascii="Times New Roman" w:eastAsia="Times New Roman" w:hAnsi="Times New Roman" w:cs="Times New Roman"/>
          <w:i/>
          <w:iCs/>
          <w:kern w:val="0"/>
          <w:lang w:eastAsia="en-GB"/>
          <w14:ligatures w14:val="none"/>
        </w:rPr>
        <w:t>(Marmot et al., 2020)</w:t>
      </w:r>
    </w:p>
    <w:p w14:paraId="3D562DA1"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National policy continues to prioritise smoking cessation as a major public health intervention. The NHS Long Term Plan emphasises expanding stop smoking services and strengthening community-based and digital approaches to support behaviour change. </w:t>
      </w:r>
      <w:r w:rsidRPr="006D4A1C">
        <w:rPr>
          <w:rFonts w:ascii="Times New Roman" w:eastAsia="Times New Roman" w:hAnsi="Times New Roman" w:cs="Times New Roman"/>
          <w:i/>
          <w:iCs/>
          <w:kern w:val="0"/>
          <w:lang w:eastAsia="en-GB"/>
          <w14:ligatures w14:val="none"/>
        </w:rPr>
        <w:t>(NHS England, 2019)</w:t>
      </w:r>
    </w:p>
    <w:p w14:paraId="4CE8CD52" w14:textId="5C0D893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Despite the availability of multiple intervention types—including pharmacotherapy, behavioural support, and digital tools such as text-based services and mobile apps—evidence is dispersed across different service settings and populations. A scoping review is therefore </w:t>
      </w:r>
      <w:r w:rsidRPr="006D4A1C">
        <w:rPr>
          <w:rFonts w:ascii="Times New Roman" w:eastAsia="Times New Roman" w:hAnsi="Times New Roman" w:cs="Times New Roman"/>
          <w:kern w:val="0"/>
          <w:lang w:eastAsia="en-GB"/>
          <w14:ligatures w14:val="none"/>
        </w:rPr>
        <w:lastRenderedPageBreak/>
        <w:t xml:space="preserve">appropriate to map the breadth of UK research, summarise existing practice, and identify where evidence is limited or missing. </w:t>
      </w:r>
      <w:r w:rsidRPr="006D4A1C">
        <w:rPr>
          <w:rFonts w:ascii="Times New Roman" w:eastAsia="Times New Roman" w:hAnsi="Times New Roman" w:cs="Times New Roman"/>
          <w:i/>
          <w:iCs/>
          <w:kern w:val="0"/>
          <w:lang w:eastAsia="en-GB"/>
          <w14:ligatures w14:val="none"/>
        </w:rPr>
        <w:t xml:space="preserve">(Arksey and O’Malley, 2005; </w:t>
      </w:r>
      <w:proofErr w:type="spellStart"/>
      <w:r w:rsidRPr="006D4A1C">
        <w:rPr>
          <w:rFonts w:ascii="Times New Roman" w:eastAsia="Times New Roman" w:hAnsi="Times New Roman" w:cs="Times New Roman"/>
          <w:i/>
          <w:iCs/>
          <w:kern w:val="0"/>
          <w:lang w:eastAsia="en-GB"/>
          <w14:ligatures w14:val="none"/>
        </w:rPr>
        <w:t>Tricco</w:t>
      </w:r>
      <w:proofErr w:type="spellEnd"/>
      <w:r w:rsidRPr="006D4A1C">
        <w:rPr>
          <w:rFonts w:ascii="Times New Roman" w:eastAsia="Times New Roman" w:hAnsi="Times New Roman" w:cs="Times New Roman"/>
          <w:i/>
          <w:iCs/>
          <w:kern w:val="0"/>
          <w:lang w:eastAsia="en-GB"/>
          <w14:ligatures w14:val="none"/>
        </w:rPr>
        <w:t xml:space="preserve"> et al., 2018)</w:t>
      </w:r>
    </w:p>
    <w:p w14:paraId="1A199D4E" w14:textId="77777777" w:rsidR="00E57726" w:rsidRPr="006D4A1C" w:rsidRDefault="00E57726" w:rsidP="00E57726">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Methods</w:t>
      </w:r>
    </w:p>
    <w:p w14:paraId="63B47CFF"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This study will adopt a scoping review methodology guided by Arksey and O’Malley’s framework and reported in line with the PRISMA-</w:t>
      </w:r>
      <w:proofErr w:type="spellStart"/>
      <w:r w:rsidRPr="006D4A1C">
        <w:rPr>
          <w:rFonts w:ascii="Times New Roman" w:eastAsia="Times New Roman" w:hAnsi="Times New Roman" w:cs="Times New Roman"/>
          <w:kern w:val="0"/>
          <w:lang w:eastAsia="en-GB"/>
          <w14:ligatures w14:val="none"/>
        </w:rPr>
        <w:t>ScR</w:t>
      </w:r>
      <w:proofErr w:type="spellEnd"/>
      <w:r w:rsidRPr="006D4A1C">
        <w:rPr>
          <w:rFonts w:ascii="Times New Roman" w:eastAsia="Times New Roman" w:hAnsi="Times New Roman" w:cs="Times New Roman"/>
          <w:kern w:val="0"/>
          <w:lang w:eastAsia="en-GB"/>
          <w14:ligatures w14:val="none"/>
        </w:rPr>
        <w:t xml:space="preserve"> checklist. </w:t>
      </w:r>
      <w:r w:rsidRPr="006D4A1C">
        <w:rPr>
          <w:rFonts w:ascii="Times New Roman" w:eastAsia="Times New Roman" w:hAnsi="Times New Roman" w:cs="Times New Roman"/>
          <w:i/>
          <w:iCs/>
          <w:kern w:val="0"/>
          <w:lang w:eastAsia="en-GB"/>
          <w14:ligatures w14:val="none"/>
        </w:rPr>
        <w:t xml:space="preserve">(Arksey and O’Malley, 2005; </w:t>
      </w:r>
      <w:proofErr w:type="spellStart"/>
      <w:r w:rsidRPr="006D4A1C">
        <w:rPr>
          <w:rFonts w:ascii="Times New Roman" w:eastAsia="Times New Roman" w:hAnsi="Times New Roman" w:cs="Times New Roman"/>
          <w:i/>
          <w:iCs/>
          <w:kern w:val="0"/>
          <w:lang w:eastAsia="en-GB"/>
          <w14:ligatures w14:val="none"/>
        </w:rPr>
        <w:t>Tricco</w:t>
      </w:r>
      <w:proofErr w:type="spellEnd"/>
      <w:r w:rsidRPr="006D4A1C">
        <w:rPr>
          <w:rFonts w:ascii="Times New Roman" w:eastAsia="Times New Roman" w:hAnsi="Times New Roman" w:cs="Times New Roman"/>
          <w:i/>
          <w:iCs/>
          <w:kern w:val="0"/>
          <w:lang w:eastAsia="en-GB"/>
          <w14:ligatures w14:val="none"/>
        </w:rPr>
        <w:t xml:space="preserve"> et al., 2018)</w:t>
      </w:r>
    </w:p>
    <w:p w14:paraId="1E2C1D4D"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Electronic databases including PubMed, CINAHL, Scopus, and Web of Science will be searched to identify relevant UK-based evidence. </w:t>
      </w:r>
      <w:r w:rsidRPr="006D4A1C">
        <w:rPr>
          <w:rFonts w:ascii="Times New Roman" w:eastAsia="Times New Roman" w:hAnsi="Times New Roman" w:cs="Times New Roman"/>
          <w:i/>
          <w:iCs/>
          <w:kern w:val="0"/>
          <w:lang w:eastAsia="en-GB"/>
          <w14:ligatures w14:val="none"/>
        </w:rPr>
        <w:t>(</w:t>
      </w:r>
      <w:proofErr w:type="spellStart"/>
      <w:r w:rsidRPr="006D4A1C">
        <w:rPr>
          <w:rFonts w:ascii="Times New Roman" w:eastAsia="Times New Roman" w:hAnsi="Times New Roman" w:cs="Times New Roman"/>
          <w:i/>
          <w:iCs/>
          <w:kern w:val="0"/>
          <w:lang w:eastAsia="en-GB"/>
          <w14:ligatures w14:val="none"/>
        </w:rPr>
        <w:t>Tricco</w:t>
      </w:r>
      <w:proofErr w:type="spellEnd"/>
      <w:r w:rsidRPr="006D4A1C">
        <w:rPr>
          <w:rFonts w:ascii="Times New Roman" w:eastAsia="Times New Roman" w:hAnsi="Times New Roman" w:cs="Times New Roman"/>
          <w:i/>
          <w:iCs/>
          <w:kern w:val="0"/>
          <w:lang w:eastAsia="en-GB"/>
          <w14:ligatures w14:val="none"/>
        </w:rPr>
        <w:t xml:space="preserve"> et al., 2018)</w:t>
      </w:r>
    </w:p>
    <w:p w14:paraId="75898775" w14:textId="1B392875"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Peer-reviewed studies published within the last five years and focused on UK health, social care, or digital health settings will be included. Extracted data will be charted to identify key themes, intervention types, delivery settings, and gaps in the current evidence base. </w:t>
      </w:r>
      <w:r w:rsidRPr="006D4A1C">
        <w:rPr>
          <w:rFonts w:ascii="Times New Roman" w:eastAsia="Times New Roman" w:hAnsi="Times New Roman" w:cs="Times New Roman"/>
          <w:i/>
          <w:iCs/>
          <w:kern w:val="0"/>
          <w:lang w:eastAsia="en-GB"/>
          <w14:ligatures w14:val="none"/>
        </w:rPr>
        <w:t xml:space="preserve">(Arksey and O’Malley, 2005; </w:t>
      </w:r>
      <w:proofErr w:type="spellStart"/>
      <w:r w:rsidRPr="006D4A1C">
        <w:rPr>
          <w:rFonts w:ascii="Times New Roman" w:eastAsia="Times New Roman" w:hAnsi="Times New Roman" w:cs="Times New Roman"/>
          <w:i/>
          <w:iCs/>
          <w:kern w:val="0"/>
          <w:lang w:eastAsia="en-GB"/>
          <w14:ligatures w14:val="none"/>
        </w:rPr>
        <w:t>Tricco</w:t>
      </w:r>
      <w:proofErr w:type="spellEnd"/>
      <w:r w:rsidRPr="006D4A1C">
        <w:rPr>
          <w:rFonts w:ascii="Times New Roman" w:eastAsia="Times New Roman" w:hAnsi="Times New Roman" w:cs="Times New Roman"/>
          <w:i/>
          <w:iCs/>
          <w:kern w:val="0"/>
          <w:lang w:eastAsia="en-GB"/>
          <w14:ligatures w14:val="none"/>
        </w:rPr>
        <w:t xml:space="preserve"> et al., 2018)</w:t>
      </w:r>
    </w:p>
    <w:p w14:paraId="381E8C37" w14:textId="77777777" w:rsidR="00E57726" w:rsidRPr="006D4A1C" w:rsidRDefault="00E57726" w:rsidP="00E57726">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r w:rsidRPr="006D4A1C">
        <w:rPr>
          <w:rFonts w:ascii="Times New Roman" w:eastAsia="Times New Roman" w:hAnsi="Times New Roman" w:cs="Times New Roman"/>
          <w:b/>
          <w:bCs/>
          <w:kern w:val="0"/>
          <w:lang w:eastAsia="en-GB"/>
          <w14:ligatures w14:val="none"/>
        </w:rPr>
        <w:t>Ethical Considerations</w:t>
      </w:r>
    </w:p>
    <w:p w14:paraId="2F2C4189"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As this study involves secondary analysis of publicly available literature, formal ethical approval is not required. No patient-identifiable data will be accessed, and the review will follow principles of transparency, rigour, and minimisation of bias. </w:t>
      </w:r>
      <w:r w:rsidRPr="006D4A1C">
        <w:rPr>
          <w:rFonts w:ascii="Times New Roman" w:eastAsia="Times New Roman" w:hAnsi="Times New Roman" w:cs="Times New Roman"/>
          <w:i/>
          <w:iCs/>
          <w:kern w:val="0"/>
          <w:lang w:eastAsia="en-GB"/>
          <w14:ligatures w14:val="none"/>
        </w:rPr>
        <w:t>(</w:t>
      </w:r>
      <w:proofErr w:type="spellStart"/>
      <w:r w:rsidRPr="006D4A1C">
        <w:rPr>
          <w:rFonts w:ascii="Times New Roman" w:eastAsia="Times New Roman" w:hAnsi="Times New Roman" w:cs="Times New Roman"/>
          <w:i/>
          <w:iCs/>
          <w:kern w:val="0"/>
          <w:lang w:eastAsia="en-GB"/>
          <w14:ligatures w14:val="none"/>
        </w:rPr>
        <w:t>Tricco</w:t>
      </w:r>
      <w:proofErr w:type="spellEnd"/>
      <w:r w:rsidRPr="006D4A1C">
        <w:rPr>
          <w:rFonts w:ascii="Times New Roman" w:eastAsia="Times New Roman" w:hAnsi="Times New Roman" w:cs="Times New Roman"/>
          <w:i/>
          <w:iCs/>
          <w:kern w:val="0"/>
          <w:lang w:eastAsia="en-GB"/>
          <w14:ligatures w14:val="none"/>
        </w:rPr>
        <w:t xml:space="preserve"> et al., 2018)</w:t>
      </w:r>
    </w:p>
    <w:p w14:paraId="30D19BC0" w14:textId="17EE61D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b/>
          <w:bCs/>
          <w:kern w:val="0"/>
          <w:lang w:eastAsia="en-GB"/>
          <w14:ligatures w14:val="none"/>
        </w:rPr>
        <w:t>Reference List </w:t>
      </w:r>
    </w:p>
    <w:p w14:paraId="7450E7C5"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Arksey, H. and O’Malley, L. (2005) ‘Scoping studies: towards a methodological framework’, </w:t>
      </w:r>
      <w:r w:rsidRPr="006D4A1C">
        <w:rPr>
          <w:rFonts w:ascii="Times New Roman" w:eastAsia="Times New Roman" w:hAnsi="Times New Roman" w:cs="Times New Roman"/>
          <w:i/>
          <w:iCs/>
          <w:kern w:val="0"/>
          <w:lang w:eastAsia="en-GB"/>
          <w14:ligatures w14:val="none"/>
        </w:rPr>
        <w:t>International Journal of Social Research Methodology</w:t>
      </w:r>
      <w:r w:rsidRPr="006D4A1C">
        <w:rPr>
          <w:rFonts w:ascii="Times New Roman" w:eastAsia="Times New Roman" w:hAnsi="Times New Roman" w:cs="Times New Roman"/>
          <w:kern w:val="0"/>
          <w:lang w:eastAsia="en-GB"/>
          <w14:ligatures w14:val="none"/>
        </w:rPr>
        <w:t>, 8(1), pp. 19–32.</w:t>
      </w:r>
    </w:p>
    <w:p w14:paraId="5ED8544B"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Marmot, M., Allen, J., Boyce, T., Goldblatt, P. and Morrison, J. (2020) </w:t>
      </w:r>
      <w:r w:rsidRPr="006D4A1C">
        <w:rPr>
          <w:rFonts w:ascii="Times New Roman" w:eastAsia="Times New Roman" w:hAnsi="Times New Roman" w:cs="Times New Roman"/>
          <w:i/>
          <w:iCs/>
          <w:kern w:val="0"/>
          <w:lang w:eastAsia="en-GB"/>
          <w14:ligatures w14:val="none"/>
        </w:rPr>
        <w:t>Health Equity in England: The Marmot Review 10 Years On</w:t>
      </w:r>
      <w:r w:rsidRPr="006D4A1C">
        <w:rPr>
          <w:rFonts w:ascii="Times New Roman" w:eastAsia="Times New Roman" w:hAnsi="Times New Roman" w:cs="Times New Roman"/>
          <w:kern w:val="0"/>
          <w:lang w:eastAsia="en-GB"/>
          <w14:ligatures w14:val="none"/>
        </w:rPr>
        <w:t>. London: Institute of Health Equity.</w:t>
      </w:r>
    </w:p>
    <w:p w14:paraId="2C26B875"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NHS England (2019) </w:t>
      </w:r>
      <w:r w:rsidRPr="006D4A1C">
        <w:rPr>
          <w:rFonts w:ascii="Times New Roman" w:eastAsia="Times New Roman" w:hAnsi="Times New Roman" w:cs="Times New Roman"/>
          <w:i/>
          <w:iCs/>
          <w:kern w:val="0"/>
          <w:lang w:eastAsia="en-GB"/>
          <w14:ligatures w14:val="none"/>
        </w:rPr>
        <w:t>The NHS Long Term Plan</w:t>
      </w:r>
      <w:r w:rsidRPr="006D4A1C">
        <w:rPr>
          <w:rFonts w:ascii="Times New Roman" w:eastAsia="Times New Roman" w:hAnsi="Times New Roman" w:cs="Times New Roman"/>
          <w:kern w:val="0"/>
          <w:lang w:eastAsia="en-GB"/>
          <w14:ligatures w14:val="none"/>
        </w:rPr>
        <w:t>. London: NHS England.</w:t>
      </w:r>
    </w:p>
    <w:p w14:paraId="647F39F7"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Office for National Statistics (2023) </w:t>
      </w:r>
      <w:r w:rsidRPr="006D4A1C">
        <w:rPr>
          <w:rFonts w:ascii="Times New Roman" w:eastAsia="Times New Roman" w:hAnsi="Times New Roman" w:cs="Times New Roman"/>
          <w:i/>
          <w:iCs/>
          <w:kern w:val="0"/>
          <w:lang w:eastAsia="en-GB"/>
          <w14:ligatures w14:val="none"/>
        </w:rPr>
        <w:t>[Smoking-related mortality / deaths attributable to smoking in the UK]</w:t>
      </w:r>
      <w:r w:rsidRPr="006D4A1C">
        <w:rPr>
          <w:rFonts w:ascii="Times New Roman" w:eastAsia="Times New Roman" w:hAnsi="Times New Roman" w:cs="Times New Roman"/>
          <w:kern w:val="0"/>
          <w:lang w:eastAsia="en-GB"/>
          <w14:ligatures w14:val="none"/>
        </w:rPr>
        <w:t xml:space="preserve">. Newport: ONS. </w:t>
      </w:r>
      <w:r w:rsidRPr="006D4A1C">
        <w:rPr>
          <w:rFonts w:ascii="Times New Roman" w:eastAsia="Times New Roman" w:hAnsi="Times New Roman" w:cs="Times New Roman"/>
          <w:i/>
          <w:iCs/>
          <w:kern w:val="0"/>
          <w:lang w:eastAsia="en-GB"/>
          <w14:ligatures w14:val="none"/>
        </w:rPr>
        <w:t>(Use the exact ONS page/report title you accessed.)</w:t>
      </w:r>
    </w:p>
    <w:p w14:paraId="7FDFB449" w14:textId="77777777" w:rsidR="00E57726" w:rsidRPr="006D4A1C"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6D4A1C">
        <w:rPr>
          <w:rFonts w:ascii="Times New Roman" w:eastAsia="Times New Roman" w:hAnsi="Times New Roman" w:cs="Times New Roman"/>
          <w:kern w:val="0"/>
          <w:lang w:eastAsia="en-GB"/>
          <w14:ligatures w14:val="none"/>
        </w:rPr>
        <w:t xml:space="preserve">Public Health England (2020) </w:t>
      </w:r>
      <w:r w:rsidRPr="006D4A1C">
        <w:rPr>
          <w:rFonts w:ascii="Times New Roman" w:eastAsia="Times New Roman" w:hAnsi="Times New Roman" w:cs="Times New Roman"/>
          <w:i/>
          <w:iCs/>
          <w:kern w:val="0"/>
          <w:lang w:eastAsia="en-GB"/>
          <w14:ligatures w14:val="none"/>
        </w:rPr>
        <w:t>[Smoking and health harms / smoking-related disease burden report]</w:t>
      </w:r>
      <w:r w:rsidRPr="006D4A1C">
        <w:rPr>
          <w:rFonts w:ascii="Times New Roman" w:eastAsia="Times New Roman" w:hAnsi="Times New Roman" w:cs="Times New Roman"/>
          <w:kern w:val="0"/>
          <w:lang w:eastAsia="en-GB"/>
          <w14:ligatures w14:val="none"/>
        </w:rPr>
        <w:t xml:space="preserve">. London: Public Health England. </w:t>
      </w:r>
      <w:r w:rsidRPr="006D4A1C">
        <w:rPr>
          <w:rFonts w:ascii="Times New Roman" w:eastAsia="Times New Roman" w:hAnsi="Times New Roman" w:cs="Times New Roman"/>
          <w:i/>
          <w:iCs/>
          <w:kern w:val="0"/>
          <w:lang w:eastAsia="en-GB"/>
          <w14:ligatures w14:val="none"/>
        </w:rPr>
        <w:t>(Use the exact PHE publication title you accessed.)</w:t>
      </w:r>
    </w:p>
    <w:p w14:paraId="41D056B1" w14:textId="42212A63" w:rsidR="00E57726" w:rsidRPr="00E57726" w:rsidRDefault="00E57726" w:rsidP="00E57726">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6D4A1C">
        <w:rPr>
          <w:rFonts w:ascii="Times New Roman" w:eastAsia="Times New Roman" w:hAnsi="Times New Roman" w:cs="Times New Roman"/>
          <w:kern w:val="0"/>
          <w:lang w:eastAsia="en-GB"/>
          <w14:ligatures w14:val="none"/>
        </w:rPr>
        <w:t>Tricco</w:t>
      </w:r>
      <w:proofErr w:type="spellEnd"/>
      <w:r w:rsidRPr="006D4A1C">
        <w:rPr>
          <w:rFonts w:ascii="Times New Roman" w:eastAsia="Times New Roman" w:hAnsi="Times New Roman" w:cs="Times New Roman"/>
          <w:kern w:val="0"/>
          <w:lang w:eastAsia="en-GB"/>
          <w14:ligatures w14:val="none"/>
        </w:rPr>
        <w:t>, A.C., Lillie, E., Zarin, W., O’Brien, K.K., Colquhoun, H., Levac, D., Moher, D., Peters, M.D.J., Horsley, T., Weeks, L., Hempel, S., Akl, E.A., Chang, C., McGowan, J.,</w:t>
      </w:r>
      <w:r w:rsidRPr="00E57726">
        <w:rPr>
          <w:rFonts w:ascii="Times New Roman" w:eastAsia="Times New Roman" w:hAnsi="Times New Roman" w:cs="Times New Roman"/>
          <w:kern w:val="0"/>
          <w:lang w:eastAsia="en-GB"/>
          <w14:ligatures w14:val="none"/>
        </w:rPr>
        <w:t xml:space="preserve"> Stewart, L., Hartling, L., </w:t>
      </w:r>
      <w:proofErr w:type="spellStart"/>
      <w:r w:rsidRPr="00E57726">
        <w:rPr>
          <w:rFonts w:ascii="Times New Roman" w:eastAsia="Times New Roman" w:hAnsi="Times New Roman" w:cs="Times New Roman"/>
          <w:kern w:val="0"/>
          <w:lang w:eastAsia="en-GB"/>
          <w14:ligatures w14:val="none"/>
        </w:rPr>
        <w:t>Aldcroft</w:t>
      </w:r>
      <w:proofErr w:type="spellEnd"/>
      <w:r w:rsidRPr="00E57726">
        <w:rPr>
          <w:rFonts w:ascii="Times New Roman" w:eastAsia="Times New Roman" w:hAnsi="Times New Roman" w:cs="Times New Roman"/>
          <w:kern w:val="0"/>
          <w:lang w:eastAsia="en-GB"/>
          <w14:ligatures w14:val="none"/>
        </w:rPr>
        <w:t xml:space="preserve">, A., Wilson, M.G., </w:t>
      </w:r>
      <w:proofErr w:type="spellStart"/>
      <w:r w:rsidRPr="00E57726">
        <w:rPr>
          <w:rFonts w:ascii="Times New Roman" w:eastAsia="Times New Roman" w:hAnsi="Times New Roman" w:cs="Times New Roman"/>
          <w:kern w:val="0"/>
          <w:lang w:eastAsia="en-GB"/>
          <w14:ligatures w14:val="none"/>
        </w:rPr>
        <w:t>Garritty</w:t>
      </w:r>
      <w:proofErr w:type="spellEnd"/>
      <w:r w:rsidRPr="00E57726">
        <w:rPr>
          <w:rFonts w:ascii="Times New Roman" w:eastAsia="Times New Roman" w:hAnsi="Times New Roman" w:cs="Times New Roman"/>
          <w:kern w:val="0"/>
          <w:lang w:eastAsia="en-GB"/>
          <w14:ligatures w14:val="none"/>
        </w:rPr>
        <w:t xml:space="preserve">, C., Lewin, S., Godfrey, C.M., Macdonald, M.T., Langlois, E.V., Soares-Weiser, K., Moriarty, J., Clifford, T., </w:t>
      </w:r>
      <w:proofErr w:type="spellStart"/>
      <w:r w:rsidRPr="00E57726">
        <w:rPr>
          <w:rFonts w:ascii="Times New Roman" w:eastAsia="Times New Roman" w:hAnsi="Times New Roman" w:cs="Times New Roman"/>
          <w:kern w:val="0"/>
          <w:lang w:eastAsia="en-GB"/>
          <w14:ligatures w14:val="none"/>
        </w:rPr>
        <w:t>Tunçalp</w:t>
      </w:r>
      <w:proofErr w:type="spellEnd"/>
      <w:r w:rsidRPr="00E57726">
        <w:rPr>
          <w:rFonts w:ascii="Times New Roman" w:eastAsia="Times New Roman" w:hAnsi="Times New Roman" w:cs="Times New Roman"/>
          <w:kern w:val="0"/>
          <w:lang w:eastAsia="en-GB"/>
          <w14:ligatures w14:val="none"/>
        </w:rPr>
        <w:t>, Ö. and Straus, S.E. (2018) ‘PRISMA Extension for Scoping Reviews (PRISMA-</w:t>
      </w:r>
      <w:proofErr w:type="spellStart"/>
      <w:r w:rsidRPr="00E57726">
        <w:rPr>
          <w:rFonts w:ascii="Times New Roman" w:eastAsia="Times New Roman" w:hAnsi="Times New Roman" w:cs="Times New Roman"/>
          <w:kern w:val="0"/>
          <w:lang w:eastAsia="en-GB"/>
          <w14:ligatures w14:val="none"/>
        </w:rPr>
        <w:t>ScR</w:t>
      </w:r>
      <w:proofErr w:type="spellEnd"/>
      <w:r w:rsidRPr="00E57726">
        <w:rPr>
          <w:rFonts w:ascii="Times New Roman" w:eastAsia="Times New Roman" w:hAnsi="Times New Roman" w:cs="Times New Roman"/>
          <w:kern w:val="0"/>
          <w:lang w:eastAsia="en-GB"/>
          <w14:ligatures w14:val="none"/>
        </w:rPr>
        <w:t xml:space="preserve">): Checklist and explanation’, </w:t>
      </w:r>
      <w:r w:rsidRPr="00E57726">
        <w:rPr>
          <w:rFonts w:ascii="Times New Roman" w:eastAsia="Times New Roman" w:hAnsi="Times New Roman" w:cs="Times New Roman"/>
          <w:i/>
          <w:iCs/>
          <w:kern w:val="0"/>
          <w:lang w:eastAsia="en-GB"/>
          <w14:ligatures w14:val="none"/>
        </w:rPr>
        <w:t>Annals of Internal Medicine</w:t>
      </w:r>
      <w:r w:rsidRPr="00E57726">
        <w:rPr>
          <w:rFonts w:ascii="Times New Roman" w:eastAsia="Times New Roman" w:hAnsi="Times New Roman" w:cs="Times New Roman"/>
          <w:kern w:val="0"/>
          <w:lang w:eastAsia="en-GB"/>
          <w14:ligatures w14:val="none"/>
        </w:rPr>
        <w:t>, 169(7), pp. 467–473.</w:t>
      </w:r>
    </w:p>
    <w:sectPr w:rsidR="00E57726" w:rsidRPr="00E577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67308"/>
    <w:multiLevelType w:val="multilevel"/>
    <w:tmpl w:val="7D40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1809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726"/>
    <w:rsid w:val="00050682"/>
    <w:rsid w:val="00071F07"/>
    <w:rsid w:val="000D40D0"/>
    <w:rsid w:val="005123E5"/>
    <w:rsid w:val="006D4A1C"/>
    <w:rsid w:val="00E57726"/>
    <w:rsid w:val="00F12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171DC"/>
  <w15:chartTrackingRefBased/>
  <w15:docId w15:val="{80DEDC37-E004-024C-8DF1-94FD9A181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77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577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577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77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77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77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77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77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77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7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577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577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77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77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7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7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7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7726"/>
    <w:rPr>
      <w:rFonts w:eastAsiaTheme="majorEastAsia" w:cstheme="majorBidi"/>
      <w:color w:val="272727" w:themeColor="text1" w:themeTint="D8"/>
    </w:rPr>
  </w:style>
  <w:style w:type="paragraph" w:styleId="Title">
    <w:name w:val="Title"/>
    <w:basedOn w:val="Normal"/>
    <w:next w:val="Normal"/>
    <w:link w:val="TitleChar"/>
    <w:uiPriority w:val="10"/>
    <w:qFormat/>
    <w:rsid w:val="00E577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7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77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7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7726"/>
    <w:pPr>
      <w:spacing w:before="160"/>
      <w:jc w:val="center"/>
    </w:pPr>
    <w:rPr>
      <w:i/>
      <w:iCs/>
      <w:color w:val="404040" w:themeColor="text1" w:themeTint="BF"/>
    </w:rPr>
  </w:style>
  <w:style w:type="character" w:customStyle="1" w:styleId="QuoteChar">
    <w:name w:val="Quote Char"/>
    <w:basedOn w:val="DefaultParagraphFont"/>
    <w:link w:val="Quote"/>
    <w:uiPriority w:val="29"/>
    <w:rsid w:val="00E57726"/>
    <w:rPr>
      <w:i/>
      <w:iCs/>
      <w:color w:val="404040" w:themeColor="text1" w:themeTint="BF"/>
    </w:rPr>
  </w:style>
  <w:style w:type="paragraph" w:styleId="ListParagraph">
    <w:name w:val="List Paragraph"/>
    <w:basedOn w:val="Normal"/>
    <w:uiPriority w:val="34"/>
    <w:qFormat/>
    <w:rsid w:val="00E57726"/>
    <w:pPr>
      <w:ind w:left="720"/>
      <w:contextualSpacing/>
    </w:pPr>
  </w:style>
  <w:style w:type="character" w:styleId="IntenseEmphasis">
    <w:name w:val="Intense Emphasis"/>
    <w:basedOn w:val="DefaultParagraphFont"/>
    <w:uiPriority w:val="21"/>
    <w:qFormat/>
    <w:rsid w:val="00E57726"/>
    <w:rPr>
      <w:i/>
      <w:iCs/>
      <w:color w:val="2F5496" w:themeColor="accent1" w:themeShade="BF"/>
    </w:rPr>
  </w:style>
  <w:style w:type="paragraph" w:styleId="IntenseQuote">
    <w:name w:val="Intense Quote"/>
    <w:basedOn w:val="Normal"/>
    <w:next w:val="Normal"/>
    <w:link w:val="IntenseQuoteChar"/>
    <w:uiPriority w:val="30"/>
    <w:qFormat/>
    <w:rsid w:val="00E577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7726"/>
    <w:rPr>
      <w:i/>
      <w:iCs/>
      <w:color w:val="2F5496" w:themeColor="accent1" w:themeShade="BF"/>
    </w:rPr>
  </w:style>
  <w:style w:type="character" w:styleId="IntenseReference">
    <w:name w:val="Intense Reference"/>
    <w:basedOn w:val="DefaultParagraphFont"/>
    <w:uiPriority w:val="32"/>
    <w:qFormat/>
    <w:rsid w:val="00E57726"/>
    <w:rPr>
      <w:b/>
      <w:bCs/>
      <w:smallCaps/>
      <w:color w:val="2F5496" w:themeColor="accent1" w:themeShade="BF"/>
      <w:spacing w:val="5"/>
    </w:rPr>
  </w:style>
  <w:style w:type="paragraph" w:styleId="NormalWeb">
    <w:name w:val="Normal (Web)"/>
    <w:basedOn w:val="Normal"/>
    <w:uiPriority w:val="99"/>
    <w:semiHidden/>
    <w:unhideWhenUsed/>
    <w:rsid w:val="00E5772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57726"/>
    <w:rPr>
      <w:i/>
      <w:iCs/>
    </w:rPr>
  </w:style>
  <w:style w:type="character" w:styleId="Strong">
    <w:name w:val="Strong"/>
    <w:basedOn w:val="DefaultParagraphFont"/>
    <w:uiPriority w:val="22"/>
    <w:qFormat/>
    <w:rsid w:val="00E57726"/>
    <w:rPr>
      <w:b/>
      <w:bCs/>
    </w:rPr>
  </w:style>
  <w:style w:type="table" w:styleId="TableGrid">
    <w:name w:val="Table Grid"/>
    <w:basedOn w:val="TableNormal"/>
    <w:uiPriority w:val="39"/>
    <w:rsid w:val="006D4A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728</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TABZ Hussain</dc:creator>
  <cp:keywords/>
  <dc:description/>
  <cp:lastModifiedBy>Dr TABZ Hussain</cp:lastModifiedBy>
  <cp:revision>2</cp:revision>
  <dcterms:created xsi:type="dcterms:W3CDTF">2026-02-14T10:01:00Z</dcterms:created>
  <dcterms:modified xsi:type="dcterms:W3CDTF">2026-02-14T10:01:00Z</dcterms:modified>
</cp:coreProperties>
</file>