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styleswitheffects.xml" ContentType="application/vnd.ms-word.stylesWithEffect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body>
    <w:p>
      <w:pPr>
        <w:rPr>
          <w:b/>
          <w:sz w:val="56"/>
          <w:szCs w:val="56"/>
          <w:lang w:val="en-US"/>
        </w:rPr>
      </w:pPr>
      <w:r>
        <w:rPr>
          <w:b/>
          <w:sz w:val="56"/>
          <w:szCs w:val="56"/>
        </w:rPr>
        <w:t>Accounting Fundamentals</w:t>
      </w:r>
    </w:p>
    <w:p>
      <w:pPr>
        <w:rPr>
          <w:b/>
          <w:sz w:val="56"/>
          <w:szCs w:val="56"/>
          <w:lang w:val="en-US"/>
        </w:rPr>
      </w:pPr>
      <w:r>
        <w:rPr>
          <w:b/>
          <w:sz w:val="56"/>
          <w:szCs w:val="56"/>
          <w:lang w:val="en-US"/>
        </w:rPr>
        <w:t>Student ID:2124369</w:t>
      </w:r>
    </w:p>
    <w:p>
      <w:pPr>
        <w:rPr>
          <w:b/>
          <w:sz w:val="56"/>
          <w:szCs w:val="56"/>
          <w:lang w:val="en-US"/>
        </w:rPr>
      </w:pPr>
      <w:r>
        <w:rPr>
          <w:b/>
          <w:sz w:val="56"/>
          <w:szCs w:val="56"/>
          <w:lang w:val="en-US"/>
        </w:rPr>
        <w:t>Student Name:Metodi Katsarev</w:t>
      </w: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pStyle w:val="Heading1"/>
        <w:rPr>
          <w:rFonts w:ascii="Arial" w:cs="Arial" w:hAnsi="Arial"/>
          <w:sz w:val="24"/>
          <w:szCs w:val="24"/>
          <w:lang w:val="en-US"/>
        </w:rPr>
      </w:pPr>
      <w:bookmarkStart w:id="0" w:name="_Toc112500222"/>
      <w:r>
        <w:rPr>
          <w:rFonts w:ascii="Arial" w:cs="Arial" w:hAnsi="Arial"/>
          <w:sz w:val="24"/>
          <w:szCs w:val="24"/>
          <w:lang w:val="en-US"/>
        </w:rPr>
        <w:t>QUESTION 1</w:t>
      </w:r>
      <w:bookmarkEnd w:id="0"/>
    </w:p>
    <w:p>
      <w:pPr>
        <w:rPr>
          <w:rFonts w:ascii="Arial" w:cs="Arial" w:hAnsi="Arial"/>
          <w:sz w:val="24"/>
          <w:szCs w:val="24"/>
          <w:lang w:val="en-US"/>
        </w:rPr>
      </w:pPr>
      <w:r>
        <w:rPr>
          <w:rFonts w:ascii="Arial" w:cs="Arial" w:hAnsi="Arial"/>
          <w:sz w:val="24"/>
          <w:szCs w:val="24"/>
          <w:lang w:val="en-US"/>
        </w:rPr>
        <w:t>The following balances relate to Wales plc:</w:t>
      </w:r>
    </w:p>
    <w:p>
      <w:pPr>
        <w:rPr>
          <w:rFonts w:ascii="Arial" w:cs="Arial" w:hAnsi="Arial"/>
          <w:sz w:val="24"/>
          <w:szCs w:val="24"/>
          <w:lang w:val="en-US"/>
        </w:rPr>
      </w:pPr>
    </w:p>
    <w:p>
      <w:pPr>
        <w:pStyle w:val="Heading1"/>
        <w:rPr>
          <w:rFonts w:ascii="Arial" w:cs="Arial" w:hAnsi="Arial"/>
          <w:sz w:val="24"/>
          <w:szCs w:val="24"/>
          <w:lang w:val="en-US"/>
        </w:rPr>
      </w:pPr>
      <w:bookmarkStart w:id="1" w:name="_Toc112500223"/>
      <w:r>
        <w:rPr>
          <w:rFonts w:ascii="Arial" w:cs="Arial" w:hAnsi="Arial"/>
          <w:sz w:val="24"/>
          <w:szCs w:val="24"/>
          <w:lang w:val="en-US"/>
        </w:rPr>
        <w:t>Income statement</w:t>
      </w:r>
      <w:bookmarkEnd w:id="1"/>
    </w:p>
    <w:p>
      <w:pPr>
        <w:rPr>
          <w:rFonts w:ascii="Arial" w:cs="Arial" w:hAnsi="Arial"/>
          <w:sz w:val="24"/>
          <w:szCs w:val="24"/>
          <w:lang w:val="en-US"/>
        </w:rPr>
      </w:pPr>
    </w:p>
    <w:tbl>
      <w:tblPr>
        <w:tblW w:w="12960" w:type="dxa"/>
        <w:tblCellMar>
          <w:left w:w="0" w:type="dxa"/>
          <w:right w:w="0" w:type="dxa"/>
        </w:tblCellMar>
        <w:tblLook w:val="0600"/>
      </w:tblPr>
      <w:tblGrid>
        <w:gridCol w:w="288"/>
        <w:gridCol w:w="4088"/>
        <w:gridCol w:w="983"/>
        <w:gridCol w:w="1809"/>
        <w:gridCol w:w="2463"/>
        <w:gridCol w:w="3329"/>
      </w:tblGrid>
      <w:tr>
        <w:trPr>
          <w:trHeight w:val="757"/>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blPrEx>
          <w:tblCellMar>
            <w:left w:w="70" w:type="dxa"/>
            <w:right w:w="70" w:type="dxa"/>
          </w:tblCellMar>
          <w:tblLook w:val="04A0"/>
        </w:tblPrEx>
        <w:trPr>
          <w:gridBefore w:val="1"/>
          <w:gridAfter w:val="2"/>
          <w:wBefore w:w="129" w:type="dxa"/>
          <w:wAfter w:w="5951" w:type="dxa"/>
          <w:trHeight w:val="537"/>
        </w:trPr>
        <w:tc>
          <w:tcPr>
            <w:cnfStyle w:val="000000000000"/>
            <w:tcW w:w="6880" w:type="dxa"/>
            <w:noWrap w:val="on"/>
            <w:gridSpan w:val="3"/>
            <w:vMerge w:val="restart"/>
            <w:tcBorders>
              <w:top w:val="single" w:color="auto" w:sz="4" w:space="0"/>
              <w:left w:val="single" w:color="auto" w:sz="4" w:space="0"/>
              <w:bottom w:val="single" w:color="000000" w:sz="4" w:space="0"/>
              <w:right w:val="nil" w:sz="4" w:space="0"/>
            </w:tcBorders>
            <w:shd w:val="clear" w:color="auto" w:fill="auto"/>
            <w:vAlign w:val="bottom"/>
          </w:tcPr>
          <w:p>
            <w:pPr>
              <w:rPr>
                <w:rFonts w:ascii="Arial" w:cs="Arial" w:hAnsi="Arial"/>
                <w:b/>
                <w:bCs/>
                <w:sz w:val="24"/>
                <w:szCs w:val="24"/>
              </w:rPr>
            </w:pPr>
            <w:r>
              <w:rPr>
                <w:rFonts w:ascii="Arial" w:cs="Arial" w:hAnsi="Arial"/>
                <w:b/>
                <w:bCs/>
                <w:sz w:val="24"/>
                <w:szCs w:val="24"/>
              </w:rPr>
              <w:t>INCOME STATEMENT Wales plc for the year ended 31st December 2021</w:t>
            </w:r>
          </w:p>
        </w:tc>
      </w:tr>
      <w:tr>
        <w:tblPrEx>
          <w:tblCellMar>
            <w:left w:w="70" w:type="dxa"/>
            <w:right w:w="70" w:type="dxa"/>
          </w:tblCellMar>
          <w:tblLook w:val="04A0"/>
        </w:tblPrEx>
        <w:trPr>
          <w:gridBefore w:val="1"/>
          <w:gridAfter w:val="2"/>
          <w:wBefore w:w="129" w:type="dxa"/>
          <w:wAfter w:w="5951" w:type="dxa"/>
          <w:trHeight w:val="537"/>
        </w:trPr>
        <w:tc>
          <w:tcPr>
            <w:cnfStyle w:val="000000000000"/>
            <w:tcW w:w="6880" w:type="dxa"/>
            <w:gridSpan w:val="3"/>
            <w:vMerge w:val="continue"/>
            <w:tcBorders>
              <w:top w:val="single" w:color="auto" w:sz="4" w:space="0"/>
              <w:left w:val="single" w:color="auto" w:sz="4" w:space="0"/>
              <w:bottom w:val="single" w:color="000000" w:sz="4" w:space="0"/>
              <w:right w:val="nil" w:sz="4" w:space="0"/>
            </w:tcBorders>
            <w:vAlign w:val="center"/>
          </w:tcPr>
          <w:p>
            <w:pPr>
              <w:rPr>
                <w:rFonts w:ascii="Arial" w:cs="Arial" w:hAnsi="Arial"/>
                <w:b/>
                <w:bCs/>
                <w:sz w:val="24"/>
                <w:szCs w:val="24"/>
              </w:rPr>
            </w:pPr>
          </w:p>
        </w:tc>
      </w:tr>
      <w:tr>
        <w:tblPrEx>
          <w:tblCellMar>
            <w:left w:w="70" w:type="dxa"/>
            <w:right w:w="70" w:type="dxa"/>
          </w:tblCellMar>
          <w:tblLook w:val="04A0"/>
        </w:tblPrEx>
        <w:trPr>
          <w:gridBefore w:val="1"/>
          <w:gridAfter w:val="2"/>
          <w:wBefore w:w="129" w:type="dxa"/>
          <w:wAfter w:w="5951" w:type="dxa"/>
          <w:trHeight w:val="900"/>
        </w:trPr>
        <w:tc>
          <w:tcPr>
            <w:cnfStyle w:val="000000000000"/>
            <w:tcW w:w="4088" w:type="dxa"/>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Revenue</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b/>
                <w:bCs/>
                <w:sz w:val="24"/>
                <w:szCs w:val="24"/>
              </w:rPr>
            </w:pPr>
            <w:r>
              <w:rPr>
                <w:rFonts w:ascii="Arial" w:cs="Arial" w:hAnsi="Arial"/>
                <w:b/>
                <w:bCs/>
                <w:sz w:val="24"/>
                <w:szCs w:val="24"/>
              </w:rPr>
              <w:t>2021</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Revenue</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800,000</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Cost of sales</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578,650</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b/>
                <w:bCs/>
                <w:sz w:val="24"/>
                <w:szCs w:val="24"/>
              </w:rPr>
            </w:pPr>
            <w:r>
              <w:rPr>
                <w:rFonts w:ascii="Arial" w:cs="Arial" w:hAnsi="Arial"/>
                <w:b/>
                <w:bCs/>
                <w:sz w:val="24"/>
                <w:szCs w:val="24"/>
              </w:rPr>
              <w:t>Gross profit</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b/>
                <w:bCs/>
                <w:sz w:val="24"/>
                <w:szCs w:val="24"/>
              </w:rPr>
            </w:pPr>
            <w:r>
              <w:rPr>
                <w:rFonts w:ascii="Arial" w:cs="Arial" w:hAnsi="Arial"/>
                <w:b/>
                <w:bCs/>
                <w:sz w:val="24"/>
                <w:szCs w:val="24"/>
              </w:rPr>
              <w:t>221,350</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Distribution costs</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28,000</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Administration expenses</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30,000</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Other income</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132,000</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b/>
                <w:bCs/>
                <w:sz w:val="24"/>
                <w:szCs w:val="24"/>
              </w:rPr>
            </w:pPr>
            <w:r>
              <w:rPr>
                <w:rFonts w:ascii="Arial" w:cs="Arial" w:hAnsi="Arial"/>
                <w:b/>
                <w:bCs/>
                <w:sz w:val="24"/>
                <w:szCs w:val="24"/>
              </w:rPr>
              <w:t>Operating profit</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b/>
                <w:bCs/>
                <w:sz w:val="24"/>
                <w:szCs w:val="24"/>
              </w:rPr>
            </w:pPr>
            <w:r>
              <w:rPr>
                <w:rFonts w:ascii="Arial" w:cs="Arial" w:hAnsi="Arial"/>
                <w:b/>
                <w:bCs/>
                <w:sz w:val="24"/>
                <w:szCs w:val="24"/>
              </w:rPr>
              <w:t>295,350</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Income from investments</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170,125</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Finance costs</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57,000</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Profit before tax</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408,475</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sz w:val="24"/>
                <w:szCs w:val="24"/>
              </w:rPr>
            </w:pPr>
            <w:r>
              <w:rPr>
                <w:rFonts w:ascii="Arial" w:cs="Arial" w:hAnsi="Arial"/>
                <w:sz w:val="24"/>
                <w:szCs w:val="24"/>
              </w:rPr>
              <w:t>Taxation</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sz w:val="24"/>
                <w:szCs w:val="24"/>
              </w:rPr>
            </w:pPr>
            <w:r>
              <w:rPr>
                <w:rFonts w:ascii="Arial" w:cs="Arial" w:hAnsi="Arial"/>
                <w:sz w:val="24"/>
                <w:szCs w:val="24"/>
              </w:rPr>
              <w:t>20%</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sz w:val="24"/>
                <w:szCs w:val="24"/>
              </w:rPr>
            </w:pPr>
            <w:r>
              <w:rPr>
                <w:rFonts w:ascii="Arial" w:cs="Arial" w:hAnsi="Arial"/>
                <w:sz w:val="24"/>
                <w:szCs w:val="24"/>
              </w:rPr>
              <w:t>81,695</w:t>
            </w:r>
          </w:p>
        </w:tc>
      </w:tr>
      <w:tr>
        <w:tblPrEx>
          <w:tblCellMar>
            <w:left w:w="70" w:type="dxa"/>
            <w:right w:w="70" w:type="dxa"/>
          </w:tblCellMar>
          <w:tblLook w:val="04A0"/>
        </w:tblPrEx>
        <w:trPr>
          <w:gridBefore w:val="1"/>
          <w:gridAfter w:val="2"/>
          <w:wBefore w:w="129" w:type="dxa"/>
          <w:wAfter w:w="5951" w:type="dxa"/>
          <w:trHeight w:val="300"/>
        </w:trPr>
        <w:tc>
          <w:tcPr>
            <w:cnfStyle w:val="000000000000"/>
            <w:tcW w:w="4088" w:type="dxa"/>
            <w:noWrap w:val="on"/>
            <w:tcBorders>
              <w:top w:val="single" w:color="auto" w:sz="4" w:space="0"/>
              <w:left w:val="single" w:color="auto" w:sz="4" w:space="0"/>
              <w:bottom w:val="single" w:color="auto" w:sz="4" w:space="0"/>
              <w:right w:val="single" w:color="000000" w:sz="4" w:space="0"/>
            </w:tcBorders>
            <w:shd w:val="clear" w:color="auto" w:fill="auto"/>
            <w:vAlign w:val="bottom"/>
          </w:tcPr>
          <w:p>
            <w:pPr>
              <w:rPr>
                <w:rFonts w:ascii="Arial" w:cs="Arial" w:hAnsi="Arial"/>
                <w:b/>
                <w:bCs/>
                <w:sz w:val="24"/>
                <w:szCs w:val="24"/>
              </w:rPr>
            </w:pPr>
            <w:r>
              <w:rPr>
                <w:rFonts w:ascii="Arial" w:cs="Arial" w:hAnsi="Arial"/>
                <w:b/>
                <w:bCs/>
                <w:sz w:val="24"/>
                <w:szCs w:val="24"/>
              </w:rPr>
              <w:t>Profit for the period</w:t>
            </w:r>
          </w:p>
        </w:tc>
        <w:tc>
          <w:tcPr>
            <w:cnfStyle w:val="000000000000"/>
            <w:tcW w:w="983" w:type="dxa"/>
            <w:noWrap w:val="on"/>
            <w:tcBorders>
              <w:top w:val="single" w:color="auto" w:sz="4" w:space="0"/>
              <w:left w:val="nil" w:sz="4" w:space="0"/>
              <w:bottom w:val="nil" w:sz="4" w:space="0"/>
              <w:right w:val="nil" w:sz="4" w:space="0"/>
            </w:tcBorders>
            <w:shd w:val="clear" w:color="auto" w:fill="auto"/>
            <w:vAlign w:val="bottom"/>
          </w:tcPr>
          <w:p>
            <w:pPr>
              <w:rPr>
                <w:rFonts w:ascii="Arial" w:cs="Arial" w:hAnsi="Arial"/>
                <w:b/>
                <w:bCs/>
                <w:sz w:val="24"/>
                <w:szCs w:val="24"/>
              </w:rPr>
            </w:pPr>
            <w:r>
              <w:rPr>
                <w:rFonts w:ascii="Arial" w:cs="Arial" w:hAnsi="Arial"/>
                <w:b/>
                <w:bCs/>
                <w:sz w:val="24"/>
                <w:szCs w:val="24"/>
              </w:rPr>
              <w:t> </w:t>
            </w:r>
          </w:p>
        </w:tc>
        <w:tc>
          <w:tcPr>
            <w:cnfStyle w:val="000000000000"/>
            <w:tcW w:w="1809" w:type="dxa"/>
            <w:noWrap w:val="on"/>
            <w:tcBorders>
              <w:top w:val="nil" w:sz="4" w:space="0"/>
              <w:left w:val="nil" w:sz="4" w:space="0"/>
              <w:bottom w:val="single" w:color="auto" w:sz="4" w:space="0"/>
              <w:right w:val="single" w:color="auto" w:sz="4" w:space="0"/>
            </w:tcBorders>
            <w:shd w:val="clear" w:color="auto" w:fill="auto"/>
            <w:vAlign w:val="bottom"/>
          </w:tcPr>
          <w:p>
            <w:pPr>
              <w:rPr>
                <w:rFonts w:ascii="Arial" w:cs="Arial" w:hAnsi="Arial"/>
                <w:b/>
                <w:bCs/>
                <w:sz w:val="24"/>
                <w:szCs w:val="24"/>
              </w:rPr>
            </w:pPr>
            <w:r>
              <w:rPr>
                <w:rFonts w:ascii="Arial" w:cs="Arial" w:hAnsi="Arial"/>
                <w:b/>
                <w:bCs/>
                <w:sz w:val="24"/>
                <w:szCs w:val="24"/>
              </w:rPr>
              <w:t>326,780</w:t>
            </w:r>
          </w:p>
        </w:tc>
      </w:tr>
      <w:tr>
        <w:trPr>
          <w:trHeight w:val="541"/>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39"/>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41"/>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17"/>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41"/>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39"/>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41"/>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39"/>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41"/>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39"/>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41"/>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r>
        <w:trPr>
          <w:trHeight w:val="517"/>
        </w:trPr>
        <w:tc>
          <w:tcPr>
            <w:cnfStyle w:val="000000000000"/>
            <w:tcW w:w="9540" w:type="dxa"/>
            <w:gridSpan w:val="5"/>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c>
          <w:tcPr>
            <w:cnfStyle w:val="000000000000"/>
            <w:tcW w:w="3420" w:type="dxa"/>
            <w:tcBorders>
              <w:top w:val="nil" w:sz="4" w:space="0"/>
              <w:left w:val="nil" w:sz="4" w:space="0"/>
              <w:bottom w:val="nil" w:sz="4" w:space="0"/>
              <w:right w:val="nil" w:sz="4" w:space="0"/>
            </w:tcBorders>
            <w:shd w:val="clear" w:color="auto" w:fill="auto"/>
            <w:tcMar>
              <w:top w:w="72" w:type="dxa"/>
              <w:left w:w="144" w:type="dxa"/>
              <w:bottom w:w="72" w:type="dxa"/>
              <w:right w:w="144" w:type="dxa"/>
            </w:tcMar>
          </w:tcPr>
          <w:p>
            <w:pPr>
              <w:rPr>
                <w:rFonts w:ascii="Arial" w:cs="Arial" w:hAnsi="Arial"/>
                <w:sz w:val="24"/>
                <w:szCs w:val="24"/>
              </w:rPr>
            </w:pPr>
          </w:p>
        </w:tc>
      </w:tr>
    </w:tbl>
    <w:p>
      <w:pPr>
        <w:pStyle w:val="Heading1"/>
        <w:rPr>
          <w:rFonts w:ascii="Arial" w:cs="Arial" w:hAnsi="Arial"/>
          <w:sz w:val="24"/>
          <w:szCs w:val="24"/>
          <w:lang w:val="en-US"/>
        </w:rPr>
      </w:pPr>
      <w:bookmarkStart w:id="2" w:name="_Toc112500224"/>
      <w:r>
        <w:rPr>
          <w:rFonts w:ascii="Arial" w:cs="Arial" w:hAnsi="Arial"/>
          <w:sz w:val="24"/>
          <w:szCs w:val="24"/>
          <w:lang w:val="en-US"/>
        </w:rPr>
        <w:t>Statement of financial position</w:t>
      </w:r>
      <w:bookmarkEnd w:id="2"/>
    </w:p>
    <w:p>
      <w:pPr>
        <w:rPr>
          <w:rFonts w:ascii="Arial" w:cs="Arial" w:hAnsi="Arial"/>
          <w:sz w:val="24"/>
          <w:szCs w:val="24"/>
          <w:lang w:val="en-US"/>
        </w:rPr>
      </w:pPr>
    </w:p>
    <w:tbl>
      <w:tblPr>
        <w:tblStyle w:val="TableGrid"/>
        <w:tblW w:w="0" w:type="auto"/>
        <w:tblLook w:val="04A0"/>
      </w:tblPr>
      <w:tblGrid>
        <w:gridCol w:w="5200"/>
        <w:gridCol w:w="1351"/>
        <w:gridCol w:w="1151"/>
      </w:tblGrid>
      <w:tr>
        <w:trPr>
          <w:trHeight w:val="630"/>
        </w:trPr>
        <w:tc>
          <w:tcPr>
            <w:cnfStyle w:val="101000000000"/>
            <w:tcW w:w="5200" w:type="dxa"/>
          </w:tcPr>
          <w:p>
            <w:pPr>
              <w:spacing w:after="200" w:line="276" w:lineRule="auto"/>
              <w:rPr>
                <w:rFonts w:ascii="Arial" w:cs="Arial" w:hAnsi="Arial"/>
                <w:b/>
                <w:bCs/>
                <w:sz w:val="24"/>
                <w:szCs w:val="24"/>
                <w:u w:val="single"/>
              </w:rPr>
            </w:pPr>
            <w:r>
              <w:rPr>
                <w:rFonts w:ascii="Arial" w:cs="Arial" w:hAnsi="Arial"/>
                <w:b/>
                <w:bCs/>
                <w:sz w:val="24"/>
                <w:szCs w:val="24"/>
                <w:u w:val="single"/>
              </w:rPr>
              <w:t>ASSETS</w:t>
            </w:r>
          </w:p>
        </w:tc>
        <w:tc>
          <w:tcPr>
            <w:cnfStyle w:val="100000000000"/>
            <w:tcW w:w="960" w:type="dxa"/>
          </w:tcPr>
          <w:p>
            <w:pPr>
              <w:spacing w:after="200" w:line="276" w:lineRule="auto"/>
              <w:rPr>
                <w:rFonts w:ascii="Arial" w:cs="Arial" w:hAnsi="Arial"/>
                <w:sz w:val="24"/>
                <w:szCs w:val="24"/>
              </w:rPr>
            </w:pPr>
            <w:r>
              <w:rPr>
                <w:rFonts w:ascii="Arial" w:cs="Arial" w:hAnsi="Arial"/>
                <w:sz w:val="24"/>
                <w:szCs w:val="24"/>
              </w:rPr>
              <w:t> </w:t>
            </w:r>
          </w:p>
        </w:tc>
        <w:tc>
          <w:tcPr>
            <w:cnfStyle w:val="10000000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945"/>
        </w:trPr>
        <w:tc>
          <w:tcPr>
            <w:cnfStyle w:val="001000100000"/>
            <w:tcW w:w="5200" w:type="dxa"/>
          </w:tcPr>
          <w:p>
            <w:pPr>
              <w:spacing w:after="200" w:line="276" w:lineRule="auto"/>
              <w:rPr>
                <w:rFonts w:ascii="Arial" w:cs="Arial" w:hAnsi="Arial"/>
                <w:b/>
                <w:bCs/>
                <w:sz w:val="24"/>
                <w:szCs w:val="24"/>
              </w:rPr>
            </w:pPr>
            <w:r>
              <w:rPr>
                <w:rFonts w:ascii="Arial" w:cs="Arial" w:hAnsi="Arial"/>
                <w:b/>
                <w:bCs/>
                <w:sz w:val="24"/>
                <w:szCs w:val="24"/>
              </w:rPr>
              <w:t>Non current assets</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 </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1020"/>
        </w:trPr>
        <w:tc>
          <w:tcPr>
            <w:cnfStyle w:val="001000010000"/>
            <w:tcW w:w="5200" w:type="dxa"/>
          </w:tcPr>
          <w:p>
            <w:pPr>
              <w:spacing w:after="200" w:line="276" w:lineRule="auto"/>
              <w:rPr>
                <w:rFonts w:ascii="Arial" w:cs="Arial" w:hAnsi="Arial"/>
                <w:sz w:val="24"/>
                <w:szCs w:val="24"/>
              </w:rPr>
            </w:pPr>
            <w:r>
              <w:rPr>
                <w:rFonts w:ascii="Arial" w:cs="Arial" w:hAnsi="Arial"/>
                <w:sz w:val="24"/>
                <w:szCs w:val="24"/>
              </w:rPr>
              <w:t>Property, plant, equipment</w:t>
            </w:r>
          </w:p>
        </w:tc>
        <w:tc>
          <w:tcPr>
            <w:cnfStyle w:val="000000010000"/>
            <w:tcW w:w="960" w:type="dxa"/>
          </w:tcPr>
          <w:p>
            <w:pPr>
              <w:spacing w:after="200" w:line="276" w:lineRule="auto"/>
              <w:rPr>
                <w:rFonts w:ascii="Arial" w:cs="Arial" w:hAnsi="Arial"/>
                <w:sz w:val="24"/>
                <w:szCs w:val="24"/>
                <w:lang w:val="en-US"/>
              </w:rPr>
            </w:pPr>
            <w:r>
              <w:rPr>
                <w:rFonts w:ascii="Arial" w:cs="Arial" w:hAnsi="Arial"/>
                <w:sz w:val="24"/>
                <w:szCs w:val="24"/>
                <w:lang w:val="en-US"/>
              </w:rPr>
              <w:t>650,000</w:t>
            </w:r>
          </w:p>
        </w:tc>
        <w:tc>
          <w:tcPr>
            <w:cnfStyle w:val="00000001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510"/>
        </w:trPr>
        <w:tc>
          <w:tcPr>
            <w:cnfStyle w:val="001000100000"/>
            <w:tcW w:w="5200" w:type="dxa"/>
          </w:tcPr>
          <w:p>
            <w:pPr>
              <w:spacing w:after="200" w:line="276" w:lineRule="auto"/>
              <w:rPr>
                <w:rFonts w:ascii="Arial" w:cs="Arial" w:hAnsi="Arial"/>
                <w:sz w:val="24"/>
                <w:szCs w:val="24"/>
              </w:rPr>
            </w:pPr>
            <w:r>
              <w:rPr>
                <w:rFonts w:ascii="Arial" w:cs="Arial" w:hAnsi="Arial"/>
                <w:sz w:val="24"/>
                <w:szCs w:val="24"/>
              </w:rPr>
              <w:t>Intangible assets</w:t>
            </w:r>
          </w:p>
        </w:tc>
        <w:tc>
          <w:tcPr>
            <w:cnfStyle w:val="000000100000"/>
            <w:tcW w:w="960" w:type="dxa"/>
          </w:tcPr>
          <w:p>
            <w:pPr>
              <w:spacing w:after="200" w:line="276" w:lineRule="auto"/>
              <w:rPr>
                <w:rFonts w:ascii="Arial" w:cs="Arial" w:hAnsi="Arial"/>
                <w:sz w:val="24"/>
                <w:szCs w:val="24"/>
                <w:u w:val="single"/>
              </w:rPr>
            </w:pPr>
            <w:r>
              <w:rPr>
                <w:rFonts w:ascii="Arial" w:cs="Arial" w:hAnsi="Arial"/>
                <w:sz w:val="24"/>
                <w:szCs w:val="24"/>
                <w:u w:val="single"/>
              </w:rPr>
              <w:t>X</w:t>
            </w:r>
          </w:p>
        </w:tc>
        <w:tc>
          <w:tcPr>
            <w:cnfStyle w:val="000000100000"/>
            <w:tcW w:w="960" w:type="dxa"/>
          </w:tcPr>
          <w:p>
            <w:pPr>
              <w:spacing w:after="200" w:line="276" w:lineRule="auto"/>
              <w:rPr>
                <w:rFonts w:ascii="Arial" w:cs="Arial" w:hAnsi="Arial"/>
                <w:b/>
                <w:bCs/>
                <w:sz w:val="24"/>
                <w:szCs w:val="24"/>
                <w:lang w:val="en-US"/>
              </w:rPr>
            </w:pPr>
            <w:r>
              <w:rPr>
                <w:rFonts w:ascii="Arial" w:cs="Arial" w:hAnsi="Arial"/>
                <w:b/>
                <w:bCs/>
                <w:sz w:val="24"/>
                <w:szCs w:val="24"/>
                <w:lang w:val="en-US"/>
              </w:rPr>
              <w:t>800,000</w:t>
            </w:r>
          </w:p>
        </w:tc>
      </w:tr>
      <w:tr>
        <w:trPr>
          <w:trHeight w:val="945"/>
        </w:trPr>
        <w:tc>
          <w:tcPr>
            <w:cnfStyle w:val="001000010000"/>
            <w:tcW w:w="5200" w:type="dxa"/>
          </w:tcPr>
          <w:p>
            <w:pPr>
              <w:spacing w:after="200" w:line="276" w:lineRule="auto"/>
              <w:rPr>
                <w:rFonts w:ascii="Arial" w:cs="Arial" w:hAnsi="Arial"/>
                <w:b/>
                <w:bCs/>
                <w:sz w:val="24"/>
                <w:szCs w:val="24"/>
              </w:rPr>
            </w:pPr>
            <w:r>
              <w:rPr>
                <w:rFonts w:ascii="Arial" w:cs="Arial" w:hAnsi="Arial"/>
                <w:b/>
                <w:bCs/>
                <w:sz w:val="24"/>
                <w:szCs w:val="24"/>
              </w:rPr>
              <w:t>Current assets</w:t>
            </w:r>
          </w:p>
        </w:tc>
        <w:tc>
          <w:tcPr>
            <w:cnfStyle w:val="000000010000"/>
            <w:tcW w:w="960" w:type="dxa"/>
          </w:tcPr>
          <w:p>
            <w:pPr>
              <w:spacing w:after="200" w:line="276" w:lineRule="auto"/>
              <w:rPr>
                <w:rFonts w:ascii="Arial" w:cs="Arial" w:hAnsi="Arial"/>
                <w:sz w:val="24"/>
                <w:szCs w:val="24"/>
              </w:rPr>
            </w:pPr>
            <w:r>
              <w:rPr>
                <w:rFonts w:ascii="Arial" w:cs="Arial" w:hAnsi="Arial"/>
                <w:sz w:val="24"/>
                <w:szCs w:val="24"/>
              </w:rPr>
              <w:t> </w:t>
            </w:r>
          </w:p>
        </w:tc>
        <w:tc>
          <w:tcPr>
            <w:cnfStyle w:val="00000001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510"/>
        </w:trPr>
        <w:tc>
          <w:tcPr>
            <w:cnfStyle w:val="001000100000"/>
            <w:tcW w:w="5200" w:type="dxa"/>
          </w:tcPr>
          <w:p>
            <w:pPr>
              <w:spacing w:after="200" w:line="276" w:lineRule="auto"/>
              <w:rPr>
                <w:rFonts w:ascii="Arial" w:cs="Arial" w:hAnsi="Arial"/>
                <w:sz w:val="24"/>
                <w:szCs w:val="24"/>
              </w:rPr>
            </w:pPr>
            <w:r>
              <w:rPr>
                <w:rFonts w:ascii="Arial" w:cs="Arial" w:hAnsi="Arial"/>
                <w:sz w:val="24"/>
                <w:szCs w:val="24"/>
              </w:rPr>
              <w:t>Inventories</w:t>
            </w:r>
          </w:p>
        </w:tc>
        <w:tc>
          <w:tcPr>
            <w:cnfStyle w:val="000000100000"/>
            <w:tcW w:w="960" w:type="dxa"/>
          </w:tcPr>
          <w:p>
            <w:pPr>
              <w:spacing w:after="200" w:line="276" w:lineRule="auto"/>
              <w:rPr>
                <w:rFonts w:ascii="Arial" w:cs="Arial" w:hAnsi="Arial"/>
                <w:sz w:val="24"/>
                <w:szCs w:val="24"/>
                <w:lang w:val="en-US"/>
              </w:rPr>
            </w:pPr>
            <w:r>
              <w:rPr>
                <w:rFonts w:ascii="Arial" w:cs="Arial" w:hAnsi="Arial"/>
                <w:sz w:val="24"/>
                <w:szCs w:val="24"/>
                <w:lang w:val="en-US"/>
              </w:rPr>
              <w:t>330,600</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765"/>
        </w:trPr>
        <w:tc>
          <w:tcPr>
            <w:cnfStyle w:val="001000010000"/>
            <w:tcW w:w="5200" w:type="dxa"/>
          </w:tcPr>
          <w:p>
            <w:pPr>
              <w:spacing w:after="200" w:line="276" w:lineRule="auto"/>
              <w:rPr>
                <w:rFonts w:ascii="Arial" w:cs="Arial" w:hAnsi="Arial"/>
                <w:sz w:val="24"/>
                <w:szCs w:val="24"/>
              </w:rPr>
            </w:pPr>
            <w:r>
              <w:rPr>
                <w:rFonts w:ascii="Arial" w:cs="Arial" w:hAnsi="Arial"/>
                <w:sz w:val="24"/>
                <w:szCs w:val="24"/>
              </w:rPr>
              <w:t>Trade receivables</w:t>
            </w:r>
          </w:p>
        </w:tc>
        <w:tc>
          <w:tcPr>
            <w:cnfStyle w:val="000000010000"/>
            <w:tcW w:w="960" w:type="dxa"/>
          </w:tcPr>
          <w:p>
            <w:pPr>
              <w:spacing w:after="200" w:line="276" w:lineRule="auto"/>
              <w:rPr>
                <w:rFonts w:ascii="Arial" w:cs="Arial" w:hAnsi="Arial"/>
                <w:sz w:val="24"/>
                <w:szCs w:val="24"/>
                <w:lang w:val="en-US"/>
              </w:rPr>
            </w:pPr>
            <w:r>
              <w:rPr>
                <w:rFonts w:ascii="Arial" w:cs="Arial" w:hAnsi="Arial"/>
                <w:sz w:val="24"/>
                <w:szCs w:val="24"/>
                <w:lang w:val="en-US"/>
              </w:rPr>
              <w:t>170,125</w:t>
            </w:r>
          </w:p>
        </w:tc>
        <w:tc>
          <w:tcPr>
            <w:cnfStyle w:val="00000001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300"/>
        </w:trPr>
        <w:tc>
          <w:tcPr>
            <w:cnfStyle w:val="001000100000"/>
            <w:tcW w:w="5200" w:type="dxa"/>
          </w:tcPr>
          <w:p>
            <w:pPr>
              <w:spacing w:after="200" w:line="276" w:lineRule="auto"/>
              <w:rPr>
                <w:rFonts w:ascii="Arial" w:cs="Arial" w:hAnsi="Arial"/>
                <w:sz w:val="24"/>
                <w:szCs w:val="24"/>
              </w:rPr>
            </w:pPr>
            <w:r>
              <w:rPr>
                <w:rFonts w:ascii="Arial" w:cs="Arial" w:hAnsi="Arial"/>
                <w:sz w:val="24"/>
                <w:szCs w:val="24"/>
              </w:rPr>
              <w:t>Cash</w:t>
            </w:r>
          </w:p>
        </w:tc>
        <w:tc>
          <w:tcPr>
            <w:cnfStyle w:val="000000100000"/>
            <w:tcW w:w="960" w:type="dxa"/>
          </w:tcPr>
          <w:p>
            <w:pPr>
              <w:spacing w:after="200" w:line="276" w:lineRule="auto"/>
              <w:rPr>
                <w:rFonts w:ascii="Arial" w:cs="Arial" w:hAnsi="Arial"/>
                <w:sz w:val="24"/>
                <w:szCs w:val="24"/>
                <w:u w:val="single"/>
                <w:lang w:val="en-US"/>
              </w:rPr>
            </w:pPr>
            <w:r>
              <w:rPr>
                <w:rFonts w:ascii="Arial" w:cs="Arial" w:hAnsi="Arial"/>
                <w:sz w:val="24"/>
                <w:szCs w:val="24"/>
                <w:u w:val="single"/>
                <w:lang w:val="en-US"/>
              </w:rPr>
              <w:t>76,250</w:t>
            </w:r>
          </w:p>
        </w:tc>
        <w:tc>
          <w:tcPr>
            <w:cnfStyle w:val="000000100000"/>
            <w:tcW w:w="960" w:type="dxa"/>
          </w:tcPr>
          <w:p>
            <w:pPr>
              <w:spacing w:after="200" w:line="276" w:lineRule="auto"/>
              <w:rPr>
                <w:rFonts w:ascii="Arial" w:cs="Arial" w:hAnsi="Arial"/>
                <w:b/>
                <w:bCs/>
                <w:sz w:val="24"/>
                <w:szCs w:val="24"/>
                <w:u w:val="single"/>
              </w:rPr>
            </w:pPr>
            <w:r>
              <w:rPr>
                <w:rFonts w:ascii="Arial" w:cs="Arial" w:hAnsi="Arial"/>
                <w:b/>
                <w:bCs/>
                <w:sz w:val="24"/>
                <w:szCs w:val="24"/>
                <w:u w:val="single"/>
              </w:rPr>
              <w:t>X</w:t>
            </w:r>
          </w:p>
        </w:tc>
      </w:tr>
      <w:tr>
        <w:trPr>
          <w:trHeight w:val="1080"/>
        </w:trPr>
        <w:tc>
          <w:tcPr>
            <w:cnfStyle w:val="001000010000"/>
            <w:tcW w:w="5200" w:type="dxa"/>
          </w:tcPr>
          <w:p>
            <w:pPr>
              <w:spacing w:after="200" w:line="276" w:lineRule="auto"/>
              <w:rPr>
                <w:rFonts w:ascii="Arial" w:cs="Arial" w:hAnsi="Arial"/>
                <w:b/>
                <w:bCs/>
                <w:sz w:val="24"/>
                <w:szCs w:val="24"/>
              </w:rPr>
            </w:pPr>
            <w:r>
              <w:rPr>
                <w:rFonts w:ascii="Arial" w:cs="Arial" w:hAnsi="Arial"/>
                <w:b/>
                <w:bCs/>
                <w:sz w:val="24"/>
                <w:szCs w:val="24"/>
              </w:rPr>
              <w:t>Total assets</w:t>
            </w:r>
          </w:p>
        </w:tc>
        <w:tc>
          <w:tcPr>
            <w:cnfStyle w:val="000000010000"/>
            <w:tcW w:w="960" w:type="dxa"/>
          </w:tcPr>
          <w:p>
            <w:pPr>
              <w:spacing w:after="200" w:line="276" w:lineRule="auto"/>
              <w:rPr>
                <w:rFonts w:ascii="Arial" w:cs="Arial" w:hAnsi="Arial"/>
                <w:sz w:val="24"/>
                <w:szCs w:val="24"/>
                <w:lang w:val="en-US"/>
              </w:rPr>
            </w:pPr>
            <w:r>
              <w:rPr>
                <w:rFonts w:ascii="Arial" w:cs="Arial" w:hAnsi="Arial"/>
                <w:sz w:val="24"/>
                <w:szCs w:val="24"/>
              </w:rPr>
              <w:t> </w:t>
            </w:r>
            <w:r>
              <w:rPr>
                <w:rFonts w:ascii="Arial" w:cs="Arial" w:hAnsi="Arial"/>
                <w:sz w:val="24"/>
                <w:szCs w:val="24"/>
                <w:lang w:val="en-US"/>
              </w:rPr>
              <w:t>1,226,975</w:t>
            </w:r>
          </w:p>
        </w:tc>
        <w:tc>
          <w:tcPr>
            <w:cnfStyle w:val="000000010000"/>
            <w:tcW w:w="960" w:type="dxa"/>
          </w:tcPr>
          <w:p>
            <w:pPr>
              <w:spacing w:after="200" w:line="276" w:lineRule="auto"/>
              <w:rPr>
                <w:rFonts w:ascii="Arial" w:cs="Arial" w:hAnsi="Arial"/>
                <w:b/>
                <w:bCs/>
                <w:sz w:val="24"/>
                <w:szCs w:val="24"/>
                <w:u w:val="single"/>
              </w:rPr>
            </w:pPr>
            <w:r>
              <w:rPr>
                <w:rFonts w:ascii="Arial" w:cs="Arial" w:hAnsi="Arial"/>
                <w:b/>
                <w:bCs/>
                <w:sz w:val="24"/>
                <w:szCs w:val="24"/>
                <w:u w:val="single"/>
              </w:rPr>
              <w:t>X</w:t>
            </w:r>
          </w:p>
        </w:tc>
      </w:tr>
      <w:tr>
        <w:trPr>
          <w:trHeight w:val="630"/>
        </w:trPr>
        <w:tc>
          <w:tcPr>
            <w:cnfStyle w:val="001000100000"/>
            <w:tcW w:w="5200" w:type="dxa"/>
          </w:tcPr>
          <w:p>
            <w:pPr>
              <w:spacing w:after="200" w:line="276" w:lineRule="auto"/>
              <w:rPr>
                <w:rFonts w:ascii="Arial" w:cs="Arial" w:hAnsi="Arial"/>
                <w:b/>
                <w:bCs/>
                <w:sz w:val="24"/>
                <w:szCs w:val="24"/>
                <w:u w:val="single"/>
              </w:rPr>
            </w:pPr>
            <w:r>
              <w:rPr>
                <w:rFonts w:ascii="Arial" w:cs="Arial" w:hAnsi="Arial"/>
                <w:b/>
                <w:bCs/>
                <w:sz w:val="24"/>
                <w:szCs w:val="24"/>
                <w:u w:val="single"/>
              </w:rPr>
              <w:t>LIABILITIES</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 </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765"/>
        </w:trPr>
        <w:tc>
          <w:tcPr>
            <w:cnfStyle w:val="001000010000"/>
            <w:tcW w:w="5200" w:type="dxa"/>
          </w:tcPr>
          <w:p>
            <w:pPr>
              <w:spacing w:after="200" w:line="276" w:lineRule="auto"/>
              <w:rPr>
                <w:rFonts w:ascii="Arial" w:cs="Arial" w:hAnsi="Arial"/>
                <w:b/>
                <w:bCs/>
                <w:sz w:val="24"/>
                <w:szCs w:val="24"/>
              </w:rPr>
            </w:pPr>
            <w:r>
              <w:rPr>
                <w:rFonts w:ascii="Arial" w:cs="Arial" w:hAnsi="Arial"/>
                <w:b/>
                <w:bCs/>
                <w:sz w:val="24"/>
                <w:szCs w:val="24"/>
              </w:rPr>
              <w:t>Current liabilities</w:t>
            </w:r>
          </w:p>
        </w:tc>
        <w:tc>
          <w:tcPr>
            <w:cnfStyle w:val="000000010000"/>
            <w:tcW w:w="960" w:type="dxa"/>
          </w:tcPr>
          <w:p>
            <w:pPr>
              <w:spacing w:after="200" w:line="276" w:lineRule="auto"/>
              <w:rPr>
                <w:rFonts w:ascii="Arial" w:cs="Arial" w:hAnsi="Arial"/>
                <w:sz w:val="24"/>
                <w:szCs w:val="24"/>
                <w:lang w:val="en-US"/>
              </w:rPr>
            </w:pPr>
          </w:p>
        </w:tc>
        <w:tc>
          <w:tcPr>
            <w:cnfStyle w:val="000000010000"/>
            <w:tcW w:w="960" w:type="dxa"/>
          </w:tcPr>
          <w:p>
            <w:pPr>
              <w:spacing w:after="200" w:line="276" w:lineRule="auto"/>
              <w:rPr>
                <w:rFonts w:ascii="Arial" w:cs="Arial" w:hAnsi="Arial"/>
                <w:sz w:val="24"/>
                <w:szCs w:val="24"/>
                <w:lang w:val="en-US"/>
              </w:rPr>
            </w:pPr>
            <w:r>
              <w:rPr>
                <w:rFonts w:ascii="Arial" w:cs="Arial" w:hAnsi="Arial"/>
                <w:sz w:val="24"/>
                <w:szCs w:val="24"/>
              </w:rPr>
              <w:t> </w:t>
            </w:r>
            <w:r>
              <w:rPr>
                <w:rFonts w:ascii="Arial" w:cs="Arial" w:hAnsi="Arial"/>
                <w:sz w:val="24"/>
                <w:szCs w:val="24"/>
                <w:lang w:val="en-US"/>
              </w:rPr>
              <w:t>188,625</w:t>
            </w:r>
          </w:p>
        </w:tc>
      </w:tr>
      <w:tr>
        <w:trPr>
          <w:trHeight w:val="1020"/>
        </w:trPr>
        <w:tc>
          <w:tcPr>
            <w:cnfStyle w:val="001000100000"/>
            <w:tcW w:w="5200" w:type="dxa"/>
          </w:tcPr>
          <w:p>
            <w:pPr>
              <w:spacing w:after="200" w:line="276" w:lineRule="auto"/>
              <w:rPr>
                <w:rFonts w:ascii="Arial" w:cs="Arial" w:hAnsi="Arial"/>
                <w:b/>
                <w:bCs/>
                <w:sz w:val="24"/>
                <w:szCs w:val="24"/>
              </w:rPr>
            </w:pPr>
            <w:r>
              <w:rPr>
                <w:rFonts w:ascii="Arial" w:cs="Arial" w:hAnsi="Arial"/>
                <w:b/>
                <w:bCs/>
                <w:sz w:val="24"/>
                <w:szCs w:val="24"/>
              </w:rPr>
              <w:t>Non current liabilities</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X</w:t>
            </w:r>
          </w:p>
        </w:tc>
        <w:tc>
          <w:tcPr>
            <w:cnfStyle w:val="000000100000"/>
            <w:tcW w:w="960" w:type="dxa"/>
          </w:tcPr>
          <w:p>
            <w:pPr>
              <w:spacing w:after="200" w:line="276" w:lineRule="auto"/>
              <w:rPr>
                <w:rFonts w:ascii="Arial" w:cs="Arial" w:hAnsi="Arial"/>
                <w:sz w:val="24"/>
                <w:szCs w:val="24"/>
                <w:lang w:val="en-US"/>
              </w:rPr>
            </w:pPr>
            <w:r>
              <w:rPr>
                <w:rFonts w:ascii="Arial" w:cs="Arial" w:hAnsi="Arial"/>
                <w:sz w:val="24"/>
                <w:szCs w:val="24"/>
              </w:rPr>
              <w:t> </w:t>
            </w:r>
            <w:r>
              <w:rPr>
                <w:rFonts w:ascii="Arial" w:cs="Arial" w:hAnsi="Arial"/>
                <w:sz w:val="24"/>
                <w:szCs w:val="24"/>
                <w:lang w:val="en-US"/>
              </w:rPr>
              <w:t>578,650</w:t>
            </w:r>
          </w:p>
        </w:tc>
      </w:tr>
      <w:tr>
        <w:trPr>
          <w:trHeight w:val="765"/>
        </w:trPr>
        <w:tc>
          <w:tcPr>
            <w:cnfStyle w:val="001000010000"/>
            <w:tcW w:w="5200" w:type="dxa"/>
          </w:tcPr>
          <w:p>
            <w:pPr>
              <w:spacing w:after="200" w:line="276" w:lineRule="auto"/>
              <w:rPr>
                <w:rFonts w:ascii="Arial" w:cs="Arial" w:hAnsi="Arial"/>
                <w:b/>
                <w:bCs/>
                <w:sz w:val="24"/>
                <w:szCs w:val="24"/>
              </w:rPr>
            </w:pPr>
            <w:r>
              <w:rPr>
                <w:rFonts w:ascii="Arial" w:cs="Arial" w:hAnsi="Arial"/>
                <w:b/>
                <w:bCs/>
                <w:sz w:val="24"/>
                <w:szCs w:val="24"/>
              </w:rPr>
              <w:t>Total liabilities</w:t>
            </w:r>
          </w:p>
        </w:tc>
        <w:tc>
          <w:tcPr>
            <w:cnfStyle w:val="000000010000"/>
            <w:tcW w:w="960" w:type="dxa"/>
          </w:tcPr>
          <w:p>
            <w:pPr>
              <w:spacing w:after="200" w:line="276" w:lineRule="auto"/>
              <w:rPr>
                <w:rFonts w:ascii="Arial" w:cs="Arial" w:hAnsi="Arial"/>
                <w:sz w:val="24"/>
                <w:szCs w:val="24"/>
              </w:rPr>
            </w:pPr>
            <w:r>
              <w:rPr>
                <w:rFonts w:ascii="Arial" w:cs="Arial" w:hAnsi="Arial"/>
                <w:sz w:val="24"/>
                <w:szCs w:val="24"/>
              </w:rPr>
              <w:t> </w:t>
            </w:r>
          </w:p>
        </w:tc>
        <w:tc>
          <w:tcPr>
            <w:cnfStyle w:val="000000010000"/>
            <w:tcW w:w="960" w:type="dxa"/>
          </w:tcPr>
          <w:p>
            <w:pPr>
              <w:spacing w:after="200" w:line="276" w:lineRule="auto"/>
              <w:rPr>
                <w:rFonts w:ascii="Arial" w:cs="Arial" w:hAnsi="Arial"/>
                <w:b/>
                <w:bCs/>
                <w:sz w:val="24"/>
                <w:szCs w:val="24"/>
                <w:u w:val="single"/>
                <w:lang w:val="en-US"/>
              </w:rPr>
            </w:pPr>
            <w:r>
              <w:rPr>
                <w:rFonts w:ascii="Arial" w:cs="Arial" w:hAnsi="Arial"/>
                <w:b/>
                <w:bCs/>
                <w:sz w:val="24"/>
                <w:szCs w:val="24"/>
                <w:u w:val="single"/>
                <w:lang w:val="en-US"/>
              </w:rPr>
              <w:t>767275</w:t>
            </w:r>
          </w:p>
        </w:tc>
      </w:tr>
      <w:tr>
        <w:trPr>
          <w:trHeight w:val="630"/>
        </w:trPr>
        <w:tc>
          <w:tcPr>
            <w:cnfStyle w:val="001000100000"/>
            <w:tcW w:w="5200" w:type="dxa"/>
          </w:tcPr>
          <w:p>
            <w:pPr>
              <w:spacing w:after="200" w:line="276" w:lineRule="auto"/>
              <w:rPr>
                <w:rFonts w:ascii="Arial" w:cs="Arial" w:hAnsi="Arial"/>
                <w:b/>
                <w:bCs/>
                <w:sz w:val="24"/>
                <w:szCs w:val="24"/>
                <w:u w:val="single"/>
              </w:rPr>
            </w:pPr>
            <w:r>
              <w:rPr>
                <w:rFonts w:ascii="Arial" w:cs="Arial" w:hAnsi="Arial"/>
                <w:b/>
                <w:bCs/>
                <w:sz w:val="24"/>
                <w:szCs w:val="24"/>
                <w:u w:val="single"/>
              </w:rPr>
              <w:t>EQUITY</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 </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510"/>
        </w:trPr>
        <w:tc>
          <w:tcPr>
            <w:cnfStyle w:val="001000010000"/>
            <w:tcW w:w="5200" w:type="dxa"/>
          </w:tcPr>
          <w:p>
            <w:pPr>
              <w:spacing w:after="200" w:line="276" w:lineRule="auto"/>
              <w:rPr>
                <w:rFonts w:ascii="Arial" w:cs="Arial" w:hAnsi="Arial"/>
                <w:sz w:val="24"/>
                <w:szCs w:val="24"/>
              </w:rPr>
            </w:pPr>
            <w:r>
              <w:rPr>
                <w:rFonts w:ascii="Arial" w:cs="Arial" w:hAnsi="Arial"/>
                <w:sz w:val="24"/>
                <w:szCs w:val="24"/>
              </w:rPr>
              <w:t>Share capital</w:t>
            </w:r>
          </w:p>
        </w:tc>
        <w:tc>
          <w:tcPr>
            <w:cnfStyle w:val="000000010000"/>
            <w:tcW w:w="960" w:type="dxa"/>
          </w:tcPr>
          <w:p>
            <w:pPr>
              <w:spacing w:after="200" w:line="276" w:lineRule="auto"/>
              <w:rPr>
                <w:rFonts w:ascii="Arial" w:cs="Arial" w:hAnsi="Arial"/>
                <w:sz w:val="24"/>
                <w:szCs w:val="24"/>
                <w:lang w:val="en-US"/>
              </w:rPr>
            </w:pPr>
            <w:r>
              <w:rPr>
                <w:rFonts w:ascii="Arial" w:cs="Arial" w:hAnsi="Arial"/>
                <w:sz w:val="24"/>
                <w:szCs w:val="24"/>
                <w:lang w:val="en-US"/>
              </w:rPr>
              <w:t>500,000</w:t>
            </w:r>
          </w:p>
        </w:tc>
        <w:tc>
          <w:tcPr>
            <w:cnfStyle w:val="00000001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510"/>
        </w:trPr>
        <w:tc>
          <w:tcPr>
            <w:cnfStyle w:val="001000100000"/>
            <w:tcW w:w="5200" w:type="dxa"/>
          </w:tcPr>
          <w:p>
            <w:pPr>
              <w:spacing w:after="200" w:line="276" w:lineRule="auto"/>
              <w:rPr>
                <w:rFonts w:ascii="Arial" w:cs="Arial" w:hAnsi="Arial"/>
                <w:sz w:val="24"/>
                <w:szCs w:val="24"/>
              </w:rPr>
            </w:pPr>
            <w:r>
              <w:rPr>
                <w:rFonts w:ascii="Arial" w:cs="Arial" w:hAnsi="Arial"/>
                <w:sz w:val="24"/>
                <w:szCs w:val="24"/>
              </w:rPr>
              <w:t>Share premium</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X</w:t>
            </w:r>
          </w:p>
        </w:tc>
        <w:tc>
          <w:tcPr>
            <w:cnfStyle w:val="00000010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510"/>
        </w:trPr>
        <w:tc>
          <w:tcPr>
            <w:cnfStyle w:val="001000010000"/>
            <w:tcW w:w="5200" w:type="dxa"/>
          </w:tcPr>
          <w:p>
            <w:pPr>
              <w:spacing w:after="200" w:line="276" w:lineRule="auto"/>
              <w:rPr>
                <w:rFonts w:ascii="Arial" w:cs="Arial" w:hAnsi="Arial"/>
                <w:sz w:val="24"/>
                <w:szCs w:val="24"/>
              </w:rPr>
            </w:pPr>
            <w:r>
              <w:rPr>
                <w:rFonts w:ascii="Arial" w:cs="Arial" w:hAnsi="Arial"/>
                <w:sz w:val="24"/>
                <w:szCs w:val="24"/>
              </w:rPr>
              <w:t>Other reserves</w:t>
            </w:r>
          </w:p>
        </w:tc>
        <w:tc>
          <w:tcPr>
            <w:cnfStyle w:val="000000010000"/>
            <w:tcW w:w="960" w:type="dxa"/>
          </w:tcPr>
          <w:p>
            <w:pPr>
              <w:spacing w:after="200" w:line="276" w:lineRule="auto"/>
              <w:rPr>
                <w:rFonts w:ascii="Arial" w:cs="Arial" w:hAnsi="Arial"/>
                <w:sz w:val="24"/>
                <w:szCs w:val="24"/>
              </w:rPr>
            </w:pPr>
            <w:r>
              <w:rPr>
                <w:rFonts w:ascii="Arial" w:cs="Arial" w:hAnsi="Arial"/>
                <w:sz w:val="24"/>
                <w:szCs w:val="24"/>
              </w:rPr>
              <w:t>X</w:t>
            </w:r>
          </w:p>
        </w:tc>
        <w:tc>
          <w:tcPr>
            <w:cnfStyle w:val="000000010000"/>
            <w:tcW w:w="960" w:type="dxa"/>
          </w:tcPr>
          <w:p>
            <w:pPr>
              <w:spacing w:after="200" w:line="276" w:lineRule="auto"/>
              <w:rPr>
                <w:rFonts w:ascii="Arial" w:cs="Arial" w:hAnsi="Arial"/>
                <w:sz w:val="24"/>
                <w:szCs w:val="24"/>
              </w:rPr>
            </w:pPr>
            <w:r>
              <w:rPr>
                <w:rFonts w:ascii="Arial" w:cs="Arial" w:hAnsi="Arial"/>
                <w:sz w:val="24"/>
                <w:szCs w:val="24"/>
              </w:rPr>
              <w:t> </w:t>
            </w:r>
          </w:p>
        </w:tc>
      </w:tr>
      <w:tr>
        <w:trPr>
          <w:trHeight w:val="510"/>
        </w:trPr>
        <w:tc>
          <w:tcPr>
            <w:cnfStyle w:val="001000100000"/>
            <w:tcW w:w="5200" w:type="dxa"/>
          </w:tcPr>
          <w:p>
            <w:pPr>
              <w:spacing w:after="200" w:line="276" w:lineRule="auto"/>
              <w:rPr>
                <w:rFonts w:ascii="Arial" w:cs="Arial" w:hAnsi="Arial"/>
                <w:sz w:val="24"/>
                <w:szCs w:val="24"/>
              </w:rPr>
            </w:pPr>
            <w:r>
              <w:rPr>
                <w:rFonts w:ascii="Arial" w:cs="Arial" w:hAnsi="Arial"/>
                <w:sz w:val="24"/>
                <w:szCs w:val="24"/>
              </w:rPr>
              <w:t>Retained earnings</w:t>
            </w:r>
          </w:p>
        </w:tc>
        <w:tc>
          <w:tcPr>
            <w:cnfStyle w:val="000000100000"/>
            <w:tcW w:w="960" w:type="dxa"/>
            <w:vMerge w:val="restart"/>
          </w:tcPr>
          <w:p>
            <w:pPr>
              <w:spacing w:after="200" w:line="276" w:lineRule="auto"/>
              <w:rPr>
                <w:rFonts w:ascii="Arial" w:cs="Arial" w:hAnsi="Arial"/>
                <w:sz w:val="24"/>
                <w:szCs w:val="24"/>
                <w:u w:val="single"/>
                <w:lang w:val="en-US"/>
              </w:rPr>
            </w:pPr>
            <w:r>
              <w:rPr>
                <w:rFonts w:ascii="Arial" w:cs="Arial" w:hAnsi="Arial"/>
                <w:sz w:val="24"/>
                <w:szCs w:val="24"/>
                <w:u w:val="single"/>
                <w:lang w:val="en-US"/>
              </w:rPr>
              <w:t>132,000</w:t>
            </w:r>
          </w:p>
        </w:tc>
        <w:tc>
          <w:tcPr>
            <w:cnfStyle w:val="000000100000"/>
            <w:tcW w:w="960" w:type="dxa"/>
            <w:vMerge w:val="restart"/>
          </w:tcPr>
          <w:p>
            <w:pPr>
              <w:spacing w:after="200" w:line="276" w:lineRule="auto"/>
              <w:rPr>
                <w:rFonts w:ascii="Arial" w:cs="Arial" w:hAnsi="Arial"/>
                <w:b/>
                <w:bCs/>
                <w:sz w:val="24"/>
                <w:szCs w:val="24"/>
                <w:u w:val="single"/>
              </w:rPr>
            </w:pPr>
            <w:r>
              <w:rPr>
                <w:rFonts w:ascii="Arial" w:cs="Arial" w:hAnsi="Arial"/>
                <w:b/>
                <w:bCs/>
                <w:sz w:val="24"/>
                <w:szCs w:val="24"/>
                <w:u w:val="single"/>
              </w:rPr>
              <w:t>X</w:t>
            </w:r>
          </w:p>
        </w:tc>
      </w:tr>
      <w:tr>
        <w:trPr>
          <w:trHeight w:val="510"/>
        </w:trPr>
        <w:tc>
          <w:tcPr>
            <w:cnfStyle w:val="001000010000"/>
            <w:tcW w:w="5200" w:type="dxa"/>
          </w:tcPr>
          <w:p>
            <w:pPr>
              <w:spacing w:after="200" w:line="276" w:lineRule="auto"/>
              <w:rPr>
                <w:rFonts w:ascii="Arial" w:cs="Arial" w:hAnsi="Arial"/>
                <w:b/>
                <w:bCs/>
                <w:sz w:val="24"/>
                <w:szCs w:val="24"/>
              </w:rPr>
            </w:pPr>
          </w:p>
        </w:tc>
        <w:tc>
          <w:tcPr>
            <w:cnfStyle w:val="000000010000"/>
            <w:tcW w:w="960" w:type="dxa"/>
            <w:vMerge w:val="continue"/>
          </w:tcPr>
          <w:p>
            <w:pPr>
              <w:spacing w:after="200" w:line="276" w:lineRule="auto"/>
              <w:rPr>
                <w:rFonts w:ascii="Arial" w:cs="Arial" w:hAnsi="Arial"/>
                <w:sz w:val="24"/>
                <w:szCs w:val="24"/>
                <w:u w:val="single"/>
              </w:rPr>
            </w:pPr>
          </w:p>
        </w:tc>
        <w:tc>
          <w:tcPr>
            <w:cnfStyle w:val="000000010000"/>
            <w:tcW w:w="960" w:type="dxa"/>
            <w:vMerge w:val="continue"/>
          </w:tcPr>
          <w:p>
            <w:pPr>
              <w:spacing w:after="200" w:line="276" w:lineRule="auto"/>
              <w:rPr>
                <w:rFonts w:ascii="Arial" w:cs="Arial" w:hAnsi="Arial"/>
                <w:b/>
                <w:bCs/>
                <w:sz w:val="24"/>
                <w:szCs w:val="24"/>
                <w:u w:val="single"/>
              </w:rPr>
            </w:pPr>
          </w:p>
        </w:tc>
      </w:tr>
      <w:tr>
        <w:trPr>
          <w:trHeight w:val="465"/>
        </w:trPr>
        <w:tc>
          <w:tcPr>
            <w:cnfStyle w:val="001000100000"/>
            <w:tcW w:w="5200" w:type="dxa"/>
          </w:tcPr>
          <w:p>
            <w:pPr>
              <w:spacing w:after="200" w:line="276" w:lineRule="auto"/>
              <w:rPr>
                <w:rFonts w:ascii="Arial" w:cs="Arial" w:hAnsi="Arial"/>
                <w:sz w:val="24"/>
                <w:szCs w:val="24"/>
              </w:rPr>
            </w:pPr>
            <w:r>
              <w:rPr>
                <w:rFonts w:ascii="Arial" w:cs="Arial" w:hAnsi="Arial"/>
                <w:sz w:val="24"/>
                <w:szCs w:val="24"/>
              </w:rPr>
              <w:t> Total equity</w:t>
            </w:r>
          </w:p>
        </w:tc>
        <w:tc>
          <w:tcPr>
            <w:cnfStyle w:val="000000100000"/>
            <w:tcW w:w="960" w:type="dxa"/>
          </w:tcPr>
          <w:p>
            <w:pPr>
              <w:spacing w:after="200" w:line="276" w:lineRule="auto"/>
              <w:rPr>
                <w:rFonts w:ascii="Arial" w:cs="Arial" w:hAnsi="Arial"/>
                <w:sz w:val="24"/>
                <w:szCs w:val="24"/>
                <w:lang w:val="en-US"/>
              </w:rPr>
            </w:pPr>
            <w:r>
              <w:rPr>
                <w:rFonts w:ascii="Arial" w:cs="Arial" w:hAnsi="Arial"/>
                <w:sz w:val="24"/>
                <w:szCs w:val="24"/>
              </w:rPr>
              <w:t> </w:t>
            </w:r>
            <w:r>
              <w:rPr>
                <w:rFonts w:ascii="Arial" w:cs="Arial" w:hAnsi="Arial"/>
                <w:sz w:val="24"/>
                <w:szCs w:val="24"/>
                <w:lang w:val="en-US"/>
              </w:rPr>
              <w:t>632,000</w:t>
            </w:r>
          </w:p>
        </w:tc>
        <w:tc>
          <w:tcPr>
            <w:cnfStyle w:val="000000100000"/>
            <w:tcW w:w="960" w:type="dxa"/>
          </w:tcPr>
          <w:p>
            <w:pPr>
              <w:spacing w:after="200" w:line="276" w:lineRule="auto"/>
              <w:rPr>
                <w:rFonts w:ascii="Arial" w:cs="Arial" w:hAnsi="Arial"/>
                <w:b/>
                <w:bCs/>
                <w:sz w:val="24"/>
                <w:szCs w:val="24"/>
                <w:u w:val="single"/>
              </w:rPr>
            </w:pPr>
            <w:r>
              <w:rPr>
                <w:rFonts w:ascii="Arial" w:cs="Arial" w:hAnsi="Arial"/>
                <w:b/>
                <w:bCs/>
                <w:sz w:val="24"/>
                <w:szCs w:val="24"/>
                <w:u w:val="single"/>
              </w:rPr>
              <w:t>X</w:t>
            </w:r>
          </w:p>
        </w:tc>
      </w:tr>
    </w:tbl>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b/>
          <w:bCs/>
          <w:sz w:val="24"/>
          <w:szCs w:val="24"/>
          <w:lang w:val="en-US"/>
        </w:rPr>
      </w:pPr>
    </w:p>
    <w:p>
      <w:pPr>
        <w:pStyle w:val="Heading1"/>
        <w:rPr>
          <w:rFonts w:ascii="Arial" w:cs="Arial" w:hAnsi="Arial"/>
          <w:sz w:val="24"/>
          <w:szCs w:val="24"/>
          <w:lang w:val="en-US"/>
        </w:rPr>
      </w:pPr>
      <w:bookmarkStart w:id="3" w:name="_Toc112500225"/>
      <w:r>
        <w:rPr>
          <w:rFonts w:ascii="Arial" w:cs="Arial" w:hAnsi="Arial"/>
          <w:sz w:val="24"/>
          <w:szCs w:val="24"/>
          <w:lang w:val="en-US"/>
        </w:rPr>
        <w:t>Why does the statement of financial position balance?</w:t>
      </w:r>
      <w:bookmarkEnd w:id="3"/>
    </w:p>
    <w:p>
      <w:pPr>
        <w:rPr>
          <w:rFonts w:ascii="Arial" w:cs="Arial" w:hAnsi="Arial"/>
          <w:sz w:val="24"/>
          <w:szCs w:val="24"/>
          <w:lang w:val="en-US"/>
        </w:rPr>
      </w:pPr>
    </w:p>
    <w:p>
      <w:pPr>
        <w:spacing w:line="360" w:lineRule="auto"/>
        <w:jc w:val="both"/>
        <w:rPr>
          <w:rFonts w:ascii="Arial" w:cs="Arial" w:hAnsi="Arial"/>
          <w:sz w:val="24"/>
          <w:szCs w:val="24"/>
          <w:lang w:val="en-US"/>
        </w:rPr>
      </w:pPr>
      <w:r>
        <w:rPr>
          <w:rFonts w:ascii="Arial" w:cs="Arial" w:hAnsi="Arial"/>
          <w:sz w:val="24"/>
          <w:szCs w:val="24"/>
          <w:lang w:val="en-US"/>
        </w:rPr>
        <w:t xml:space="preserve">The concept of the double entry is the fundamental accounting concept that ensures the balancing of a financial report. Due to the fact that every operation is recorded in at minimum two distinct divisions, this budgeting process also acts as a verification to ensure the accuracy of the records. Whenever time money is moved, there must always be a proportion because it affects both sides. What is being done with the money and where it came </w:t>
      </w:r>
      <w:r>
        <w:rPr>
          <w:rFonts w:ascii="Arial" w:cs="Arial" w:hAnsi="Arial"/>
          <w:sz w:val="24"/>
          <w:szCs w:val="24"/>
          <w:lang w:val="en-US"/>
        </w:rPr>
        <w:t>from.</w:t>
      </w:r>
      <w:r>
        <w:rPr>
          <w:rFonts w:ascii="Arial" w:cs="Arial" w:hAnsi="Arial"/>
          <w:sz w:val="24"/>
          <w:szCs w:val="24"/>
          <w:lang w:val="en-US"/>
        </w:rPr>
        <w:t xml:space="preserve"> Therefore, if the double entry bookkeeping system policy is properly implemented, </w:t>
      </w:r>
      <w:r>
        <w:rPr>
          <w:rFonts w:ascii="Arial" w:cs="Arial" w:hAnsi="Arial"/>
          <w:sz w:val="24"/>
          <w:szCs w:val="24"/>
          <w:lang w:val="en-US"/>
        </w:rPr>
        <w:t xml:space="preserve">it will continue to be the same </w:t>
      </w:r>
      <w:r>
        <w:rPr>
          <w:rFonts w:ascii="Arial" w:cs="Arial" w:hAnsi="Arial"/>
          <w:sz w:val="24"/>
          <w:szCs w:val="24"/>
          <w:lang w:val="en-US"/>
        </w:rPr>
        <w:t>(Yang</w:t>
      </w:r>
      <w:r>
        <w:rPr>
          <w:rFonts w:ascii="Arial" w:cs="Arial" w:hAnsi="Arial"/>
          <w:sz w:val="24"/>
          <w:szCs w:val="24"/>
          <w:lang w:val="en-US"/>
        </w:rPr>
        <w:t>,2017</w:t>
      </w:r>
      <w:r>
        <w:rPr>
          <w:rFonts w:ascii="Arial" w:cs="Arial" w:hAnsi="Arial"/>
          <w:sz w:val="24"/>
          <w:szCs w:val="24"/>
          <w:lang w:val="en-US"/>
        </w:rPr>
        <w:t>).</w:t>
      </w:r>
    </w:p>
    <w:p>
      <w:pPr>
        <w:rPr>
          <w:rFonts w:ascii="Arial" w:cs="Arial" w:hAnsi="Arial"/>
          <w:b/>
          <w:bCs/>
          <w:sz w:val="24"/>
          <w:szCs w:val="24"/>
          <w:lang w:val="en-US"/>
        </w:rPr>
      </w:pPr>
      <w:bookmarkStart w:id="4" w:name="_Toc112500226"/>
      <w:r>
        <w:rPr>
          <w:rFonts w:ascii="Arial" w:cs="Arial" w:hAnsi="Arial"/>
          <w:b/>
          <w:bCs/>
          <w:sz w:val="24"/>
          <w:szCs w:val="24"/>
          <w:lang w:val="en-US"/>
        </w:rPr>
        <w:t>QUESTION 2</w:t>
      </w:r>
      <w:bookmarkEnd w:id="4"/>
    </w:p>
    <w:p>
      <w:pPr>
        <w:rPr>
          <w:rFonts w:ascii="Arial" w:cs="Arial" w:hAnsi="Arial"/>
          <w:sz w:val="24"/>
          <w:szCs w:val="24"/>
          <w:lang w:val="en-US"/>
        </w:rPr>
      </w:pPr>
    </w:p>
    <w:p>
      <w:pPr>
        <w:rPr>
          <w:rFonts w:ascii="Arial" w:cs="Arial" w:hAnsi="Arial"/>
          <w:b/>
          <w:bCs/>
          <w:sz w:val="24"/>
          <w:szCs w:val="24"/>
          <w:lang w:val="en-US"/>
        </w:rPr>
      </w:pPr>
      <w:bookmarkStart w:id="5" w:name="_Toc112500227"/>
      <w:r>
        <w:rPr>
          <w:rFonts w:ascii="Arial" w:cs="Arial" w:hAnsi="Arial"/>
          <w:b/>
          <w:bCs/>
          <w:sz w:val="24"/>
          <w:szCs w:val="24"/>
          <w:lang w:val="en-US"/>
        </w:rPr>
        <w:t>Ratios for Sweets plc for 2021 and 2020</w:t>
      </w:r>
      <w:bookmarkEnd w:id="5"/>
    </w:p>
    <w:p>
      <w:pPr>
        <w:rPr>
          <w:rFonts w:ascii="Arial" w:cs="Arial" w:hAnsi="Arial"/>
          <w:sz w:val="24"/>
          <w:szCs w:val="24"/>
          <w:lang w:val="en-US"/>
        </w:rPr>
      </w:pPr>
    </w:p>
    <w:p>
      <w:pPr>
        <w:numPr>
          <w:ilvl w:val="0"/>
          <w:numId w:val="1"/>
        </w:numPr>
        <w:rPr>
          <w:rFonts w:ascii="Arial" w:cs="Arial" w:hAnsi="Arial"/>
          <w:b/>
          <w:sz w:val="24"/>
          <w:szCs w:val="24"/>
          <w:lang w:val="en-US"/>
        </w:rPr>
      </w:pPr>
      <w:r>
        <w:rPr>
          <w:rFonts w:ascii="Arial" w:cs="Arial" w:hAnsi="Arial"/>
          <w:b/>
          <w:sz w:val="24"/>
          <w:szCs w:val="24"/>
          <w:lang w:val="en-US"/>
        </w:rPr>
        <w:t>ROCE</w:t>
      </w:r>
    </w:p>
    <w:p>
      <w:pPr>
        <w:rPr>
          <w:rFonts w:ascii="Arial" w:cs="Arial" w:hAnsi="Arial"/>
          <w:sz w:val="24"/>
          <w:szCs w:val="24"/>
          <w:lang w:val="en-US"/>
        </w:rPr>
      </w:pPr>
      <w:r>
        <w:rPr>
          <w:rFonts w:ascii="Arial" w:cs="Arial" w:hAnsi="Arial"/>
          <w:sz w:val="24"/>
          <w:szCs w:val="24"/>
          <w:lang w:val="en-US"/>
        </w:rPr>
        <w:t xml:space="preserve">ROCE = profit before interest / assets employed * 100% </w:t>
      </w:r>
    </w:p>
    <w:p>
      <w:pPr>
        <w:rPr>
          <w:rFonts w:ascii="Arial" w:cs="Arial" w:hAnsi="Arial"/>
          <w:sz w:val="24"/>
          <w:szCs w:val="24"/>
          <w:lang w:val="en-US"/>
        </w:rPr>
      </w:pPr>
      <w:r>
        <w:rPr>
          <w:rFonts w:ascii="Arial" w:cs="Arial" w:hAnsi="Arial"/>
          <w:sz w:val="24"/>
          <w:szCs w:val="24"/>
          <w:lang w:val="en-US"/>
        </w:rPr>
        <w:t>ROCE 2021= 431 / 2303*100% =0.18</w:t>
      </w:r>
    </w:p>
    <w:p>
      <w:pPr>
        <w:rPr>
          <w:rFonts w:ascii="Arial" w:cs="Arial" w:hAnsi="Arial"/>
          <w:sz w:val="24"/>
          <w:szCs w:val="24"/>
          <w:lang w:val="en-US"/>
        </w:rPr>
      </w:pPr>
      <w:r>
        <w:rPr>
          <w:rFonts w:ascii="Arial" w:cs="Arial" w:hAnsi="Arial"/>
          <w:sz w:val="24"/>
          <w:szCs w:val="24"/>
          <w:lang w:val="en-US"/>
        </w:rPr>
        <w:t>ROCE 2020= 366 / 2356*100% =0.15</w:t>
      </w:r>
    </w:p>
    <w:p>
      <w:pPr>
        <w:numPr>
          <w:ilvl w:val="0"/>
          <w:numId w:val="1"/>
        </w:numPr>
        <w:rPr>
          <w:rFonts w:ascii="Arial" w:cs="Arial" w:hAnsi="Arial"/>
          <w:b/>
          <w:sz w:val="24"/>
          <w:szCs w:val="24"/>
          <w:lang w:val="en-US"/>
        </w:rPr>
      </w:pPr>
      <w:r>
        <w:rPr>
          <w:rFonts w:ascii="Arial" w:cs="Arial" w:hAnsi="Arial"/>
          <w:b/>
          <w:sz w:val="24"/>
          <w:szCs w:val="24"/>
          <w:lang w:val="en-US"/>
        </w:rPr>
        <w:t>ROE</w:t>
      </w:r>
    </w:p>
    <w:p>
      <w:pPr>
        <w:rPr>
          <w:rFonts w:ascii="Arial" w:cs="Arial" w:hAnsi="Arial"/>
          <w:sz w:val="24"/>
          <w:szCs w:val="24"/>
          <w:lang w:val="en-US"/>
        </w:rPr>
      </w:pPr>
      <w:r>
        <w:rPr>
          <w:rFonts w:ascii="Arial" w:cs="Arial" w:hAnsi="Arial"/>
          <w:sz w:val="24"/>
          <w:szCs w:val="24"/>
          <w:lang w:val="en-US"/>
        </w:rPr>
        <w:t xml:space="preserve">ROE= Earnings </w:t>
      </w:r>
      <w:r>
        <w:rPr>
          <w:rFonts w:ascii="Arial" w:cs="Arial" w:hAnsi="Arial"/>
          <w:sz w:val="24"/>
          <w:szCs w:val="24"/>
          <w:lang w:val="en-US"/>
        </w:rPr>
        <w:t>/  Ordinary</w:t>
      </w:r>
      <w:r>
        <w:rPr>
          <w:rFonts w:ascii="Arial" w:cs="Arial" w:hAnsi="Arial"/>
          <w:sz w:val="24"/>
          <w:szCs w:val="24"/>
          <w:lang w:val="en-US"/>
        </w:rPr>
        <w:t xml:space="preserve"> share capital and reserves * 100% =</w:t>
      </w:r>
    </w:p>
    <w:p>
      <w:pPr>
        <w:rPr>
          <w:rFonts w:ascii="Arial" w:cs="Arial" w:hAnsi="Arial"/>
          <w:sz w:val="24"/>
          <w:szCs w:val="24"/>
          <w:lang w:val="en-US"/>
        </w:rPr>
      </w:pPr>
      <w:r>
        <w:rPr>
          <w:rFonts w:ascii="Arial" w:cs="Arial" w:hAnsi="Arial"/>
          <w:sz w:val="24"/>
          <w:szCs w:val="24"/>
          <w:lang w:val="en-US"/>
        </w:rPr>
        <w:t>​</w:t>
      </w:r>
      <w:r>
        <w:rPr>
          <w:rFonts w:ascii="Arial" w:cs="Arial" w:hAnsi="Arial"/>
          <w:sz w:val="24"/>
          <w:szCs w:val="24"/>
        </w:rPr>
        <w:t xml:space="preserve"> </w:t>
      </w:r>
      <w:r>
        <w:rPr>
          <w:rFonts w:ascii="Arial" w:cs="Arial" w:hAnsi="Arial"/>
          <w:sz w:val="24"/>
          <w:szCs w:val="24"/>
          <w:lang w:val="en-US"/>
        </w:rPr>
        <w:t>ROE 2021 = 6738 / 300 *100% =22</w:t>
      </w:r>
    </w:p>
    <w:p>
      <w:pPr>
        <w:rPr>
          <w:rFonts w:ascii="Arial" w:cs="Arial" w:hAnsi="Arial"/>
          <w:sz w:val="24"/>
          <w:szCs w:val="24"/>
          <w:lang w:val="en-US"/>
        </w:rPr>
      </w:pPr>
      <w:r>
        <w:rPr>
          <w:rFonts w:ascii="Arial" w:cs="Arial" w:hAnsi="Arial"/>
          <w:sz w:val="24"/>
          <w:szCs w:val="24"/>
          <w:lang w:val="en-US"/>
        </w:rPr>
        <w:t xml:space="preserve"> ROE 2020 = 6441 / 300 *100% =21</w:t>
      </w:r>
    </w:p>
    <w:p>
      <w:pPr>
        <w:numPr>
          <w:ilvl w:val="0"/>
          <w:numId w:val="1"/>
        </w:numPr>
        <w:rPr>
          <w:rFonts w:ascii="Arial" w:cs="Arial" w:hAnsi="Arial"/>
          <w:b/>
          <w:sz w:val="24"/>
          <w:szCs w:val="24"/>
          <w:lang w:val="en-US"/>
        </w:rPr>
      </w:pPr>
      <w:r>
        <w:rPr>
          <w:rFonts w:ascii="Arial" w:cs="Arial" w:hAnsi="Arial"/>
          <w:b/>
          <w:sz w:val="24"/>
          <w:szCs w:val="24"/>
          <w:lang w:val="en-US"/>
        </w:rPr>
        <w:t>Earnings per share</w:t>
      </w:r>
    </w:p>
    <w:p>
      <w:pPr>
        <w:rPr>
          <w:rFonts w:ascii="Arial" w:cs="Arial" w:hAnsi="Arial"/>
          <w:sz w:val="24"/>
          <w:szCs w:val="24"/>
          <w:lang w:val="en-US"/>
        </w:rPr>
      </w:pPr>
      <w:r>
        <w:rPr>
          <w:rFonts w:ascii="Arial" w:cs="Arial" w:hAnsi="Arial"/>
          <w:sz w:val="24"/>
          <w:szCs w:val="24"/>
          <w:lang w:val="en-US"/>
        </w:rPr>
        <w:t xml:space="preserve">EPS = Earnings / Number of ordinary shares </w:t>
      </w:r>
    </w:p>
    <w:p>
      <w:pPr>
        <w:rPr>
          <w:rFonts w:ascii="Arial" w:cs="Arial" w:hAnsi="Arial"/>
          <w:sz w:val="24"/>
          <w:szCs w:val="24"/>
          <w:lang w:val="en-US"/>
        </w:rPr>
      </w:pPr>
      <w:r>
        <w:rPr>
          <w:rFonts w:ascii="Arial" w:cs="Arial" w:hAnsi="Arial"/>
          <w:sz w:val="24"/>
          <w:szCs w:val="24"/>
          <w:lang w:val="en-US"/>
        </w:rPr>
        <w:t>EPS 2021=6738 / 58593 = 0.11</w:t>
      </w:r>
    </w:p>
    <w:p>
      <w:pPr>
        <w:rPr>
          <w:rFonts w:ascii="Arial" w:cs="Arial" w:hAnsi="Arial"/>
          <w:sz w:val="24"/>
          <w:szCs w:val="24"/>
          <w:lang w:val="en-US"/>
        </w:rPr>
      </w:pPr>
      <w:r>
        <w:rPr>
          <w:rFonts w:ascii="Arial" w:cs="Arial" w:hAnsi="Arial"/>
          <w:sz w:val="24"/>
          <w:szCs w:val="24"/>
          <w:lang w:val="en-US"/>
        </w:rPr>
        <w:t>EPS 2020=6441 / 75000 =0.08</w:t>
      </w:r>
    </w:p>
    <w:p>
      <w:pPr>
        <w:numPr>
          <w:ilvl w:val="0"/>
          <w:numId w:val="1"/>
        </w:numPr>
        <w:rPr>
          <w:rFonts w:ascii="Arial" w:cs="Arial" w:hAnsi="Arial"/>
          <w:b/>
          <w:sz w:val="24"/>
          <w:szCs w:val="24"/>
          <w:lang w:val="en-US"/>
        </w:rPr>
      </w:pPr>
      <w:r>
        <w:rPr>
          <w:rFonts w:ascii="Arial" w:cs="Arial" w:hAnsi="Arial"/>
          <w:b/>
          <w:sz w:val="24"/>
          <w:szCs w:val="24"/>
          <w:lang w:val="en-US"/>
        </w:rPr>
        <w:t>Net profit margin</w:t>
      </w:r>
    </w:p>
    <w:p>
      <w:pPr>
        <w:rPr>
          <w:rFonts w:ascii="Arial" w:cs="Arial" w:hAnsi="Arial"/>
          <w:sz w:val="24"/>
          <w:szCs w:val="24"/>
          <w:lang w:val="en-US"/>
        </w:rPr>
      </w:pPr>
      <w:r>
        <w:rPr>
          <w:rFonts w:ascii="Arial" w:cs="Arial" w:hAnsi="Arial"/>
          <w:sz w:val="24"/>
          <w:szCs w:val="24"/>
          <w:lang w:val="en-US"/>
        </w:rPr>
        <w:t>Net Profit margin = Net Profit ⁄ Total revenue x 100</w:t>
      </w:r>
    </w:p>
    <w:p>
      <w:pPr>
        <w:rPr>
          <w:rFonts w:ascii="Arial" w:cs="Arial" w:hAnsi="Arial"/>
          <w:sz w:val="24"/>
          <w:szCs w:val="24"/>
          <w:lang w:val="en-US"/>
        </w:rPr>
      </w:pPr>
      <w:r>
        <w:rPr>
          <w:rFonts w:ascii="Arial" w:cs="Arial" w:hAnsi="Arial"/>
          <w:sz w:val="24"/>
          <w:szCs w:val="24"/>
          <w:lang w:val="en-US"/>
        </w:rPr>
        <w:t>Net Profit margin 2020= 366 /</w:t>
      </w:r>
      <w:r>
        <w:rPr>
          <w:rFonts w:ascii="Arial" w:cs="Arial" w:hAnsi="Arial"/>
          <w:sz w:val="24"/>
          <w:szCs w:val="24"/>
        </w:rPr>
        <w:t xml:space="preserve"> </w:t>
      </w:r>
      <w:r>
        <w:rPr>
          <w:rFonts w:ascii="Arial" w:cs="Arial" w:hAnsi="Arial"/>
          <w:sz w:val="24"/>
          <w:szCs w:val="24"/>
          <w:lang w:val="en-US"/>
        </w:rPr>
        <w:t>6,441 x 100 =5.68</w:t>
      </w:r>
    </w:p>
    <w:p>
      <w:pPr>
        <w:rPr>
          <w:rFonts w:ascii="Arial" w:cs="Arial" w:hAnsi="Arial"/>
          <w:sz w:val="24"/>
          <w:szCs w:val="24"/>
          <w:lang w:val="en-US"/>
        </w:rPr>
      </w:pPr>
      <w:r>
        <w:rPr>
          <w:rFonts w:ascii="Arial" w:cs="Arial" w:hAnsi="Arial"/>
          <w:sz w:val="24"/>
          <w:szCs w:val="24"/>
          <w:lang w:val="en-US"/>
        </w:rPr>
        <w:t>Net Profit margin 2021= 431 / 6,738 x 100 =6.39</w:t>
      </w:r>
    </w:p>
    <w:p>
      <w:pPr>
        <w:rPr>
          <w:rFonts w:ascii="Arial" w:cs="Arial" w:hAnsi="Arial"/>
          <w:b/>
          <w:sz w:val="24"/>
          <w:szCs w:val="24"/>
          <w:lang w:val="en-US"/>
        </w:rPr>
      </w:pPr>
      <w:r>
        <w:rPr>
          <w:rFonts w:ascii="Arial" w:cs="Arial" w:hAnsi="Arial"/>
          <w:b/>
          <w:sz w:val="24"/>
          <w:szCs w:val="24"/>
          <w:lang w:val="en-US"/>
        </w:rPr>
        <w:t>5- Asset turnover</w:t>
      </w:r>
    </w:p>
    <w:p>
      <w:pPr>
        <w:rPr>
          <w:rFonts w:ascii="Arial" w:cs="Arial" w:hAnsi="Arial"/>
          <w:sz w:val="24"/>
          <w:szCs w:val="24"/>
          <w:lang w:val="en-US"/>
        </w:rPr>
      </w:pPr>
      <w:r>
        <w:rPr>
          <w:rFonts w:ascii="Arial" w:cs="Arial" w:hAnsi="Arial"/>
          <w:sz w:val="24"/>
          <w:szCs w:val="24"/>
          <w:lang w:val="en-US"/>
        </w:rPr>
        <w:t>Asset turnover = Sales Revenue / Total Assets (CA + FA)</w:t>
      </w:r>
    </w:p>
    <w:p>
      <w:pPr>
        <w:rPr>
          <w:rFonts w:ascii="Arial" w:cs="Arial" w:hAnsi="Arial"/>
          <w:sz w:val="24"/>
          <w:szCs w:val="24"/>
          <w:lang w:val="en-US"/>
        </w:rPr>
      </w:pPr>
      <w:r>
        <w:rPr>
          <w:rFonts w:ascii="Arial" w:cs="Arial" w:hAnsi="Arial"/>
          <w:sz w:val="24"/>
          <w:szCs w:val="24"/>
          <w:lang w:val="en-US"/>
        </w:rPr>
        <w:t>Asset turnover 2021= 6,738 / 9,736 = 0.69</w:t>
      </w:r>
    </w:p>
    <w:p>
      <w:pPr>
        <w:rPr>
          <w:rFonts w:ascii="Arial" w:cs="Arial" w:hAnsi="Arial"/>
          <w:sz w:val="24"/>
          <w:szCs w:val="24"/>
          <w:lang w:val="en-US"/>
        </w:rPr>
      </w:pPr>
      <w:r>
        <w:rPr>
          <w:rFonts w:ascii="Arial" w:cs="Arial" w:hAnsi="Arial"/>
          <w:sz w:val="24"/>
          <w:szCs w:val="24"/>
          <w:lang w:val="en-US"/>
        </w:rPr>
        <w:t>Asset turnover 2020= 6,441 / 10,087 = 0.64</w:t>
      </w:r>
    </w:p>
    <w:p>
      <w:pPr>
        <w:numPr>
          <w:ilvl w:val="0"/>
          <w:numId w:val="1"/>
        </w:numPr>
        <w:rPr>
          <w:rFonts w:ascii="Arial" w:cs="Arial" w:hAnsi="Arial"/>
          <w:b/>
          <w:sz w:val="24"/>
          <w:szCs w:val="24"/>
          <w:lang w:val="en-US"/>
        </w:rPr>
      </w:pPr>
      <w:r>
        <w:rPr>
          <w:rFonts w:ascii="Arial" w:cs="Arial" w:hAnsi="Arial"/>
          <w:b/>
          <w:sz w:val="24"/>
          <w:szCs w:val="24"/>
          <w:lang w:val="en-US"/>
        </w:rPr>
        <w:t>Stock holding days</w:t>
      </w:r>
    </w:p>
    <w:p>
      <w:pPr>
        <w:rPr>
          <w:rFonts w:ascii="Arial" w:cs="Arial" w:hAnsi="Arial"/>
          <w:b/>
          <w:sz w:val="24"/>
          <w:szCs w:val="24"/>
          <w:lang w:val="en-US"/>
        </w:rPr>
      </w:pPr>
      <w:r>
        <w:rPr>
          <w:rFonts w:ascii="Arial" w:cs="Arial" w:hAnsi="Arial"/>
          <w:b/>
          <w:sz w:val="24"/>
          <w:szCs w:val="24"/>
          <w:lang w:val="en-US"/>
        </w:rPr>
        <w:t>Stock holding days = (Average Inventory / Cost of goods sold</w:t>
      </w:r>
      <w:r>
        <w:rPr>
          <w:rFonts w:ascii="Arial" w:cs="Arial" w:hAnsi="Arial"/>
          <w:b/>
          <w:sz w:val="24"/>
          <w:szCs w:val="24"/>
          <w:lang w:val="en-US"/>
        </w:rPr>
        <w:t>)×</w:t>
      </w:r>
      <w:r>
        <w:rPr>
          <w:rFonts w:ascii="Arial" w:cs="Arial" w:hAnsi="Arial"/>
          <w:b/>
          <w:sz w:val="24"/>
          <w:szCs w:val="24"/>
          <w:lang w:val="en-US"/>
        </w:rPr>
        <w:t>365</w:t>
      </w:r>
    </w:p>
    <w:p>
      <w:pPr>
        <w:rPr>
          <w:rFonts w:ascii="Arial" w:cs="Arial" w:hAnsi="Arial"/>
          <w:sz w:val="24"/>
          <w:szCs w:val="24"/>
          <w:lang w:val="en-US"/>
        </w:rPr>
      </w:pPr>
      <w:r>
        <w:rPr>
          <w:rFonts w:ascii="Arial" w:cs="Arial" w:hAnsi="Arial"/>
          <w:sz w:val="24"/>
          <w:szCs w:val="24"/>
          <w:lang w:val="en-US"/>
        </w:rPr>
        <w:t>Stock holding days 2021 = 708 / 3235×365 = 80</w:t>
      </w:r>
    </w:p>
    <w:p>
      <w:pPr>
        <w:rPr>
          <w:rFonts w:ascii="Arial" w:cs="Arial" w:hAnsi="Arial"/>
          <w:sz w:val="24"/>
          <w:szCs w:val="24"/>
          <w:lang w:val="en-US"/>
        </w:rPr>
      </w:pPr>
      <w:r>
        <w:rPr>
          <w:rFonts w:ascii="Arial" w:cs="Arial" w:hAnsi="Arial"/>
          <w:sz w:val="24"/>
          <w:szCs w:val="24"/>
          <w:lang w:val="en-US"/>
        </w:rPr>
        <w:t>Stock holding days 2020 = 659 / 3096×365 =77</w:t>
      </w:r>
    </w:p>
    <w:p>
      <w:pPr>
        <w:rPr>
          <w:rFonts w:ascii="Arial" w:cs="Arial" w:hAnsi="Arial"/>
          <w:b/>
          <w:sz w:val="24"/>
          <w:szCs w:val="24"/>
          <w:lang w:val="en-US"/>
        </w:rPr>
      </w:pPr>
    </w:p>
    <w:p>
      <w:pPr>
        <w:numPr>
          <w:ilvl w:val="0"/>
          <w:numId w:val="1"/>
        </w:numPr>
        <w:rPr>
          <w:rFonts w:ascii="Arial" w:cs="Arial" w:hAnsi="Arial"/>
          <w:b/>
          <w:sz w:val="24"/>
          <w:szCs w:val="24"/>
          <w:lang w:val="en-US"/>
        </w:rPr>
      </w:pPr>
      <w:r>
        <w:rPr>
          <w:rFonts w:ascii="Arial" w:cs="Arial" w:hAnsi="Arial"/>
          <w:b/>
          <w:sz w:val="24"/>
          <w:szCs w:val="24"/>
          <w:lang w:val="en-US"/>
        </w:rPr>
        <w:t>Debtors collection period</w:t>
      </w:r>
    </w:p>
    <w:p>
      <w:pPr>
        <w:rPr>
          <w:rFonts w:ascii="Arial" w:cs="Arial" w:hAnsi="Arial"/>
          <w:sz w:val="24"/>
          <w:szCs w:val="24"/>
          <w:lang w:val="en-US"/>
        </w:rPr>
      </w:pPr>
      <w:r>
        <w:rPr>
          <w:rFonts w:ascii="Arial" w:cs="Arial" w:hAnsi="Arial"/>
          <w:sz w:val="24"/>
          <w:szCs w:val="24"/>
          <w:lang w:val="en-US"/>
        </w:rPr>
        <w:t>Debtors collection period= (trade receivables/cost of sales) * 365 days (or a different period of time such as financial year)</w:t>
      </w:r>
    </w:p>
    <w:p>
      <w:pPr>
        <w:rPr>
          <w:rFonts w:ascii="Arial" w:cs="Arial" w:hAnsi="Arial"/>
          <w:sz w:val="24"/>
          <w:szCs w:val="24"/>
          <w:lang w:val="en-US"/>
        </w:rPr>
      </w:pPr>
      <w:r>
        <w:rPr>
          <w:rFonts w:ascii="Arial" w:cs="Arial" w:hAnsi="Arial"/>
          <w:sz w:val="24"/>
          <w:szCs w:val="24"/>
          <w:lang w:val="en-US"/>
        </w:rPr>
        <w:t>Debtors</w:t>
      </w:r>
      <w:r>
        <w:rPr>
          <w:rFonts w:ascii="Arial" w:cs="Arial" w:hAnsi="Arial"/>
          <w:sz w:val="24"/>
          <w:szCs w:val="24"/>
          <w:lang w:val="en-US"/>
        </w:rPr>
        <w:t xml:space="preserve"> collection period 2021=</w:t>
      </w:r>
      <w:r>
        <w:rPr>
          <w:rFonts w:ascii="Arial" w:cs="Arial" w:hAnsi="Arial"/>
          <w:sz w:val="24"/>
          <w:szCs w:val="24"/>
        </w:rPr>
        <w:t xml:space="preserve"> </w:t>
      </w:r>
      <w:r>
        <w:rPr>
          <w:rFonts w:ascii="Arial" w:cs="Arial" w:hAnsi="Arial"/>
          <w:sz w:val="24"/>
          <w:szCs w:val="24"/>
          <w:lang w:val="en-US"/>
        </w:rPr>
        <w:t>1,249 / 3235 * 365 = 140</w:t>
      </w:r>
    </w:p>
    <w:p>
      <w:pPr>
        <w:rPr>
          <w:rFonts w:ascii="Arial" w:cs="Arial" w:hAnsi="Arial"/>
          <w:sz w:val="24"/>
          <w:szCs w:val="24"/>
          <w:lang w:val="en-US"/>
        </w:rPr>
      </w:pPr>
      <w:r>
        <w:rPr>
          <w:rFonts w:ascii="Arial" w:cs="Arial" w:hAnsi="Arial"/>
          <w:sz w:val="24"/>
          <w:szCs w:val="24"/>
          <w:lang w:val="en-US"/>
        </w:rPr>
        <w:t>Debtors</w:t>
      </w:r>
      <w:r>
        <w:rPr>
          <w:rFonts w:ascii="Arial" w:cs="Arial" w:hAnsi="Arial"/>
          <w:sz w:val="24"/>
          <w:szCs w:val="24"/>
          <w:lang w:val="en-US"/>
        </w:rPr>
        <w:t xml:space="preserve"> collection period 2020=</w:t>
      </w:r>
      <w:r>
        <w:rPr>
          <w:rFonts w:ascii="Arial" w:cs="Arial" w:hAnsi="Arial"/>
          <w:sz w:val="24"/>
          <w:szCs w:val="24"/>
        </w:rPr>
        <w:t xml:space="preserve"> </w:t>
      </w:r>
      <w:r>
        <w:rPr>
          <w:rFonts w:ascii="Arial" w:cs="Arial" w:hAnsi="Arial"/>
          <w:sz w:val="24"/>
          <w:szCs w:val="24"/>
          <w:lang w:val="en-US"/>
        </w:rPr>
        <w:t>1,287 / 3096 * 365 = 151</w:t>
      </w:r>
    </w:p>
    <w:p>
      <w:pPr>
        <w:rPr>
          <w:rFonts w:ascii="Arial" w:cs="Arial" w:hAnsi="Arial"/>
          <w:sz w:val="24"/>
          <w:szCs w:val="24"/>
          <w:lang w:val="en-US"/>
        </w:rPr>
      </w:pPr>
      <w:r>
        <w:rPr>
          <w:rFonts w:ascii="Arial" w:cs="Arial" w:hAnsi="Arial"/>
          <w:sz w:val="24"/>
          <w:szCs w:val="24"/>
          <w:lang w:val="en-US"/>
        </w:rPr>
        <w:t>The debtor collection period ratio is calculated by dividing the amount owed by trade debtors by the annual sales on credit and multiplying by 365</w:t>
      </w:r>
    </w:p>
    <w:p>
      <w:pPr>
        <w:rPr>
          <w:rFonts w:ascii="Arial" w:cs="Arial" w:hAnsi="Arial"/>
          <w:b/>
          <w:sz w:val="24"/>
          <w:szCs w:val="24"/>
          <w:lang w:val="en-US"/>
        </w:rPr>
      </w:pPr>
      <w:r>
        <w:rPr>
          <w:rFonts w:ascii="Arial" w:cs="Arial" w:hAnsi="Arial"/>
          <w:b/>
          <w:sz w:val="24"/>
          <w:szCs w:val="24"/>
          <w:lang w:val="en-US"/>
        </w:rPr>
        <w:t>8- Current ratio</w:t>
      </w:r>
    </w:p>
    <w:p>
      <w:pPr>
        <w:rPr>
          <w:rFonts w:ascii="Arial" w:cs="Arial" w:hAnsi="Arial"/>
          <w:sz w:val="24"/>
          <w:szCs w:val="24"/>
          <w:lang w:val="en-US"/>
        </w:rPr>
      </w:pPr>
      <w:r>
        <w:rPr>
          <w:rFonts w:ascii="Arial" w:cs="Arial" w:hAnsi="Arial"/>
          <w:sz w:val="24"/>
          <w:szCs w:val="24"/>
          <w:lang w:val="en-US"/>
        </w:rPr>
        <w:t>Current Ratio = Current assets ÷ Current liabilities</w:t>
      </w:r>
    </w:p>
    <w:p>
      <w:pPr>
        <w:rPr>
          <w:rFonts w:ascii="Arial" w:cs="Arial" w:hAnsi="Arial"/>
          <w:sz w:val="24"/>
          <w:szCs w:val="24"/>
          <w:lang w:val="en-US"/>
        </w:rPr>
      </w:pPr>
      <w:r>
        <w:rPr>
          <w:rFonts w:ascii="Arial" w:cs="Arial" w:hAnsi="Arial"/>
          <w:sz w:val="24"/>
          <w:szCs w:val="24"/>
          <w:lang w:val="en-US"/>
        </w:rPr>
        <w:t>Current Ratio 2021 = 2,303 / 2,511 = 0.91</w:t>
      </w:r>
    </w:p>
    <w:p>
      <w:pPr>
        <w:rPr>
          <w:rFonts w:ascii="Arial" w:cs="Arial" w:hAnsi="Arial"/>
          <w:sz w:val="24"/>
          <w:szCs w:val="24"/>
          <w:lang w:val="en-US"/>
        </w:rPr>
      </w:pPr>
      <w:r>
        <w:rPr>
          <w:rFonts w:ascii="Arial" w:cs="Arial" w:hAnsi="Arial"/>
          <w:sz w:val="24"/>
          <w:szCs w:val="24"/>
          <w:lang w:val="en-US"/>
        </w:rPr>
        <w:t>Current Ratio 2020 =</w:t>
      </w:r>
      <w:r>
        <w:rPr>
          <w:rFonts w:ascii="Arial" w:cs="Arial" w:hAnsi="Arial"/>
          <w:sz w:val="24"/>
          <w:szCs w:val="24"/>
        </w:rPr>
        <w:t xml:space="preserve"> </w:t>
      </w:r>
      <w:r>
        <w:rPr>
          <w:rFonts w:ascii="Arial" w:cs="Arial" w:hAnsi="Arial"/>
          <w:sz w:val="24"/>
          <w:szCs w:val="24"/>
          <w:lang w:val="en-US"/>
        </w:rPr>
        <w:t>2,355 / 3,046 = 0.77</w:t>
      </w:r>
    </w:p>
    <w:p>
      <w:pPr>
        <w:rPr>
          <w:rFonts w:ascii="Arial" w:cs="Arial" w:hAnsi="Arial"/>
          <w:b/>
          <w:sz w:val="24"/>
          <w:szCs w:val="24"/>
          <w:lang w:val="en-US"/>
        </w:rPr>
      </w:pPr>
    </w:p>
    <w:p>
      <w:pPr>
        <w:rPr>
          <w:rFonts w:ascii="Arial" w:cs="Arial" w:hAnsi="Arial"/>
          <w:b/>
          <w:sz w:val="24"/>
          <w:szCs w:val="24"/>
          <w:lang w:val="en-US"/>
        </w:rPr>
      </w:pPr>
      <w:r>
        <w:rPr>
          <w:rFonts w:ascii="Arial" w:cs="Arial" w:hAnsi="Arial"/>
          <w:b/>
          <w:sz w:val="24"/>
          <w:szCs w:val="24"/>
          <w:lang w:val="en-US"/>
        </w:rPr>
        <w:t>9- Gearing ratio</w:t>
      </w:r>
    </w:p>
    <w:p>
      <w:pPr>
        <w:rPr>
          <w:rFonts w:ascii="Arial" w:cs="Arial" w:hAnsi="Arial"/>
          <w:sz w:val="24"/>
          <w:szCs w:val="24"/>
          <w:lang w:val="en-US"/>
        </w:rPr>
      </w:pPr>
      <w:r>
        <w:rPr>
          <w:rFonts w:ascii="Arial" w:cs="Arial" w:hAnsi="Arial"/>
          <w:sz w:val="24"/>
          <w:szCs w:val="24"/>
          <w:lang w:val="en-US"/>
        </w:rPr>
        <w:t>Gearing Ratio =</w:t>
      </w:r>
      <w:r>
        <w:rPr>
          <w:rFonts w:ascii="Arial" w:cs="Arial" w:hAnsi="Arial"/>
          <w:sz w:val="24"/>
          <w:szCs w:val="24"/>
          <w:lang w:val="en-US"/>
        </w:rPr>
        <w:tab/>
        <w:t>D/E</w:t>
      </w:r>
    </w:p>
    <w:p>
      <w:pPr>
        <w:rPr>
          <w:rFonts w:ascii="Arial" w:cs="Arial" w:hAnsi="Arial"/>
          <w:sz w:val="24"/>
          <w:szCs w:val="24"/>
          <w:lang w:val="en-US"/>
        </w:rPr>
      </w:pPr>
      <w:r>
        <w:rPr>
          <w:rFonts w:ascii="Arial" w:cs="Arial" w:hAnsi="Arial"/>
          <w:sz w:val="24"/>
          <w:szCs w:val="24"/>
          <w:lang w:val="en-US"/>
        </w:rPr>
        <w:t>Gearing Ratio 2020 = 2,912 / 10,087 = 0.29</w:t>
      </w:r>
    </w:p>
    <w:p>
      <w:pPr>
        <w:rPr>
          <w:rFonts w:ascii="Arial" w:cs="Arial" w:hAnsi="Arial"/>
          <w:sz w:val="24"/>
          <w:szCs w:val="24"/>
          <w:lang w:val="en-US"/>
        </w:rPr>
      </w:pPr>
      <w:r>
        <w:rPr>
          <w:rFonts w:ascii="Arial" w:cs="Arial" w:hAnsi="Arial"/>
          <w:sz w:val="24"/>
          <w:szCs w:val="24"/>
          <w:lang w:val="en-US"/>
        </w:rPr>
        <w:t>Gearing Ratio 2021 =</w:t>
      </w:r>
      <w:r>
        <w:rPr>
          <w:rFonts w:ascii="Arial" w:cs="Arial" w:hAnsi="Arial"/>
          <w:sz w:val="24"/>
          <w:szCs w:val="24"/>
        </w:rPr>
        <w:t xml:space="preserve"> </w:t>
      </w:r>
      <w:r>
        <w:rPr>
          <w:rFonts w:ascii="Arial" w:cs="Arial" w:hAnsi="Arial"/>
          <w:sz w:val="24"/>
          <w:szCs w:val="24"/>
          <w:lang w:val="en-US"/>
        </w:rPr>
        <w:t>3,088 / 9,736 = 0.32</w:t>
      </w:r>
    </w:p>
    <w:p>
      <w:pPr>
        <w:rPr>
          <w:rFonts w:ascii="Arial" w:cs="Arial" w:hAnsi="Arial"/>
          <w:sz w:val="24"/>
          <w:szCs w:val="24"/>
          <w:lang w:val="en-US"/>
        </w:rPr>
      </w:pPr>
      <w:r>
        <w:rPr>
          <w:rFonts w:ascii="Arial" w:cs="Arial" w:hAnsi="Arial"/>
          <w:sz w:val="24"/>
          <w:szCs w:val="24"/>
          <w:lang w:val="en-US"/>
        </w:rPr>
        <w:t>The gearing ratio calculated by dividing total debt by total capital (which equals total debt plus shareholders equity)</w:t>
      </w:r>
    </w:p>
    <w:p>
      <w:pPr>
        <w:jc w:val="both"/>
        <w:rPr>
          <w:rFonts w:ascii="Arial" w:cs="Arial" w:hAnsi="Arial"/>
          <w:sz w:val="24"/>
          <w:szCs w:val="24"/>
          <w:lang w:val="en-US"/>
        </w:rPr>
      </w:pPr>
      <w:r>
        <w:rPr>
          <w:rFonts w:ascii="Arial" w:cs="Arial" w:hAnsi="Arial"/>
          <w:sz w:val="24"/>
          <w:szCs w:val="24"/>
          <w:lang w:val="en-US"/>
        </w:rPr>
        <w:t>Where D is the current liabilities, which includes both long- and short-term debt that is investment and includes things like bonds, bank borrowings, etc. It also consists of other investor commitments, such as lease payments and retirement benefits. Ordinary shares, extra paid investment, net assets, irredeemable preference shares, etc. are all included in what is known to as shareholders equity (</w:t>
      </w:r>
      <w:r>
        <w:rPr>
          <w:rFonts w:ascii="Arial" w:cs="Arial" w:hAnsi="Arial"/>
          <w:sz w:val="24"/>
          <w:szCs w:val="24"/>
          <w:lang w:val="en-US"/>
        </w:rPr>
        <w:t>Duchac</w:t>
      </w:r>
      <w:r>
        <w:rPr>
          <w:rFonts w:ascii="Arial" w:cs="Arial" w:hAnsi="Arial"/>
          <w:sz w:val="24"/>
          <w:szCs w:val="24"/>
          <w:lang w:val="en-US"/>
        </w:rPr>
        <w:t>,2016</w:t>
      </w:r>
      <w:r>
        <w:rPr>
          <w:rFonts w:ascii="Arial" w:cs="Arial" w:hAnsi="Arial"/>
          <w:sz w:val="24"/>
          <w:szCs w:val="24"/>
          <w:lang w:val="en-US"/>
        </w:rPr>
        <w:t>).</w:t>
      </w:r>
    </w:p>
    <w:p>
      <w:pPr>
        <w:rPr>
          <w:rFonts w:ascii="Arial" w:cs="Arial" w:hAnsi="Arial"/>
          <w:b/>
          <w:sz w:val="24"/>
          <w:szCs w:val="24"/>
          <w:lang w:val="en-US"/>
        </w:rPr>
      </w:pPr>
      <w:r>
        <w:rPr>
          <w:rFonts w:ascii="Arial" w:cs="Arial" w:hAnsi="Arial"/>
          <w:b/>
          <w:sz w:val="24"/>
          <w:szCs w:val="24"/>
          <w:lang w:val="en-US"/>
        </w:rPr>
        <w:t>10- Interest cover</w:t>
      </w:r>
    </w:p>
    <w:p>
      <w:pPr>
        <w:rPr>
          <w:rFonts w:ascii="Arial" w:cs="Arial" w:hAnsi="Arial"/>
          <w:b/>
          <w:sz w:val="24"/>
          <w:szCs w:val="24"/>
          <w:lang w:val="en-US"/>
        </w:rPr>
      </w:pPr>
      <w:r>
        <w:rPr>
          <w:rFonts w:ascii="Arial" w:cs="Arial" w:hAnsi="Arial"/>
          <w:b/>
          <w:sz w:val="24"/>
          <w:szCs w:val="24"/>
          <w:lang w:val="en-US"/>
        </w:rPr>
        <w:t>Interest cover = Operating profit ÷ Interest payable</w:t>
      </w:r>
    </w:p>
    <w:p>
      <w:pPr>
        <w:rPr>
          <w:rFonts w:ascii="Arial" w:cs="Arial" w:hAnsi="Arial"/>
          <w:sz w:val="24"/>
          <w:szCs w:val="24"/>
          <w:lang w:val="en-US"/>
        </w:rPr>
      </w:pPr>
      <w:r>
        <w:rPr>
          <w:rFonts w:ascii="Arial" w:cs="Arial" w:hAnsi="Arial"/>
          <w:sz w:val="24"/>
          <w:szCs w:val="24"/>
          <w:lang w:val="en-US"/>
        </w:rPr>
        <w:t>Interest cover 2021= 805 / 226 = 3.56</w:t>
      </w:r>
    </w:p>
    <w:p>
      <w:pPr>
        <w:rPr>
          <w:rFonts w:ascii="Arial" w:cs="Arial" w:hAnsi="Arial"/>
          <w:sz w:val="24"/>
          <w:szCs w:val="24"/>
          <w:lang w:val="en-US"/>
        </w:rPr>
      </w:pPr>
      <w:r>
        <w:rPr>
          <w:rFonts w:ascii="Arial" w:cs="Arial" w:hAnsi="Arial"/>
          <w:sz w:val="24"/>
          <w:szCs w:val="24"/>
          <w:lang w:val="en-US"/>
        </w:rPr>
        <w:t>Interest cover 2020= 699 / 181 = 3.86</w:t>
      </w:r>
    </w:p>
    <w:p>
      <w:pPr>
        <w:rPr>
          <w:rFonts w:ascii="Arial" w:cs="Arial" w:hAnsi="Arial"/>
          <w:b/>
          <w:bCs/>
          <w:sz w:val="24"/>
          <w:szCs w:val="24"/>
          <w:lang w:val="en-US"/>
        </w:rPr>
      </w:pPr>
    </w:p>
    <w:p>
      <w:pPr>
        <w:pStyle w:val="Heading1"/>
        <w:rPr>
          <w:rFonts w:ascii="Arial" w:cs="Arial" w:hAnsi="Arial"/>
          <w:sz w:val="24"/>
          <w:szCs w:val="24"/>
          <w:lang w:val="en-US"/>
        </w:rPr>
      </w:pPr>
      <w:bookmarkStart w:id="6" w:name="_Toc112500228"/>
      <w:r>
        <w:rPr>
          <w:rFonts w:ascii="Arial" w:cs="Arial" w:hAnsi="Arial"/>
          <w:sz w:val="24"/>
          <w:szCs w:val="24"/>
          <w:lang w:val="en-US"/>
        </w:rPr>
        <w:t>Using the information in the financial statements and the ratios you have calculated, comment on the financial performance and position of Sweets plc.</w:t>
      </w:r>
      <w:bookmarkEnd w:id="6"/>
    </w:p>
    <w:p>
      <w:pPr>
        <w:rPr>
          <w:rFonts w:ascii="Arial" w:cs="Arial" w:hAnsi="Arial"/>
          <w:sz w:val="24"/>
          <w:szCs w:val="24"/>
          <w:lang w:val="en-US"/>
        </w:rPr>
      </w:pPr>
    </w:p>
    <w:p>
      <w:pPr>
        <w:rPr>
          <w:rFonts w:ascii="Arial" w:cs="Arial" w:hAnsi="Arial"/>
          <w:sz w:val="24"/>
          <w:szCs w:val="24"/>
          <w:lang w:val="en-US"/>
        </w:rPr>
      </w:pPr>
    </w:p>
    <w:p>
      <w:pPr>
        <w:jc w:val="both"/>
        <w:rPr>
          <w:rFonts w:ascii="Arial" w:cs="Arial" w:hAnsi="Arial"/>
          <w:sz w:val="24"/>
          <w:szCs w:val="24"/>
          <w:lang w:val="en-US"/>
        </w:rPr>
      </w:pPr>
      <w:r>
        <w:rPr>
          <w:rFonts w:ascii="Arial" w:cs="Arial" w:hAnsi="Arial"/>
          <w:sz w:val="24"/>
          <w:szCs w:val="24"/>
          <w:lang w:val="en-US"/>
        </w:rPr>
        <w:t xml:space="preserve">It is clear that Sweets Plc is failing because </w:t>
      </w:r>
      <w:r>
        <w:rPr>
          <w:rFonts w:ascii="Arial" w:cs="Arial" w:hAnsi="Arial"/>
          <w:sz w:val="24"/>
          <w:szCs w:val="24"/>
          <w:lang w:val="en-US"/>
        </w:rPr>
        <w:t>its ROCE accomplishment for 2021 were</w:t>
      </w:r>
      <w:r>
        <w:rPr>
          <w:rFonts w:ascii="Arial" w:cs="Arial" w:hAnsi="Arial"/>
          <w:sz w:val="24"/>
          <w:szCs w:val="24"/>
          <w:lang w:val="en-US"/>
        </w:rPr>
        <w:t xml:space="preserve"> 0.18 and for 2020 is 0.15. Considering ROCE and profit are associated, the higher it is, the better the results will be for the company. Companies with ROCE levels above 20 frequently run smoothly and deliver favorable outcomes.</w:t>
      </w:r>
    </w:p>
    <w:p>
      <w:pPr>
        <w:jc w:val="both"/>
        <w:rPr>
          <w:rFonts w:ascii="Arial" w:cs="Arial" w:hAnsi="Arial"/>
          <w:sz w:val="24"/>
          <w:szCs w:val="24"/>
          <w:lang w:val="en-US"/>
        </w:rPr>
      </w:pPr>
      <w:r>
        <w:rPr>
          <w:rFonts w:ascii="Arial" w:cs="Arial" w:hAnsi="Arial"/>
          <w:sz w:val="24"/>
          <w:szCs w:val="24"/>
          <w:lang w:val="en-US"/>
        </w:rPr>
        <w:t>The years included in the ROE ratio are 2020-2021 and 2021-2022. ROE is used to compare the financial performance of companies in the same sector. It measures the senior leadership team's ability to turn a profit with the equity at hand. A recovery of 15% to 20% is considered to be favorable. Based on the financial property, the ROE accomplishment i</w:t>
      </w:r>
      <w:r>
        <w:rPr>
          <w:rFonts w:ascii="Arial" w:cs="Arial" w:hAnsi="Arial"/>
          <w:sz w:val="24"/>
          <w:szCs w:val="24"/>
          <w:lang w:val="en-US"/>
        </w:rPr>
        <w:t xml:space="preserve">s good and should be maintained </w:t>
      </w:r>
      <w:r>
        <w:rPr>
          <w:rFonts w:ascii="Arial" w:cs="Arial" w:hAnsi="Arial"/>
          <w:sz w:val="24"/>
          <w:szCs w:val="24"/>
          <w:lang w:val="en-US"/>
        </w:rPr>
        <w:t>(Howieson</w:t>
      </w:r>
      <w:r>
        <w:rPr>
          <w:rFonts w:ascii="Arial" w:cs="Arial" w:hAnsi="Arial"/>
          <w:sz w:val="24"/>
          <w:szCs w:val="24"/>
          <w:lang w:val="en-US"/>
        </w:rPr>
        <w:t>,2015</w:t>
      </w:r>
      <w:r>
        <w:rPr>
          <w:rFonts w:ascii="Arial" w:cs="Arial" w:hAnsi="Arial"/>
          <w:sz w:val="24"/>
          <w:szCs w:val="24"/>
          <w:lang w:val="en-US"/>
        </w:rPr>
        <w:t>).</w:t>
      </w:r>
    </w:p>
    <w:p>
      <w:pPr>
        <w:jc w:val="both"/>
        <w:rPr>
          <w:rFonts w:ascii="Arial" w:cs="Arial" w:hAnsi="Arial"/>
          <w:sz w:val="24"/>
          <w:szCs w:val="24"/>
          <w:lang w:val="en-US"/>
        </w:rPr>
      </w:pPr>
      <w:r>
        <w:rPr>
          <w:rFonts w:ascii="Arial" w:cs="Arial" w:hAnsi="Arial"/>
          <w:sz w:val="24"/>
          <w:szCs w:val="24"/>
          <w:lang w:val="en-US"/>
        </w:rPr>
        <w:t>Given that the currency market current annual P/E ratio is around 20 and 25, a PE ratio above that zone would be detrimental, while one below it might be helpful. In our example, the corporation expects its profits per share to be 0.11 in 2021 and 0.08 in 2020, showing satisfactory accuracy for this ratio. The current total for our company is about 10, which shows that the outcomes are subpar and calls for strategic decisions and actions to raise the net profit margin over the long haul. When the net profit margin is higher than 20%, it is considered to be very good. There is an immediate necessity development as this ratio is only 5.68 for 2020 and 6.39 for 2021.</w:t>
      </w:r>
      <w:r>
        <w:rPr>
          <w:rFonts w:ascii="Arial" w:cs="Arial" w:hAnsi="Arial"/>
          <w:sz w:val="24"/>
          <w:szCs w:val="24"/>
          <w:lang w:val="en-US"/>
        </w:rPr>
        <w:t xml:space="preserve"> </w:t>
      </w:r>
    </w:p>
    <w:p>
      <w:pPr>
        <w:jc w:val="both"/>
        <w:rPr>
          <w:rFonts w:ascii="Arial" w:cs="Arial" w:hAnsi="Arial"/>
          <w:sz w:val="24"/>
          <w:szCs w:val="24"/>
          <w:lang w:val="en-US"/>
        </w:rPr>
      </w:pPr>
      <w:r>
        <w:rPr>
          <w:rFonts w:ascii="Arial" w:cs="Arial" w:hAnsi="Arial"/>
          <w:sz w:val="24"/>
          <w:szCs w:val="24"/>
          <w:lang w:val="en-US"/>
        </w:rPr>
        <w:t xml:space="preserve">The ratio of asset turnover increases as an organization's operational strength increases. </w:t>
      </w:r>
      <w:r>
        <w:rPr>
          <w:rFonts w:ascii="Arial" w:cs="Arial" w:hAnsi="Arial"/>
          <w:sz w:val="24"/>
          <w:szCs w:val="24"/>
          <w:lang w:val="en-US"/>
        </w:rPr>
        <w:t xml:space="preserve">Asset turnover ratio for our firm is exceedingly low, with 2020 showing a value of 0.64 and 2021 displaying a value of 0.69. This shows that we have a problem </w:t>
      </w:r>
      <w:r>
        <w:rPr>
          <w:rFonts w:ascii="Arial" w:cs="Arial" w:hAnsi="Arial"/>
          <w:sz w:val="24"/>
          <w:szCs w:val="24"/>
          <w:lang w:val="en-US"/>
        </w:rPr>
        <w:t>utilising</w:t>
      </w:r>
      <w:r>
        <w:rPr>
          <w:rFonts w:ascii="Arial" w:cs="Arial" w:hAnsi="Arial"/>
          <w:sz w:val="24"/>
          <w:szCs w:val="24"/>
          <w:lang w:val="en-US"/>
        </w:rPr>
        <w:t xml:space="preserve"> the business profits successfully and to boost the creation of </w:t>
      </w:r>
      <w:r>
        <w:rPr>
          <w:rFonts w:ascii="Arial" w:cs="Arial" w:hAnsi="Arial"/>
          <w:sz w:val="24"/>
          <w:szCs w:val="24"/>
          <w:lang w:val="en-US"/>
        </w:rPr>
        <w:t>outcomes for the business in the short and long term. A healthy asset turnover ratio for the majority of businesses is between 5 and 10, which means that you should replenish and sell your merchandise every one to two months. This ratio strikes a good compromise between maintaining adequate inventory levels and avoiding unnecessary reorder points. The business's 2020 and 2021 financial reports show that the inventories was retained amon</w:t>
      </w:r>
      <w:r>
        <w:rPr>
          <w:rFonts w:ascii="Arial" w:cs="Arial" w:hAnsi="Arial"/>
          <w:sz w:val="24"/>
          <w:szCs w:val="24"/>
          <w:lang w:val="en-US"/>
        </w:rPr>
        <w:t xml:space="preserve">g distributions in our scenario </w:t>
      </w:r>
      <w:r>
        <w:rPr>
          <w:rFonts w:ascii="Arial" w:cs="Arial" w:hAnsi="Arial"/>
          <w:sz w:val="24"/>
          <w:szCs w:val="24"/>
          <w:lang w:val="en-US"/>
        </w:rPr>
        <w:t>(Iskandar</w:t>
      </w:r>
      <w:r>
        <w:rPr>
          <w:rFonts w:ascii="Arial" w:cs="Arial" w:hAnsi="Arial"/>
          <w:sz w:val="24"/>
          <w:szCs w:val="24"/>
          <w:lang w:val="en-US"/>
        </w:rPr>
        <w:t>,2015</w:t>
      </w:r>
      <w:r>
        <w:rPr>
          <w:rFonts w:ascii="Arial" w:cs="Arial" w:hAnsi="Arial"/>
          <w:sz w:val="24"/>
          <w:szCs w:val="24"/>
          <w:lang w:val="en-US"/>
        </w:rPr>
        <w:t>).</w:t>
      </w:r>
    </w:p>
    <w:p>
      <w:pPr>
        <w:jc w:val="both"/>
        <w:rPr>
          <w:rFonts w:ascii="Arial" w:cs="Arial" w:hAnsi="Arial"/>
          <w:sz w:val="24"/>
          <w:szCs w:val="24"/>
          <w:lang w:val="en-US"/>
        </w:rPr>
      </w:pPr>
      <w:r>
        <w:rPr>
          <w:rFonts w:ascii="Arial" w:cs="Arial" w:hAnsi="Arial"/>
          <w:sz w:val="24"/>
          <w:szCs w:val="24"/>
          <w:lang w:val="en-US"/>
        </w:rPr>
        <w:t xml:space="preserve">The majority of industry professionals agree that if a company offers a two-month interest-free payment terms, the collecting duration should be 90 days or fewer. This period of time serves as an example of how long it takes to actually send and receive credit payments after a payment transaction. In this case, the borrowers' collection periods are substantially longer than the typical 90 days at 151 days for 2020 and 140 days for 2021. The leadership must make more wise decisions in order </w:t>
      </w:r>
      <w:r>
        <w:rPr>
          <w:rFonts w:ascii="Arial" w:cs="Arial" w:hAnsi="Arial"/>
          <w:sz w:val="24"/>
          <w:szCs w:val="24"/>
          <w:lang w:val="en-US"/>
        </w:rPr>
        <w:t>to lower this quantity (Houston</w:t>
      </w:r>
      <w:r>
        <w:rPr>
          <w:rFonts w:ascii="Arial" w:cs="Arial" w:hAnsi="Arial"/>
          <w:sz w:val="24"/>
          <w:szCs w:val="24"/>
          <w:lang w:val="en-US"/>
        </w:rPr>
        <w:t>,2021</w:t>
      </w:r>
      <w:r>
        <w:rPr>
          <w:rFonts w:ascii="Arial" w:cs="Arial" w:hAnsi="Arial"/>
          <w:sz w:val="24"/>
          <w:szCs w:val="24"/>
          <w:lang w:val="en-US"/>
        </w:rPr>
        <w:t>).</w:t>
      </w:r>
    </w:p>
    <w:p>
      <w:pPr>
        <w:jc w:val="both"/>
        <w:rPr>
          <w:rFonts w:ascii="Arial" w:cs="Arial" w:hAnsi="Arial"/>
          <w:color w:val="ff0000"/>
          <w:sz w:val="24"/>
          <w:szCs w:val="24"/>
          <w:lang w:val="en-US"/>
        </w:rPr>
      </w:pPr>
      <w:r>
        <w:rPr>
          <w:rFonts w:ascii="Arial" w:cs="Arial" w:hAnsi="Arial"/>
          <w:sz w:val="24"/>
          <w:szCs w:val="24"/>
          <w:lang w:val="en-US"/>
        </w:rPr>
        <w:t>A company's ability to meet current requirements is determined by its current ratio. The company won't have that much cash available to cover all of its urgent payments if it's less than 1.00. The current ratios for our business are 0.77 for 2020 and 0.91 for 2021, which show that we don't have enough cash available to cover short-term obligations. This requires immediate particular attention from the management in order to optimize the result. Lenders and investors frequently view a gearing ratio below 25% as limited risk.</w:t>
      </w:r>
      <w:r>
        <w:rPr>
          <w:rFonts w:ascii="Arial" w:cs="Arial" w:hAnsi="Arial"/>
          <w:sz w:val="24"/>
          <w:szCs w:val="24"/>
          <w:lang w:val="en-US"/>
        </w:rPr>
        <w:t xml:space="preserve"> </w:t>
      </w:r>
      <w:r>
        <w:rPr>
          <w:rFonts w:ascii="Arial" w:cs="Arial" w:hAnsi="Arial"/>
          <w:sz w:val="24"/>
          <w:szCs w:val="24"/>
          <w:lang w:val="en-US"/>
        </w:rPr>
        <w:t>A gearing ratio anywhere between 25% and 50% is frequently seen as ideal or typical for very well businesses. Our company's estimations employ a gearing ratio of 0.29 for 2020 and 0.32 for 2021, which shows that the outcome is detrimental to creditors and investors and ca</w:t>
      </w:r>
      <w:r>
        <w:rPr>
          <w:rFonts w:ascii="Arial" w:cs="Arial" w:hAnsi="Arial"/>
          <w:sz w:val="24"/>
          <w:szCs w:val="24"/>
          <w:lang w:val="en-US"/>
        </w:rPr>
        <w:t>lls for leadership modification</w:t>
      </w:r>
      <w:r>
        <w:rPr>
          <w:rFonts w:ascii="Arial" w:cs="Arial" w:hAnsi="Arial"/>
          <w:sz w:val="24"/>
          <w:szCs w:val="24"/>
          <w:lang w:val="en-US"/>
        </w:rPr>
        <w:t xml:space="preserve"> (Cathey</w:t>
      </w:r>
      <w:r>
        <w:rPr>
          <w:rFonts w:ascii="Arial" w:cs="Arial" w:hAnsi="Arial"/>
          <w:sz w:val="24"/>
          <w:szCs w:val="24"/>
          <w:lang w:val="en-US"/>
        </w:rPr>
        <w:t>,2022</w:t>
      </w:r>
      <w:r>
        <w:rPr>
          <w:rFonts w:ascii="Arial" w:cs="Arial" w:hAnsi="Arial"/>
          <w:sz w:val="24"/>
          <w:szCs w:val="24"/>
          <w:lang w:val="en-US"/>
        </w:rPr>
        <w:t>).</w:t>
      </w:r>
    </w:p>
    <w:p>
      <w:pPr>
        <w:jc w:val="both"/>
        <w:rPr>
          <w:rFonts w:ascii="Arial" w:cs="Arial" w:hAnsi="Arial"/>
          <w:sz w:val="24"/>
          <w:szCs w:val="24"/>
          <w:lang w:val="en-US"/>
        </w:rPr>
      </w:pPr>
      <w:r>
        <w:rPr>
          <w:rFonts w:ascii="Arial" w:cs="Arial" w:hAnsi="Arial"/>
          <w:sz w:val="24"/>
          <w:szCs w:val="24"/>
          <w:lang w:val="en-US"/>
        </w:rPr>
        <w:t>An ideal payout ratio for analysts is three or higher. A corporation is not in outstanding financial shape if its coverage ratio is below one, which shows that it cannot fulfill its current investor responsibilities. Our company's results for 2020 and 2021 are 3.86 and 3.56, respectively. This shows that the expense ratio is not in an advantageous position and that management must take action to make sure that the current paying amount can be paid without issue.</w:t>
      </w: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rPr>
          <w:rFonts w:ascii="Arial" w:cs="Arial" w:hAnsi="Arial"/>
          <w:sz w:val="24"/>
          <w:szCs w:val="24"/>
          <w:lang w:val="en-US"/>
        </w:rPr>
      </w:pPr>
    </w:p>
    <w:p>
      <w:pPr>
        <w:pStyle w:val="Heading1"/>
        <w:rPr>
          <w:rFonts w:ascii="Arial" w:cs="Arial" w:hAnsi="Arial"/>
          <w:sz w:val="24"/>
          <w:szCs w:val="24"/>
          <w:lang w:val="en-US"/>
        </w:rPr>
      </w:pPr>
    </w:p>
    <w:p>
      <w:pPr>
        <w:pStyle w:val="Heading1"/>
        <w:rPr>
          <w:rFonts w:ascii="Arial" w:cs="Arial" w:hAnsi="Arial"/>
          <w:sz w:val="24"/>
          <w:szCs w:val="24"/>
          <w:lang w:val="en-US"/>
        </w:rPr>
      </w:pPr>
      <w:r>
        <w:rPr>
          <w:rFonts w:ascii="Arial" w:cs="Arial" w:hAnsi="Arial"/>
          <w:sz w:val="24"/>
          <w:szCs w:val="24"/>
          <w:lang w:val="en-US"/>
        </w:rPr>
        <w:t>Referencing list</w:t>
      </w:r>
    </w:p>
    <w:p>
      <w:pPr>
        <w:rPr>
          <w:rFonts w:ascii="Arial" w:cs="Arial" w:hAnsi="Arial"/>
          <w:sz w:val="24"/>
          <w:szCs w:val="24"/>
          <w:lang w:val="en-US"/>
        </w:rPr>
      </w:pPr>
    </w:p>
    <w:p>
      <w:pPr>
        <w:jc w:val="both"/>
        <w:rPr>
          <w:rFonts w:ascii="Arial" w:cs="Arial" w:hAnsi="Arial"/>
          <w:sz w:val="24"/>
          <w:szCs w:val="24"/>
          <w:lang w:val="en-US"/>
        </w:rPr>
      </w:pPr>
      <w:r>
        <w:rPr>
          <w:rFonts w:ascii="Arial" w:cs="Arial" w:hAnsi="Arial"/>
          <w:sz w:val="24"/>
          <w:szCs w:val="24"/>
          <w:lang w:val="en-US"/>
        </w:rPr>
        <w:t>Bangsa</w:t>
      </w:r>
      <w:r>
        <w:rPr>
          <w:rFonts w:ascii="Arial" w:cs="Arial" w:hAnsi="Arial"/>
          <w:sz w:val="24"/>
          <w:szCs w:val="24"/>
          <w:lang w:val="en-US"/>
        </w:rPr>
        <w:t xml:space="preserve">, A.B. and </w:t>
      </w:r>
      <w:r>
        <w:rPr>
          <w:rFonts w:ascii="Arial" w:cs="Arial" w:hAnsi="Arial"/>
          <w:sz w:val="24"/>
          <w:szCs w:val="24"/>
          <w:lang w:val="en-US"/>
        </w:rPr>
        <w:t>Schlegelmilch</w:t>
      </w:r>
      <w:r>
        <w:rPr>
          <w:rFonts w:ascii="Arial" w:cs="Arial" w:hAnsi="Arial"/>
          <w:sz w:val="24"/>
          <w:szCs w:val="24"/>
          <w:lang w:val="en-US"/>
        </w:rPr>
        <w:t xml:space="preserve">, B.B., 2020. </w:t>
      </w:r>
      <w:r>
        <w:rPr>
          <w:rFonts w:ascii="Arial" w:cs="Arial" w:hAnsi="Arial"/>
          <w:sz w:val="24"/>
          <w:szCs w:val="24"/>
          <w:lang w:val="en-US"/>
        </w:rPr>
        <w:t>Linking sustainable product attributes and consumer decision-making: Insights from a systematic review.</w:t>
      </w:r>
      <w:r>
        <w:rPr>
          <w:rFonts w:ascii="Arial" w:cs="Arial" w:hAnsi="Arial"/>
          <w:sz w:val="24"/>
          <w:szCs w:val="24"/>
          <w:lang w:val="en-US"/>
        </w:rPr>
        <w:t xml:space="preserve"> </w:t>
      </w:r>
      <w:r>
        <w:rPr>
          <w:rFonts w:ascii="Arial" w:cs="Arial" w:hAnsi="Arial"/>
          <w:sz w:val="24"/>
          <w:szCs w:val="24"/>
          <w:lang w:val="en-US"/>
        </w:rPr>
        <w:t>Journal of Cleaner Production, 245, p.118902.</w:t>
      </w:r>
    </w:p>
    <w:p>
      <w:pPr>
        <w:jc w:val="both"/>
        <w:rPr>
          <w:rFonts w:ascii="Arial" w:cs="Arial" w:hAnsi="Arial"/>
          <w:sz w:val="24"/>
          <w:szCs w:val="24"/>
          <w:lang w:val="en-US"/>
        </w:rPr>
      </w:pPr>
      <w:r>
        <w:rPr>
          <w:rFonts w:ascii="Arial" w:cs="Arial" w:hAnsi="Arial"/>
          <w:sz w:val="24"/>
          <w:szCs w:val="24"/>
          <w:lang w:val="en-US"/>
        </w:rPr>
        <w:t xml:space="preserve">Brigham, E.F. and Houston, J.F., 2021. </w:t>
      </w:r>
      <w:r>
        <w:rPr>
          <w:rFonts w:ascii="Arial" w:cs="Arial" w:hAnsi="Arial"/>
          <w:sz w:val="24"/>
          <w:szCs w:val="24"/>
          <w:lang w:val="en-US"/>
        </w:rPr>
        <w:t>Fundamentals of financial management.</w:t>
      </w:r>
      <w:r>
        <w:rPr>
          <w:rFonts w:ascii="Arial" w:cs="Arial" w:hAnsi="Arial"/>
          <w:sz w:val="24"/>
          <w:szCs w:val="24"/>
          <w:lang w:val="en-US"/>
        </w:rPr>
        <w:t xml:space="preserve"> Cengage Learning.</w:t>
      </w:r>
    </w:p>
    <w:p>
      <w:pPr>
        <w:jc w:val="both"/>
        <w:rPr>
          <w:rFonts w:ascii="Arial" w:cs="Arial" w:hAnsi="Arial"/>
          <w:sz w:val="24"/>
          <w:szCs w:val="24"/>
          <w:lang w:val="en-US"/>
        </w:rPr>
      </w:pPr>
      <w:r>
        <w:rPr>
          <w:rFonts w:ascii="Arial" w:cs="Arial" w:hAnsi="Arial"/>
          <w:sz w:val="24"/>
          <w:szCs w:val="24"/>
          <w:lang w:val="en-US"/>
        </w:rPr>
        <w:t>Choiriah</w:t>
      </w:r>
      <w:r>
        <w:rPr>
          <w:rFonts w:ascii="Arial" w:cs="Arial" w:hAnsi="Arial"/>
          <w:sz w:val="24"/>
          <w:szCs w:val="24"/>
          <w:lang w:val="en-US"/>
        </w:rPr>
        <w:t xml:space="preserve">, S. and </w:t>
      </w:r>
      <w:r>
        <w:rPr>
          <w:rFonts w:ascii="Arial" w:cs="Arial" w:hAnsi="Arial"/>
          <w:sz w:val="24"/>
          <w:szCs w:val="24"/>
          <w:lang w:val="en-US"/>
        </w:rPr>
        <w:t>Sudibyo</w:t>
      </w:r>
      <w:r>
        <w:rPr>
          <w:rFonts w:ascii="Arial" w:cs="Arial" w:hAnsi="Arial"/>
          <w:sz w:val="24"/>
          <w:szCs w:val="24"/>
          <w:lang w:val="en-US"/>
        </w:rPr>
        <w:t>, Y.A., 2020.</w:t>
      </w:r>
      <w:r>
        <w:rPr>
          <w:rFonts w:ascii="Arial" w:cs="Arial" w:hAnsi="Arial"/>
          <w:sz w:val="24"/>
          <w:szCs w:val="24"/>
          <w:lang w:val="en-US"/>
        </w:rPr>
        <w:t xml:space="preserve"> </w:t>
      </w:r>
      <w:r>
        <w:rPr>
          <w:rFonts w:ascii="Arial" w:cs="Arial" w:hAnsi="Arial"/>
          <w:sz w:val="24"/>
          <w:szCs w:val="24"/>
          <w:lang w:val="en-US"/>
        </w:rPr>
        <w:t>Competitive Advantage, Organizational Culture and Sustainable Leadership on the Success of Management Accounting Information System Implementation.</w:t>
      </w:r>
      <w:r>
        <w:rPr>
          <w:rFonts w:ascii="Arial" w:cs="Arial" w:hAnsi="Arial"/>
          <w:sz w:val="24"/>
          <w:szCs w:val="24"/>
          <w:lang w:val="en-US"/>
        </w:rPr>
        <w:t xml:space="preserve"> </w:t>
      </w:r>
      <w:r>
        <w:rPr>
          <w:rFonts w:ascii="Arial" w:cs="Arial" w:hAnsi="Arial"/>
          <w:sz w:val="24"/>
          <w:szCs w:val="24"/>
          <w:lang w:val="en-US"/>
        </w:rPr>
        <w:t>Saudi Journal of Economics and Finance, 4(9), pp.481-486.</w:t>
      </w:r>
    </w:p>
    <w:p>
      <w:pPr>
        <w:jc w:val="both"/>
        <w:rPr>
          <w:rFonts w:ascii="Arial" w:cs="Arial" w:hAnsi="Arial"/>
          <w:sz w:val="24"/>
          <w:szCs w:val="24"/>
          <w:lang w:val="en-US"/>
        </w:rPr>
      </w:pPr>
      <w:r>
        <w:rPr>
          <w:rFonts w:ascii="Arial" w:cs="Arial" w:hAnsi="Arial"/>
          <w:sz w:val="24"/>
          <w:szCs w:val="24"/>
          <w:lang w:val="en-US"/>
        </w:rPr>
        <w:t>Grossi</w:t>
      </w:r>
      <w:r>
        <w:rPr>
          <w:rFonts w:ascii="Arial" w:cs="Arial" w:hAnsi="Arial"/>
          <w:sz w:val="24"/>
          <w:szCs w:val="24"/>
          <w:lang w:val="en-US"/>
        </w:rPr>
        <w:t xml:space="preserve">, G., </w:t>
      </w:r>
      <w:r>
        <w:rPr>
          <w:rFonts w:ascii="Arial" w:cs="Arial" w:hAnsi="Arial"/>
          <w:sz w:val="24"/>
          <w:szCs w:val="24"/>
          <w:lang w:val="en-US"/>
        </w:rPr>
        <w:t>Kallio</w:t>
      </w:r>
      <w:r>
        <w:rPr>
          <w:rFonts w:ascii="Arial" w:cs="Arial" w:hAnsi="Arial"/>
          <w:sz w:val="24"/>
          <w:szCs w:val="24"/>
          <w:lang w:val="en-US"/>
        </w:rPr>
        <w:t xml:space="preserve">, K.M., </w:t>
      </w:r>
      <w:r>
        <w:rPr>
          <w:rFonts w:ascii="Arial" w:cs="Arial" w:hAnsi="Arial"/>
          <w:sz w:val="24"/>
          <w:szCs w:val="24"/>
          <w:lang w:val="en-US"/>
        </w:rPr>
        <w:t>Sargiacomo</w:t>
      </w:r>
      <w:r>
        <w:rPr>
          <w:rFonts w:ascii="Arial" w:cs="Arial" w:hAnsi="Arial"/>
          <w:sz w:val="24"/>
          <w:szCs w:val="24"/>
          <w:lang w:val="en-US"/>
        </w:rPr>
        <w:t>, M. and Skoog, M., 2019.</w:t>
      </w:r>
      <w:r>
        <w:rPr>
          <w:rFonts w:ascii="Arial" w:cs="Arial" w:hAnsi="Arial"/>
          <w:sz w:val="24"/>
          <w:szCs w:val="24"/>
          <w:lang w:val="en-US"/>
        </w:rPr>
        <w:t xml:space="preserve"> Accounting, performance management systems and accountability changes in knowledge-intensive public organizations: a literature review and research agenda. </w:t>
      </w:r>
      <w:r>
        <w:rPr>
          <w:rFonts w:ascii="Arial" w:cs="Arial" w:hAnsi="Arial"/>
          <w:sz w:val="24"/>
          <w:szCs w:val="24"/>
          <w:lang w:val="en-US"/>
        </w:rPr>
        <w:t>Accounting, Auditing &amp; Accountability Journal, 33(1), pp.256-280.</w:t>
      </w:r>
    </w:p>
    <w:p>
      <w:pPr>
        <w:jc w:val="both"/>
        <w:rPr>
          <w:rFonts w:ascii="Arial" w:cs="Arial" w:hAnsi="Arial"/>
          <w:sz w:val="24"/>
          <w:szCs w:val="24"/>
          <w:lang w:val="en-US"/>
        </w:rPr>
      </w:pPr>
      <w:r>
        <w:rPr>
          <w:rFonts w:ascii="Arial" w:cs="Arial" w:hAnsi="Arial"/>
          <w:sz w:val="24"/>
          <w:szCs w:val="24"/>
          <w:lang w:val="en-US"/>
        </w:rPr>
        <w:t xml:space="preserve">Henderson, S., </w:t>
      </w:r>
      <w:r>
        <w:rPr>
          <w:rFonts w:ascii="Arial" w:cs="Arial" w:hAnsi="Arial"/>
          <w:sz w:val="24"/>
          <w:szCs w:val="24"/>
          <w:lang w:val="en-US"/>
        </w:rPr>
        <w:t>Peirson</w:t>
      </w:r>
      <w:r>
        <w:rPr>
          <w:rFonts w:ascii="Arial" w:cs="Arial" w:hAnsi="Arial"/>
          <w:sz w:val="24"/>
          <w:szCs w:val="24"/>
          <w:lang w:val="en-US"/>
        </w:rPr>
        <w:t xml:space="preserve">, G., </w:t>
      </w:r>
      <w:r>
        <w:rPr>
          <w:rFonts w:ascii="Arial" w:cs="Arial" w:hAnsi="Arial"/>
          <w:sz w:val="24"/>
          <w:szCs w:val="24"/>
          <w:lang w:val="en-US"/>
        </w:rPr>
        <w:t>Herbohn</w:t>
      </w:r>
      <w:r>
        <w:rPr>
          <w:rFonts w:ascii="Arial" w:cs="Arial" w:hAnsi="Arial"/>
          <w:sz w:val="24"/>
          <w:szCs w:val="24"/>
          <w:lang w:val="en-US"/>
        </w:rPr>
        <w:t xml:space="preserve">, K. and </w:t>
      </w:r>
      <w:r>
        <w:rPr>
          <w:rFonts w:ascii="Arial" w:cs="Arial" w:hAnsi="Arial"/>
          <w:sz w:val="24"/>
          <w:szCs w:val="24"/>
          <w:lang w:val="en-US"/>
        </w:rPr>
        <w:t>Howieson</w:t>
      </w:r>
      <w:r>
        <w:rPr>
          <w:rFonts w:ascii="Arial" w:cs="Arial" w:hAnsi="Arial"/>
          <w:sz w:val="24"/>
          <w:szCs w:val="24"/>
          <w:lang w:val="en-US"/>
        </w:rPr>
        <w:t>, B., 2015.</w:t>
      </w:r>
      <w:r>
        <w:rPr>
          <w:rFonts w:ascii="Arial" w:cs="Arial" w:hAnsi="Arial"/>
          <w:sz w:val="24"/>
          <w:szCs w:val="24"/>
          <w:lang w:val="en-US"/>
        </w:rPr>
        <w:t xml:space="preserve"> </w:t>
      </w:r>
      <w:r>
        <w:rPr>
          <w:rFonts w:ascii="Arial" w:cs="Arial" w:hAnsi="Arial"/>
          <w:sz w:val="24"/>
          <w:szCs w:val="24"/>
          <w:lang w:val="en-US"/>
        </w:rPr>
        <w:t>Issues in financial accounting.</w:t>
      </w:r>
      <w:r>
        <w:rPr>
          <w:rFonts w:ascii="Arial" w:cs="Arial" w:hAnsi="Arial"/>
          <w:sz w:val="24"/>
          <w:szCs w:val="24"/>
          <w:lang w:val="en-US"/>
        </w:rPr>
        <w:t xml:space="preserve"> </w:t>
      </w:r>
      <w:r>
        <w:rPr>
          <w:rFonts w:ascii="Arial" w:cs="Arial" w:hAnsi="Arial"/>
          <w:sz w:val="24"/>
          <w:szCs w:val="24"/>
          <w:lang w:val="en-US"/>
        </w:rPr>
        <w:t>Pearson Higher Education AU.</w:t>
      </w:r>
    </w:p>
    <w:p>
      <w:pPr>
        <w:jc w:val="both"/>
        <w:rPr>
          <w:rFonts w:ascii="Arial" w:cs="Arial" w:hAnsi="Arial"/>
          <w:sz w:val="24"/>
          <w:szCs w:val="24"/>
          <w:lang w:val="en-US"/>
        </w:rPr>
      </w:pPr>
      <w:r>
        <w:rPr>
          <w:rFonts w:ascii="Arial" w:cs="Arial" w:hAnsi="Arial"/>
          <w:sz w:val="24"/>
          <w:szCs w:val="24"/>
          <w:lang w:val="en-US"/>
        </w:rPr>
        <w:t>Hiromoto</w:t>
      </w:r>
      <w:r>
        <w:rPr>
          <w:rFonts w:ascii="Arial" w:cs="Arial" w:hAnsi="Arial"/>
          <w:sz w:val="24"/>
          <w:szCs w:val="24"/>
          <w:lang w:val="en-US"/>
        </w:rPr>
        <w:t>, T., 2019.</w:t>
      </w:r>
      <w:r>
        <w:rPr>
          <w:rFonts w:ascii="Arial" w:cs="Arial" w:hAnsi="Arial"/>
          <w:sz w:val="24"/>
          <w:szCs w:val="24"/>
          <w:lang w:val="en-US"/>
        </w:rPr>
        <w:t xml:space="preserve"> </w:t>
      </w:r>
      <w:r>
        <w:rPr>
          <w:rFonts w:ascii="Arial" w:cs="Arial" w:hAnsi="Arial"/>
          <w:sz w:val="24"/>
          <w:szCs w:val="24"/>
          <w:lang w:val="en-US"/>
        </w:rPr>
        <w:t>Restoring the relevance of management accounting.</w:t>
      </w:r>
      <w:r>
        <w:rPr>
          <w:rFonts w:ascii="Arial" w:cs="Arial" w:hAnsi="Arial"/>
          <w:sz w:val="24"/>
          <w:szCs w:val="24"/>
          <w:lang w:val="en-US"/>
        </w:rPr>
        <w:t xml:space="preserve"> </w:t>
      </w:r>
      <w:r>
        <w:rPr>
          <w:rFonts w:ascii="Arial" w:cs="Arial" w:hAnsi="Arial"/>
          <w:sz w:val="24"/>
          <w:szCs w:val="24"/>
          <w:lang w:val="en-US"/>
        </w:rPr>
        <w:t>In Management Control Theory (pp. 273-288).</w:t>
      </w:r>
      <w:r>
        <w:rPr>
          <w:rFonts w:ascii="Arial" w:cs="Arial" w:hAnsi="Arial"/>
          <w:sz w:val="24"/>
          <w:szCs w:val="24"/>
          <w:lang w:val="en-US"/>
        </w:rPr>
        <w:t xml:space="preserve"> </w:t>
      </w:r>
      <w:r>
        <w:rPr>
          <w:rFonts w:ascii="Arial" w:cs="Arial" w:hAnsi="Arial"/>
          <w:sz w:val="24"/>
          <w:szCs w:val="24"/>
          <w:lang w:val="en-US"/>
        </w:rPr>
        <w:t>Routledge.</w:t>
      </w:r>
    </w:p>
    <w:p>
      <w:pPr>
        <w:jc w:val="both"/>
        <w:rPr>
          <w:rFonts w:ascii="Arial" w:cs="Arial" w:hAnsi="Arial"/>
          <w:sz w:val="24"/>
          <w:szCs w:val="24"/>
          <w:lang w:val="en-US"/>
        </w:rPr>
      </w:pPr>
      <w:bookmarkStart w:id="7" w:name="_GoBack"/>
      <w:bookmarkEnd w:id="7"/>
      <w:r>
        <w:rPr>
          <w:rFonts w:ascii="Arial" w:cs="Arial" w:hAnsi="Arial"/>
          <w:sz w:val="24"/>
          <w:szCs w:val="24"/>
          <w:lang w:val="en-US"/>
        </w:rPr>
        <w:t>I</w:t>
      </w:r>
      <w:r>
        <w:rPr>
          <w:rFonts w:ascii="Arial" w:cs="Arial" w:hAnsi="Arial"/>
          <w:sz w:val="24"/>
          <w:szCs w:val="24"/>
          <w:lang w:val="en-US"/>
        </w:rPr>
        <w:t xml:space="preserve">skandar, D., 2015. </w:t>
      </w:r>
      <w:r>
        <w:rPr>
          <w:rFonts w:ascii="Arial" w:cs="Arial" w:hAnsi="Arial"/>
          <w:sz w:val="24"/>
          <w:szCs w:val="24"/>
          <w:lang w:val="en-US"/>
        </w:rPr>
        <w:t>Analysis of factors affecting the success of the application of accounting information system.</w:t>
      </w:r>
      <w:r>
        <w:rPr>
          <w:rFonts w:ascii="Arial" w:cs="Arial" w:hAnsi="Arial"/>
          <w:sz w:val="24"/>
          <w:szCs w:val="24"/>
          <w:lang w:val="en-US"/>
        </w:rPr>
        <w:t xml:space="preserve"> International Journal of scientific &amp; Technology research, 4(2), pp.155-162.</w:t>
      </w:r>
    </w:p>
    <w:p>
      <w:pPr>
        <w:jc w:val="both"/>
        <w:rPr>
          <w:rFonts w:ascii="Arial" w:cs="Arial" w:hAnsi="Arial"/>
          <w:sz w:val="24"/>
          <w:szCs w:val="24"/>
          <w:lang w:val="en-US"/>
        </w:rPr>
      </w:pPr>
      <w:r>
        <w:rPr>
          <w:rFonts w:ascii="Arial" w:cs="Arial" w:hAnsi="Arial"/>
          <w:sz w:val="24"/>
          <w:szCs w:val="24"/>
          <w:lang w:val="en-US"/>
        </w:rPr>
        <w:t>Johanson</w:t>
      </w:r>
      <w:r>
        <w:rPr>
          <w:rFonts w:ascii="Arial" w:cs="Arial" w:hAnsi="Arial"/>
          <w:sz w:val="24"/>
          <w:szCs w:val="24"/>
          <w:lang w:val="en-US"/>
        </w:rPr>
        <w:t>.</w:t>
      </w:r>
      <w:r>
        <w:rPr>
          <w:rFonts w:ascii="Arial" w:cs="Arial" w:hAnsi="Arial"/>
          <w:sz w:val="24"/>
          <w:szCs w:val="24"/>
          <w:lang w:val="en-US"/>
        </w:rPr>
        <w:t>,</w:t>
      </w:r>
      <w:r>
        <w:rPr>
          <w:rFonts w:ascii="Arial" w:cs="Arial" w:hAnsi="Arial"/>
          <w:sz w:val="24"/>
          <w:szCs w:val="24"/>
          <w:lang w:val="en-US"/>
        </w:rPr>
        <w:t xml:space="preserve"> D. and Madsen</w:t>
      </w:r>
      <w:r>
        <w:rPr>
          <w:rFonts w:ascii="Arial" w:cs="Arial" w:hAnsi="Arial"/>
          <w:sz w:val="24"/>
          <w:szCs w:val="24"/>
          <w:lang w:val="en-US"/>
        </w:rPr>
        <w:t>.</w:t>
      </w:r>
      <w:r>
        <w:rPr>
          <w:rFonts w:ascii="Arial" w:cs="Arial" w:hAnsi="Arial"/>
          <w:sz w:val="24"/>
          <w:szCs w:val="24"/>
          <w:lang w:val="en-US"/>
        </w:rPr>
        <w:t>, D.Ø., 2019</w:t>
      </w:r>
      <w:r>
        <w:rPr>
          <w:rFonts w:ascii="Arial" w:cs="Arial" w:hAnsi="Arial"/>
          <w:sz w:val="24"/>
          <w:szCs w:val="24"/>
          <w:lang w:val="en-US"/>
        </w:rPr>
        <w:t>.</w:t>
      </w:r>
      <w:r>
        <w:rPr>
          <w:rFonts w:ascii="Arial" w:cs="Arial" w:hAnsi="Arial"/>
          <w:sz w:val="24"/>
          <w:szCs w:val="24"/>
          <w:lang w:val="en-US"/>
        </w:rPr>
        <w:t xml:space="preserve">. Diffusion of management accounting innovations: A virus perspective. </w:t>
      </w:r>
      <w:r>
        <w:rPr>
          <w:rFonts w:ascii="Arial" w:cs="Arial" w:hAnsi="Arial"/>
          <w:sz w:val="24"/>
          <w:szCs w:val="24"/>
          <w:lang w:val="en-US"/>
        </w:rPr>
        <w:t>Journal of Accounting &amp; Organizational Change.</w:t>
      </w:r>
    </w:p>
    <w:p>
      <w:pPr>
        <w:jc w:val="both"/>
        <w:rPr>
          <w:rFonts w:ascii="Arial" w:cs="Arial" w:hAnsi="Arial"/>
          <w:sz w:val="24"/>
          <w:szCs w:val="24"/>
          <w:lang w:val="en-US"/>
        </w:rPr>
      </w:pPr>
      <w:r>
        <w:rPr>
          <w:rFonts w:ascii="Arial" w:cs="Arial" w:hAnsi="Arial"/>
          <w:sz w:val="24"/>
          <w:szCs w:val="24"/>
          <w:lang w:val="en-US"/>
        </w:rPr>
        <w:t xml:space="preserve">Kimmel, P.D., </w:t>
      </w:r>
      <w:r>
        <w:rPr>
          <w:rFonts w:ascii="Arial" w:cs="Arial" w:hAnsi="Arial"/>
          <w:sz w:val="24"/>
          <w:szCs w:val="24"/>
          <w:lang w:val="en-US"/>
        </w:rPr>
        <w:t>Weygandt</w:t>
      </w:r>
      <w:r>
        <w:rPr>
          <w:rFonts w:ascii="Arial" w:cs="Arial" w:hAnsi="Arial"/>
          <w:sz w:val="24"/>
          <w:szCs w:val="24"/>
          <w:lang w:val="en-US"/>
        </w:rPr>
        <w:t xml:space="preserve">, J.J. and </w:t>
      </w:r>
      <w:r>
        <w:rPr>
          <w:rFonts w:ascii="Arial" w:cs="Arial" w:hAnsi="Arial"/>
          <w:sz w:val="24"/>
          <w:szCs w:val="24"/>
          <w:lang w:val="en-US"/>
        </w:rPr>
        <w:t>Kieso</w:t>
      </w:r>
      <w:r>
        <w:rPr>
          <w:rFonts w:ascii="Arial" w:cs="Arial" w:hAnsi="Arial"/>
          <w:sz w:val="24"/>
          <w:szCs w:val="24"/>
          <w:lang w:val="en-US"/>
        </w:rPr>
        <w:t xml:space="preserve">, D.E., 2020. Financial accounting: tools for business decision-making. </w:t>
      </w:r>
      <w:r>
        <w:rPr>
          <w:rFonts w:ascii="Arial" w:cs="Arial" w:hAnsi="Arial"/>
          <w:sz w:val="24"/>
          <w:szCs w:val="24"/>
          <w:lang w:val="en-US"/>
        </w:rPr>
        <w:t>John Wiley &amp; Sons.</w:t>
      </w:r>
    </w:p>
    <w:p>
      <w:pPr>
        <w:jc w:val="both"/>
        <w:rPr>
          <w:rFonts w:ascii="Arial" w:cs="Arial" w:hAnsi="Arial"/>
          <w:sz w:val="24"/>
          <w:szCs w:val="24"/>
          <w:lang w:val="en-US"/>
        </w:rPr>
      </w:pPr>
      <w:r>
        <w:rPr>
          <w:rFonts w:ascii="Arial" w:cs="Arial" w:hAnsi="Arial"/>
          <w:sz w:val="24"/>
          <w:szCs w:val="24"/>
          <w:lang w:val="en-US"/>
        </w:rPr>
        <w:t>Merigó</w:t>
      </w:r>
      <w:r>
        <w:rPr>
          <w:rFonts w:ascii="Arial" w:cs="Arial" w:hAnsi="Arial"/>
          <w:sz w:val="24"/>
          <w:szCs w:val="24"/>
          <w:lang w:val="en-US"/>
        </w:rPr>
        <w:t xml:space="preserve">, J.M. and Yang, J.B., 2017. </w:t>
      </w:r>
      <w:r>
        <w:rPr>
          <w:rFonts w:ascii="Arial" w:cs="Arial" w:hAnsi="Arial"/>
          <w:sz w:val="24"/>
          <w:szCs w:val="24"/>
          <w:lang w:val="en-US"/>
        </w:rPr>
        <w:t>Accounting research: A bibliometric analysis.</w:t>
      </w:r>
      <w:r>
        <w:rPr>
          <w:rFonts w:ascii="Arial" w:cs="Arial" w:hAnsi="Arial"/>
          <w:sz w:val="24"/>
          <w:szCs w:val="24"/>
          <w:lang w:val="en-US"/>
        </w:rPr>
        <w:t xml:space="preserve"> </w:t>
      </w:r>
      <w:r>
        <w:rPr>
          <w:rFonts w:ascii="Arial" w:cs="Arial" w:hAnsi="Arial"/>
          <w:sz w:val="24"/>
          <w:szCs w:val="24"/>
          <w:lang w:val="en-US"/>
        </w:rPr>
        <w:t>Australian Accounting Review, 27(1), pp.71-100.</w:t>
      </w:r>
    </w:p>
    <w:p>
      <w:pPr>
        <w:jc w:val="both"/>
        <w:rPr>
          <w:rFonts w:ascii="Arial" w:cs="Arial" w:hAnsi="Arial"/>
          <w:sz w:val="24"/>
          <w:szCs w:val="24"/>
          <w:lang w:val="en-US"/>
        </w:rPr>
      </w:pPr>
      <w:r>
        <w:rPr>
          <w:rFonts w:ascii="Arial" w:cs="Arial" w:hAnsi="Arial"/>
          <w:sz w:val="24"/>
          <w:szCs w:val="24"/>
          <w:lang w:val="en-US"/>
        </w:rPr>
        <w:t>Pedroso</w:t>
      </w:r>
      <w:r>
        <w:rPr>
          <w:rFonts w:ascii="Arial" w:cs="Arial" w:hAnsi="Arial"/>
          <w:sz w:val="24"/>
          <w:szCs w:val="24"/>
          <w:lang w:val="en-US"/>
        </w:rPr>
        <w:t>.</w:t>
      </w:r>
      <w:r>
        <w:rPr>
          <w:rFonts w:ascii="Arial" w:cs="Arial" w:hAnsi="Arial"/>
          <w:sz w:val="24"/>
          <w:szCs w:val="24"/>
          <w:lang w:val="en-US"/>
        </w:rPr>
        <w:t>,</w:t>
      </w:r>
      <w:r>
        <w:rPr>
          <w:rFonts w:ascii="Arial" w:cs="Arial" w:hAnsi="Arial"/>
          <w:sz w:val="24"/>
          <w:szCs w:val="24"/>
          <w:lang w:val="en-US"/>
        </w:rPr>
        <w:t xml:space="preserve"> E. and Gomes, C</w:t>
      </w:r>
      <w:r>
        <w:rPr>
          <w:rFonts w:ascii="Arial" w:cs="Arial" w:hAnsi="Arial"/>
          <w:sz w:val="24"/>
          <w:szCs w:val="24"/>
          <w:lang w:val="en-US"/>
        </w:rPr>
        <w:t>.</w:t>
      </w:r>
      <w:r>
        <w:rPr>
          <w:rFonts w:ascii="Arial" w:cs="Arial" w:hAnsi="Arial"/>
          <w:sz w:val="24"/>
          <w:szCs w:val="24"/>
          <w:lang w:val="en-US"/>
        </w:rPr>
        <w:t xml:space="preserve">.F., 2020. The effectiveness of management accounting systems in SMEs: a multidimensional measurement approach. </w:t>
      </w:r>
      <w:r>
        <w:rPr>
          <w:rFonts w:ascii="Arial" w:cs="Arial" w:hAnsi="Arial"/>
          <w:sz w:val="24"/>
          <w:szCs w:val="24"/>
          <w:lang w:val="en-US"/>
        </w:rPr>
        <w:t>Journal of Applied Accounting Research, 21(3), pp.497-515.</w:t>
      </w:r>
    </w:p>
    <w:p>
      <w:pPr>
        <w:jc w:val="both"/>
        <w:rPr>
          <w:rFonts w:ascii="Arial" w:cs="Arial" w:hAnsi="Arial"/>
          <w:sz w:val="24"/>
          <w:szCs w:val="24"/>
          <w:lang w:val="en-US"/>
        </w:rPr>
      </w:pPr>
      <w:r>
        <w:rPr>
          <w:rFonts w:ascii="Arial" w:cs="Arial" w:hAnsi="Arial"/>
          <w:sz w:val="24"/>
          <w:szCs w:val="24"/>
          <w:lang w:val="en-US"/>
        </w:rPr>
        <w:t>Pelz</w:t>
      </w:r>
      <w:r>
        <w:rPr>
          <w:rFonts w:ascii="Arial" w:cs="Arial" w:hAnsi="Arial"/>
          <w:sz w:val="24"/>
          <w:szCs w:val="24"/>
          <w:lang w:val="en-US"/>
        </w:rPr>
        <w:t>, M., 2019.</w:t>
      </w:r>
      <w:r>
        <w:rPr>
          <w:rFonts w:ascii="Arial" w:cs="Arial" w:hAnsi="Arial"/>
          <w:sz w:val="24"/>
          <w:szCs w:val="24"/>
          <w:lang w:val="en-US"/>
        </w:rPr>
        <w:t xml:space="preserve"> Can management accounting be helpful for young and small companies? </w:t>
      </w:r>
      <w:r>
        <w:rPr>
          <w:rFonts w:ascii="Arial" w:cs="Arial" w:hAnsi="Arial"/>
          <w:sz w:val="24"/>
          <w:szCs w:val="24"/>
          <w:lang w:val="en-US"/>
        </w:rPr>
        <w:t>Systematic review of a paradox.</w:t>
      </w:r>
      <w:r>
        <w:rPr>
          <w:rFonts w:ascii="Arial" w:cs="Arial" w:hAnsi="Arial"/>
          <w:sz w:val="24"/>
          <w:szCs w:val="24"/>
          <w:lang w:val="en-US"/>
        </w:rPr>
        <w:t xml:space="preserve"> </w:t>
      </w:r>
      <w:r>
        <w:rPr>
          <w:rFonts w:ascii="Arial" w:cs="Arial" w:hAnsi="Arial"/>
          <w:sz w:val="24"/>
          <w:szCs w:val="24"/>
          <w:lang w:val="en-US"/>
        </w:rPr>
        <w:t>International Journal of Management Reviews, 21(2), pp.256-274.</w:t>
      </w:r>
    </w:p>
    <w:p>
      <w:pPr>
        <w:jc w:val="both"/>
        <w:rPr>
          <w:rFonts w:ascii="Arial" w:cs="Arial" w:hAnsi="Arial"/>
          <w:sz w:val="24"/>
          <w:szCs w:val="24"/>
          <w:lang w:val="en-US"/>
        </w:rPr>
      </w:pPr>
      <w:r>
        <w:rPr>
          <w:rFonts w:ascii="Arial" w:cs="Arial" w:hAnsi="Arial"/>
          <w:sz w:val="24"/>
          <w:szCs w:val="24"/>
          <w:lang w:val="en-US"/>
        </w:rPr>
        <w:t xml:space="preserve">Rashid, M.M., Ali, M.M. and Hossain, D.M., 2020. Strategic management accounting practices: a literature review and opportunity for future research. </w:t>
      </w:r>
      <w:r>
        <w:rPr>
          <w:rFonts w:ascii="Arial" w:cs="Arial" w:hAnsi="Arial"/>
          <w:sz w:val="24"/>
          <w:szCs w:val="24"/>
          <w:lang w:val="en-US"/>
        </w:rPr>
        <w:t>Asian Journal of Accounting Research.</w:t>
      </w:r>
    </w:p>
    <w:p>
      <w:pPr>
        <w:jc w:val="both"/>
        <w:rPr>
          <w:rFonts w:ascii="Arial" w:cs="Arial" w:hAnsi="Arial"/>
          <w:sz w:val="24"/>
          <w:szCs w:val="24"/>
          <w:lang w:val="en-US"/>
        </w:rPr>
      </w:pPr>
      <w:r>
        <w:rPr>
          <w:rFonts w:ascii="Arial" w:cs="Arial" w:hAnsi="Arial"/>
          <w:sz w:val="24"/>
          <w:szCs w:val="24"/>
          <w:lang w:val="en-US"/>
        </w:rPr>
        <w:t>Roychowdhury</w:t>
      </w:r>
      <w:r>
        <w:rPr>
          <w:rFonts w:ascii="Arial" w:cs="Arial" w:hAnsi="Arial"/>
          <w:sz w:val="24"/>
          <w:szCs w:val="24"/>
          <w:lang w:val="en-US"/>
        </w:rPr>
        <w:t>, S., Shroff, N. and Verdi, R.S., 2019.</w:t>
      </w:r>
      <w:r>
        <w:rPr>
          <w:rFonts w:ascii="Arial" w:cs="Arial" w:hAnsi="Arial"/>
          <w:sz w:val="24"/>
          <w:szCs w:val="24"/>
          <w:lang w:val="en-US"/>
        </w:rPr>
        <w:t xml:space="preserve"> The effects of financial reporting and disclosure on corporate investment: A review. </w:t>
      </w:r>
      <w:r>
        <w:rPr>
          <w:rFonts w:ascii="Arial" w:cs="Arial" w:hAnsi="Arial"/>
          <w:sz w:val="24"/>
          <w:szCs w:val="24"/>
          <w:lang w:val="en-US"/>
        </w:rPr>
        <w:t>Journal of Accounting and Economics, 68(2-3), p.101246.</w:t>
      </w:r>
    </w:p>
    <w:p>
      <w:pPr>
        <w:jc w:val="both"/>
        <w:rPr>
          <w:rFonts w:ascii="Arial" w:cs="Arial" w:hAnsi="Arial"/>
          <w:sz w:val="24"/>
          <w:szCs w:val="24"/>
          <w:lang w:val="en-US"/>
        </w:rPr>
      </w:pPr>
      <w:r>
        <w:rPr>
          <w:rFonts w:ascii="Arial" w:cs="Arial" w:hAnsi="Arial"/>
          <w:sz w:val="24"/>
          <w:szCs w:val="24"/>
          <w:lang w:val="en-US"/>
        </w:rPr>
        <w:t xml:space="preserve">Schroeder, R.G., Clark, M.W. and </w:t>
      </w:r>
      <w:r>
        <w:rPr>
          <w:rFonts w:ascii="Arial" w:cs="Arial" w:hAnsi="Arial"/>
          <w:sz w:val="24"/>
          <w:szCs w:val="24"/>
          <w:lang w:val="en-US"/>
        </w:rPr>
        <w:t>Cathey</w:t>
      </w:r>
      <w:r>
        <w:rPr>
          <w:rFonts w:ascii="Arial" w:cs="Arial" w:hAnsi="Arial"/>
          <w:sz w:val="24"/>
          <w:szCs w:val="24"/>
          <w:lang w:val="en-US"/>
        </w:rPr>
        <w:t xml:space="preserve">, J.M., 2022. Financial accounting theory and analysis: text and cases. </w:t>
      </w:r>
      <w:r>
        <w:rPr>
          <w:rFonts w:ascii="Arial" w:cs="Arial" w:hAnsi="Arial"/>
          <w:sz w:val="24"/>
          <w:szCs w:val="24"/>
          <w:lang w:val="en-US"/>
        </w:rPr>
        <w:t>John Wiley &amp; Sons.</w:t>
      </w:r>
    </w:p>
    <w:p>
      <w:pPr>
        <w:jc w:val="both"/>
        <w:rPr>
          <w:rFonts w:ascii="Arial" w:cs="Arial" w:hAnsi="Arial"/>
          <w:sz w:val="24"/>
          <w:szCs w:val="24"/>
          <w:lang w:val="en-US"/>
        </w:rPr>
      </w:pPr>
      <w:r>
        <w:rPr>
          <w:rFonts w:ascii="Arial" w:cs="Arial" w:hAnsi="Arial"/>
          <w:sz w:val="24"/>
          <w:szCs w:val="24"/>
          <w:lang w:val="en-US"/>
        </w:rPr>
        <w:t>Shrestha, Y.R., Ben-</w:t>
      </w:r>
      <w:r>
        <w:rPr>
          <w:rFonts w:ascii="Arial" w:cs="Arial" w:hAnsi="Arial"/>
          <w:sz w:val="24"/>
          <w:szCs w:val="24"/>
          <w:lang w:val="en-US"/>
        </w:rPr>
        <w:t>Menahem</w:t>
      </w:r>
      <w:r>
        <w:rPr>
          <w:rFonts w:ascii="Arial" w:cs="Arial" w:hAnsi="Arial"/>
          <w:sz w:val="24"/>
          <w:szCs w:val="24"/>
          <w:lang w:val="en-US"/>
        </w:rPr>
        <w:t>, S.M. and Von Krogh, G., 2019.</w:t>
      </w:r>
      <w:r>
        <w:rPr>
          <w:rFonts w:ascii="Arial" w:cs="Arial" w:hAnsi="Arial"/>
          <w:sz w:val="24"/>
          <w:szCs w:val="24"/>
          <w:lang w:val="en-US"/>
        </w:rPr>
        <w:t xml:space="preserve"> </w:t>
      </w:r>
      <w:r>
        <w:rPr>
          <w:rFonts w:ascii="Arial" w:cs="Arial" w:hAnsi="Arial"/>
          <w:sz w:val="24"/>
          <w:szCs w:val="24"/>
          <w:lang w:val="en-US"/>
        </w:rPr>
        <w:t>Organizational decision-making structures in the age of artificial intelligence.</w:t>
      </w:r>
      <w:r>
        <w:rPr>
          <w:rFonts w:ascii="Arial" w:cs="Arial" w:hAnsi="Arial"/>
          <w:sz w:val="24"/>
          <w:szCs w:val="24"/>
          <w:lang w:val="en-US"/>
        </w:rPr>
        <w:t xml:space="preserve"> </w:t>
      </w:r>
      <w:r>
        <w:rPr>
          <w:rFonts w:ascii="Arial" w:cs="Arial" w:hAnsi="Arial"/>
          <w:sz w:val="24"/>
          <w:szCs w:val="24"/>
          <w:lang w:val="en-US"/>
        </w:rPr>
        <w:t>California Management Review, 61(4), pp.66-83.</w:t>
      </w:r>
    </w:p>
    <w:p>
      <w:pPr>
        <w:jc w:val="both"/>
        <w:rPr>
          <w:rFonts w:ascii="Arial" w:cs="Arial" w:hAnsi="Arial"/>
          <w:sz w:val="24"/>
          <w:szCs w:val="24"/>
          <w:lang w:val="en-US"/>
        </w:rPr>
      </w:pPr>
      <w:r>
        <w:rPr>
          <w:rFonts w:ascii="Arial" w:cs="Arial" w:hAnsi="Arial"/>
          <w:sz w:val="24"/>
          <w:szCs w:val="24"/>
          <w:lang w:val="en-US"/>
        </w:rPr>
        <w:t xml:space="preserve">Warren, C.S., Reeve, J.M. and </w:t>
      </w:r>
      <w:r>
        <w:rPr>
          <w:rFonts w:ascii="Arial" w:cs="Arial" w:hAnsi="Arial"/>
          <w:sz w:val="24"/>
          <w:szCs w:val="24"/>
          <w:lang w:val="en-US"/>
        </w:rPr>
        <w:t>Duchac</w:t>
      </w:r>
      <w:r>
        <w:rPr>
          <w:rFonts w:ascii="Arial" w:cs="Arial" w:hAnsi="Arial"/>
          <w:sz w:val="24"/>
          <w:szCs w:val="24"/>
          <w:lang w:val="en-US"/>
        </w:rPr>
        <w:t xml:space="preserve">, J., 2016. </w:t>
      </w:r>
      <w:r>
        <w:rPr>
          <w:rFonts w:ascii="Arial" w:cs="Arial" w:hAnsi="Arial"/>
          <w:sz w:val="24"/>
          <w:szCs w:val="24"/>
          <w:lang w:val="en-US"/>
        </w:rPr>
        <w:t>Financial &amp; managerial accounting.</w:t>
      </w:r>
      <w:r>
        <w:rPr>
          <w:rFonts w:ascii="Arial" w:cs="Arial" w:hAnsi="Arial"/>
          <w:sz w:val="24"/>
          <w:szCs w:val="24"/>
          <w:lang w:val="en-US"/>
        </w:rPr>
        <w:t xml:space="preserve"> Cengage Learning.</w:t>
      </w:r>
    </w:p>
    <w:sectPr>
      <w:footerReference w:type="default" r:id="rId11"/>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Arial">
    <w:panose1 w:val="020b0604020202020204"/>
    <w:charset w:val="00"/>
    <w:family w:val="swiss"/>
    <w:pitch w:val="variable"/>
    <w:sig w:usb0="00000000" w:usb1="00000000"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pStyle w:val="Footer"/>
      <w:jc w:val="right"/>
      <w:rPr/>
    </w:pPr>
    <w:r>
      <w:fldChar w:fldCharType="begin"/>
    </w:r>
    <w:r>
      <w:instrText xml:space="preserve"> PAGE   \* MERGEFORMAT </w:instrText>
    </w:r>
    <w:r>
      <w:fldChar w:fldCharType="separate"/>
    </w:r>
    <w:r>
      <w:t>10</w:t>
    </w:r>
    <w:r>
      <w:fldChar w:fldCharType="end"/>
    </w:r>
  </w:p>
  <w:p>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0E99"/>
    <w:rsid w:val="0002681B"/>
    <w:rsid w:val="00070133"/>
    <w:rsid w:val="000B1FEC"/>
    <w:rsid w:val="000F61EE"/>
    <w:rsid w:val="00112839"/>
    <w:rsid w:val="001F1936"/>
    <w:rsid w:val="002F4359"/>
    <w:rsid w:val="002F62DB"/>
    <w:rsid w:val="00315DE4"/>
    <w:rsid w:val="003D1480"/>
    <w:rsid w:val="004110BB"/>
    <w:rsid w:val="005A52E3"/>
    <w:rsid w:val="00614FBC"/>
    <w:rsid w:val="00707BA1"/>
    <w:rsid w:val="00803046"/>
    <w:rsid w:val="008267CF"/>
    <w:rsid w:val="008B23DA"/>
    <w:rsid w:val="008B2AB1"/>
    <w:rsid w:val="009745B7"/>
    <w:rsid w:val="00A8446D"/>
    <w:rsid w:val="00C00F23"/>
    <w:rsid w:val="00C10B07"/>
    <w:rsid w:val="00C6650C"/>
    <w:rsid w:val="00C86E21"/>
    <w:rsid w:val="00D5658F"/>
    <w:rsid w:val="00E70C1F"/>
    <w:rsid w:val="00ED1690"/>
    <w:rsid w:val="00F01211"/>
    <w:rsid w:val="00F20E99"/>
    <w:rsid w:val="00F731C7"/>
    <w:rsid w:val="00FD46F8"/>
    <w:rsid w:val="00FE3C0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bg-BG" w:bidi="ar-SA" w:eastAsia="en-US"/>
      </w:rPr>
    </w:rPrDefault>
    <w:pPrDefault>
      <w:pPr>
        <w:spacing w:after="200" w:line="276" w:lineRule="auto"/>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376091" w:themeColor="accent1" w:themeShade="bf"/>
      <w:sz w:val="28"/>
      <w:szCs w:val="2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styleId="TableGrid">
    <w:name w:val="Table Grid"/>
    <w:basedOn w:val="NormalTable"/>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20E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20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0E99"/>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0F61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1EE"/>
  </w:style>
  <w:style w:type="paragraph" w:styleId="Footer">
    <w:name w:val="footer"/>
    <w:basedOn w:val="Normal"/>
    <w:link w:val="FooterChar"/>
    <w:uiPriority w:val="99"/>
    <w:unhideWhenUsed/>
    <w:rsid w:val="000F61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theme" Target="theme/theme1.xml"/><Relationship Id="rId11" Type="http://schemas.openxmlformats.org/officeDocument/2006/relationships/footer" Target="footer1.xml"/><Relationship Id="rId2"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3" Type="http://schemas.microsoft.com/office/2007/relationships/stylesWithEffects" Target="stylesWithEffects.xml"/><Relationship Id="rId5"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TotalTime>
  <Pages>10</Pages>
  <Words>1661</Words>
  <Characters>9470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Metodi Kacarev</cp:lastModifiedBy>
</cp:coreProperties>
</file>