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5E376" w14:textId="77777777" w:rsidR="003238D0" w:rsidRDefault="003238D0" w:rsidP="003238D0">
      <w:pPr>
        <w:spacing w:before="600" w:after="200" w:line="300" w:lineRule="auto"/>
        <w:jc w:val="center"/>
        <w:rPr>
          <w:b/>
          <w:bCs/>
          <w:sz w:val="28"/>
          <w:szCs w:val="28"/>
        </w:rPr>
      </w:pPr>
    </w:p>
    <w:p w14:paraId="107AAD62" w14:textId="7D891E8C" w:rsidR="003238D0" w:rsidRDefault="003238D0" w:rsidP="003238D0">
      <w:pPr>
        <w:spacing w:before="600" w:after="200" w:line="300" w:lineRule="auto"/>
        <w:jc w:val="center"/>
        <w:rPr>
          <w:b/>
          <w:bCs/>
          <w:sz w:val="28"/>
          <w:szCs w:val="28"/>
        </w:rPr>
      </w:pPr>
      <w:r>
        <w:rPr>
          <w:b/>
          <w:bCs/>
          <w:sz w:val="28"/>
          <w:szCs w:val="28"/>
        </w:rPr>
        <w:t>University of Wales Trinity Saint David</w:t>
      </w:r>
    </w:p>
    <w:p w14:paraId="7ED3639C" w14:textId="15298835" w:rsidR="003238D0" w:rsidRDefault="003238D0" w:rsidP="003238D0">
      <w:pPr>
        <w:spacing w:before="600" w:after="200" w:line="300" w:lineRule="auto"/>
        <w:jc w:val="center"/>
        <w:rPr>
          <w:b/>
          <w:bCs/>
          <w:sz w:val="28"/>
          <w:szCs w:val="28"/>
        </w:rPr>
      </w:pPr>
      <w:r>
        <w:rPr>
          <w:b/>
          <w:bCs/>
          <w:sz w:val="28"/>
          <w:szCs w:val="28"/>
        </w:rPr>
        <w:t>Dissertation: MA Ancient Religions</w:t>
      </w:r>
    </w:p>
    <w:p w14:paraId="36DC8894" w14:textId="45706F01" w:rsidR="00582913" w:rsidRDefault="003238D0" w:rsidP="00582913">
      <w:pPr>
        <w:spacing w:before="600" w:after="200" w:line="300" w:lineRule="auto"/>
        <w:jc w:val="center"/>
        <w:rPr>
          <w:b/>
          <w:bCs/>
          <w:sz w:val="28"/>
          <w:szCs w:val="28"/>
        </w:rPr>
      </w:pPr>
      <w:r w:rsidRPr="003238D0">
        <w:rPr>
          <w:b/>
          <w:bCs/>
          <w:sz w:val="28"/>
          <w:szCs w:val="28"/>
        </w:rPr>
        <w:t xml:space="preserve">The First Righteous Resurrection </w:t>
      </w:r>
    </w:p>
    <w:p w14:paraId="36F34D73" w14:textId="23AFA797" w:rsidR="00582913" w:rsidRDefault="00582913" w:rsidP="00582913">
      <w:pPr>
        <w:spacing w:before="600" w:after="200" w:line="300" w:lineRule="auto"/>
        <w:jc w:val="center"/>
        <w:rPr>
          <w:b/>
          <w:bCs/>
          <w:sz w:val="28"/>
          <w:szCs w:val="28"/>
        </w:rPr>
      </w:pPr>
      <w:r>
        <w:rPr>
          <w:b/>
          <w:bCs/>
          <w:sz w:val="28"/>
          <w:szCs w:val="28"/>
        </w:rPr>
        <w:t xml:space="preserve"> Word count: 13,703 </w:t>
      </w:r>
    </w:p>
    <w:p w14:paraId="364222F9" w14:textId="77777777" w:rsidR="00582913" w:rsidRPr="003238D0" w:rsidRDefault="00582913" w:rsidP="003238D0">
      <w:pPr>
        <w:spacing w:before="600" w:after="200" w:line="300" w:lineRule="auto"/>
        <w:jc w:val="center"/>
        <w:rPr>
          <w:b/>
          <w:bCs/>
          <w:sz w:val="28"/>
          <w:szCs w:val="28"/>
        </w:rPr>
      </w:pPr>
    </w:p>
    <w:p w14:paraId="70BB2ECE" w14:textId="77777777" w:rsidR="003238D0" w:rsidRDefault="003238D0" w:rsidP="003238D0">
      <w:pPr>
        <w:spacing w:before="600" w:after="200" w:line="300" w:lineRule="auto"/>
        <w:jc w:val="center"/>
        <w:rPr>
          <w:b/>
          <w:bCs/>
          <w:sz w:val="28"/>
          <w:szCs w:val="28"/>
        </w:rPr>
      </w:pPr>
    </w:p>
    <w:p w14:paraId="0275B8DA" w14:textId="77777777" w:rsidR="003238D0" w:rsidRDefault="003238D0" w:rsidP="003238D0">
      <w:pPr>
        <w:spacing w:before="600" w:after="200" w:line="300" w:lineRule="auto"/>
        <w:jc w:val="center"/>
        <w:rPr>
          <w:b/>
          <w:bCs/>
          <w:sz w:val="28"/>
          <w:szCs w:val="28"/>
        </w:rPr>
      </w:pPr>
    </w:p>
    <w:p w14:paraId="5337B48D" w14:textId="16558E9B" w:rsidR="003238D0" w:rsidRDefault="003238D0" w:rsidP="003238D0">
      <w:pPr>
        <w:spacing w:before="360" w:after="200" w:line="300" w:lineRule="auto"/>
        <w:jc w:val="center"/>
        <w:rPr>
          <w:b/>
          <w:bCs/>
          <w:sz w:val="28"/>
          <w:szCs w:val="28"/>
        </w:rPr>
      </w:pPr>
      <w:r>
        <w:rPr>
          <w:b/>
          <w:bCs/>
          <w:sz w:val="28"/>
          <w:szCs w:val="28"/>
        </w:rPr>
        <w:t>Kevin Hahn</w:t>
      </w:r>
    </w:p>
    <w:p w14:paraId="7384EF60" w14:textId="2E2B59E1" w:rsidR="003238D0" w:rsidRDefault="003238D0" w:rsidP="003238D0">
      <w:pPr>
        <w:spacing w:before="360" w:after="200" w:line="300" w:lineRule="auto"/>
        <w:jc w:val="center"/>
        <w:rPr>
          <w:b/>
          <w:bCs/>
          <w:sz w:val="28"/>
          <w:szCs w:val="28"/>
        </w:rPr>
      </w:pPr>
      <w:r>
        <w:rPr>
          <w:b/>
          <w:bCs/>
          <w:sz w:val="28"/>
          <w:szCs w:val="28"/>
        </w:rPr>
        <w:t>September 30, 2026</w:t>
      </w:r>
    </w:p>
    <w:p w14:paraId="5659E4E0" w14:textId="77777777" w:rsidR="003238D0" w:rsidRDefault="003238D0" w:rsidP="00F83BED">
      <w:pPr>
        <w:spacing w:before="1400" w:after="200" w:line="300" w:lineRule="auto"/>
        <w:jc w:val="center"/>
        <w:rPr>
          <w:b/>
          <w:bCs/>
          <w:sz w:val="28"/>
          <w:szCs w:val="28"/>
        </w:rPr>
      </w:pPr>
    </w:p>
    <w:p w14:paraId="342F52DA" w14:textId="77777777" w:rsidR="003238D0" w:rsidRDefault="003238D0" w:rsidP="00F83BED">
      <w:pPr>
        <w:spacing w:before="1400" w:after="200" w:line="300" w:lineRule="auto"/>
        <w:jc w:val="center"/>
        <w:rPr>
          <w:b/>
          <w:bCs/>
          <w:sz w:val="28"/>
          <w:szCs w:val="28"/>
        </w:rPr>
      </w:pPr>
    </w:p>
    <w:p w14:paraId="3F23F3A5" w14:textId="1E116214" w:rsidR="00067F75" w:rsidRPr="0099652B" w:rsidRDefault="00F83BED" w:rsidP="003238D0">
      <w:pPr>
        <w:spacing w:before="1400" w:after="200" w:line="300" w:lineRule="auto"/>
        <w:ind w:left="2880" w:firstLine="720"/>
        <w:rPr>
          <w:b/>
          <w:bCs/>
          <w:sz w:val="28"/>
          <w:szCs w:val="28"/>
        </w:rPr>
      </w:pPr>
      <w:r w:rsidRPr="0099652B">
        <w:rPr>
          <w:b/>
          <w:bCs/>
          <w:sz w:val="28"/>
          <w:szCs w:val="28"/>
        </w:rPr>
        <w:t>Table of Contents</w:t>
      </w:r>
    </w:p>
    <w:p w14:paraId="581F0961" w14:textId="420B4AE7" w:rsidR="007D4D32" w:rsidRPr="0099652B" w:rsidRDefault="002A2D63">
      <w:pPr>
        <w:pStyle w:val="TOC1"/>
        <w:rPr>
          <w:rFonts w:ascii="Times New Roman" w:eastAsiaTheme="minorEastAsia" w:hAnsi="Times New Roman" w:cs="Times New Roman"/>
          <w:noProof/>
          <w:kern w:val="2"/>
          <w14:ligatures w14:val="standardContextual"/>
        </w:rPr>
      </w:pPr>
      <w:r w:rsidRPr="0099652B">
        <w:rPr>
          <w:rFonts w:ascii="Times New Roman" w:hAnsi="Times New Roman" w:cs="Times New Roman"/>
        </w:rPr>
        <w:fldChar w:fldCharType="begin"/>
      </w:r>
      <w:r w:rsidRPr="0099652B">
        <w:rPr>
          <w:rFonts w:ascii="Times New Roman" w:hAnsi="Times New Roman" w:cs="Times New Roman"/>
        </w:rPr>
        <w:instrText xml:space="preserve"> TOC \o "1-2" \h \z \u </w:instrText>
      </w:r>
      <w:r w:rsidRPr="0099652B">
        <w:rPr>
          <w:rFonts w:ascii="Times New Roman" w:hAnsi="Times New Roman" w:cs="Times New Roman"/>
        </w:rPr>
        <w:fldChar w:fldCharType="separate"/>
      </w:r>
      <w:hyperlink w:anchor="_Toc241691201" w:history="1">
        <w:r w:rsidR="007D4D32" w:rsidRPr="0099652B">
          <w:rPr>
            <w:rStyle w:val="Hyperlink"/>
            <w:rFonts w:ascii="Times New Roman" w:hAnsi="Times New Roman" w:cs="Times New Roman"/>
            <w:noProof/>
            <w:color w:val="auto"/>
          </w:rPr>
          <w:t>Abstrac</w:t>
        </w:r>
        <w:r w:rsidR="00BF7DFB">
          <w:rPr>
            <w:rStyle w:val="Hyperlink"/>
            <w:rFonts w:ascii="Times New Roman" w:hAnsi="Times New Roman" w:cs="Times New Roman"/>
            <w:noProof/>
            <w:color w:val="auto"/>
          </w:rPr>
          <w:t>t</w:t>
        </w:r>
        <w:r w:rsidR="007D4D32" w:rsidRPr="0099652B">
          <w:rPr>
            <w:rFonts w:ascii="Times New Roman" w:hAnsi="Times New Roman" w:cs="Times New Roman"/>
            <w:noProof/>
            <w:webHidden/>
          </w:rPr>
          <w:tab/>
        </w:r>
        <w:r w:rsidR="007D4D32" w:rsidRPr="0099652B">
          <w:rPr>
            <w:rFonts w:ascii="Times New Roman" w:hAnsi="Times New Roman" w:cs="Times New Roman"/>
            <w:noProof/>
            <w:webHidden/>
          </w:rPr>
          <w:fldChar w:fldCharType="begin"/>
        </w:r>
        <w:r w:rsidR="007D4D32" w:rsidRPr="0099652B">
          <w:rPr>
            <w:rFonts w:ascii="Times New Roman" w:hAnsi="Times New Roman" w:cs="Times New Roman"/>
            <w:noProof/>
            <w:webHidden/>
          </w:rPr>
          <w:instrText xml:space="preserve"> PAGEREF _Toc241691201 \h </w:instrText>
        </w:r>
        <w:r w:rsidR="007D4D32" w:rsidRPr="0099652B">
          <w:rPr>
            <w:rFonts w:ascii="Times New Roman" w:hAnsi="Times New Roman" w:cs="Times New Roman"/>
            <w:noProof/>
            <w:webHidden/>
          </w:rPr>
        </w:r>
        <w:r w:rsidR="007D4D32" w:rsidRPr="0099652B">
          <w:rPr>
            <w:rFonts w:ascii="Times New Roman" w:hAnsi="Times New Roman" w:cs="Times New Roman"/>
            <w:noProof/>
            <w:webHidden/>
          </w:rPr>
          <w:fldChar w:fldCharType="separate"/>
        </w:r>
        <w:r w:rsidR="003E01A8">
          <w:rPr>
            <w:rFonts w:ascii="Times New Roman" w:hAnsi="Times New Roman" w:cs="Times New Roman"/>
            <w:noProof/>
            <w:webHidden/>
          </w:rPr>
          <w:t>iii</w:t>
        </w:r>
        <w:r w:rsidR="007D4D32" w:rsidRPr="0099652B">
          <w:rPr>
            <w:rFonts w:ascii="Times New Roman" w:hAnsi="Times New Roman" w:cs="Times New Roman"/>
            <w:noProof/>
            <w:webHidden/>
          </w:rPr>
          <w:fldChar w:fldCharType="end"/>
        </w:r>
      </w:hyperlink>
    </w:p>
    <w:p w14:paraId="39B7A89A" w14:textId="67B7311C" w:rsidR="007D4D32" w:rsidRPr="0099652B" w:rsidRDefault="007D4D32">
      <w:pPr>
        <w:pStyle w:val="TOC1"/>
        <w:rPr>
          <w:rFonts w:ascii="Times New Roman" w:eastAsiaTheme="minorEastAsia" w:hAnsi="Times New Roman" w:cs="Times New Roman"/>
          <w:noProof/>
          <w:kern w:val="2"/>
          <w14:ligatures w14:val="standardContextual"/>
        </w:rPr>
      </w:pPr>
      <w:hyperlink w:anchor="_Toc241691202" w:history="1">
        <w:r w:rsidRPr="0099652B">
          <w:rPr>
            <w:rStyle w:val="Hyperlink"/>
            <w:rFonts w:ascii="Times New Roman" w:hAnsi="Times New Roman" w:cs="Times New Roman"/>
            <w:noProof/>
            <w:color w:val="auto"/>
          </w:rPr>
          <w:t>Chapter 1 Introduction: The Problem, the Thesis, and the State of the Question</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_Toc241691202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1</w:t>
        </w:r>
        <w:r w:rsidRPr="0099652B">
          <w:rPr>
            <w:rFonts w:ascii="Times New Roman" w:hAnsi="Times New Roman" w:cs="Times New Roman"/>
            <w:noProof/>
            <w:webHidden/>
          </w:rPr>
          <w:fldChar w:fldCharType="end"/>
        </w:r>
      </w:hyperlink>
    </w:p>
    <w:p w14:paraId="55CBF808" w14:textId="381E263A" w:rsidR="007D4D32" w:rsidRPr="0099652B" w:rsidRDefault="007D4D32">
      <w:pPr>
        <w:pStyle w:val="TOC2"/>
        <w:rPr>
          <w:rFonts w:ascii="Times New Roman" w:eastAsiaTheme="minorEastAsia" w:hAnsi="Times New Roman" w:cs="Times New Roman"/>
          <w:noProof/>
          <w:kern w:val="2"/>
          <w14:ligatures w14:val="standardContextual"/>
        </w:rPr>
      </w:pPr>
      <w:hyperlink w:anchor="_Toc241691203" w:history="1">
        <w:r w:rsidRPr="0099652B">
          <w:rPr>
            <w:rStyle w:val="Hyperlink"/>
            <w:rFonts w:ascii="Times New Roman" w:hAnsi="Times New Roman" w:cs="Times New Roman"/>
            <w:noProof/>
            <w:color w:val="auto"/>
          </w:rPr>
          <w:t>1.1 The Problem</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_Toc241691203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1</w:t>
        </w:r>
        <w:r w:rsidRPr="0099652B">
          <w:rPr>
            <w:rFonts w:ascii="Times New Roman" w:hAnsi="Times New Roman" w:cs="Times New Roman"/>
            <w:noProof/>
            <w:webHidden/>
          </w:rPr>
          <w:fldChar w:fldCharType="end"/>
        </w:r>
      </w:hyperlink>
    </w:p>
    <w:p w14:paraId="0CF72DD1" w14:textId="4CDA5B1D" w:rsidR="007D4D32" w:rsidRPr="0099652B" w:rsidRDefault="007D4D32">
      <w:pPr>
        <w:pStyle w:val="TOC2"/>
        <w:rPr>
          <w:rFonts w:ascii="Times New Roman" w:eastAsiaTheme="minorEastAsia" w:hAnsi="Times New Roman" w:cs="Times New Roman"/>
          <w:noProof/>
          <w:kern w:val="2"/>
          <w14:ligatures w14:val="standardContextual"/>
        </w:rPr>
      </w:pPr>
      <w:hyperlink w:anchor="_Toc241691204" w:history="1">
        <w:r w:rsidRPr="0099652B">
          <w:rPr>
            <w:rStyle w:val="Hyperlink"/>
            <w:rFonts w:ascii="Times New Roman" w:hAnsi="Times New Roman" w:cs="Times New Roman"/>
            <w:noProof/>
            <w:color w:val="auto"/>
          </w:rPr>
          <w:t>1.2 The Thesis</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_Toc241691204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2</w:t>
        </w:r>
        <w:r w:rsidRPr="0099652B">
          <w:rPr>
            <w:rFonts w:ascii="Times New Roman" w:hAnsi="Times New Roman" w:cs="Times New Roman"/>
            <w:noProof/>
            <w:webHidden/>
          </w:rPr>
          <w:fldChar w:fldCharType="end"/>
        </w:r>
      </w:hyperlink>
    </w:p>
    <w:p w14:paraId="01A5556A" w14:textId="70A8C30F" w:rsidR="007D4D32" w:rsidRPr="0099652B" w:rsidRDefault="007D4D32">
      <w:pPr>
        <w:pStyle w:val="TOC2"/>
        <w:rPr>
          <w:rFonts w:ascii="Times New Roman" w:eastAsiaTheme="minorEastAsia" w:hAnsi="Times New Roman" w:cs="Times New Roman"/>
          <w:noProof/>
          <w:kern w:val="2"/>
          <w14:ligatures w14:val="standardContextual"/>
        </w:rPr>
      </w:pPr>
      <w:hyperlink w:anchor="_Toc241691205" w:history="1">
        <w:r w:rsidRPr="0099652B">
          <w:rPr>
            <w:rStyle w:val="Hyperlink"/>
            <w:rFonts w:ascii="Times New Roman" w:hAnsi="Times New Roman" w:cs="Times New Roman"/>
            <w:noProof/>
            <w:color w:val="auto"/>
          </w:rPr>
          <w:t>1.3 Context, Scope and Limits</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_Toc241691205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3</w:t>
        </w:r>
        <w:r w:rsidRPr="0099652B">
          <w:rPr>
            <w:rFonts w:ascii="Times New Roman" w:hAnsi="Times New Roman" w:cs="Times New Roman"/>
            <w:noProof/>
            <w:webHidden/>
          </w:rPr>
          <w:fldChar w:fldCharType="end"/>
        </w:r>
      </w:hyperlink>
    </w:p>
    <w:p w14:paraId="3ECA769C" w14:textId="3C485900" w:rsidR="007D4D32" w:rsidRPr="0099652B" w:rsidRDefault="007D4D32">
      <w:pPr>
        <w:pStyle w:val="TOC2"/>
        <w:rPr>
          <w:rFonts w:ascii="Times New Roman" w:eastAsiaTheme="minorEastAsia" w:hAnsi="Times New Roman" w:cs="Times New Roman"/>
          <w:noProof/>
          <w:kern w:val="2"/>
          <w14:ligatures w14:val="standardContextual"/>
        </w:rPr>
      </w:pPr>
      <w:hyperlink w:anchor="_Toc241691206" w:history="1">
        <w:r w:rsidRPr="0099652B">
          <w:rPr>
            <w:rStyle w:val="Hyperlink"/>
            <w:rFonts w:ascii="Times New Roman" w:hAnsi="Times New Roman" w:cs="Times New Roman"/>
            <w:noProof/>
            <w:color w:val="auto"/>
          </w:rPr>
          <w:t>1.4 The State of the Question</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_Toc241691206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3</w:t>
        </w:r>
        <w:r w:rsidRPr="0099652B">
          <w:rPr>
            <w:rFonts w:ascii="Times New Roman" w:hAnsi="Times New Roman" w:cs="Times New Roman"/>
            <w:noProof/>
            <w:webHidden/>
          </w:rPr>
          <w:fldChar w:fldCharType="end"/>
        </w:r>
      </w:hyperlink>
    </w:p>
    <w:p w14:paraId="2747FEBF" w14:textId="7E654AB2" w:rsidR="007D4D32" w:rsidRPr="0099652B" w:rsidRDefault="007D4D32" w:rsidP="00BF283E">
      <w:pPr>
        <w:pStyle w:val="TOC2"/>
        <w:rPr>
          <w:rFonts w:ascii="Times New Roman" w:eastAsiaTheme="minorEastAsia" w:hAnsi="Times New Roman" w:cs="Times New Roman"/>
          <w:noProof/>
          <w:kern w:val="2"/>
          <w14:ligatures w14:val="standardContextual"/>
        </w:rPr>
      </w:pPr>
      <w:hyperlink w:anchor="_Toc241691207" w:history="1">
        <w:r w:rsidRPr="0099652B">
          <w:rPr>
            <w:rStyle w:val="Hyperlink"/>
            <w:rFonts w:ascii="Times New Roman" w:hAnsi="Times New Roman" w:cs="Times New Roman"/>
            <w:noProof/>
            <w:color w:val="auto"/>
          </w:rPr>
          <w:t>1.5 Literary Review</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_Toc241691207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4</w:t>
        </w:r>
        <w:r w:rsidRPr="0099652B">
          <w:rPr>
            <w:rFonts w:ascii="Times New Roman" w:hAnsi="Times New Roman" w:cs="Times New Roman"/>
            <w:noProof/>
            <w:webHidden/>
          </w:rPr>
          <w:fldChar w:fldCharType="end"/>
        </w:r>
      </w:hyperlink>
    </w:p>
    <w:p w14:paraId="1004A9CD" w14:textId="14492EDA" w:rsidR="007D4D32" w:rsidRPr="0099652B" w:rsidRDefault="007D4D32">
      <w:pPr>
        <w:pStyle w:val="TOC2"/>
        <w:rPr>
          <w:rFonts w:ascii="Times New Roman" w:eastAsiaTheme="minorEastAsia" w:hAnsi="Times New Roman" w:cs="Times New Roman"/>
          <w:noProof/>
          <w:kern w:val="2"/>
          <w14:ligatures w14:val="standardContextual"/>
        </w:rPr>
      </w:pPr>
      <w:hyperlink w:anchor="_Toc241691209" w:history="1">
        <w:r w:rsidRPr="0099652B">
          <w:rPr>
            <w:rStyle w:val="Hyperlink"/>
            <w:rFonts w:ascii="Times New Roman" w:hAnsi="Times New Roman" w:cs="Times New Roman"/>
            <w:noProof/>
            <w:color w:val="auto"/>
          </w:rPr>
          <w:t xml:space="preserve">1.6 </w:t>
        </w:r>
        <w:r w:rsidR="003E01A8">
          <w:rPr>
            <w:rStyle w:val="Hyperlink"/>
            <w:rFonts w:ascii="Times New Roman" w:hAnsi="Times New Roman" w:cs="Times New Roman"/>
            <w:noProof/>
            <w:color w:val="auto"/>
          </w:rPr>
          <w:t>Chapter Subject</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_Toc241691209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7</w:t>
        </w:r>
        <w:r w:rsidRPr="0099652B">
          <w:rPr>
            <w:rFonts w:ascii="Times New Roman" w:hAnsi="Times New Roman" w:cs="Times New Roman"/>
            <w:noProof/>
            <w:webHidden/>
          </w:rPr>
          <w:fldChar w:fldCharType="end"/>
        </w:r>
      </w:hyperlink>
    </w:p>
    <w:p w14:paraId="1DF2CABB" w14:textId="00DACFCD" w:rsidR="007D4D32" w:rsidRPr="0099652B" w:rsidRDefault="007D4D32">
      <w:pPr>
        <w:pStyle w:val="TOC1"/>
        <w:rPr>
          <w:rFonts w:ascii="Times New Roman" w:eastAsiaTheme="minorEastAsia" w:hAnsi="Times New Roman" w:cs="Times New Roman"/>
          <w:noProof/>
          <w:kern w:val="2"/>
          <w14:ligatures w14:val="standardContextual"/>
        </w:rPr>
      </w:pPr>
      <w:hyperlink w:anchor="_Toc241691210" w:history="1">
        <w:r w:rsidRPr="0099652B">
          <w:rPr>
            <w:rStyle w:val="Hyperlink"/>
            <w:rFonts w:ascii="Times New Roman" w:hAnsi="Times New Roman" w:cs="Times New Roman"/>
            <w:noProof/>
            <w:color w:val="auto"/>
          </w:rPr>
          <w:t>Chapter 2 Methodology: Definitions, Criteria and Evidentiary Standards</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_Toc241691210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8</w:t>
        </w:r>
        <w:r w:rsidRPr="0099652B">
          <w:rPr>
            <w:rFonts w:ascii="Times New Roman" w:hAnsi="Times New Roman" w:cs="Times New Roman"/>
            <w:noProof/>
            <w:webHidden/>
          </w:rPr>
          <w:fldChar w:fldCharType="end"/>
        </w:r>
      </w:hyperlink>
    </w:p>
    <w:p w14:paraId="065836B0" w14:textId="144A7883" w:rsidR="007D4D32" w:rsidRPr="0099652B" w:rsidRDefault="007D4D32">
      <w:pPr>
        <w:pStyle w:val="TOC2"/>
        <w:rPr>
          <w:rFonts w:ascii="Times New Roman" w:eastAsiaTheme="minorEastAsia" w:hAnsi="Times New Roman" w:cs="Times New Roman"/>
          <w:noProof/>
          <w:kern w:val="2"/>
          <w14:ligatures w14:val="standardContextual"/>
        </w:rPr>
      </w:pPr>
      <w:hyperlink w:anchor="_Toc241691211" w:history="1">
        <w:r w:rsidRPr="0099652B">
          <w:rPr>
            <w:rStyle w:val="Hyperlink"/>
            <w:rFonts w:ascii="Times New Roman" w:hAnsi="Times New Roman" w:cs="Times New Roman"/>
            <w:noProof/>
            <w:color w:val="auto"/>
          </w:rPr>
          <w:t>2.1 The Problem of the Category</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_Toc241691211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8</w:t>
        </w:r>
        <w:r w:rsidRPr="0099652B">
          <w:rPr>
            <w:rFonts w:ascii="Times New Roman" w:hAnsi="Times New Roman" w:cs="Times New Roman"/>
            <w:noProof/>
            <w:webHidden/>
          </w:rPr>
          <w:fldChar w:fldCharType="end"/>
        </w:r>
      </w:hyperlink>
    </w:p>
    <w:p w14:paraId="0136ADBF" w14:textId="360BD95D" w:rsidR="007D4D32" w:rsidRPr="0099652B" w:rsidRDefault="007D4D32">
      <w:pPr>
        <w:pStyle w:val="TOC2"/>
        <w:rPr>
          <w:rFonts w:ascii="Times New Roman" w:eastAsiaTheme="minorEastAsia" w:hAnsi="Times New Roman" w:cs="Times New Roman"/>
          <w:noProof/>
          <w:kern w:val="2"/>
          <w14:ligatures w14:val="standardContextual"/>
        </w:rPr>
      </w:pPr>
      <w:hyperlink w:anchor="_Toc241691212" w:history="1">
        <w:r w:rsidRPr="0099652B">
          <w:rPr>
            <w:rStyle w:val="Hyperlink"/>
            <w:rFonts w:ascii="Times New Roman" w:hAnsi="Times New Roman" w:cs="Times New Roman"/>
            <w:noProof/>
            <w:color w:val="auto"/>
          </w:rPr>
          <w:t>2.2 The Four Criteria</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_Toc241691212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9</w:t>
        </w:r>
        <w:r w:rsidRPr="0099652B">
          <w:rPr>
            <w:rFonts w:ascii="Times New Roman" w:hAnsi="Times New Roman" w:cs="Times New Roman"/>
            <w:noProof/>
            <w:webHidden/>
          </w:rPr>
          <w:fldChar w:fldCharType="end"/>
        </w:r>
      </w:hyperlink>
    </w:p>
    <w:p w14:paraId="29B42785" w14:textId="0052932B" w:rsidR="007D4D32" w:rsidRPr="0099652B" w:rsidRDefault="007D4D32">
      <w:pPr>
        <w:pStyle w:val="TOC2"/>
        <w:rPr>
          <w:rFonts w:ascii="Times New Roman" w:eastAsiaTheme="minorEastAsia" w:hAnsi="Times New Roman" w:cs="Times New Roman"/>
          <w:noProof/>
          <w:kern w:val="2"/>
          <w14:ligatures w14:val="standardContextual"/>
        </w:rPr>
      </w:pPr>
      <w:hyperlink w:anchor="_Toc241691213" w:history="1">
        <w:r w:rsidRPr="0099652B">
          <w:rPr>
            <w:rStyle w:val="Hyperlink"/>
            <w:rFonts w:ascii="Times New Roman" w:hAnsi="Times New Roman" w:cs="Times New Roman"/>
            <w:noProof/>
            <w:color w:val="auto"/>
          </w:rPr>
          <w:t>2.3 Evidentiary Standards</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_Toc241691213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10</w:t>
        </w:r>
        <w:r w:rsidRPr="0099652B">
          <w:rPr>
            <w:rFonts w:ascii="Times New Roman" w:hAnsi="Times New Roman" w:cs="Times New Roman"/>
            <w:noProof/>
            <w:webHidden/>
          </w:rPr>
          <w:fldChar w:fldCharType="end"/>
        </w:r>
      </w:hyperlink>
    </w:p>
    <w:p w14:paraId="7F5CD675" w14:textId="2B2A806A" w:rsidR="007D4D32" w:rsidRPr="0099652B" w:rsidRDefault="007D4D32">
      <w:pPr>
        <w:pStyle w:val="TOC2"/>
        <w:rPr>
          <w:rFonts w:ascii="Times New Roman" w:eastAsiaTheme="minorEastAsia" w:hAnsi="Times New Roman" w:cs="Times New Roman"/>
          <w:noProof/>
          <w:kern w:val="2"/>
          <w14:ligatures w14:val="standardContextual"/>
        </w:rPr>
      </w:pPr>
      <w:hyperlink w:anchor="_Toc241691214" w:history="1">
        <w:r w:rsidRPr="0099652B">
          <w:rPr>
            <w:rStyle w:val="Hyperlink"/>
            <w:rFonts w:ascii="Times New Roman" w:hAnsi="Times New Roman" w:cs="Times New Roman"/>
            <w:noProof/>
            <w:color w:val="auto"/>
          </w:rPr>
          <w:t>2.4 The Exclusion of Orally Transmitted Corpora</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_Toc241691214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12</w:t>
        </w:r>
        <w:r w:rsidRPr="0099652B">
          <w:rPr>
            <w:rFonts w:ascii="Times New Roman" w:hAnsi="Times New Roman" w:cs="Times New Roman"/>
            <w:noProof/>
            <w:webHidden/>
          </w:rPr>
          <w:fldChar w:fldCharType="end"/>
        </w:r>
      </w:hyperlink>
    </w:p>
    <w:p w14:paraId="279C343D" w14:textId="7B8AC86F" w:rsidR="007D4D32" w:rsidRPr="0099652B" w:rsidRDefault="007D4D32">
      <w:pPr>
        <w:pStyle w:val="TOC2"/>
        <w:rPr>
          <w:rFonts w:ascii="Times New Roman" w:eastAsiaTheme="minorEastAsia" w:hAnsi="Times New Roman" w:cs="Times New Roman"/>
          <w:noProof/>
          <w:kern w:val="2"/>
          <w14:ligatures w14:val="standardContextual"/>
        </w:rPr>
      </w:pPr>
      <w:hyperlink w:anchor="_Toc241691215" w:history="1">
        <w:r w:rsidRPr="0099652B">
          <w:rPr>
            <w:rStyle w:val="Hyperlink"/>
            <w:rFonts w:ascii="Times New Roman" w:hAnsi="Times New Roman" w:cs="Times New Roman"/>
            <w:noProof/>
            <w:color w:val="auto"/>
          </w:rPr>
          <w:t>2.5 The Limits of the Argument from Silence</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_Toc241691215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13</w:t>
        </w:r>
        <w:r w:rsidRPr="0099652B">
          <w:rPr>
            <w:rFonts w:ascii="Times New Roman" w:hAnsi="Times New Roman" w:cs="Times New Roman"/>
            <w:noProof/>
            <w:webHidden/>
          </w:rPr>
          <w:fldChar w:fldCharType="end"/>
        </w:r>
      </w:hyperlink>
    </w:p>
    <w:p w14:paraId="2E8CCF6B" w14:textId="08567161" w:rsidR="007D4D32" w:rsidRPr="0099652B" w:rsidRDefault="007D4D32">
      <w:pPr>
        <w:pStyle w:val="TOC1"/>
        <w:rPr>
          <w:rFonts w:ascii="Times New Roman" w:eastAsiaTheme="minorEastAsia" w:hAnsi="Times New Roman" w:cs="Times New Roman"/>
          <w:noProof/>
          <w:kern w:val="2"/>
          <w14:ligatures w14:val="standardContextual"/>
        </w:rPr>
      </w:pPr>
      <w:hyperlink w:anchor="_Toc241691216" w:history="1">
        <w:r w:rsidRPr="0099652B">
          <w:rPr>
            <w:rStyle w:val="Hyperlink"/>
            <w:rFonts w:ascii="Times New Roman" w:hAnsi="Times New Roman" w:cs="Times New Roman"/>
            <w:noProof/>
            <w:color w:val="auto"/>
          </w:rPr>
          <w:t>Chapter 3 The Formation of the Doctrine in Egypt to c. 2300 BCE</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_Toc241691216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15</w:t>
        </w:r>
        <w:r w:rsidRPr="0099652B">
          <w:rPr>
            <w:rFonts w:ascii="Times New Roman" w:hAnsi="Times New Roman" w:cs="Times New Roman"/>
            <w:noProof/>
            <w:webHidden/>
          </w:rPr>
          <w:fldChar w:fldCharType="end"/>
        </w:r>
      </w:hyperlink>
    </w:p>
    <w:p w14:paraId="6AFE0BBE" w14:textId="2D154E13" w:rsidR="007D4D32" w:rsidRPr="0099652B" w:rsidRDefault="007D4D32">
      <w:pPr>
        <w:pStyle w:val="TOC2"/>
        <w:rPr>
          <w:rFonts w:ascii="Times New Roman" w:eastAsiaTheme="minorEastAsia" w:hAnsi="Times New Roman" w:cs="Times New Roman"/>
          <w:noProof/>
          <w:kern w:val="2"/>
          <w14:ligatures w14:val="standardContextual"/>
        </w:rPr>
      </w:pPr>
      <w:hyperlink w:anchor="_Toc241691217" w:history="1">
        <w:r w:rsidRPr="0099652B">
          <w:rPr>
            <w:rStyle w:val="Hyperlink"/>
            <w:rFonts w:ascii="Times New Roman" w:hAnsi="Times New Roman" w:cs="Times New Roman"/>
            <w:noProof/>
            <w:color w:val="auto"/>
          </w:rPr>
          <w:t>3.1 Criterion One: Restoration to life of the Deceased</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_Toc241691217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16</w:t>
        </w:r>
        <w:r w:rsidRPr="0099652B">
          <w:rPr>
            <w:rFonts w:ascii="Times New Roman" w:hAnsi="Times New Roman" w:cs="Times New Roman"/>
            <w:noProof/>
            <w:webHidden/>
          </w:rPr>
          <w:fldChar w:fldCharType="end"/>
        </w:r>
      </w:hyperlink>
    </w:p>
    <w:p w14:paraId="2F1569FE" w14:textId="139C9519" w:rsidR="007D4D32" w:rsidRPr="0099652B" w:rsidRDefault="007D4D32">
      <w:pPr>
        <w:pStyle w:val="TOC2"/>
        <w:rPr>
          <w:rFonts w:ascii="Times New Roman" w:eastAsiaTheme="minorEastAsia" w:hAnsi="Times New Roman" w:cs="Times New Roman"/>
          <w:noProof/>
          <w:kern w:val="2"/>
          <w14:ligatures w14:val="standardContextual"/>
        </w:rPr>
      </w:pPr>
      <w:hyperlink w:anchor="_Toc241691218" w:history="1">
        <w:r w:rsidRPr="0099652B">
          <w:rPr>
            <w:rStyle w:val="Hyperlink"/>
            <w:rFonts w:ascii="Times New Roman" w:hAnsi="Times New Roman" w:cs="Times New Roman"/>
            <w:noProof/>
            <w:color w:val="auto"/>
          </w:rPr>
          <w:t>3.2 Criterion Two: Requirement of a Tribunal (judgment)</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_Toc241691218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18</w:t>
        </w:r>
        <w:r w:rsidRPr="0099652B">
          <w:rPr>
            <w:rFonts w:ascii="Times New Roman" w:hAnsi="Times New Roman" w:cs="Times New Roman"/>
            <w:noProof/>
            <w:webHidden/>
          </w:rPr>
          <w:fldChar w:fldCharType="end"/>
        </w:r>
      </w:hyperlink>
    </w:p>
    <w:p w14:paraId="638FF363" w14:textId="0F358161" w:rsidR="007D4D32" w:rsidRPr="0099652B" w:rsidRDefault="007D4D32">
      <w:pPr>
        <w:pStyle w:val="TOC2"/>
        <w:rPr>
          <w:rFonts w:ascii="Times New Roman" w:eastAsiaTheme="minorEastAsia" w:hAnsi="Times New Roman" w:cs="Times New Roman"/>
          <w:noProof/>
          <w:kern w:val="2"/>
          <w14:ligatures w14:val="standardContextual"/>
        </w:rPr>
      </w:pPr>
      <w:hyperlink w:anchor="_Toc241691219" w:history="1">
        <w:r w:rsidRPr="0099652B">
          <w:rPr>
            <w:rStyle w:val="Hyperlink"/>
            <w:rFonts w:ascii="Times New Roman" w:hAnsi="Times New Roman" w:cs="Times New Roman"/>
            <w:noProof/>
            <w:color w:val="auto"/>
          </w:rPr>
          <w:t>3.3 Criterion Three: Moral Determination of the Outcome (verdict)</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_Toc241691219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20</w:t>
        </w:r>
        <w:r w:rsidRPr="0099652B">
          <w:rPr>
            <w:rFonts w:ascii="Times New Roman" w:hAnsi="Times New Roman" w:cs="Times New Roman"/>
            <w:noProof/>
            <w:webHidden/>
          </w:rPr>
          <w:fldChar w:fldCharType="end"/>
        </w:r>
      </w:hyperlink>
    </w:p>
    <w:p w14:paraId="24790D0F" w14:textId="2F84CF88" w:rsidR="007D4D32" w:rsidRPr="0099652B" w:rsidRDefault="007D4D32">
      <w:pPr>
        <w:pStyle w:val="TOC2"/>
        <w:rPr>
          <w:rFonts w:ascii="Times New Roman" w:eastAsiaTheme="minorEastAsia" w:hAnsi="Times New Roman" w:cs="Times New Roman"/>
          <w:noProof/>
          <w:kern w:val="2"/>
          <w14:ligatures w14:val="standardContextual"/>
        </w:rPr>
      </w:pPr>
      <w:hyperlink w:anchor="_Toc241691220" w:history="1">
        <w:r w:rsidRPr="0099652B">
          <w:rPr>
            <w:rStyle w:val="Hyperlink"/>
            <w:rFonts w:ascii="Times New Roman" w:hAnsi="Times New Roman" w:cs="Times New Roman"/>
            <w:noProof/>
            <w:color w:val="auto"/>
          </w:rPr>
          <w:t>3.4 Criterion Four: Divergent Eternal Destinies</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_Toc241691220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25</w:t>
        </w:r>
        <w:r w:rsidRPr="0099652B">
          <w:rPr>
            <w:rFonts w:ascii="Times New Roman" w:hAnsi="Times New Roman" w:cs="Times New Roman"/>
            <w:noProof/>
            <w:webHidden/>
          </w:rPr>
          <w:fldChar w:fldCharType="end"/>
        </w:r>
      </w:hyperlink>
    </w:p>
    <w:p w14:paraId="52F6C819" w14:textId="31E779DA" w:rsidR="007D4D32" w:rsidRPr="0099652B" w:rsidRDefault="007D4D32">
      <w:pPr>
        <w:pStyle w:val="TOC2"/>
        <w:rPr>
          <w:rFonts w:ascii="Times New Roman" w:eastAsiaTheme="minorEastAsia" w:hAnsi="Times New Roman" w:cs="Times New Roman"/>
          <w:noProof/>
          <w:kern w:val="2"/>
          <w14:ligatures w14:val="standardContextual"/>
        </w:rPr>
      </w:pPr>
      <w:hyperlink w:anchor="_Toc241691221" w:history="1">
        <w:r w:rsidRPr="0099652B">
          <w:rPr>
            <w:rStyle w:val="Hyperlink"/>
            <w:rFonts w:ascii="Times New Roman" w:hAnsi="Times New Roman" w:cs="Times New Roman"/>
            <w:noProof/>
            <w:color w:val="auto"/>
          </w:rPr>
          <w:t>3.5 Interim Conclusion</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_Toc241691221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27</w:t>
        </w:r>
        <w:r w:rsidRPr="0099652B">
          <w:rPr>
            <w:rFonts w:ascii="Times New Roman" w:hAnsi="Times New Roman" w:cs="Times New Roman"/>
            <w:noProof/>
            <w:webHidden/>
          </w:rPr>
          <w:fldChar w:fldCharType="end"/>
        </w:r>
      </w:hyperlink>
    </w:p>
    <w:p w14:paraId="60674424" w14:textId="16C478CE" w:rsidR="007D4D32" w:rsidRPr="0099652B" w:rsidRDefault="007D4D32">
      <w:pPr>
        <w:pStyle w:val="TOC1"/>
        <w:rPr>
          <w:rFonts w:ascii="Times New Roman" w:eastAsiaTheme="minorEastAsia" w:hAnsi="Times New Roman" w:cs="Times New Roman"/>
          <w:noProof/>
          <w:kern w:val="2"/>
          <w14:ligatures w14:val="standardContextual"/>
        </w:rPr>
      </w:pPr>
      <w:hyperlink w:anchor="_Toc241691222" w:history="1">
        <w:r w:rsidRPr="0099652B">
          <w:rPr>
            <w:rStyle w:val="Hyperlink"/>
            <w:rFonts w:ascii="Times New Roman" w:hAnsi="Times New Roman" w:cs="Times New Roman"/>
            <w:noProof/>
            <w:color w:val="auto"/>
          </w:rPr>
          <w:t>Chapter 4 Crystallization and Universalization, c. 2100–1070 BCE</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_Toc241691222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28</w:t>
        </w:r>
        <w:r w:rsidRPr="0099652B">
          <w:rPr>
            <w:rFonts w:ascii="Times New Roman" w:hAnsi="Times New Roman" w:cs="Times New Roman"/>
            <w:noProof/>
            <w:webHidden/>
          </w:rPr>
          <w:fldChar w:fldCharType="end"/>
        </w:r>
      </w:hyperlink>
    </w:p>
    <w:p w14:paraId="74AE09D8" w14:textId="699DAC43" w:rsidR="007D4D32" w:rsidRPr="0099652B" w:rsidRDefault="007D4D32">
      <w:pPr>
        <w:pStyle w:val="TOC2"/>
        <w:rPr>
          <w:rFonts w:ascii="Times New Roman" w:eastAsiaTheme="minorEastAsia" w:hAnsi="Times New Roman" w:cs="Times New Roman"/>
          <w:noProof/>
          <w:kern w:val="2"/>
          <w14:ligatures w14:val="standardContextual"/>
        </w:rPr>
      </w:pPr>
      <w:hyperlink w:anchor="_Toc241691223" w:history="1">
        <w:r w:rsidRPr="0099652B">
          <w:rPr>
            <w:rStyle w:val="Hyperlink"/>
            <w:rFonts w:ascii="Times New Roman" w:hAnsi="Times New Roman" w:cs="Times New Roman"/>
            <w:noProof/>
            <w:color w:val="auto"/>
          </w:rPr>
          <w:t>4.1 Attestation versus Crystallization</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_Toc241691223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28</w:t>
        </w:r>
        <w:r w:rsidRPr="0099652B">
          <w:rPr>
            <w:rFonts w:ascii="Times New Roman" w:hAnsi="Times New Roman" w:cs="Times New Roman"/>
            <w:noProof/>
            <w:webHidden/>
          </w:rPr>
          <w:fldChar w:fldCharType="end"/>
        </w:r>
      </w:hyperlink>
    </w:p>
    <w:p w14:paraId="53BC8B78" w14:textId="0503E859" w:rsidR="007D4D32" w:rsidRPr="0099652B" w:rsidRDefault="007D4D32">
      <w:pPr>
        <w:pStyle w:val="TOC2"/>
        <w:rPr>
          <w:rFonts w:ascii="Times New Roman" w:eastAsiaTheme="minorEastAsia" w:hAnsi="Times New Roman" w:cs="Times New Roman"/>
          <w:noProof/>
          <w:kern w:val="2"/>
          <w14:ligatures w14:val="standardContextual"/>
        </w:rPr>
      </w:pPr>
      <w:hyperlink w:anchor="_Toc241691224" w:history="1">
        <w:r w:rsidRPr="0099652B">
          <w:rPr>
            <w:rStyle w:val="Hyperlink"/>
            <w:rFonts w:ascii="Times New Roman" w:hAnsi="Times New Roman" w:cs="Times New Roman"/>
            <w:noProof/>
            <w:color w:val="auto"/>
          </w:rPr>
          <w:t>4.2 Extension to a Wider Public: The Coffin Texts</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_Toc241691224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29</w:t>
        </w:r>
        <w:r w:rsidRPr="0099652B">
          <w:rPr>
            <w:rFonts w:ascii="Times New Roman" w:hAnsi="Times New Roman" w:cs="Times New Roman"/>
            <w:noProof/>
            <w:webHidden/>
          </w:rPr>
          <w:fldChar w:fldCharType="end"/>
        </w:r>
      </w:hyperlink>
    </w:p>
    <w:p w14:paraId="033F58EF" w14:textId="39DA94AF" w:rsidR="007D4D32" w:rsidRPr="0099652B" w:rsidRDefault="007D4D32">
      <w:pPr>
        <w:pStyle w:val="TOC2"/>
        <w:rPr>
          <w:rFonts w:ascii="Times New Roman" w:eastAsiaTheme="minorEastAsia" w:hAnsi="Times New Roman" w:cs="Times New Roman"/>
          <w:noProof/>
          <w:kern w:val="2"/>
          <w14:ligatures w14:val="standardContextual"/>
        </w:rPr>
      </w:pPr>
      <w:hyperlink w:anchor="_Toc241691225" w:history="1">
        <w:r w:rsidRPr="0099652B">
          <w:rPr>
            <w:rStyle w:val="Hyperlink"/>
            <w:rFonts w:ascii="Times New Roman" w:hAnsi="Times New Roman" w:cs="Times New Roman"/>
            <w:noProof/>
            <w:color w:val="auto"/>
          </w:rPr>
          <w:t>4.3 Statement: The Instruction for Merikare</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_Toc241691225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30</w:t>
        </w:r>
        <w:r w:rsidRPr="0099652B">
          <w:rPr>
            <w:rFonts w:ascii="Times New Roman" w:hAnsi="Times New Roman" w:cs="Times New Roman"/>
            <w:noProof/>
            <w:webHidden/>
          </w:rPr>
          <w:fldChar w:fldCharType="end"/>
        </w:r>
      </w:hyperlink>
    </w:p>
    <w:p w14:paraId="3043703D" w14:textId="7CBDE948" w:rsidR="007D4D32" w:rsidRPr="0099652B" w:rsidRDefault="007D4D32">
      <w:pPr>
        <w:pStyle w:val="TOC2"/>
        <w:rPr>
          <w:rFonts w:ascii="Times New Roman" w:eastAsiaTheme="minorEastAsia" w:hAnsi="Times New Roman" w:cs="Times New Roman"/>
          <w:noProof/>
          <w:kern w:val="2"/>
          <w14:ligatures w14:val="standardContextual"/>
        </w:rPr>
      </w:pPr>
      <w:hyperlink w:anchor="_Toc241691226" w:history="1">
        <w:r w:rsidRPr="0099652B">
          <w:rPr>
            <w:rStyle w:val="Hyperlink"/>
            <w:rFonts w:ascii="Times New Roman" w:hAnsi="Times New Roman" w:cs="Times New Roman"/>
            <w:noProof/>
            <w:color w:val="auto"/>
          </w:rPr>
          <w:t>4.4 Canonization: The Book of the Dead and the Weighing of the Heart</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_Toc241691226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30</w:t>
        </w:r>
        <w:r w:rsidRPr="0099652B">
          <w:rPr>
            <w:rFonts w:ascii="Times New Roman" w:hAnsi="Times New Roman" w:cs="Times New Roman"/>
            <w:noProof/>
            <w:webHidden/>
          </w:rPr>
          <w:fldChar w:fldCharType="end"/>
        </w:r>
      </w:hyperlink>
    </w:p>
    <w:p w14:paraId="26359C78" w14:textId="79C1B83C" w:rsidR="007D4D32" w:rsidRPr="0099652B" w:rsidRDefault="007D4D32">
      <w:pPr>
        <w:pStyle w:val="TOC2"/>
        <w:rPr>
          <w:rFonts w:ascii="Times New Roman" w:eastAsiaTheme="minorEastAsia" w:hAnsi="Times New Roman" w:cs="Times New Roman"/>
          <w:noProof/>
          <w:kern w:val="2"/>
          <w14:ligatures w14:val="standardContextual"/>
        </w:rPr>
      </w:pPr>
      <w:hyperlink w:anchor="_Toc241691227" w:history="1">
        <w:r w:rsidRPr="0099652B">
          <w:rPr>
            <w:rStyle w:val="Hyperlink"/>
            <w:rFonts w:ascii="Times New Roman" w:hAnsi="Times New Roman" w:cs="Times New Roman"/>
            <w:noProof/>
            <w:color w:val="auto"/>
          </w:rPr>
          <w:t>4.5 What Changed and What Did Not</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_Toc241691227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32</w:t>
        </w:r>
        <w:r w:rsidRPr="0099652B">
          <w:rPr>
            <w:rFonts w:ascii="Times New Roman" w:hAnsi="Times New Roman" w:cs="Times New Roman"/>
            <w:noProof/>
            <w:webHidden/>
          </w:rPr>
          <w:fldChar w:fldCharType="end"/>
        </w:r>
      </w:hyperlink>
    </w:p>
    <w:p w14:paraId="71C07CEF" w14:textId="1ABB3AD1" w:rsidR="007D4D32" w:rsidRPr="0099652B" w:rsidRDefault="007D4D32">
      <w:pPr>
        <w:pStyle w:val="TOC1"/>
        <w:rPr>
          <w:rFonts w:ascii="Times New Roman" w:eastAsiaTheme="minorEastAsia" w:hAnsi="Times New Roman" w:cs="Times New Roman"/>
          <w:noProof/>
          <w:kern w:val="2"/>
          <w14:ligatures w14:val="standardContextual"/>
        </w:rPr>
      </w:pPr>
      <w:hyperlink w:anchor="_Toc241691228" w:history="1">
        <w:r w:rsidRPr="0099652B">
          <w:rPr>
            <w:rStyle w:val="Hyperlink"/>
            <w:rFonts w:ascii="Times New Roman" w:hAnsi="Times New Roman" w:cs="Times New Roman"/>
            <w:noProof/>
            <w:color w:val="auto"/>
          </w:rPr>
          <w:t>Chapter 5 The Comparative Case: The Absence of a Rival</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_Toc241691228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33</w:t>
        </w:r>
        <w:r w:rsidRPr="0099652B">
          <w:rPr>
            <w:rFonts w:ascii="Times New Roman" w:hAnsi="Times New Roman" w:cs="Times New Roman"/>
            <w:noProof/>
            <w:webHidden/>
          </w:rPr>
          <w:fldChar w:fldCharType="end"/>
        </w:r>
      </w:hyperlink>
    </w:p>
    <w:p w14:paraId="0085D8C3" w14:textId="02709C27" w:rsidR="007D4D32" w:rsidRPr="0099652B" w:rsidRDefault="007D4D32">
      <w:pPr>
        <w:pStyle w:val="TOC2"/>
        <w:rPr>
          <w:rFonts w:ascii="Times New Roman" w:eastAsiaTheme="minorEastAsia" w:hAnsi="Times New Roman" w:cs="Times New Roman"/>
          <w:noProof/>
          <w:kern w:val="2"/>
          <w14:ligatures w14:val="standardContextual"/>
        </w:rPr>
      </w:pPr>
      <w:hyperlink w:anchor="_Toc241691229" w:history="1">
        <w:r w:rsidRPr="0099652B">
          <w:rPr>
            <w:rStyle w:val="Hyperlink"/>
            <w:rFonts w:ascii="Times New Roman" w:hAnsi="Times New Roman" w:cs="Times New Roman"/>
            <w:noProof/>
            <w:color w:val="auto"/>
          </w:rPr>
          <w:t>5.1 Introduction: The Priority Proposition</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_Toc241691229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33</w:t>
        </w:r>
        <w:r w:rsidRPr="0099652B">
          <w:rPr>
            <w:rFonts w:ascii="Times New Roman" w:hAnsi="Times New Roman" w:cs="Times New Roman"/>
            <w:noProof/>
            <w:webHidden/>
          </w:rPr>
          <w:fldChar w:fldCharType="end"/>
        </w:r>
      </w:hyperlink>
    </w:p>
    <w:p w14:paraId="29D94EBD" w14:textId="1FF88AB3" w:rsidR="007D4D32" w:rsidRPr="0099652B" w:rsidRDefault="007D4D32">
      <w:pPr>
        <w:pStyle w:val="TOC2"/>
        <w:rPr>
          <w:rFonts w:ascii="Times New Roman" w:eastAsiaTheme="minorEastAsia" w:hAnsi="Times New Roman" w:cs="Times New Roman"/>
          <w:noProof/>
          <w:kern w:val="2"/>
          <w14:ligatures w14:val="standardContextual"/>
        </w:rPr>
      </w:pPr>
      <w:hyperlink w:anchor="_Toc241691230" w:history="1">
        <w:r w:rsidRPr="0099652B">
          <w:rPr>
            <w:rStyle w:val="Hyperlink"/>
            <w:rFonts w:ascii="Times New Roman" w:hAnsi="Times New Roman" w:cs="Times New Roman"/>
            <w:noProof/>
            <w:color w:val="auto"/>
          </w:rPr>
          <w:t>5.2 Method of Comparison</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_Toc241691230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33</w:t>
        </w:r>
        <w:r w:rsidRPr="0099652B">
          <w:rPr>
            <w:rFonts w:ascii="Times New Roman" w:hAnsi="Times New Roman" w:cs="Times New Roman"/>
            <w:noProof/>
            <w:webHidden/>
          </w:rPr>
          <w:fldChar w:fldCharType="end"/>
        </w:r>
      </w:hyperlink>
    </w:p>
    <w:p w14:paraId="10AE6E59" w14:textId="679C498C" w:rsidR="007D4D32" w:rsidRPr="0099652B" w:rsidRDefault="007D4D32">
      <w:pPr>
        <w:pStyle w:val="TOC2"/>
        <w:rPr>
          <w:rFonts w:ascii="Times New Roman" w:eastAsiaTheme="minorEastAsia" w:hAnsi="Times New Roman" w:cs="Times New Roman"/>
          <w:noProof/>
          <w:kern w:val="2"/>
          <w14:ligatures w14:val="standardContextual"/>
        </w:rPr>
      </w:pPr>
      <w:hyperlink w:anchor="_Toc241691231" w:history="1">
        <w:r w:rsidRPr="0099652B">
          <w:rPr>
            <w:rStyle w:val="Hyperlink"/>
            <w:rFonts w:ascii="Times New Roman" w:hAnsi="Times New Roman" w:cs="Times New Roman"/>
            <w:noProof/>
            <w:color w:val="auto"/>
          </w:rPr>
          <w:t>5.3 Iran: Zoroastrianism</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_Toc241691231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33</w:t>
        </w:r>
        <w:r w:rsidRPr="0099652B">
          <w:rPr>
            <w:rFonts w:ascii="Times New Roman" w:hAnsi="Times New Roman" w:cs="Times New Roman"/>
            <w:noProof/>
            <w:webHidden/>
          </w:rPr>
          <w:fldChar w:fldCharType="end"/>
        </w:r>
      </w:hyperlink>
    </w:p>
    <w:p w14:paraId="0ECC0877" w14:textId="300AE81D" w:rsidR="007D4D32" w:rsidRPr="0099652B" w:rsidRDefault="007D4D32">
      <w:pPr>
        <w:pStyle w:val="TOC2"/>
        <w:rPr>
          <w:rFonts w:ascii="Times New Roman" w:eastAsiaTheme="minorEastAsia" w:hAnsi="Times New Roman" w:cs="Times New Roman"/>
          <w:noProof/>
          <w:kern w:val="2"/>
          <w14:ligatures w14:val="standardContextual"/>
        </w:rPr>
      </w:pPr>
      <w:hyperlink w:anchor="_Toc241691232" w:history="1">
        <w:r w:rsidRPr="0099652B">
          <w:rPr>
            <w:rStyle w:val="Hyperlink"/>
            <w:rFonts w:ascii="Times New Roman" w:hAnsi="Times New Roman" w:cs="Times New Roman"/>
            <w:noProof/>
            <w:color w:val="auto"/>
          </w:rPr>
          <w:t>5.4 Mesopotamia</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_Toc241691232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46</w:t>
        </w:r>
        <w:r w:rsidRPr="0099652B">
          <w:rPr>
            <w:rFonts w:ascii="Times New Roman" w:hAnsi="Times New Roman" w:cs="Times New Roman"/>
            <w:noProof/>
            <w:webHidden/>
          </w:rPr>
          <w:fldChar w:fldCharType="end"/>
        </w:r>
      </w:hyperlink>
    </w:p>
    <w:p w14:paraId="446D7AEF" w14:textId="58122F6A" w:rsidR="007D4D32" w:rsidRPr="0099652B" w:rsidRDefault="007D4D32">
      <w:pPr>
        <w:pStyle w:val="TOC2"/>
        <w:rPr>
          <w:rFonts w:ascii="Times New Roman" w:eastAsiaTheme="minorEastAsia" w:hAnsi="Times New Roman" w:cs="Times New Roman"/>
          <w:noProof/>
          <w:kern w:val="2"/>
          <w14:ligatures w14:val="standardContextual"/>
        </w:rPr>
      </w:pPr>
      <w:hyperlink w:anchor="_Toc241691233" w:history="1">
        <w:r w:rsidRPr="0099652B">
          <w:rPr>
            <w:rStyle w:val="Hyperlink"/>
            <w:rFonts w:ascii="Times New Roman" w:hAnsi="Times New Roman" w:cs="Times New Roman"/>
            <w:noProof/>
            <w:color w:val="auto"/>
          </w:rPr>
          <w:t>5.5 Israel</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_Toc241691233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48</w:t>
        </w:r>
        <w:r w:rsidRPr="0099652B">
          <w:rPr>
            <w:rFonts w:ascii="Times New Roman" w:hAnsi="Times New Roman" w:cs="Times New Roman"/>
            <w:noProof/>
            <w:webHidden/>
          </w:rPr>
          <w:fldChar w:fldCharType="end"/>
        </w:r>
      </w:hyperlink>
    </w:p>
    <w:p w14:paraId="3711FFC6" w14:textId="5C0A9F66" w:rsidR="007D4D32" w:rsidRPr="0099652B" w:rsidRDefault="007D4D32">
      <w:pPr>
        <w:pStyle w:val="TOC2"/>
        <w:rPr>
          <w:rFonts w:ascii="Times New Roman" w:eastAsiaTheme="minorEastAsia" w:hAnsi="Times New Roman" w:cs="Times New Roman"/>
          <w:noProof/>
          <w:kern w:val="2"/>
          <w14:ligatures w14:val="standardContextual"/>
        </w:rPr>
      </w:pPr>
      <w:hyperlink w:anchor="_Toc241691234" w:history="1">
        <w:r w:rsidRPr="0099652B">
          <w:rPr>
            <w:rStyle w:val="Hyperlink"/>
            <w:rFonts w:ascii="Times New Roman" w:hAnsi="Times New Roman" w:cs="Times New Roman"/>
            <w:noProof/>
            <w:color w:val="auto"/>
          </w:rPr>
          <w:t>5.6 Greece: Pindar’s Second Olympian Ode</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_Toc241691234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50</w:t>
        </w:r>
        <w:r w:rsidRPr="0099652B">
          <w:rPr>
            <w:rFonts w:ascii="Times New Roman" w:hAnsi="Times New Roman" w:cs="Times New Roman"/>
            <w:noProof/>
            <w:webHidden/>
          </w:rPr>
          <w:fldChar w:fldCharType="end"/>
        </w:r>
      </w:hyperlink>
    </w:p>
    <w:p w14:paraId="488E221A" w14:textId="61DC2971" w:rsidR="007D4D32" w:rsidRPr="0099652B" w:rsidRDefault="007D4D32">
      <w:pPr>
        <w:pStyle w:val="TOC2"/>
        <w:rPr>
          <w:rFonts w:ascii="Times New Roman" w:eastAsiaTheme="minorEastAsia" w:hAnsi="Times New Roman" w:cs="Times New Roman"/>
          <w:noProof/>
          <w:kern w:val="2"/>
          <w14:ligatures w14:val="standardContextual"/>
        </w:rPr>
      </w:pPr>
      <w:hyperlink w:anchor="_Toc241691235" w:history="1">
        <w:r w:rsidRPr="0099652B">
          <w:rPr>
            <w:rStyle w:val="Hyperlink"/>
            <w:rFonts w:ascii="Times New Roman" w:hAnsi="Times New Roman" w:cs="Times New Roman"/>
            <w:noProof/>
            <w:color w:val="auto"/>
          </w:rPr>
          <w:t>5.7 Other Traditions</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_Toc241691235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53</w:t>
        </w:r>
        <w:r w:rsidRPr="0099652B">
          <w:rPr>
            <w:rFonts w:ascii="Times New Roman" w:hAnsi="Times New Roman" w:cs="Times New Roman"/>
            <w:noProof/>
            <w:webHidden/>
          </w:rPr>
          <w:fldChar w:fldCharType="end"/>
        </w:r>
      </w:hyperlink>
    </w:p>
    <w:p w14:paraId="0FBF0AC0" w14:textId="5C276394" w:rsidR="007D4D32" w:rsidRPr="0099652B" w:rsidRDefault="007D4D32">
      <w:pPr>
        <w:pStyle w:val="TOC2"/>
        <w:rPr>
          <w:rFonts w:ascii="Times New Roman" w:eastAsiaTheme="minorEastAsia" w:hAnsi="Times New Roman" w:cs="Times New Roman"/>
          <w:noProof/>
          <w:kern w:val="2"/>
          <w14:ligatures w14:val="standardContextual"/>
        </w:rPr>
      </w:pPr>
      <w:hyperlink w:anchor="_Toc241691236" w:history="1">
        <w:r w:rsidRPr="0099652B">
          <w:rPr>
            <w:rStyle w:val="Hyperlink"/>
            <w:rFonts w:ascii="Times New Roman" w:hAnsi="Times New Roman" w:cs="Times New Roman"/>
            <w:noProof/>
            <w:color w:val="auto"/>
          </w:rPr>
          <w:t>5.8 Conclusion</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_Toc241691236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54</w:t>
        </w:r>
        <w:r w:rsidRPr="0099652B">
          <w:rPr>
            <w:rFonts w:ascii="Times New Roman" w:hAnsi="Times New Roman" w:cs="Times New Roman"/>
            <w:noProof/>
            <w:webHidden/>
          </w:rPr>
          <w:fldChar w:fldCharType="end"/>
        </w:r>
      </w:hyperlink>
    </w:p>
    <w:p w14:paraId="2F0C3048" w14:textId="4EF0CCB8" w:rsidR="007D4D32" w:rsidRPr="0099652B" w:rsidRDefault="00BF283E">
      <w:pPr>
        <w:pStyle w:val="TOC1"/>
        <w:rPr>
          <w:rFonts w:ascii="Times New Roman" w:eastAsiaTheme="minorEastAsia" w:hAnsi="Times New Roman" w:cs="Times New Roman"/>
          <w:noProof/>
          <w:kern w:val="2"/>
          <w14:ligatures w14:val="standardContextual"/>
        </w:rPr>
      </w:pPr>
      <w:hyperlink w:anchor="_Toc241691237" w:history="1">
        <w:r w:rsidRPr="0099652B">
          <w:rPr>
            <w:rStyle w:val="Hyperlink"/>
            <w:rFonts w:ascii="Times New Roman" w:hAnsi="Times New Roman" w:cs="Times New Roman"/>
            <w:noProof/>
            <w:color w:val="auto"/>
          </w:rPr>
          <w:t>Chapter 6 Conclusion: Why Egypt’s Doctrine of Righteous Resurrection Matters</w:t>
        </w:r>
        <w:r w:rsidRPr="0099652B">
          <w:rPr>
            <w:rStyle w:val="Hyperlink"/>
            <w:rFonts w:ascii="Times New Roman" w:hAnsi="Times New Roman" w:cs="Times New Roman"/>
            <w:noProof/>
            <w:color w:val="auto"/>
          </w:rPr>
          <w:tab/>
          <w:t>60</w:t>
        </w:r>
      </w:hyperlink>
    </w:p>
    <w:p w14:paraId="01A50D68" w14:textId="78EDAF51" w:rsidR="007D4D32" w:rsidRPr="0099652B" w:rsidRDefault="007D4D32">
      <w:pPr>
        <w:pStyle w:val="TOC1"/>
        <w:rPr>
          <w:rFonts w:ascii="Times New Roman" w:eastAsiaTheme="minorEastAsia" w:hAnsi="Times New Roman" w:cs="Times New Roman"/>
          <w:noProof/>
          <w:kern w:val="2"/>
          <w14:ligatures w14:val="standardContextual"/>
        </w:rPr>
      </w:pPr>
      <w:hyperlink w:anchor="_Toc241691238" w:history="1">
        <w:r w:rsidRPr="0099652B">
          <w:rPr>
            <w:rStyle w:val="Hyperlink"/>
            <w:rFonts w:ascii="Times New Roman" w:hAnsi="Times New Roman" w:cs="Times New Roman"/>
            <w:noProof/>
            <w:color w:val="auto"/>
          </w:rPr>
          <w:t>Bibliography</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_Toc241691238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59</w:t>
        </w:r>
        <w:r w:rsidRPr="0099652B">
          <w:rPr>
            <w:rFonts w:ascii="Times New Roman" w:hAnsi="Times New Roman" w:cs="Times New Roman"/>
            <w:noProof/>
            <w:webHidden/>
          </w:rPr>
          <w:fldChar w:fldCharType="end"/>
        </w:r>
      </w:hyperlink>
    </w:p>
    <w:p w14:paraId="33FFFAB1" w14:textId="2D7502C9" w:rsidR="007D4D32" w:rsidRPr="0099652B" w:rsidRDefault="007D4D32">
      <w:pPr>
        <w:pStyle w:val="TOC2"/>
        <w:rPr>
          <w:rFonts w:ascii="Times New Roman" w:eastAsiaTheme="minorEastAsia" w:hAnsi="Times New Roman" w:cs="Times New Roman"/>
          <w:noProof/>
          <w:kern w:val="2"/>
          <w14:ligatures w14:val="standardContextual"/>
        </w:rPr>
      </w:pPr>
      <w:hyperlink w:anchor="_Toc241691239" w:history="1">
        <w:r w:rsidRPr="0099652B">
          <w:rPr>
            <w:rStyle w:val="Hyperlink"/>
            <w:rFonts w:ascii="Times New Roman" w:hAnsi="Times New Roman" w:cs="Times New Roman"/>
            <w:noProof/>
            <w:color w:val="auto"/>
          </w:rPr>
          <w:t>Primary Sources: Objects and Monuments</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_Toc241691239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59</w:t>
        </w:r>
        <w:r w:rsidRPr="0099652B">
          <w:rPr>
            <w:rFonts w:ascii="Times New Roman" w:hAnsi="Times New Roman" w:cs="Times New Roman"/>
            <w:noProof/>
            <w:webHidden/>
          </w:rPr>
          <w:fldChar w:fldCharType="end"/>
        </w:r>
      </w:hyperlink>
    </w:p>
    <w:p w14:paraId="7E411CB5" w14:textId="6BEF93B8" w:rsidR="007D4D32" w:rsidRPr="0099652B" w:rsidRDefault="007D4D32">
      <w:pPr>
        <w:pStyle w:val="TOC2"/>
        <w:rPr>
          <w:rFonts w:ascii="Times New Roman" w:eastAsiaTheme="minorEastAsia" w:hAnsi="Times New Roman" w:cs="Times New Roman"/>
          <w:noProof/>
          <w:kern w:val="2"/>
          <w14:ligatures w14:val="standardContextual"/>
        </w:rPr>
      </w:pPr>
      <w:hyperlink w:anchor="_Toc241691240" w:history="1">
        <w:r w:rsidRPr="0099652B">
          <w:rPr>
            <w:rStyle w:val="Hyperlink"/>
            <w:rFonts w:ascii="Times New Roman" w:hAnsi="Times New Roman" w:cs="Times New Roman"/>
            <w:noProof/>
            <w:color w:val="auto"/>
          </w:rPr>
          <w:t>Secondary Sources</w:t>
        </w:r>
        <w:r w:rsidRPr="0099652B">
          <w:rPr>
            <w:rFonts w:ascii="Times New Roman" w:hAnsi="Times New Roman" w:cs="Times New Roman"/>
            <w:noProof/>
            <w:webHidden/>
          </w:rPr>
          <w:tab/>
        </w:r>
        <w:r w:rsidRPr="0099652B">
          <w:rPr>
            <w:rFonts w:ascii="Times New Roman" w:hAnsi="Times New Roman" w:cs="Times New Roman"/>
            <w:noProof/>
            <w:webHidden/>
          </w:rPr>
          <w:fldChar w:fldCharType="begin"/>
        </w:r>
        <w:r w:rsidRPr="0099652B">
          <w:rPr>
            <w:rFonts w:ascii="Times New Roman" w:hAnsi="Times New Roman" w:cs="Times New Roman"/>
            <w:noProof/>
            <w:webHidden/>
          </w:rPr>
          <w:instrText xml:space="preserve"> PAGEREF _Toc241691240 \h </w:instrText>
        </w:r>
        <w:r w:rsidRPr="0099652B">
          <w:rPr>
            <w:rFonts w:ascii="Times New Roman" w:hAnsi="Times New Roman" w:cs="Times New Roman"/>
            <w:noProof/>
            <w:webHidden/>
          </w:rPr>
        </w:r>
        <w:r w:rsidRPr="0099652B">
          <w:rPr>
            <w:rFonts w:ascii="Times New Roman" w:hAnsi="Times New Roman" w:cs="Times New Roman"/>
            <w:noProof/>
            <w:webHidden/>
          </w:rPr>
          <w:fldChar w:fldCharType="separate"/>
        </w:r>
        <w:r w:rsidR="003E01A8">
          <w:rPr>
            <w:rFonts w:ascii="Times New Roman" w:hAnsi="Times New Roman" w:cs="Times New Roman"/>
            <w:noProof/>
            <w:webHidden/>
          </w:rPr>
          <w:t>61</w:t>
        </w:r>
        <w:r w:rsidRPr="0099652B">
          <w:rPr>
            <w:rFonts w:ascii="Times New Roman" w:hAnsi="Times New Roman" w:cs="Times New Roman"/>
            <w:noProof/>
            <w:webHidden/>
          </w:rPr>
          <w:fldChar w:fldCharType="end"/>
        </w:r>
      </w:hyperlink>
    </w:p>
    <w:p w14:paraId="71638D12" w14:textId="22F7513E" w:rsidR="002A2D63" w:rsidRPr="0099652B" w:rsidRDefault="002A2D63">
      <w:pPr>
        <w:pStyle w:val="TOC1"/>
        <w:rPr>
          <w:rFonts w:ascii="Times New Roman" w:hAnsi="Times New Roman" w:cs="Times New Roman"/>
          <w:noProof/>
        </w:rPr>
      </w:pPr>
      <w:r w:rsidRPr="0099652B">
        <w:rPr>
          <w:rFonts w:ascii="Times New Roman" w:hAnsi="Times New Roman" w:cs="Times New Roman"/>
        </w:rPr>
        <w:fldChar w:fldCharType="end"/>
      </w:r>
    </w:p>
    <w:p w14:paraId="1327E946" w14:textId="77777777" w:rsidR="00067F75" w:rsidRPr="0099652B" w:rsidRDefault="00000000">
      <w:pPr>
        <w:pStyle w:val="Heading1"/>
        <w:pageBreakBefore/>
        <w:rPr>
          <w:rFonts w:ascii="Times New Roman" w:hAnsi="Times New Roman" w:cs="Times New Roman"/>
          <w:color w:val="auto"/>
        </w:rPr>
      </w:pPr>
      <w:bookmarkStart w:id="0" w:name="_Toc241691201"/>
      <w:r w:rsidRPr="0099652B">
        <w:rPr>
          <w:rFonts w:ascii="Times New Roman" w:hAnsi="Times New Roman" w:cs="Times New Roman"/>
          <w:color w:val="auto"/>
        </w:rPr>
        <w:lastRenderedPageBreak/>
        <w:t>Abstract</w:t>
      </w:r>
      <w:bookmarkEnd w:id="0"/>
    </w:p>
    <w:p w14:paraId="7D2CCE1C" w14:textId="6BF34BC5" w:rsidR="00DB046E" w:rsidRPr="0099652B" w:rsidRDefault="00000000" w:rsidP="00362C1E">
      <w:pPr>
        <w:spacing w:line="480" w:lineRule="auto"/>
        <w:ind w:firstLine="720"/>
        <w:jc w:val="both"/>
        <w:rPr>
          <w:sz w:val="28"/>
          <w:szCs w:val="28"/>
        </w:rPr>
      </w:pPr>
      <w:r w:rsidRPr="0099652B">
        <w:rPr>
          <w:sz w:val="28"/>
          <w:szCs w:val="28"/>
        </w:rPr>
        <w:t>This dissertation argues that ancient Egypt was the first civilization to document a doctrine of righteous resurrection in dated contemporary primary sources. This integrated doctrine held that the dead were restored to enduring life, judged by a formal post-mortem tribunal, and assigned different eternal destinies according to their conduct in life. It is securely attested by about 2300 BCE, during the Sixth Dynasty. To test this claim, the dissertation defines the doctrine by four criteria (restoration to life rather than mere survival, a tribunal, a moral verdict, and divergent destinies) and applies three evidentiary standards (contemporaneity, independent datability, and materiality) equally to Egypt and to every rival. The Egyptian case rests on three independent bodies of Old Kingdom evidence: the royal Pyramid Texts, which restore the king to life and declare him “true of voice”; the threat formulae in officials’ tombs, which name the Great God as judge; and ideal autobiographies such as Harkhuf’s, which ground the owner’s standing before that god in just conduct. The Coffin Texts, the Instruction for Merikare, and spell 125 o</w:t>
      </w:r>
      <w:r w:rsidR="00BF7DFB">
        <w:rPr>
          <w:sz w:val="28"/>
          <w:szCs w:val="28"/>
        </w:rPr>
        <w:t>f</w:t>
      </w:r>
      <w:r w:rsidRPr="0099652B">
        <w:rPr>
          <w:sz w:val="28"/>
          <w:szCs w:val="28"/>
        </w:rPr>
        <w:t xml:space="preserve"> the Book of the Dead did not invent the doctrine; they extended, stated, and canonized one already held. No other ancient civilization—Mesopotamian, Anatolian, Levantine, Israelite, Iranian, Indic, or Greek—provides contemporary documentary evidence of a comparable doctrine at such an early date. Mesopotamia fails the criteria, since the fate of its dead turned on burial and offerings, not conduct. </w:t>
      </w:r>
      <w:r w:rsidRPr="0099652B">
        <w:rPr>
          <w:sz w:val="28"/>
          <w:szCs w:val="28"/>
        </w:rPr>
        <w:lastRenderedPageBreak/>
        <w:t>Greece, in Pindar’s Second Olympian Ode (476 BCE), and Israel, in Daniel 12 (about 165 BCE), meet the criteria only in texts surviving in later copies. Zoroastrian Iran meets both criteria and standards only in Kirdēr’s inscriptions of about 290 CE, because the orally transmitted Gathas cannot be securely dated. Egypt’s evidence therefore precedes its nearest rival by some eighteen centuries.</w:t>
      </w:r>
    </w:p>
    <w:p w14:paraId="3AEC0467" w14:textId="77777777" w:rsidR="00FD2707" w:rsidRPr="0099652B" w:rsidRDefault="00FD2707" w:rsidP="00362C1E">
      <w:pPr>
        <w:spacing w:line="480" w:lineRule="auto"/>
        <w:jc w:val="both"/>
        <w:rPr>
          <w:i/>
          <w:iCs/>
          <w:sz w:val="28"/>
          <w:szCs w:val="28"/>
          <w:u w:val="single"/>
        </w:rPr>
      </w:pPr>
    </w:p>
    <w:p w14:paraId="0B71C38E" w14:textId="77777777" w:rsidR="00067F75" w:rsidRPr="0099652B" w:rsidRDefault="00067F75">
      <w:pPr>
        <w:spacing w:line="480" w:lineRule="auto"/>
        <w:ind w:left="720" w:hanging="720"/>
        <w:rPr>
          <w:sz w:val="28"/>
          <w:szCs w:val="28"/>
        </w:rPr>
        <w:sectPr w:rsidR="00067F75" w:rsidRPr="0099652B" w:rsidSect="00362C1E">
          <w:footerReference w:type="default" r:id="rId7"/>
          <w:pgSz w:w="12240" w:h="15840"/>
          <w:pgMar w:top="1440" w:right="1440" w:bottom="1440" w:left="1440" w:header="708" w:footer="708" w:gutter="0"/>
          <w:pgNumType w:fmt="lowerRoman" w:start="1"/>
          <w:cols w:space="720"/>
          <w:docGrid w:linePitch="360"/>
        </w:sectPr>
      </w:pPr>
    </w:p>
    <w:p w14:paraId="2667D3C9" w14:textId="77777777" w:rsidR="00DB046E" w:rsidRPr="0099652B" w:rsidRDefault="00000000" w:rsidP="00730FF1">
      <w:pPr>
        <w:pStyle w:val="Heading1"/>
        <w:rPr>
          <w:rFonts w:ascii="Times New Roman" w:hAnsi="Times New Roman" w:cs="Times New Roman"/>
          <w:color w:val="auto"/>
        </w:rPr>
      </w:pPr>
      <w:bookmarkStart w:id="1" w:name="_Toc241691202"/>
      <w:r w:rsidRPr="0099652B">
        <w:rPr>
          <w:rFonts w:ascii="Times New Roman" w:hAnsi="Times New Roman" w:cs="Times New Roman"/>
          <w:color w:val="auto"/>
        </w:rPr>
        <w:lastRenderedPageBreak/>
        <w:t>Chapter 1</w:t>
      </w:r>
      <w:r w:rsidRPr="0099652B">
        <w:rPr>
          <w:rFonts w:ascii="Times New Roman" w:hAnsi="Times New Roman" w:cs="Times New Roman"/>
          <w:color w:val="auto"/>
        </w:rPr>
        <w:br/>
        <w:t>Introduction: The Problem, the Thesis, and the State of the Question</w:t>
      </w:r>
      <w:bookmarkEnd w:id="1"/>
    </w:p>
    <w:p w14:paraId="78349E82" w14:textId="77777777" w:rsidR="00DB046E" w:rsidRPr="0099652B" w:rsidRDefault="00000000" w:rsidP="00730FF1">
      <w:pPr>
        <w:pStyle w:val="Heading2"/>
        <w:rPr>
          <w:rFonts w:ascii="Times New Roman" w:hAnsi="Times New Roman" w:cs="Times New Roman"/>
          <w:color w:val="auto"/>
        </w:rPr>
      </w:pPr>
      <w:bookmarkStart w:id="2" w:name="_Toc241691203"/>
      <w:r w:rsidRPr="0099652B">
        <w:rPr>
          <w:rFonts w:ascii="Times New Roman" w:hAnsi="Times New Roman" w:cs="Times New Roman"/>
          <w:color w:val="auto"/>
        </w:rPr>
        <w:t>1.1 The Problem</w:t>
      </w:r>
      <w:bookmarkEnd w:id="2"/>
    </w:p>
    <w:p w14:paraId="15B1CEED" w14:textId="77777777" w:rsidR="00DB046E" w:rsidRPr="0099652B" w:rsidRDefault="00000000" w:rsidP="00730FF1">
      <w:pPr>
        <w:spacing w:line="480" w:lineRule="auto"/>
        <w:ind w:firstLine="720"/>
        <w:jc w:val="both"/>
        <w:rPr>
          <w:sz w:val="28"/>
          <w:szCs w:val="28"/>
        </w:rPr>
      </w:pPr>
      <w:r w:rsidRPr="0099652B">
        <w:rPr>
          <w:sz w:val="28"/>
          <w:szCs w:val="28"/>
        </w:rPr>
        <w:t>Every complex society has grappled with fundamental questions about the meaning of death. Most ancient civilizations believed the dead continued to exist in some attenuated form—a belief that required minimal theological sophistication. Some civilizations, however, developed a more elaborate conviction: that the dead are judged according to their moral conduct and receive divergent eternal destinies based on that judgment, thereby binding ethics to cosmology. Existing scholarship has located this achievement variously in Zoroastrianism, Israelite prophecy, Orphic-Pythagorean philosophy, or Platonic thought.</w:t>
      </w:r>
    </w:p>
    <w:p w14:paraId="615C0A93" w14:textId="77777777" w:rsidR="00DB046E" w:rsidRPr="0099652B" w:rsidRDefault="005010E4" w:rsidP="00730FF1">
      <w:pPr>
        <w:spacing w:line="480" w:lineRule="auto"/>
        <w:ind w:firstLine="720"/>
        <w:jc w:val="both"/>
        <w:rPr>
          <w:sz w:val="28"/>
          <w:szCs w:val="28"/>
        </w:rPr>
      </w:pPr>
      <w:r w:rsidRPr="0099652B">
        <w:rPr>
          <w:sz w:val="28"/>
          <w:szCs w:val="28"/>
        </w:rPr>
        <w:t xml:space="preserve">This dissertation argues that the achievement emerged early in history, within a single cultural context: Egypt. By approximately 2300 BCE, Egypt possessed a taught doctrine, a written corpus, an endowed institution, and a professional priesthood, according to which a person's moral conduct during life determined their eternal destiny. This claim rests on surviving documentary evidence—datable to the period and linked to known findspots—not on later reconstruction. No other civilization, based on evidence from its own time, can be shown to have held such a doctrine </w:t>
      </w:r>
      <w:proofErr w:type="gramStart"/>
      <w:r w:rsidRPr="0099652B">
        <w:rPr>
          <w:sz w:val="28"/>
          <w:szCs w:val="28"/>
        </w:rPr>
        <w:t>at</w:t>
      </w:r>
      <w:proofErr w:type="gramEnd"/>
      <w:r w:rsidRPr="0099652B">
        <w:rPr>
          <w:sz w:val="28"/>
          <w:szCs w:val="28"/>
        </w:rPr>
        <w:t xml:space="preserve"> a comparable date.</w:t>
      </w:r>
    </w:p>
    <w:p w14:paraId="230E9740" w14:textId="77777777" w:rsidR="00DB046E" w:rsidRPr="0099652B" w:rsidRDefault="00000000" w:rsidP="00730FF1">
      <w:pPr>
        <w:spacing w:line="480" w:lineRule="auto"/>
        <w:ind w:firstLine="720"/>
        <w:jc w:val="both"/>
        <w:rPr>
          <w:sz w:val="28"/>
          <w:szCs w:val="28"/>
        </w:rPr>
      </w:pPr>
      <w:r w:rsidRPr="0099652B">
        <w:rPr>
          <w:sz w:val="28"/>
          <w:szCs w:val="28"/>
        </w:rPr>
        <w:lastRenderedPageBreak/>
        <w:t>The claim advanced here is not that Egypt was the source of all subsequent moral eschatology;</w:t>
      </w:r>
      <w:r w:rsidR="005010E4" w:rsidRPr="0099652B">
        <w:rPr>
          <w:sz w:val="28"/>
          <w:szCs w:val="28"/>
        </w:rPr>
        <w:t xml:space="preserve"> rather, it</w:t>
      </w:r>
      <w:r w:rsidRPr="0099652B">
        <w:rPr>
          <w:sz w:val="28"/>
          <w:szCs w:val="28"/>
        </w:rPr>
        <w:t xml:space="preserve"> concerns the priority of attestation and whether the surviving evidence is sufficient to demonstrate it.</w:t>
      </w:r>
    </w:p>
    <w:p w14:paraId="10DE37F1" w14:textId="77777777" w:rsidR="003775F6" w:rsidRPr="0099652B" w:rsidRDefault="003775F6" w:rsidP="00730FF1">
      <w:pPr>
        <w:pStyle w:val="Heading2"/>
        <w:rPr>
          <w:rFonts w:ascii="Times New Roman" w:hAnsi="Times New Roman" w:cs="Times New Roman"/>
          <w:color w:val="auto"/>
        </w:rPr>
      </w:pPr>
      <w:bookmarkStart w:id="3" w:name="_Toc241691204"/>
    </w:p>
    <w:p w14:paraId="13341F94" w14:textId="77777777" w:rsidR="003775F6" w:rsidRPr="0099652B" w:rsidRDefault="003775F6" w:rsidP="00730FF1">
      <w:pPr>
        <w:pStyle w:val="Heading2"/>
        <w:rPr>
          <w:rFonts w:ascii="Times New Roman" w:hAnsi="Times New Roman" w:cs="Times New Roman"/>
          <w:color w:val="auto"/>
        </w:rPr>
      </w:pPr>
    </w:p>
    <w:p w14:paraId="01CD30AB" w14:textId="3814DB76" w:rsidR="00DB046E" w:rsidRPr="0099652B" w:rsidRDefault="00000000" w:rsidP="00730FF1">
      <w:pPr>
        <w:pStyle w:val="Heading2"/>
        <w:rPr>
          <w:rFonts w:ascii="Times New Roman" w:hAnsi="Times New Roman" w:cs="Times New Roman"/>
          <w:color w:val="auto"/>
        </w:rPr>
      </w:pPr>
      <w:r w:rsidRPr="0099652B">
        <w:rPr>
          <w:rFonts w:ascii="Times New Roman" w:hAnsi="Times New Roman" w:cs="Times New Roman"/>
          <w:color w:val="auto"/>
        </w:rPr>
        <w:t>1.2 The Thesis</w:t>
      </w:r>
      <w:bookmarkEnd w:id="3"/>
    </w:p>
    <w:p w14:paraId="37D0CF5D" w14:textId="77777777" w:rsidR="00DB046E" w:rsidRPr="0099652B" w:rsidRDefault="00000000" w:rsidP="00730FF1">
      <w:pPr>
        <w:spacing w:line="480" w:lineRule="auto"/>
        <w:jc w:val="both"/>
        <w:rPr>
          <w:sz w:val="28"/>
          <w:szCs w:val="28"/>
        </w:rPr>
      </w:pPr>
      <w:r w:rsidRPr="0099652B">
        <w:rPr>
          <w:sz w:val="28"/>
          <w:szCs w:val="28"/>
        </w:rPr>
        <w:t>The dissertation defends two connected propositions.</w:t>
      </w:r>
    </w:p>
    <w:p w14:paraId="60AFE1F3" w14:textId="77777777" w:rsidR="00DB046E" w:rsidRPr="0099652B" w:rsidRDefault="00000000" w:rsidP="00730FF1">
      <w:pPr>
        <w:pStyle w:val="Heading3"/>
        <w:rPr>
          <w:rFonts w:ascii="Times New Roman" w:hAnsi="Times New Roman" w:cs="Times New Roman"/>
          <w:color w:val="auto"/>
        </w:rPr>
      </w:pPr>
      <w:r w:rsidRPr="0099652B">
        <w:rPr>
          <w:rFonts w:ascii="Times New Roman" w:hAnsi="Times New Roman" w:cs="Times New Roman"/>
          <w:color w:val="auto"/>
        </w:rPr>
        <w:t>The priority proposition</w:t>
      </w:r>
    </w:p>
    <w:p w14:paraId="567C1CD7" w14:textId="77777777" w:rsidR="00DB046E" w:rsidRPr="0099652B" w:rsidRDefault="00000000" w:rsidP="00730FF1">
      <w:pPr>
        <w:spacing w:line="480" w:lineRule="auto"/>
        <w:ind w:firstLine="720"/>
        <w:jc w:val="both"/>
        <w:rPr>
          <w:sz w:val="28"/>
          <w:szCs w:val="28"/>
        </w:rPr>
      </w:pPr>
      <w:r w:rsidRPr="0099652B">
        <w:rPr>
          <w:sz w:val="28"/>
          <w:szCs w:val="28"/>
        </w:rPr>
        <w:t xml:space="preserve">Ancient Egypt was the first Ancient Mediterranean civilization to develop a fully articulated doctrine of righteous resurrection, in which the moral quality of a person's actions during life determines that person's destiny after death. The doctrine is attested in dated, contemporary primary sources </w:t>
      </w:r>
      <w:proofErr w:type="gramStart"/>
      <w:r w:rsidRPr="0099652B">
        <w:rPr>
          <w:sz w:val="28"/>
          <w:szCs w:val="28"/>
        </w:rPr>
        <w:t>by</w:t>
      </w:r>
      <w:proofErr w:type="gramEnd"/>
      <w:r w:rsidRPr="0099652B">
        <w:rPr>
          <w:sz w:val="28"/>
          <w:szCs w:val="28"/>
        </w:rPr>
        <w:t xml:space="preserve"> approximately 2300 BCE.</w:t>
      </w:r>
    </w:p>
    <w:p w14:paraId="726B3DB8" w14:textId="77777777" w:rsidR="00DB046E" w:rsidRPr="0099652B" w:rsidRDefault="00000000" w:rsidP="00730FF1">
      <w:pPr>
        <w:pStyle w:val="Heading3"/>
        <w:rPr>
          <w:rFonts w:ascii="Times New Roman" w:hAnsi="Times New Roman" w:cs="Times New Roman"/>
          <w:color w:val="auto"/>
        </w:rPr>
      </w:pPr>
      <w:r w:rsidRPr="0099652B">
        <w:rPr>
          <w:rFonts w:ascii="Times New Roman" w:hAnsi="Times New Roman" w:cs="Times New Roman"/>
          <w:color w:val="auto"/>
        </w:rPr>
        <w:t>The comparative proposition</w:t>
      </w:r>
    </w:p>
    <w:p w14:paraId="172B9EFA" w14:textId="77777777" w:rsidR="00DB046E" w:rsidRPr="0099652B" w:rsidRDefault="00000000" w:rsidP="00730FF1">
      <w:pPr>
        <w:spacing w:line="480" w:lineRule="auto"/>
        <w:ind w:firstLine="720"/>
        <w:jc w:val="both"/>
        <w:rPr>
          <w:sz w:val="28"/>
          <w:szCs w:val="28"/>
        </w:rPr>
      </w:pPr>
      <w:r w:rsidRPr="0099652B">
        <w:rPr>
          <w:sz w:val="28"/>
          <w:szCs w:val="28"/>
        </w:rPr>
        <w:t>No other Ancient Mediterranean civilization furnishes contemporary documentary evidence for a comparable doctrine at a comparable date. Where such doctrines appear elsewhere, they appear later, in most cases by more than a millennium.</w:t>
      </w:r>
    </w:p>
    <w:p w14:paraId="7F7E9C48" w14:textId="77777777" w:rsidR="00DB046E" w:rsidRPr="0099652B" w:rsidRDefault="00000000" w:rsidP="00730FF1">
      <w:pPr>
        <w:pStyle w:val="Heading2"/>
        <w:rPr>
          <w:rFonts w:ascii="Times New Roman" w:hAnsi="Times New Roman" w:cs="Times New Roman"/>
          <w:color w:val="auto"/>
        </w:rPr>
      </w:pPr>
      <w:bookmarkStart w:id="4" w:name="_Toc241691205"/>
      <w:r w:rsidRPr="0099652B">
        <w:rPr>
          <w:rFonts w:ascii="Times New Roman" w:hAnsi="Times New Roman" w:cs="Times New Roman"/>
          <w:color w:val="auto"/>
        </w:rPr>
        <w:lastRenderedPageBreak/>
        <w:t>1.3 Context, Scope and Limits</w:t>
      </w:r>
      <w:bookmarkEnd w:id="4"/>
    </w:p>
    <w:p w14:paraId="373E7097" w14:textId="03B573E7" w:rsidR="00DB046E" w:rsidRPr="0099652B" w:rsidRDefault="00EC07BF" w:rsidP="002D4E16">
      <w:pPr>
        <w:spacing w:line="480" w:lineRule="auto"/>
        <w:ind w:firstLine="720"/>
        <w:jc w:val="both"/>
        <w:rPr>
          <w:sz w:val="28"/>
          <w:szCs w:val="28"/>
        </w:rPr>
      </w:pPr>
      <w:r w:rsidRPr="0099652B">
        <w:rPr>
          <w:sz w:val="28"/>
          <w:szCs w:val="28"/>
        </w:rPr>
        <w:t xml:space="preserve">Three limitations should be stated immediately. First, this is not a study of religious influence. It does not address whether Egyptian moral eschatology shaped another civilization's eschatology. </w:t>
      </w:r>
    </w:p>
    <w:p w14:paraId="71722333" w14:textId="77777777" w:rsidR="00067F75" w:rsidRPr="0099652B" w:rsidRDefault="00000000">
      <w:pPr>
        <w:spacing w:line="480" w:lineRule="auto"/>
        <w:ind w:firstLine="720"/>
        <w:jc w:val="both"/>
        <w:rPr>
          <w:sz w:val="28"/>
          <w:szCs w:val="28"/>
        </w:rPr>
      </w:pPr>
      <w:r w:rsidRPr="0099652B">
        <w:rPr>
          <w:sz w:val="28"/>
          <w:szCs w:val="28"/>
        </w:rPr>
        <w:t xml:space="preserve">Second, this dissertation does not examine Egyptian </w:t>
      </w:r>
      <w:proofErr w:type="gramStart"/>
      <w:r w:rsidRPr="0099652B">
        <w:rPr>
          <w:sz w:val="28"/>
          <w:szCs w:val="28"/>
        </w:rPr>
        <w:t>religion as a whole</w:t>
      </w:r>
      <w:proofErr w:type="gramEnd"/>
      <w:r w:rsidRPr="0099652B">
        <w:rPr>
          <w:sz w:val="28"/>
          <w:szCs w:val="28"/>
        </w:rPr>
        <w:t xml:space="preserve">. It focuses specifically on mortuary beliefs concerning judgment and vindication within a vast and diverse religious system. </w:t>
      </w:r>
    </w:p>
    <w:p w14:paraId="42BD4D45" w14:textId="77777777" w:rsidR="00DB046E" w:rsidRPr="0099652B" w:rsidRDefault="00000000" w:rsidP="0041357E">
      <w:pPr>
        <w:spacing w:line="480" w:lineRule="auto"/>
        <w:ind w:firstLine="720"/>
        <w:jc w:val="both"/>
        <w:rPr>
          <w:sz w:val="28"/>
          <w:szCs w:val="28"/>
        </w:rPr>
      </w:pPr>
      <w:r w:rsidRPr="0099652B">
        <w:rPr>
          <w:sz w:val="28"/>
          <w:szCs w:val="28"/>
        </w:rPr>
        <w:t>Third, the dissertation relies throughout on published editions and translations of texts that, in their original form, are epigraphic and philological objects of the greatest technical difficulty. These ancient inscriptions on physical monuments pose dual challenges: epigraphic ones—reading and interpreting the ancient script and how it's carved in stone; and philological ones—understanding what the words mean in their original context.</w:t>
      </w:r>
    </w:p>
    <w:p w14:paraId="734A1FB6" w14:textId="77777777" w:rsidR="00067F75" w:rsidRPr="0099652B" w:rsidRDefault="00000000" w:rsidP="00730FF1">
      <w:pPr>
        <w:pStyle w:val="Heading2"/>
        <w:rPr>
          <w:rFonts w:ascii="Times New Roman" w:hAnsi="Times New Roman" w:cs="Times New Roman"/>
          <w:color w:val="auto"/>
        </w:rPr>
      </w:pPr>
      <w:bookmarkStart w:id="5" w:name="_Toc241691206"/>
      <w:r w:rsidRPr="0099652B">
        <w:rPr>
          <w:rFonts w:ascii="Times New Roman" w:hAnsi="Times New Roman" w:cs="Times New Roman"/>
          <w:color w:val="auto"/>
        </w:rPr>
        <w:t>1.4 The State of the Question</w:t>
      </w:r>
      <w:bookmarkEnd w:id="5"/>
    </w:p>
    <w:p w14:paraId="7DAF8C8A" w14:textId="77777777" w:rsidR="00DB046E" w:rsidRPr="0099652B" w:rsidRDefault="00000000" w:rsidP="00730FF1">
      <w:pPr>
        <w:pStyle w:val="Heading3"/>
        <w:rPr>
          <w:rFonts w:ascii="Times New Roman" w:hAnsi="Times New Roman" w:cs="Times New Roman"/>
          <w:color w:val="auto"/>
        </w:rPr>
      </w:pPr>
      <w:r w:rsidRPr="0099652B">
        <w:rPr>
          <w:rFonts w:ascii="Times New Roman" w:hAnsi="Times New Roman" w:cs="Times New Roman"/>
          <w:color w:val="auto"/>
        </w:rPr>
        <w:t>Establishes Priority versus Novelty</w:t>
      </w:r>
    </w:p>
    <w:p w14:paraId="52AF7B0D" w14:textId="77777777" w:rsidR="00DB046E" w:rsidRPr="0099652B" w:rsidRDefault="00FC72B7" w:rsidP="00730FF1">
      <w:pPr>
        <w:spacing w:line="480" w:lineRule="auto"/>
        <w:ind w:firstLine="720"/>
        <w:jc w:val="both"/>
        <w:rPr>
          <w:sz w:val="28"/>
          <w:szCs w:val="28"/>
        </w:rPr>
      </w:pPr>
      <w:r w:rsidRPr="0099652B">
        <w:rPr>
          <w:sz w:val="28"/>
          <w:szCs w:val="28"/>
        </w:rPr>
        <w:t>While scholars have long recognized that Egypt developed an afterlife judgment doctrine by the New Kingdom, this dissertation transforms a widely acknowledged proposition into something</w:t>
      </w:r>
      <w:r w:rsidR="0041357E" w:rsidRPr="0099652B">
        <w:rPr>
          <w:sz w:val="28"/>
          <w:szCs w:val="28"/>
        </w:rPr>
        <w:t xml:space="preserve"> </w:t>
      </w:r>
      <w:r w:rsidRPr="0099652B">
        <w:rPr>
          <w:sz w:val="28"/>
          <w:szCs w:val="28"/>
        </w:rPr>
        <w:t xml:space="preserve">more significant: a rigorous demonstration that Egypt alone achieved this doctrine at an early date, with no other Ancient Mediterranean civilization demonstrably having done so. Rather than </w:t>
      </w:r>
      <w:r w:rsidRPr="0099652B">
        <w:rPr>
          <w:sz w:val="28"/>
          <w:szCs w:val="28"/>
        </w:rPr>
        <w:lastRenderedPageBreak/>
        <w:t xml:space="preserve">merely asserting Egypt's priority claim, this dissertation establishes the criteria and evidentiary standards for proving </w:t>
      </w:r>
      <w:r w:rsidR="0041357E" w:rsidRPr="0099652B">
        <w:rPr>
          <w:sz w:val="28"/>
          <w:szCs w:val="28"/>
        </w:rPr>
        <w:t>it</w:t>
      </w:r>
      <w:r w:rsidRPr="0099652B">
        <w:rPr>
          <w:sz w:val="28"/>
          <w:szCs w:val="28"/>
        </w:rPr>
        <w:t xml:space="preserve">, subjects that evidence to systematic scrutiny, and compares it against every plausible rival, thereby transforming an intuition held across a century of scholarship into a defensible historical proposition. </w:t>
      </w:r>
    </w:p>
    <w:p w14:paraId="3110715F" w14:textId="77777777" w:rsidR="00DB046E" w:rsidRPr="0099652B" w:rsidRDefault="00000000" w:rsidP="00730FF1">
      <w:pPr>
        <w:pStyle w:val="Heading2"/>
        <w:rPr>
          <w:rFonts w:ascii="Times New Roman" w:hAnsi="Times New Roman" w:cs="Times New Roman"/>
          <w:color w:val="auto"/>
        </w:rPr>
      </w:pPr>
      <w:bookmarkStart w:id="6" w:name="_Toc241691207"/>
      <w:r w:rsidRPr="0099652B">
        <w:rPr>
          <w:rFonts w:ascii="Times New Roman" w:hAnsi="Times New Roman" w:cs="Times New Roman"/>
          <w:color w:val="auto"/>
        </w:rPr>
        <w:t>1.5 Literary Review</w:t>
      </w:r>
      <w:bookmarkEnd w:id="6"/>
    </w:p>
    <w:p w14:paraId="5EDA2692" w14:textId="77777777" w:rsidR="00640BB6" w:rsidRPr="0099652B" w:rsidRDefault="00640BB6" w:rsidP="00640BB6">
      <w:pPr>
        <w:keepNext/>
        <w:keepLines/>
        <w:spacing w:line="480" w:lineRule="auto"/>
        <w:outlineLvl w:val="1"/>
        <w:rPr>
          <w:b/>
          <w:bCs/>
          <w:sz w:val="28"/>
          <w:szCs w:val="28"/>
        </w:rPr>
      </w:pPr>
      <w:bookmarkStart w:id="7" w:name="_Toc241691208"/>
      <w:r w:rsidRPr="0099652B">
        <w:rPr>
          <w:b/>
          <w:bCs/>
          <w:sz w:val="28"/>
          <w:szCs w:val="28"/>
        </w:rPr>
        <w:t>Literary Review</w:t>
      </w:r>
      <w:bookmarkEnd w:id="7"/>
    </w:p>
    <w:p w14:paraId="72069FCE" w14:textId="77777777" w:rsidR="00640BB6" w:rsidRPr="0099652B" w:rsidRDefault="00640BB6" w:rsidP="00640BB6">
      <w:pPr>
        <w:spacing w:line="480" w:lineRule="auto"/>
        <w:ind w:firstLine="720"/>
        <w:jc w:val="both"/>
        <w:rPr>
          <w:sz w:val="28"/>
          <w:szCs w:val="28"/>
        </w:rPr>
      </w:pPr>
      <w:r w:rsidRPr="0099652B">
        <w:rPr>
          <w:sz w:val="28"/>
          <w:szCs w:val="28"/>
        </w:rPr>
        <w:t xml:space="preserve">This section discusses </w:t>
      </w:r>
      <w:proofErr w:type="gramStart"/>
      <w:r w:rsidRPr="0099652B">
        <w:rPr>
          <w:sz w:val="28"/>
          <w:szCs w:val="28"/>
        </w:rPr>
        <w:t>scholarship</w:t>
      </w:r>
      <w:proofErr w:type="gramEnd"/>
      <w:r w:rsidRPr="0099652B">
        <w:rPr>
          <w:sz w:val="28"/>
          <w:szCs w:val="28"/>
        </w:rPr>
        <w:t xml:space="preserve"> on priority claims about beliefs in Ancient Mediterranean Civilizations. Only two civilizations, Egypt and Iran, come close to making a successful priority claim, so I will limit the discussion to those two countries.</w:t>
      </w:r>
    </w:p>
    <w:p w14:paraId="032D89D7" w14:textId="77777777" w:rsidR="00640BB6" w:rsidRPr="0099652B" w:rsidRDefault="00640BB6" w:rsidP="00640BB6">
      <w:pPr>
        <w:keepNext/>
        <w:keepLines/>
        <w:spacing w:line="480" w:lineRule="auto"/>
        <w:outlineLvl w:val="2"/>
        <w:rPr>
          <w:sz w:val="28"/>
          <w:szCs w:val="28"/>
          <w:u w:val="single"/>
        </w:rPr>
      </w:pPr>
      <w:r w:rsidRPr="0099652B">
        <w:rPr>
          <w:sz w:val="28"/>
          <w:szCs w:val="28"/>
          <w:u w:val="single"/>
        </w:rPr>
        <w:t>Egyptian Scholarship: Priority Claims about Afterlife Judgment of the Dead</w:t>
      </w:r>
    </w:p>
    <w:p w14:paraId="050DB515" w14:textId="77777777" w:rsidR="00640BB6" w:rsidRPr="0099652B" w:rsidRDefault="00640BB6" w:rsidP="00640BB6">
      <w:pPr>
        <w:spacing w:line="480" w:lineRule="auto"/>
        <w:ind w:firstLine="720"/>
        <w:jc w:val="both"/>
        <w:rPr>
          <w:sz w:val="28"/>
          <w:szCs w:val="28"/>
        </w:rPr>
      </w:pPr>
      <w:r w:rsidRPr="0099652B">
        <w:rPr>
          <w:sz w:val="28"/>
          <w:szCs w:val="28"/>
        </w:rPr>
        <w:t>Many Egyptologists write about the Egyptian afterlife judgment. However, most do not focus on when Egypt developed a doctrine of righteous resurrection. To date, I have not identified any books, articles, or dissertations that set out to prove, through specified criteria and stated evidentiary standards, that Egypt was the first ancient civilization to develop a doctrine of righteous resurrection, and to test every plausible rival against the same criteria using its earliest securely dated evidence. However, three scholars agree with my thesis that Egyptians believed in the doctrine of righteous resurrection during the Old Kingdom.</w:t>
      </w:r>
    </w:p>
    <w:p w14:paraId="79E88E0A" w14:textId="3B690DA5" w:rsidR="00640BB6" w:rsidRPr="0099652B" w:rsidRDefault="00640BB6" w:rsidP="00640BB6">
      <w:pPr>
        <w:spacing w:line="480" w:lineRule="auto"/>
        <w:ind w:firstLine="720"/>
        <w:rPr>
          <w:sz w:val="28"/>
          <w:szCs w:val="28"/>
        </w:rPr>
      </w:pPr>
      <w:r w:rsidRPr="0099652B">
        <w:rPr>
          <w:sz w:val="28"/>
          <w:szCs w:val="28"/>
        </w:rPr>
        <w:lastRenderedPageBreak/>
        <w:t xml:space="preserve">Mark Smith’s book, </w:t>
      </w:r>
      <w:r w:rsidRPr="0099652B">
        <w:rPr>
          <w:i/>
          <w:iCs/>
          <w:sz w:val="28"/>
          <w:szCs w:val="28"/>
        </w:rPr>
        <w:t xml:space="preserve">Following Osiris: Perspectives on the Osirian Afterlife from Four Millennia, </w:t>
      </w:r>
      <w:r w:rsidRPr="0099652B">
        <w:rPr>
          <w:sz w:val="28"/>
          <w:szCs w:val="28"/>
        </w:rPr>
        <w:t>provides a detailed study of the changing relationship between the god Osiris and the deceased. In his Chapter “Democratizing the Afterlife,” he argues compellingly that many non-royal Egyptians had access to spells like those in the Old Kingdom Pyramid Texts</w:t>
      </w:r>
      <w:r w:rsidR="00814909" w:rsidRPr="0099652B">
        <w:rPr>
          <w:sz w:val="28"/>
          <w:szCs w:val="28"/>
        </w:rPr>
        <w:t xml:space="preserve"> </w:t>
      </w:r>
      <w:r w:rsidRPr="0099652B">
        <w:rPr>
          <w:sz w:val="28"/>
          <w:szCs w:val="28"/>
        </w:rPr>
        <w:t>(Smith 2017). Smith’s book supports my thesis</w:t>
      </w:r>
      <w:r w:rsidR="00814909" w:rsidRPr="0099652B">
        <w:rPr>
          <w:sz w:val="28"/>
          <w:szCs w:val="28"/>
        </w:rPr>
        <w:t xml:space="preserve"> </w:t>
      </w:r>
      <w:r w:rsidRPr="0099652B">
        <w:rPr>
          <w:sz w:val="28"/>
          <w:szCs w:val="28"/>
        </w:rPr>
        <w:t xml:space="preserve">that non-royal Egyptians already </w:t>
      </w:r>
      <w:r w:rsidR="00814909" w:rsidRPr="0099652B">
        <w:rPr>
          <w:sz w:val="28"/>
          <w:szCs w:val="28"/>
        </w:rPr>
        <w:t>hoped</w:t>
      </w:r>
      <w:r w:rsidRPr="0099652B">
        <w:rPr>
          <w:sz w:val="28"/>
          <w:szCs w:val="28"/>
        </w:rPr>
        <w:t xml:space="preserve"> for an Osirian afterlife in the Old Kingdom. His evidence helps date the first attestation of the righteous resurrection doctrine to the Old Kingdom rather than the Middle Kingdom.  </w:t>
      </w:r>
    </w:p>
    <w:p w14:paraId="699E1B4B" w14:textId="77777777" w:rsidR="00640BB6" w:rsidRPr="0099652B" w:rsidRDefault="00640BB6" w:rsidP="00640BB6">
      <w:pPr>
        <w:spacing w:line="480" w:lineRule="auto"/>
        <w:ind w:firstLine="720"/>
        <w:rPr>
          <w:sz w:val="28"/>
          <w:szCs w:val="28"/>
        </w:rPr>
      </w:pPr>
      <w:r w:rsidRPr="0099652B">
        <w:rPr>
          <w:sz w:val="28"/>
          <w:szCs w:val="28"/>
        </w:rPr>
        <w:t xml:space="preserve">Gary Stilwell’s book, </w:t>
      </w:r>
      <w:r w:rsidRPr="0099652B">
        <w:rPr>
          <w:i/>
          <w:iCs/>
          <w:sz w:val="28"/>
          <w:szCs w:val="28"/>
        </w:rPr>
        <w:t>Conduct and Behavior as Determinants for the Afterlife,</w:t>
      </w:r>
      <w:r w:rsidRPr="0099652B">
        <w:rPr>
          <w:sz w:val="28"/>
          <w:szCs w:val="28"/>
        </w:rPr>
        <w:t xml:space="preserve"> offers an in-depth analysis of Pyramid Text spells used by non-royal Egyptians and concludes that “by the end of the Old Kingdom commoners were subject to judicial proceedings after death” (Stilwell 2000). Stilwell’s book aligns with and supports my argument in Chapter 2.3 about the evidence's datability. </w:t>
      </w:r>
    </w:p>
    <w:p w14:paraId="7189FF1C" w14:textId="2AD96D16" w:rsidR="00640BB6" w:rsidRPr="0099652B" w:rsidRDefault="00640BB6" w:rsidP="00640BB6">
      <w:pPr>
        <w:spacing w:line="480" w:lineRule="auto"/>
        <w:ind w:firstLine="720"/>
        <w:rPr>
          <w:sz w:val="28"/>
          <w:szCs w:val="28"/>
        </w:rPr>
      </w:pPr>
      <w:r w:rsidRPr="0099652B">
        <w:rPr>
          <w:sz w:val="28"/>
          <w:szCs w:val="28"/>
        </w:rPr>
        <w:t xml:space="preserve">Miriam Lichtheim’s book, Maat in Egyptian Autobiographies and Related Studies, is a definitive philological study tracing </w:t>
      </w:r>
      <w:r w:rsidR="005010E4" w:rsidRPr="0099652B">
        <w:rPr>
          <w:sz w:val="28"/>
          <w:szCs w:val="28"/>
        </w:rPr>
        <w:t>Maat's evolution</w:t>
      </w:r>
      <w:r w:rsidRPr="0099652B">
        <w:rPr>
          <w:sz w:val="28"/>
          <w:szCs w:val="28"/>
        </w:rPr>
        <w:t xml:space="preserve">. Rather than treating Maat strictly as an abstract cosmic goddess, </w:t>
      </w:r>
      <w:proofErr w:type="spellStart"/>
      <w:r w:rsidRPr="0099652B">
        <w:rPr>
          <w:sz w:val="28"/>
          <w:szCs w:val="28"/>
        </w:rPr>
        <w:t>Lichtheim</w:t>
      </w:r>
      <w:proofErr w:type="spellEnd"/>
      <w:r w:rsidRPr="0099652B">
        <w:rPr>
          <w:sz w:val="28"/>
          <w:szCs w:val="28"/>
        </w:rPr>
        <w:t xml:space="preserve"> analyzes how non-royal Egyptian elites defined and practiced morality in their personal lives. She contends that the Negative Confessions found in the Book of the Dead were not invented by priests or magicians. Instead, </w:t>
      </w:r>
      <w:proofErr w:type="spellStart"/>
      <w:r w:rsidRPr="0099652B">
        <w:rPr>
          <w:sz w:val="28"/>
          <w:szCs w:val="28"/>
        </w:rPr>
        <w:t>Lichtheim</w:t>
      </w:r>
      <w:proofErr w:type="spellEnd"/>
      <w:r w:rsidRPr="0099652B">
        <w:rPr>
          <w:sz w:val="28"/>
          <w:szCs w:val="28"/>
        </w:rPr>
        <w:t xml:space="preserve"> shows that they were adapted directly from the positive moral declarations written centuries earlier in tomb </w:t>
      </w:r>
      <w:r w:rsidRPr="0099652B">
        <w:rPr>
          <w:sz w:val="28"/>
          <w:szCs w:val="28"/>
        </w:rPr>
        <w:lastRenderedPageBreak/>
        <w:t>autobiographies. The scribes of the Book of the Dead simply took those real-world ethical declarations and inverted them into negative formulas for ritual purposes (</w:t>
      </w:r>
      <w:proofErr w:type="spellStart"/>
      <w:r w:rsidRPr="0099652B">
        <w:rPr>
          <w:sz w:val="28"/>
          <w:szCs w:val="28"/>
        </w:rPr>
        <w:t>Lichtheim</w:t>
      </w:r>
      <w:proofErr w:type="spellEnd"/>
      <w:r w:rsidRPr="0099652B">
        <w:rPr>
          <w:sz w:val="28"/>
          <w:szCs w:val="28"/>
        </w:rPr>
        <w:t xml:space="preserve"> 199</w:t>
      </w:r>
      <w:r w:rsidR="00EC07BF" w:rsidRPr="0099652B">
        <w:rPr>
          <w:sz w:val="28"/>
          <w:szCs w:val="28"/>
        </w:rPr>
        <w:t>7</w:t>
      </w:r>
      <w:r w:rsidRPr="0099652B">
        <w:rPr>
          <w:sz w:val="28"/>
          <w:szCs w:val="28"/>
        </w:rPr>
        <w:t xml:space="preserve">). </w:t>
      </w:r>
      <w:proofErr w:type="spellStart"/>
      <w:r w:rsidRPr="0099652B">
        <w:rPr>
          <w:sz w:val="28"/>
          <w:szCs w:val="28"/>
        </w:rPr>
        <w:t>Lichtheim</w:t>
      </w:r>
      <w:proofErr w:type="spellEnd"/>
      <w:r w:rsidRPr="0099652B">
        <w:rPr>
          <w:sz w:val="28"/>
          <w:szCs w:val="28"/>
        </w:rPr>
        <w:t xml:space="preserve"> uses meticulous analysis (rather than broad theories) to prove her points. Her book supports my theory that, while the Old Kingdom evidence may not clearly meet every criterion set out in Chapter 2.2, the moral standards by which the dead would be judged were already in place. Late Old Kingdom tomb autobiographies contain the ethical declarations that the Book of the Dead later inverted into the Negative Confession, even if the judgment itself is only implied.     </w:t>
      </w:r>
    </w:p>
    <w:p w14:paraId="560CC078" w14:textId="77777777" w:rsidR="00640BB6" w:rsidRPr="0099652B" w:rsidRDefault="00640BB6" w:rsidP="00640BB6">
      <w:pPr>
        <w:spacing w:line="480" w:lineRule="auto"/>
        <w:ind w:firstLine="720"/>
        <w:jc w:val="both"/>
        <w:rPr>
          <w:i/>
          <w:iCs/>
          <w:sz w:val="28"/>
          <w:szCs w:val="28"/>
        </w:rPr>
      </w:pPr>
      <w:r w:rsidRPr="0099652B">
        <w:rPr>
          <w:sz w:val="28"/>
          <w:szCs w:val="28"/>
        </w:rPr>
        <w:t xml:space="preserve">Except for Smith, Stilwell, and </w:t>
      </w:r>
      <w:proofErr w:type="spellStart"/>
      <w:r w:rsidRPr="0099652B">
        <w:rPr>
          <w:sz w:val="28"/>
          <w:szCs w:val="28"/>
        </w:rPr>
        <w:t>Lichtheim</w:t>
      </w:r>
      <w:proofErr w:type="spellEnd"/>
      <w:r w:rsidRPr="0099652B">
        <w:rPr>
          <w:sz w:val="28"/>
          <w:szCs w:val="28"/>
        </w:rPr>
        <w:t xml:space="preserve">, most Egyptologists believe the Egyptian afterlife judgment doctrine first appears in the Middle to New Kingdom. Egyptologists largely agree that the formal, systematized afterlife judgment doctrines—most iconically represented by the "Weighing of the Heart" and the "Negative Confession"—did not exist during the Old Kingdom. Instead, they evolved incrementally through the Middle Kingdom and reached their fully visual and universalized form in the New Kingdom. Among these scholars </w:t>
      </w:r>
      <w:r w:rsidR="0041357E" w:rsidRPr="0099652B">
        <w:rPr>
          <w:sz w:val="28"/>
          <w:szCs w:val="28"/>
        </w:rPr>
        <w:t>who support that position is</w:t>
      </w:r>
      <w:r w:rsidRPr="0099652B">
        <w:rPr>
          <w:sz w:val="28"/>
          <w:szCs w:val="28"/>
        </w:rPr>
        <w:t xml:space="preserve"> Jan Assmann.</w:t>
      </w:r>
    </w:p>
    <w:p w14:paraId="424099A1" w14:textId="77777777" w:rsidR="00640BB6" w:rsidRPr="0099652B" w:rsidRDefault="00640BB6" w:rsidP="00640BB6">
      <w:pPr>
        <w:keepNext/>
        <w:keepLines/>
        <w:spacing w:line="480" w:lineRule="auto"/>
        <w:outlineLvl w:val="2"/>
        <w:rPr>
          <w:sz w:val="28"/>
          <w:szCs w:val="28"/>
          <w:u w:val="single"/>
        </w:rPr>
      </w:pPr>
      <w:r w:rsidRPr="0099652B">
        <w:rPr>
          <w:sz w:val="28"/>
          <w:szCs w:val="28"/>
          <w:u w:val="single"/>
        </w:rPr>
        <w:t>Iranian Scholarship: Priority Claims about Afterlife Judgment of the Dead</w:t>
      </w:r>
    </w:p>
    <w:p w14:paraId="43528DC1" w14:textId="0ED0AA7F" w:rsidR="00640BB6" w:rsidRPr="0099652B" w:rsidRDefault="00640BB6" w:rsidP="00640BB6">
      <w:pPr>
        <w:spacing w:line="480" w:lineRule="auto"/>
        <w:ind w:firstLine="720"/>
        <w:jc w:val="both"/>
        <w:rPr>
          <w:sz w:val="28"/>
          <w:szCs w:val="28"/>
        </w:rPr>
      </w:pPr>
      <w:r w:rsidRPr="0099652B">
        <w:rPr>
          <w:sz w:val="28"/>
          <w:szCs w:val="28"/>
        </w:rPr>
        <w:t xml:space="preserve">Against Egypt stands Mary Boyce’s claim that Zoroaster was the first to teach the doctrines of individual judgment, Heaven and Hell, the future resurrection of the </w:t>
      </w:r>
      <w:r w:rsidRPr="0099652B">
        <w:rPr>
          <w:sz w:val="28"/>
          <w:szCs w:val="28"/>
        </w:rPr>
        <w:lastRenderedPageBreak/>
        <w:t>body, the general Last Judgment, and life everlasting for the reunited soul and body. Boyce’s claim rests on the Gathas, whose date is contested across a millennium, and which survive only in manuscripts of the sixth century CE.</w:t>
      </w:r>
    </w:p>
    <w:p w14:paraId="5114FDE7" w14:textId="278BBA8B" w:rsidR="00640BB6" w:rsidRPr="0099652B" w:rsidRDefault="00640BB6" w:rsidP="00640BB6">
      <w:pPr>
        <w:keepNext/>
        <w:keepLines/>
        <w:spacing w:line="480" w:lineRule="auto"/>
        <w:outlineLvl w:val="1"/>
        <w:rPr>
          <w:b/>
          <w:bCs/>
          <w:sz w:val="28"/>
          <w:szCs w:val="28"/>
        </w:rPr>
      </w:pPr>
      <w:bookmarkStart w:id="8" w:name="_Toc241691209"/>
      <w:r w:rsidRPr="0099652B">
        <w:rPr>
          <w:b/>
          <w:bCs/>
          <w:sz w:val="28"/>
          <w:szCs w:val="28"/>
        </w:rPr>
        <w:t xml:space="preserve">1.6 </w:t>
      </w:r>
      <w:bookmarkEnd w:id="8"/>
      <w:r w:rsidR="00A66A54">
        <w:rPr>
          <w:b/>
          <w:bCs/>
          <w:sz w:val="28"/>
          <w:szCs w:val="28"/>
        </w:rPr>
        <w:t>Chapter Structure</w:t>
      </w:r>
    </w:p>
    <w:p w14:paraId="2D5D6A20" w14:textId="766260E8" w:rsidR="00640BB6" w:rsidRPr="0099652B" w:rsidRDefault="00640BB6" w:rsidP="00640BB6">
      <w:pPr>
        <w:spacing w:line="480" w:lineRule="auto"/>
        <w:ind w:firstLine="720"/>
        <w:jc w:val="both"/>
        <w:rPr>
          <w:sz w:val="28"/>
          <w:szCs w:val="28"/>
        </w:rPr>
      </w:pPr>
      <w:r w:rsidRPr="0099652B">
        <w:rPr>
          <w:sz w:val="28"/>
          <w:szCs w:val="28"/>
        </w:rPr>
        <w:t xml:space="preserve">Chapter 2 sets out the definitions and evidentiary standards of this paper. Chapter 3 presents evidence that the Egyptian afterlife judgment doctrine was created around 2300 BCE. Chapter 4 distinguishes the theory of first attestation from canonical crystallization. Chapter 5 </w:t>
      </w:r>
      <w:r w:rsidR="0041357E" w:rsidRPr="0099652B">
        <w:rPr>
          <w:sz w:val="28"/>
          <w:szCs w:val="28"/>
        </w:rPr>
        <w:t>compares it</w:t>
      </w:r>
      <w:r w:rsidRPr="0099652B">
        <w:rPr>
          <w:sz w:val="28"/>
          <w:szCs w:val="28"/>
        </w:rPr>
        <w:t xml:space="preserve"> with other civilizations.</w:t>
      </w:r>
      <w:r w:rsidR="00A66A54">
        <w:rPr>
          <w:sz w:val="28"/>
          <w:szCs w:val="28"/>
        </w:rPr>
        <w:t xml:space="preserve"> Chapter 6 is the conclusion. </w:t>
      </w:r>
    </w:p>
    <w:p w14:paraId="73BD13FB" w14:textId="77777777" w:rsidR="00067F75" w:rsidRPr="0099652B" w:rsidRDefault="00000000" w:rsidP="00961466">
      <w:pPr>
        <w:pStyle w:val="Heading1"/>
        <w:pageBreakBefore/>
        <w:rPr>
          <w:rFonts w:ascii="Times New Roman" w:hAnsi="Times New Roman" w:cs="Times New Roman"/>
          <w:color w:val="auto"/>
        </w:rPr>
      </w:pPr>
      <w:bookmarkStart w:id="9" w:name="_Toc241691210"/>
      <w:r w:rsidRPr="0099652B">
        <w:rPr>
          <w:rFonts w:ascii="Times New Roman" w:hAnsi="Times New Roman" w:cs="Times New Roman"/>
          <w:color w:val="auto"/>
        </w:rPr>
        <w:lastRenderedPageBreak/>
        <w:t>Chapter 2</w:t>
      </w:r>
      <w:r w:rsidRPr="0099652B">
        <w:rPr>
          <w:rFonts w:ascii="Times New Roman" w:hAnsi="Times New Roman" w:cs="Times New Roman"/>
          <w:color w:val="auto"/>
        </w:rPr>
        <w:br/>
        <w:t>Methodology: Definitions, Criteria and Evidentiary Standards</w:t>
      </w:r>
      <w:bookmarkEnd w:id="9"/>
    </w:p>
    <w:p w14:paraId="37B47387" w14:textId="77777777" w:rsidR="00067F75" w:rsidRPr="0099652B" w:rsidRDefault="00000000">
      <w:pPr>
        <w:pStyle w:val="Heading2"/>
        <w:rPr>
          <w:rFonts w:ascii="Times New Roman" w:hAnsi="Times New Roman" w:cs="Times New Roman"/>
          <w:color w:val="auto"/>
        </w:rPr>
      </w:pPr>
      <w:bookmarkStart w:id="10" w:name="_Toc241691211"/>
      <w:r w:rsidRPr="0099652B">
        <w:rPr>
          <w:rFonts w:ascii="Times New Roman" w:hAnsi="Times New Roman" w:cs="Times New Roman"/>
          <w:color w:val="auto"/>
        </w:rPr>
        <w:t>2.1 The Problem of the Category</w:t>
      </w:r>
      <w:bookmarkEnd w:id="10"/>
    </w:p>
    <w:p w14:paraId="20C0D8E3" w14:textId="77777777" w:rsidR="00067F75" w:rsidRPr="0099652B" w:rsidRDefault="00E50D13" w:rsidP="00516151">
      <w:pPr>
        <w:spacing w:line="480" w:lineRule="auto"/>
        <w:ind w:firstLine="720"/>
        <w:jc w:val="both"/>
        <w:rPr>
          <w:sz w:val="28"/>
          <w:szCs w:val="28"/>
        </w:rPr>
      </w:pPr>
      <w:r w:rsidRPr="0099652B">
        <w:rPr>
          <w:sz w:val="28"/>
          <w:szCs w:val="28"/>
        </w:rPr>
        <w:t xml:space="preserve">Much confusion in comparative eschatology arises from treating a loosely related family of ideas as a single thing. The English word </w:t>
      </w:r>
      <w:r w:rsidRPr="0099652B">
        <w:rPr>
          <w:i/>
          <w:iCs/>
          <w:sz w:val="28"/>
          <w:szCs w:val="28"/>
        </w:rPr>
        <w:t>resurrection</w:t>
      </w:r>
      <w:r w:rsidRPr="0099652B">
        <w:rPr>
          <w:sz w:val="28"/>
          <w:szCs w:val="28"/>
        </w:rPr>
        <w:t xml:space="preserve"> carries a specifically Christian charge, and applying it to Egyptian material risks importing assumptions — of a general resurrection at the end of history, of a bodily identity between the buried and the raised, of a single decisive judgment — that the Egyptian sources do not support in the form in which Christian theology developed them. The word </w:t>
      </w:r>
      <w:r w:rsidRPr="0099652B">
        <w:rPr>
          <w:i/>
          <w:iCs/>
          <w:sz w:val="28"/>
          <w:szCs w:val="28"/>
        </w:rPr>
        <w:t>judgment</w:t>
      </w:r>
      <w:r w:rsidRPr="0099652B">
        <w:rPr>
          <w:sz w:val="28"/>
          <w:szCs w:val="28"/>
        </w:rPr>
        <w:t xml:space="preserve"> is similarly encumbered.</w:t>
      </w:r>
    </w:p>
    <w:p w14:paraId="214D43F3" w14:textId="77777777" w:rsidR="00067F75" w:rsidRPr="0099652B" w:rsidRDefault="00000000">
      <w:pPr>
        <w:spacing w:line="480" w:lineRule="auto"/>
        <w:ind w:firstLine="720"/>
        <w:jc w:val="both"/>
        <w:rPr>
          <w:sz w:val="28"/>
          <w:szCs w:val="28"/>
        </w:rPr>
      </w:pPr>
      <w:r w:rsidRPr="0099652B">
        <w:rPr>
          <w:sz w:val="28"/>
          <w:szCs w:val="28"/>
        </w:rPr>
        <w:t>The remedy is not to abandon the vocabulary, which would leave the comparison inarticulate, but to define it operationally. What follows is therefore not a definition of resurrection as such but a specification of the conjunction of features whose presence in a body of evidence constitutes what this dissertation calls a righteous resurrection doctrine. The specification is deliberately demanding, and I apply it with equal severity to Egypt and to every proposed rival. A tradition that fails any one of the four criteria fails the test, no matter how impressive its afterlife beliefs may be in other respects.</w:t>
      </w:r>
    </w:p>
    <w:p w14:paraId="2C347FB2" w14:textId="77777777" w:rsidR="00067F75" w:rsidRPr="0099652B" w:rsidRDefault="00000000">
      <w:pPr>
        <w:pStyle w:val="Heading2"/>
        <w:rPr>
          <w:rFonts w:ascii="Times New Roman" w:hAnsi="Times New Roman" w:cs="Times New Roman"/>
          <w:color w:val="auto"/>
        </w:rPr>
      </w:pPr>
      <w:bookmarkStart w:id="11" w:name="_Toc241691212"/>
      <w:r w:rsidRPr="0099652B">
        <w:rPr>
          <w:rFonts w:ascii="Times New Roman" w:hAnsi="Times New Roman" w:cs="Times New Roman"/>
          <w:color w:val="auto"/>
        </w:rPr>
        <w:lastRenderedPageBreak/>
        <w:t>2.2 The Four Criteria</w:t>
      </w:r>
      <w:bookmarkEnd w:id="11"/>
    </w:p>
    <w:p w14:paraId="75138EE7" w14:textId="77777777" w:rsidR="00DB046E" w:rsidRPr="0099652B" w:rsidRDefault="00000000">
      <w:pPr>
        <w:pStyle w:val="Heading3"/>
        <w:rPr>
          <w:rFonts w:ascii="Times New Roman" w:hAnsi="Times New Roman" w:cs="Times New Roman"/>
          <w:color w:val="auto"/>
        </w:rPr>
      </w:pPr>
      <w:r w:rsidRPr="0099652B">
        <w:rPr>
          <w:rFonts w:ascii="Times New Roman" w:hAnsi="Times New Roman" w:cs="Times New Roman"/>
          <w:color w:val="auto"/>
        </w:rPr>
        <w:t>Criterion 1: Restoration to life, not mere survival</w:t>
      </w:r>
    </w:p>
    <w:p w14:paraId="0A5E1973" w14:textId="77777777" w:rsidR="00067F75" w:rsidRPr="0099652B" w:rsidRDefault="00000000" w:rsidP="00961466">
      <w:pPr>
        <w:spacing w:line="480" w:lineRule="auto"/>
        <w:ind w:firstLine="720"/>
        <w:jc w:val="both"/>
        <w:rPr>
          <w:i/>
          <w:iCs/>
          <w:sz w:val="28"/>
          <w:szCs w:val="28"/>
          <w:u w:val="single"/>
        </w:rPr>
      </w:pPr>
      <w:r w:rsidRPr="0099652B">
        <w:rPr>
          <w:sz w:val="28"/>
          <w:szCs w:val="28"/>
        </w:rPr>
        <w:t xml:space="preserve">The dead must be conceived as undergoing an ontological </w:t>
      </w:r>
      <w:r w:rsidR="00845380" w:rsidRPr="0099652B">
        <w:rPr>
          <w:sz w:val="28"/>
          <w:szCs w:val="28"/>
        </w:rPr>
        <w:t xml:space="preserve">change, </w:t>
      </w:r>
      <w:r w:rsidR="005010E4" w:rsidRPr="0099652B">
        <w:rPr>
          <w:sz w:val="28"/>
          <w:szCs w:val="28"/>
        </w:rPr>
        <w:t>the</w:t>
      </w:r>
      <w:r w:rsidRPr="0099652B">
        <w:rPr>
          <w:sz w:val="28"/>
          <w:szCs w:val="28"/>
        </w:rPr>
        <w:t xml:space="preserve"> change may take two forms. Restoration to life is the reconstitution and reanimation of the person, as when the king’s body is reassembled and his breath restored in the Egyptian Pyramid Texts; or renewed life into an exalted state, as in the Egyptian </w:t>
      </w:r>
      <w:proofErr w:type="spellStart"/>
      <w:r w:rsidRPr="0099652B">
        <w:rPr>
          <w:sz w:val="28"/>
          <w:szCs w:val="28"/>
        </w:rPr>
        <w:t>ȝḫ</w:t>
      </w:r>
      <w:proofErr w:type="spellEnd"/>
      <w:r w:rsidRPr="0099652B">
        <w:rPr>
          <w:sz w:val="28"/>
          <w:szCs w:val="28"/>
        </w:rPr>
        <w:t xml:space="preserve">, a being of efficacy and mobility. The diagnostic contrast is that between the Egyptian </w:t>
      </w:r>
      <w:proofErr w:type="spellStart"/>
      <w:r w:rsidRPr="0099652B">
        <w:rPr>
          <w:sz w:val="28"/>
          <w:szCs w:val="28"/>
        </w:rPr>
        <w:t>ȝḫ</w:t>
      </w:r>
      <w:proofErr w:type="spellEnd"/>
      <w:r w:rsidRPr="0099652B">
        <w:rPr>
          <w:sz w:val="28"/>
          <w:szCs w:val="28"/>
        </w:rPr>
        <w:t xml:space="preserve">, a transfigured being possessed of efficacy and mobility, and the Mesopotamian </w:t>
      </w:r>
      <w:proofErr w:type="spellStart"/>
      <w:r w:rsidRPr="0099652B">
        <w:rPr>
          <w:i/>
          <w:iCs/>
          <w:sz w:val="28"/>
          <w:szCs w:val="28"/>
        </w:rPr>
        <w:t>eṭemmu</w:t>
      </w:r>
      <w:proofErr w:type="spellEnd"/>
      <w:r w:rsidRPr="0099652B">
        <w:rPr>
          <w:sz w:val="28"/>
          <w:szCs w:val="28"/>
        </w:rPr>
        <w:t>, a shade dependent upon the offerings of the living for a subsistence that is at best joyless. Burial with grave goods does not satisfy this criterion; belief in a surviving ghost does not satisfy it; a myth in which a god dies and returns does not satisfy it for human beings.</w:t>
      </w:r>
    </w:p>
    <w:p w14:paraId="5703090C" w14:textId="77777777" w:rsidR="00DB046E" w:rsidRPr="0099652B" w:rsidRDefault="00000000" w:rsidP="00961466">
      <w:pPr>
        <w:pStyle w:val="Heading3"/>
        <w:rPr>
          <w:rFonts w:ascii="Times New Roman" w:hAnsi="Times New Roman" w:cs="Times New Roman"/>
          <w:color w:val="auto"/>
        </w:rPr>
      </w:pPr>
      <w:r w:rsidRPr="0099652B">
        <w:rPr>
          <w:rFonts w:ascii="Times New Roman" w:hAnsi="Times New Roman" w:cs="Times New Roman"/>
          <w:color w:val="auto"/>
        </w:rPr>
        <w:t>Criterion 2: A Tribunal</w:t>
      </w:r>
    </w:p>
    <w:p w14:paraId="2A7EFB03" w14:textId="77777777" w:rsidR="00DB046E" w:rsidRPr="0099652B" w:rsidRDefault="00000000" w:rsidP="002312B7">
      <w:pPr>
        <w:spacing w:line="480" w:lineRule="auto"/>
        <w:ind w:firstLine="720"/>
        <w:jc w:val="both"/>
        <w:rPr>
          <w:sz w:val="28"/>
          <w:szCs w:val="28"/>
        </w:rPr>
      </w:pPr>
      <w:r w:rsidRPr="0099652B">
        <w:rPr>
          <w:sz w:val="28"/>
          <w:szCs w:val="28"/>
        </w:rPr>
        <w:t xml:space="preserve">There must be a formal procedure of evaluation, conceived juridically: a divine judge or bench, a proceeding, the possibility of accusation, and a verdict. Forensic vocabulary is the diagnostic marker, and the vocabulary of acquittal is its strongest form, since acquittal presupposes a court, a charge, and a standard of proof. </w:t>
      </w:r>
    </w:p>
    <w:p w14:paraId="647059E9" w14:textId="77777777" w:rsidR="00DB046E" w:rsidRPr="0099652B" w:rsidRDefault="00000000" w:rsidP="00961466">
      <w:pPr>
        <w:pStyle w:val="Heading3"/>
        <w:rPr>
          <w:rFonts w:ascii="Times New Roman" w:hAnsi="Times New Roman" w:cs="Times New Roman"/>
          <w:color w:val="auto"/>
        </w:rPr>
      </w:pPr>
      <w:r w:rsidRPr="0099652B">
        <w:rPr>
          <w:rFonts w:ascii="Times New Roman" w:hAnsi="Times New Roman" w:cs="Times New Roman"/>
          <w:color w:val="auto"/>
        </w:rPr>
        <w:t>Criterion 3: Moral determination of the outcome</w:t>
      </w:r>
    </w:p>
    <w:p w14:paraId="453625D9" w14:textId="77777777" w:rsidR="00067F75" w:rsidRPr="0099652B" w:rsidRDefault="00B53998" w:rsidP="00961466">
      <w:pPr>
        <w:spacing w:line="480" w:lineRule="auto"/>
        <w:ind w:firstLine="720"/>
        <w:jc w:val="both"/>
        <w:rPr>
          <w:sz w:val="28"/>
          <w:szCs w:val="28"/>
        </w:rPr>
      </w:pPr>
      <w:r w:rsidRPr="0099652B">
        <w:rPr>
          <w:sz w:val="28"/>
          <w:szCs w:val="28"/>
        </w:rPr>
        <w:t xml:space="preserve">The verdict must turn on the ethical quality of the deceased's conduct in life. It must not turn solely on royal or social status, the correctness of the burial, the </w:t>
      </w:r>
      <w:r w:rsidRPr="0099652B">
        <w:rPr>
          <w:sz w:val="28"/>
          <w:szCs w:val="28"/>
        </w:rPr>
        <w:lastRenderedPageBreak/>
        <w:t xml:space="preserve">diligence of surviving descendants, or the possession of ritual knowledge. </w:t>
      </w:r>
      <w:r w:rsidR="00A927C1" w:rsidRPr="0099652B">
        <w:rPr>
          <w:sz w:val="28"/>
          <w:szCs w:val="28"/>
        </w:rPr>
        <w:t>The</w:t>
      </w:r>
      <w:r w:rsidRPr="0099652B">
        <w:rPr>
          <w:sz w:val="28"/>
          <w:szCs w:val="28"/>
        </w:rPr>
        <w:t xml:space="preserve"> criterion requires that </w:t>
      </w:r>
      <w:proofErr w:type="gramStart"/>
      <w:r w:rsidRPr="0099652B">
        <w:rPr>
          <w:sz w:val="28"/>
          <w:szCs w:val="28"/>
        </w:rPr>
        <w:t>the moral</w:t>
      </w:r>
      <w:proofErr w:type="gramEnd"/>
      <w:r w:rsidRPr="0099652B">
        <w:rPr>
          <w:sz w:val="28"/>
          <w:szCs w:val="28"/>
        </w:rPr>
        <w:t xml:space="preserve"> consideration be independently operative and explicitly stated</w:t>
      </w:r>
      <w:r w:rsidR="00A927C1" w:rsidRPr="0099652B">
        <w:rPr>
          <w:sz w:val="28"/>
          <w:szCs w:val="28"/>
        </w:rPr>
        <w:t>.</w:t>
      </w:r>
    </w:p>
    <w:p w14:paraId="4956C661" w14:textId="77777777" w:rsidR="00DB046E" w:rsidRPr="0099652B" w:rsidRDefault="00000000" w:rsidP="00961466">
      <w:pPr>
        <w:pStyle w:val="Heading3"/>
        <w:rPr>
          <w:rFonts w:ascii="Times New Roman" w:hAnsi="Times New Roman" w:cs="Times New Roman"/>
          <w:color w:val="auto"/>
        </w:rPr>
      </w:pPr>
      <w:r w:rsidRPr="0099652B">
        <w:rPr>
          <w:rFonts w:ascii="Times New Roman" w:hAnsi="Times New Roman" w:cs="Times New Roman"/>
          <w:color w:val="auto"/>
        </w:rPr>
        <w:t xml:space="preserve">Criterion 4: Divergent eternal destinies </w:t>
      </w:r>
    </w:p>
    <w:p w14:paraId="21055B32" w14:textId="77777777" w:rsidR="00067F75" w:rsidRPr="0099652B" w:rsidRDefault="00000000" w:rsidP="00961466">
      <w:pPr>
        <w:spacing w:line="480" w:lineRule="auto"/>
        <w:ind w:firstLine="720"/>
        <w:jc w:val="both"/>
        <w:rPr>
          <w:sz w:val="28"/>
          <w:szCs w:val="28"/>
        </w:rPr>
      </w:pPr>
      <w:r w:rsidRPr="0099652B">
        <w:rPr>
          <w:sz w:val="28"/>
          <w:szCs w:val="28"/>
        </w:rPr>
        <w:t xml:space="preserve">The outcomes must genuinely differ, and the difference must be consequential: vindication in </w:t>
      </w:r>
      <w:r w:rsidR="00A927C1" w:rsidRPr="0099652B">
        <w:rPr>
          <w:sz w:val="28"/>
          <w:szCs w:val="28"/>
        </w:rPr>
        <w:t xml:space="preserve">a </w:t>
      </w:r>
      <w:r w:rsidRPr="0099652B">
        <w:rPr>
          <w:sz w:val="28"/>
          <w:szCs w:val="28"/>
        </w:rPr>
        <w:t>continued and enhanced life, condemnation in destruction, exclusion, or torment. A uniform afterlife fails this criterion.</w:t>
      </w:r>
    </w:p>
    <w:p w14:paraId="65884C7A" w14:textId="77777777" w:rsidR="00DB046E" w:rsidRPr="0099652B" w:rsidRDefault="00000000" w:rsidP="00B51F15">
      <w:pPr>
        <w:spacing w:line="480" w:lineRule="auto"/>
        <w:ind w:firstLine="720"/>
        <w:jc w:val="both"/>
        <w:rPr>
          <w:sz w:val="28"/>
          <w:szCs w:val="28"/>
        </w:rPr>
      </w:pPr>
      <w:r w:rsidRPr="0099652B">
        <w:rPr>
          <w:sz w:val="28"/>
          <w:szCs w:val="28"/>
        </w:rPr>
        <w:t>To these four, a fifth consideration is added, not as a definitional requirement but as an index of whether a belief has become a doctrine rather than an intuition: the existence of a professional priesthood, an endowed cult, a transmitted textual corpus, and a formalized liturgy by which the belief is propagated and maintained. This institutional criterion is what distinguishes a taught system from a diffuse expectation.</w:t>
      </w:r>
    </w:p>
    <w:p w14:paraId="38EAD0D1" w14:textId="77777777" w:rsidR="00067F75" w:rsidRPr="0099652B" w:rsidRDefault="00000000" w:rsidP="00B51F15">
      <w:pPr>
        <w:pStyle w:val="Heading2"/>
        <w:rPr>
          <w:rFonts w:ascii="Times New Roman" w:hAnsi="Times New Roman" w:cs="Times New Roman"/>
          <w:color w:val="auto"/>
        </w:rPr>
      </w:pPr>
      <w:bookmarkStart w:id="12" w:name="_Toc241691213"/>
      <w:r w:rsidRPr="0099652B">
        <w:rPr>
          <w:rFonts w:ascii="Times New Roman" w:hAnsi="Times New Roman" w:cs="Times New Roman"/>
          <w:color w:val="auto"/>
        </w:rPr>
        <w:t>2.3 Evidentiary Standards</w:t>
      </w:r>
      <w:bookmarkEnd w:id="12"/>
    </w:p>
    <w:p w14:paraId="2359BC5E" w14:textId="77777777" w:rsidR="00067F75" w:rsidRPr="0099652B" w:rsidRDefault="00000000" w:rsidP="00961466">
      <w:pPr>
        <w:spacing w:line="480" w:lineRule="auto"/>
        <w:ind w:firstLine="720"/>
        <w:jc w:val="both"/>
        <w:rPr>
          <w:sz w:val="28"/>
          <w:szCs w:val="28"/>
        </w:rPr>
      </w:pPr>
      <w:r w:rsidRPr="0099652B">
        <w:rPr>
          <w:sz w:val="28"/>
          <w:szCs w:val="28"/>
        </w:rPr>
        <w:t>A priority claim is a claim about the surviving record as much as about the past, and it is therefore only as good as the standards applied to the record. Three are applied uniformly here.</w:t>
      </w:r>
    </w:p>
    <w:p w14:paraId="449C1ED7" w14:textId="77777777" w:rsidR="00DB046E" w:rsidRPr="0099652B" w:rsidRDefault="00000000" w:rsidP="00961466">
      <w:pPr>
        <w:pStyle w:val="Heading3"/>
        <w:rPr>
          <w:rFonts w:ascii="Times New Roman" w:hAnsi="Times New Roman" w:cs="Times New Roman"/>
          <w:color w:val="auto"/>
        </w:rPr>
      </w:pPr>
      <w:r w:rsidRPr="0099652B">
        <w:rPr>
          <w:rFonts w:ascii="Times New Roman" w:hAnsi="Times New Roman" w:cs="Times New Roman"/>
          <w:color w:val="auto"/>
        </w:rPr>
        <w:t xml:space="preserve">Contemporaneity </w:t>
      </w:r>
    </w:p>
    <w:p w14:paraId="3457FCE4" w14:textId="77777777" w:rsidR="00DB046E" w:rsidRPr="0099652B" w:rsidRDefault="00000000" w:rsidP="00B53998">
      <w:pPr>
        <w:spacing w:line="480" w:lineRule="auto"/>
        <w:ind w:firstLine="720"/>
        <w:jc w:val="both"/>
        <w:rPr>
          <w:sz w:val="28"/>
          <w:szCs w:val="28"/>
        </w:rPr>
      </w:pPr>
      <w:r w:rsidRPr="0099652B">
        <w:rPr>
          <w:sz w:val="28"/>
          <w:szCs w:val="28"/>
        </w:rPr>
        <w:t xml:space="preserve">Evidence for a belief should date from the same time as the belief itself or as close to it as the type of source allows (i.e., be contemporary). For example, an </w:t>
      </w:r>
      <w:r w:rsidRPr="0099652B">
        <w:rPr>
          <w:sz w:val="28"/>
          <w:szCs w:val="28"/>
        </w:rPr>
        <w:lastRenderedPageBreak/>
        <w:t xml:space="preserve">inscription carved into a tomb wall by the man who commissioned it is direct evidence of what he believed. A literary work that survives only in copies made a thousand years after it was written is direct evidence of what people believed when the copy was made; it tells us about beliefs at the time of composition only by inference. </w:t>
      </w:r>
    </w:p>
    <w:p w14:paraId="2E8D880D" w14:textId="77777777" w:rsidR="00DB046E" w:rsidRPr="0099652B" w:rsidRDefault="00000000" w:rsidP="00961466">
      <w:pPr>
        <w:pStyle w:val="Heading3"/>
        <w:rPr>
          <w:rFonts w:ascii="Times New Roman" w:hAnsi="Times New Roman" w:cs="Times New Roman"/>
          <w:color w:val="auto"/>
        </w:rPr>
      </w:pPr>
      <w:r w:rsidRPr="0099652B">
        <w:rPr>
          <w:rFonts w:ascii="Times New Roman" w:hAnsi="Times New Roman" w:cs="Times New Roman"/>
          <w:color w:val="auto"/>
        </w:rPr>
        <w:t xml:space="preserve">Datability </w:t>
      </w:r>
    </w:p>
    <w:p w14:paraId="06A930AB" w14:textId="2DBB5C7B" w:rsidR="00DB046E" w:rsidRPr="0099652B" w:rsidRDefault="00000000" w:rsidP="00ED3655">
      <w:pPr>
        <w:spacing w:line="480" w:lineRule="auto"/>
        <w:ind w:firstLine="720"/>
        <w:jc w:val="both"/>
        <w:rPr>
          <w:sz w:val="28"/>
          <w:szCs w:val="28"/>
        </w:rPr>
      </w:pPr>
      <w:r w:rsidRPr="0099652B">
        <w:rPr>
          <w:sz w:val="28"/>
          <w:szCs w:val="28"/>
        </w:rPr>
        <w:t xml:space="preserve">The evidence must be datable independently of the belief it is meant to support. Otherwise, the argument is circular: if a text is assigned to the Old Kingdom only because it expresses a belief thought to be characteristic of the Old Kingdom, it cannot then be used as evidence that the belief existed in the Old Kingdom. Egyptian evidence can often be dated independently of the beliefs it records, because Egyptian chronology rests on several kinds of evidence that check one another. </w:t>
      </w:r>
      <w:r w:rsidR="007F4ACB" w:rsidRPr="0099652B">
        <w:rPr>
          <w:sz w:val="28"/>
          <w:szCs w:val="28"/>
        </w:rPr>
        <w:t xml:space="preserve">For example, </w:t>
      </w:r>
      <w:r w:rsidRPr="0099652B">
        <w:rPr>
          <w:sz w:val="28"/>
          <w:szCs w:val="28"/>
        </w:rPr>
        <w:t>King-lists such as the Turin Canon, the Abydos list, and the Palermo Stone give the order of rulers, and some give reign lengths. A few astronomical observations, notably records of the rising of the star Sirius and of lunar phases, can be matched to modern calculations and narrow the possible dates of certain reigns. Radiocarbon dating of material from securely dated contexts has broadly confirmed the result. For the New Kingdom in particular, the outcome is a sequence of kings tied to calendar dates with an unusually small margin of error, often within a decade or two</w:t>
      </w:r>
      <w:r w:rsidR="00EC07BF" w:rsidRPr="0099652B">
        <w:rPr>
          <w:sz w:val="28"/>
          <w:szCs w:val="28"/>
        </w:rPr>
        <w:t>.</w:t>
      </w:r>
      <w:r w:rsidRPr="0099652B">
        <w:rPr>
          <w:sz w:val="28"/>
          <w:szCs w:val="28"/>
        </w:rPr>
        <w:t xml:space="preserve"> </w:t>
      </w:r>
    </w:p>
    <w:p w14:paraId="23BCD0B6" w14:textId="77777777" w:rsidR="00DB046E" w:rsidRPr="0099652B" w:rsidRDefault="00000000" w:rsidP="006C5E60">
      <w:pPr>
        <w:pStyle w:val="Heading3"/>
        <w:rPr>
          <w:rFonts w:ascii="Times New Roman" w:hAnsi="Times New Roman" w:cs="Times New Roman"/>
          <w:color w:val="auto"/>
        </w:rPr>
      </w:pPr>
      <w:r w:rsidRPr="0099652B">
        <w:rPr>
          <w:rFonts w:ascii="Times New Roman" w:hAnsi="Times New Roman" w:cs="Times New Roman"/>
          <w:color w:val="auto"/>
        </w:rPr>
        <w:lastRenderedPageBreak/>
        <w:t xml:space="preserve">Materiality </w:t>
      </w:r>
    </w:p>
    <w:p w14:paraId="1D9F9FA0" w14:textId="77777777" w:rsidR="00DB046E" w:rsidRPr="0099652B" w:rsidRDefault="00000000" w:rsidP="00961466">
      <w:pPr>
        <w:spacing w:line="480" w:lineRule="auto"/>
        <w:ind w:firstLine="720"/>
        <w:jc w:val="both"/>
        <w:rPr>
          <w:sz w:val="28"/>
          <w:szCs w:val="28"/>
        </w:rPr>
      </w:pPr>
      <w:r w:rsidRPr="0099652B">
        <w:rPr>
          <w:sz w:val="28"/>
          <w:szCs w:val="28"/>
        </w:rPr>
        <w:t>Wherever possible, the evidence should consist of objects that still exist and whose original findspots are known. The argument therefore identifies every object and monument by its provenance and its current location.</w:t>
      </w:r>
    </w:p>
    <w:p w14:paraId="0FBB77DF" w14:textId="77777777" w:rsidR="00067F75" w:rsidRPr="0099652B" w:rsidRDefault="00000000">
      <w:pPr>
        <w:pStyle w:val="Heading2"/>
        <w:rPr>
          <w:rFonts w:ascii="Times New Roman" w:hAnsi="Times New Roman" w:cs="Times New Roman"/>
          <w:color w:val="auto"/>
        </w:rPr>
      </w:pPr>
      <w:bookmarkStart w:id="13" w:name="_Toc241691214"/>
      <w:r w:rsidRPr="0099652B">
        <w:rPr>
          <w:rFonts w:ascii="Times New Roman" w:hAnsi="Times New Roman" w:cs="Times New Roman"/>
          <w:color w:val="auto"/>
        </w:rPr>
        <w:t>2.4 The Exclusion of Orally Transmitted Corpora</w:t>
      </w:r>
      <w:bookmarkEnd w:id="13"/>
    </w:p>
    <w:p w14:paraId="25F26913" w14:textId="77777777" w:rsidR="00067F75" w:rsidRPr="0099652B" w:rsidRDefault="00000000" w:rsidP="00B45505">
      <w:pPr>
        <w:spacing w:line="480" w:lineRule="auto"/>
        <w:ind w:firstLine="720"/>
        <w:jc w:val="both"/>
        <w:rPr>
          <w:sz w:val="28"/>
          <w:szCs w:val="28"/>
        </w:rPr>
      </w:pPr>
      <w:r w:rsidRPr="0099652B">
        <w:rPr>
          <w:sz w:val="28"/>
          <w:szCs w:val="28"/>
        </w:rPr>
        <w:t>Where a tradition is known only through oral transmission and is committed to writing</w:t>
      </w:r>
      <w:r w:rsidR="007F4ACB" w:rsidRPr="0099652B">
        <w:rPr>
          <w:sz w:val="28"/>
          <w:szCs w:val="28"/>
        </w:rPr>
        <w:t xml:space="preserve"> </w:t>
      </w:r>
      <w:r w:rsidRPr="0099652B">
        <w:rPr>
          <w:sz w:val="28"/>
          <w:szCs w:val="28"/>
        </w:rPr>
        <w:t>later, it cannot be dated to the period of its putative composition for the purposes of a priority argument, however probable that early composition may be on linguistic grounds.</w:t>
      </w:r>
    </w:p>
    <w:p w14:paraId="5FB5C72E" w14:textId="47FD5FD4" w:rsidR="00067F75" w:rsidRPr="0099652B" w:rsidRDefault="00000000" w:rsidP="00AC031A">
      <w:pPr>
        <w:spacing w:line="480" w:lineRule="auto"/>
        <w:ind w:firstLine="720"/>
        <w:jc w:val="both"/>
        <w:rPr>
          <w:sz w:val="28"/>
          <w:szCs w:val="28"/>
        </w:rPr>
      </w:pPr>
      <w:r w:rsidRPr="0099652B">
        <w:rPr>
          <w:sz w:val="28"/>
          <w:szCs w:val="28"/>
        </w:rPr>
        <w:t>This bears principally upon the Gathas of Zarathustra</w:t>
      </w:r>
      <w:r w:rsidR="008D423D" w:rsidRPr="0099652B">
        <w:rPr>
          <w:sz w:val="28"/>
          <w:szCs w:val="28"/>
        </w:rPr>
        <w:t xml:space="preserve">. </w:t>
      </w:r>
      <w:r w:rsidRPr="0099652B">
        <w:rPr>
          <w:sz w:val="28"/>
          <w:szCs w:val="28"/>
        </w:rPr>
        <w:t>The reason is not that oral transmission is unreliable. Zoroastrianism was preserved by priestly memorial disciplines of extraordinary conservatism, and the linguistic archaism of the texts is itself strong evidence that they were not substantially rewritten. A priority claim requires a fixed point, and an orally transmitted corpus does not supply one: it supplies a range, and in the Iranian case the range spanned by serious scholarly opinion is approximately a thousand years</w:t>
      </w:r>
      <w:r w:rsidR="00AA7377" w:rsidRPr="0099652B">
        <w:rPr>
          <w:sz w:val="28"/>
          <w:szCs w:val="28"/>
        </w:rPr>
        <w:t xml:space="preserve">. </w:t>
      </w:r>
      <w:r w:rsidRPr="0099652B">
        <w:rPr>
          <w:sz w:val="28"/>
          <w:szCs w:val="28"/>
        </w:rPr>
        <w:t>Where a claim of first must be adjudicated between a tradition documented in dated stone and a tradition documented in a manuscript of the sixth century CE reporting a composition of uncertain date, the adjudication is not close.</w:t>
      </w:r>
    </w:p>
    <w:p w14:paraId="5BA72246" w14:textId="77777777" w:rsidR="00DB046E" w:rsidRPr="0099652B" w:rsidRDefault="00310D18" w:rsidP="00AC031A">
      <w:pPr>
        <w:spacing w:line="480" w:lineRule="auto"/>
        <w:ind w:firstLine="720"/>
        <w:jc w:val="both"/>
        <w:rPr>
          <w:sz w:val="28"/>
          <w:szCs w:val="28"/>
        </w:rPr>
      </w:pPr>
      <w:r w:rsidRPr="0099652B">
        <w:rPr>
          <w:sz w:val="28"/>
          <w:szCs w:val="28"/>
        </w:rPr>
        <w:lastRenderedPageBreak/>
        <w:t>The exclusion applies symmetrically, and it costs Egypt something as well. Egypt’s own burial evidence cannot establish the doctrine, precisely because it is silent: burial practice may be consistent with a belief in moral accountability, but it cannot demonstrate it.</w:t>
      </w:r>
    </w:p>
    <w:p w14:paraId="35DACD38" w14:textId="77777777" w:rsidR="00067F75" w:rsidRPr="0099652B" w:rsidRDefault="00000000">
      <w:pPr>
        <w:pStyle w:val="Heading2"/>
        <w:rPr>
          <w:rFonts w:ascii="Times New Roman" w:hAnsi="Times New Roman" w:cs="Times New Roman"/>
          <w:color w:val="auto"/>
        </w:rPr>
      </w:pPr>
      <w:bookmarkStart w:id="14" w:name="_Toc241691215"/>
      <w:r w:rsidRPr="0099652B">
        <w:rPr>
          <w:rFonts w:ascii="Times New Roman" w:hAnsi="Times New Roman" w:cs="Times New Roman"/>
          <w:color w:val="auto"/>
        </w:rPr>
        <w:t>2.5 The Limits of the Argument from Silence</w:t>
      </w:r>
      <w:bookmarkEnd w:id="14"/>
    </w:p>
    <w:p w14:paraId="25FFA580" w14:textId="77777777" w:rsidR="00067F75" w:rsidRPr="0099652B" w:rsidRDefault="00000000">
      <w:pPr>
        <w:spacing w:line="480" w:lineRule="auto"/>
        <w:ind w:firstLine="720"/>
        <w:jc w:val="both"/>
        <w:rPr>
          <w:sz w:val="28"/>
          <w:szCs w:val="28"/>
        </w:rPr>
      </w:pPr>
      <w:r w:rsidRPr="0099652B">
        <w:rPr>
          <w:sz w:val="28"/>
          <w:szCs w:val="28"/>
        </w:rPr>
        <w:t>A final caution. Chapter 5 argues that no rival tradition satisfies the criteria at a comparable date, and an argument of that form is an argument from the absence of evidence. Its force depends entirely upon the density of the record in which the absence is observed, and that density varies enormously.</w:t>
      </w:r>
    </w:p>
    <w:p w14:paraId="5B7CF644" w14:textId="77777777" w:rsidR="00067F75" w:rsidRPr="0099652B" w:rsidRDefault="005010E4">
      <w:pPr>
        <w:spacing w:line="480" w:lineRule="auto"/>
        <w:ind w:firstLine="720"/>
        <w:jc w:val="both"/>
        <w:rPr>
          <w:sz w:val="28"/>
          <w:szCs w:val="28"/>
        </w:rPr>
      </w:pPr>
      <w:r w:rsidRPr="0099652B">
        <w:rPr>
          <w:sz w:val="28"/>
          <w:szCs w:val="28"/>
        </w:rPr>
        <w:t xml:space="preserve">In the Mesopotamian case, the argument is strong because the record is superb: tens of thousands of tablets, a continuous literary and scholarly tradition, an extensive corpus of ritual and funerary material, and well-excavated mortuary archaeology. A post-mortem moral tribunal is not merely unattested in this material; texts explicitly contradict it by stating that the condition of the dead is determined by burial and the maintenance of offerings by descendants. In the Minoan case, by contrast, the argument from silence has almost no force, because Linear A is undeciphered and, for our purposes, the civilization is voiceless. In that case, the argument is not that the Minoans lacked a doctrine of judgment but that nothing can be established about their eschatology from the surviving evidence, which is a </w:t>
      </w:r>
      <w:r w:rsidRPr="0099652B">
        <w:rPr>
          <w:sz w:val="28"/>
          <w:szCs w:val="28"/>
        </w:rPr>
        <w:lastRenderedPageBreak/>
        <w:t>different and much weaker claim. These asymmetries are noted at the relevant points and are not smoothed over.</w:t>
      </w:r>
    </w:p>
    <w:p w14:paraId="64007594" w14:textId="77777777" w:rsidR="00067F75" w:rsidRPr="0099652B" w:rsidRDefault="00000000" w:rsidP="00A16231">
      <w:pPr>
        <w:pStyle w:val="Heading1"/>
        <w:pageBreakBefore/>
        <w:rPr>
          <w:rFonts w:ascii="Times New Roman" w:hAnsi="Times New Roman" w:cs="Times New Roman"/>
          <w:color w:val="auto"/>
        </w:rPr>
      </w:pPr>
      <w:bookmarkStart w:id="15" w:name="_Toc241691216"/>
      <w:r w:rsidRPr="0099652B">
        <w:rPr>
          <w:rFonts w:ascii="Times New Roman" w:hAnsi="Times New Roman" w:cs="Times New Roman"/>
          <w:color w:val="auto"/>
        </w:rPr>
        <w:lastRenderedPageBreak/>
        <w:t>Chapter 3</w:t>
      </w:r>
      <w:r w:rsidRPr="0099652B">
        <w:rPr>
          <w:rFonts w:ascii="Times New Roman" w:hAnsi="Times New Roman" w:cs="Times New Roman"/>
          <w:color w:val="auto"/>
        </w:rPr>
        <w:br/>
        <w:t>The Formation of the Doctrine in Egypt to c. 2300 BCE</w:t>
      </w:r>
      <w:bookmarkEnd w:id="15"/>
    </w:p>
    <w:p w14:paraId="00AB97AB" w14:textId="77777777" w:rsidR="00DB046E" w:rsidRPr="0099652B" w:rsidRDefault="00000000" w:rsidP="00A16231">
      <w:pPr>
        <w:spacing w:line="480" w:lineRule="auto"/>
        <w:ind w:firstLine="720"/>
        <w:jc w:val="both"/>
        <w:rPr>
          <w:sz w:val="28"/>
          <w:szCs w:val="28"/>
        </w:rPr>
      </w:pPr>
      <w:r w:rsidRPr="0099652B">
        <w:rPr>
          <w:sz w:val="28"/>
          <w:szCs w:val="28"/>
        </w:rPr>
        <w:t xml:space="preserve">This Chapter argues that by approximately 2300 BCE — and demonstrably no later than the end of the Sixth Dynasty (around 2181 BCE) — Egypt possessed a righteous resurrection doctrine satisfying all four criteria set out in section 2.2. The argument proceeds criterion by criterion and draws on three independent bodies of Old Kingdom (2686 to 2160 BCE) evidence: the royal Pyramid Texts, the threat (or curse) formulae inscribed in officials’ tombs, and the ideal autobiographies of the late Fifth and Sixth Dynasties. Section 3.1 addresses criterion one, the restoration of the deceased to life rather than mere </w:t>
      </w:r>
      <w:proofErr w:type="gramStart"/>
      <w:r w:rsidRPr="0099652B">
        <w:rPr>
          <w:sz w:val="28"/>
          <w:szCs w:val="28"/>
        </w:rPr>
        <w:t>survival, and</w:t>
      </w:r>
      <w:proofErr w:type="gramEnd"/>
      <w:r w:rsidRPr="0099652B">
        <w:rPr>
          <w:sz w:val="28"/>
          <w:szCs w:val="28"/>
        </w:rPr>
        <w:t xml:space="preserve"> draws </w:t>
      </w:r>
      <w:proofErr w:type="gramStart"/>
      <w:r w:rsidRPr="0099652B">
        <w:rPr>
          <w:sz w:val="28"/>
          <w:szCs w:val="28"/>
        </w:rPr>
        <w:t>the evidence</w:t>
      </w:r>
      <w:proofErr w:type="gramEnd"/>
      <w:r w:rsidRPr="0099652B">
        <w:rPr>
          <w:sz w:val="28"/>
          <w:szCs w:val="28"/>
        </w:rPr>
        <w:t xml:space="preserve"> for it from the Pyramid Texts. Section 3.2 turns to the forensic vocabulary of the same texts, above all the epithet </w:t>
      </w:r>
      <w:proofErr w:type="spellStart"/>
      <w:r w:rsidRPr="0099652B">
        <w:rPr>
          <w:sz w:val="28"/>
          <w:szCs w:val="28"/>
        </w:rPr>
        <w:t>mȝʿ-ḫrw</w:t>
      </w:r>
      <w:proofErr w:type="spellEnd"/>
      <w:r w:rsidRPr="0099652B">
        <w:rPr>
          <w:sz w:val="28"/>
          <w:szCs w:val="28"/>
        </w:rPr>
        <w:t xml:space="preserve">, “true of voice,” and their repeated denials of accusation, as evidence that a tribunal was presupposed. Section 3.3 addresses criterion three, a verdict based on the moral conduct of the </w:t>
      </w:r>
      <w:proofErr w:type="gramStart"/>
      <w:r w:rsidRPr="0099652B">
        <w:rPr>
          <w:sz w:val="28"/>
          <w:szCs w:val="28"/>
        </w:rPr>
        <w:t>deceased, and</w:t>
      </w:r>
      <w:proofErr w:type="gramEnd"/>
      <w:r w:rsidRPr="0099652B">
        <w:rPr>
          <w:sz w:val="28"/>
          <w:szCs w:val="28"/>
        </w:rPr>
        <w:t xml:space="preserve"> presents two bodies of evidence for it: first the threat formulae, which name the Great God in the West as judge, and then the ideal autobiographies, in which officials such as </w:t>
      </w:r>
      <w:proofErr w:type="spellStart"/>
      <w:r w:rsidRPr="0099652B">
        <w:rPr>
          <w:sz w:val="28"/>
          <w:szCs w:val="28"/>
        </w:rPr>
        <w:t>Harkhuf</w:t>
      </w:r>
      <w:proofErr w:type="spellEnd"/>
      <w:r w:rsidRPr="0099652B">
        <w:rPr>
          <w:sz w:val="28"/>
          <w:szCs w:val="28"/>
        </w:rPr>
        <w:t xml:space="preserve"> rest their standing before that god on a catalog of just conduct. Section 3.4 argues that the structure of threat and defense running through the whole corpus implies divergent destinies: vindication or annihilation. Section 3.5 describes the factors that gave the religious doctrine institutional form: mortuary cults, contracted priesthoods, </w:t>
      </w:r>
      <w:r w:rsidRPr="0099652B">
        <w:rPr>
          <w:sz w:val="28"/>
          <w:szCs w:val="28"/>
        </w:rPr>
        <w:lastRenderedPageBreak/>
        <w:t>and state theology. Section 3.6 states and answers the three strongest objections, and Section 3.7 draws the evidence together in an interim conclusion.</w:t>
      </w:r>
    </w:p>
    <w:p w14:paraId="51E639FC" w14:textId="372167AA" w:rsidR="00067F75" w:rsidRPr="0099652B" w:rsidRDefault="00000000" w:rsidP="00A16231">
      <w:pPr>
        <w:pStyle w:val="Heading2"/>
        <w:rPr>
          <w:rFonts w:ascii="Times New Roman" w:hAnsi="Times New Roman" w:cs="Times New Roman"/>
          <w:b w:val="0"/>
          <w:bCs w:val="0"/>
          <w:i/>
          <w:iCs/>
          <w:color w:val="auto"/>
        </w:rPr>
      </w:pPr>
      <w:bookmarkStart w:id="16" w:name="_Toc241691217"/>
      <w:r w:rsidRPr="0099652B">
        <w:rPr>
          <w:rFonts w:ascii="Times New Roman" w:hAnsi="Times New Roman" w:cs="Times New Roman"/>
          <w:color w:val="auto"/>
        </w:rPr>
        <w:t>3.1 Criterion One: Restoration to life of the Deceased</w:t>
      </w:r>
      <w:bookmarkEnd w:id="16"/>
      <w:r w:rsidRPr="0099652B">
        <w:rPr>
          <w:rFonts w:ascii="Times New Roman" w:hAnsi="Times New Roman" w:cs="Times New Roman"/>
          <w:color w:val="auto"/>
        </w:rPr>
        <w:t xml:space="preserve"> </w:t>
      </w:r>
    </w:p>
    <w:p w14:paraId="4EEC02D9" w14:textId="7380AA6E" w:rsidR="00DB046E" w:rsidRPr="0099652B" w:rsidRDefault="007D07BA" w:rsidP="007D07BA">
      <w:pPr>
        <w:spacing w:line="480" w:lineRule="auto"/>
        <w:ind w:firstLine="720"/>
        <w:jc w:val="both"/>
        <w:rPr>
          <w:sz w:val="28"/>
          <w:szCs w:val="28"/>
        </w:rPr>
      </w:pPr>
      <w:r w:rsidRPr="0099652B">
        <w:rPr>
          <w:sz w:val="28"/>
          <w:szCs w:val="28"/>
        </w:rPr>
        <w:t xml:space="preserve">The earliest substantial corpus of Egyptian religious literature, the Pyramid Texts, inscribed on the walls of the burial chambers and antechambers of the Old Kingdom pyramids at Saqqara, sets out how the deceased is to be restored to life: by reciting the correct ritual utterances, some spoken on his behalf by the officiating priests and some spoken by the deceased himself, thereby meeting the first criterion. The recitations reassemble the body, open the mouth, and restore breath along with the capacities to eat and to speak. They raise the deceased from recumbency, enable his ascent to the sky, and secure his admission to the company of the gods. Throughout, the deceased is assimilated to Osiris, the paradigmatic ruler who died, was restored to life, and was vindicated in litigation against his adversary. He also becomes </w:t>
      </w:r>
      <w:proofErr w:type="gramStart"/>
      <w:r w:rsidRPr="0099652B">
        <w:rPr>
          <w:sz w:val="28"/>
          <w:szCs w:val="28"/>
        </w:rPr>
        <w:t xml:space="preserve">an </w:t>
      </w:r>
      <w:proofErr w:type="spellStart"/>
      <w:r w:rsidRPr="0099652B">
        <w:rPr>
          <w:sz w:val="28"/>
          <w:szCs w:val="28"/>
        </w:rPr>
        <w:t>ȝḫ</w:t>
      </w:r>
      <w:proofErr w:type="spellEnd"/>
      <w:r w:rsidRPr="0099652B">
        <w:rPr>
          <w:sz w:val="28"/>
          <w:szCs w:val="28"/>
        </w:rPr>
        <w:t>, a</w:t>
      </w:r>
      <w:proofErr w:type="gramEnd"/>
      <w:r w:rsidRPr="0099652B">
        <w:rPr>
          <w:sz w:val="28"/>
          <w:szCs w:val="28"/>
        </w:rPr>
        <w:t xml:space="preserve"> </w:t>
      </w:r>
      <w:proofErr w:type="gramStart"/>
      <w:r w:rsidRPr="0099652B">
        <w:rPr>
          <w:sz w:val="28"/>
          <w:szCs w:val="28"/>
        </w:rPr>
        <w:t>transfigured being</w:t>
      </w:r>
      <w:proofErr w:type="gramEnd"/>
      <w:r w:rsidRPr="0099652B">
        <w:rPr>
          <w:sz w:val="28"/>
          <w:szCs w:val="28"/>
        </w:rPr>
        <w:t xml:space="preserve"> endowed with efficacy and freedom of movement (Assmann 2005; Allen 2015).</w:t>
      </w:r>
    </w:p>
    <w:p w14:paraId="4F36179F" w14:textId="77777777" w:rsidR="00DB046E" w:rsidRPr="0099652B" w:rsidRDefault="00000000" w:rsidP="00A16231">
      <w:pPr>
        <w:pStyle w:val="Heading3"/>
        <w:rPr>
          <w:rFonts w:ascii="Times New Roman" w:hAnsi="Times New Roman" w:cs="Times New Roman"/>
          <w:color w:val="auto"/>
        </w:rPr>
      </w:pPr>
      <w:r w:rsidRPr="0099652B">
        <w:rPr>
          <w:rFonts w:ascii="Times New Roman" w:hAnsi="Times New Roman" w:cs="Times New Roman"/>
          <w:color w:val="auto"/>
        </w:rPr>
        <w:t xml:space="preserve">Evidentiary Standards </w:t>
      </w:r>
    </w:p>
    <w:p w14:paraId="693511F7" w14:textId="402C24CF" w:rsidR="00DB046E" w:rsidRPr="0099652B" w:rsidRDefault="00000000" w:rsidP="00103768">
      <w:pPr>
        <w:spacing w:line="480" w:lineRule="auto"/>
        <w:ind w:firstLine="720"/>
        <w:jc w:val="both"/>
        <w:rPr>
          <w:sz w:val="28"/>
          <w:szCs w:val="28"/>
        </w:rPr>
      </w:pPr>
      <w:r w:rsidRPr="0099652B">
        <w:rPr>
          <w:sz w:val="28"/>
          <w:szCs w:val="28"/>
        </w:rPr>
        <w:t xml:space="preserve">The claim of this section does not rest on modern editions alone. The Pyramid Texts survive on the walls for which they were composed: the burial chambers and antechambers of the pyramids of Unas, the last king of the Fifth Dynasty, and of Teti, Pepi I, </w:t>
      </w:r>
      <w:proofErr w:type="spellStart"/>
      <w:r w:rsidRPr="0099652B">
        <w:rPr>
          <w:sz w:val="28"/>
          <w:szCs w:val="28"/>
        </w:rPr>
        <w:t>Merenre</w:t>
      </w:r>
      <w:proofErr w:type="spellEnd"/>
      <w:r w:rsidRPr="0099652B">
        <w:rPr>
          <w:sz w:val="28"/>
          <w:szCs w:val="28"/>
        </w:rPr>
        <w:t xml:space="preserve">, and Pepi II of the Sixth, together with the queens’ pyramids </w:t>
      </w:r>
      <w:r w:rsidRPr="0099652B">
        <w:rPr>
          <w:sz w:val="28"/>
          <w:szCs w:val="28"/>
        </w:rPr>
        <w:lastRenderedPageBreak/>
        <w:t xml:space="preserve">of the reign of Pepi II, at Saqqara and South Saqqara, all of them </w:t>
      </w:r>
      <w:r w:rsidRPr="0099652B">
        <w:rPr>
          <w:i/>
          <w:iCs/>
          <w:sz w:val="28"/>
          <w:szCs w:val="28"/>
        </w:rPr>
        <w:t>in situ</w:t>
      </w:r>
      <w:r w:rsidRPr="0099652B">
        <w:rPr>
          <w:sz w:val="28"/>
          <w:szCs w:val="28"/>
        </w:rPr>
        <w:t xml:space="preserve"> (</w:t>
      </w:r>
      <w:r w:rsidR="00814909" w:rsidRPr="0099652B">
        <w:rPr>
          <w:sz w:val="28"/>
          <w:szCs w:val="28"/>
        </w:rPr>
        <w:t>Shaw, 2000</w:t>
      </w:r>
      <w:r w:rsidRPr="0099652B">
        <w:rPr>
          <w:sz w:val="28"/>
          <w:szCs w:val="28"/>
        </w:rPr>
        <w:t xml:space="preserve">; Pyramid Texts c. 2375–2184 BCE). The architectural expression of the same concern is older still. The Step Pyramid complex of Djoser at Saqqara, of about 2650 BCE, remains in place (Step Pyramid complex of Djoser c. 2650 BCE), and the statue walled into its </w:t>
      </w:r>
      <w:r w:rsidRPr="0099652B">
        <w:rPr>
          <w:i/>
          <w:iCs/>
          <w:sz w:val="28"/>
          <w:szCs w:val="28"/>
        </w:rPr>
        <w:t>serdab</w:t>
      </w:r>
      <w:r w:rsidRPr="0099652B">
        <w:rPr>
          <w:sz w:val="28"/>
          <w:szCs w:val="28"/>
        </w:rPr>
        <w:t>, the sealed statue chamber, is now in the Egyptian Museum, Cairo, JE 49158 (</w:t>
      </w:r>
      <w:r w:rsidRPr="0099652B">
        <w:rPr>
          <w:i/>
          <w:iCs/>
          <w:sz w:val="28"/>
          <w:szCs w:val="28"/>
        </w:rPr>
        <w:t>Serdab statue of Djoser</w:t>
      </w:r>
      <w:r w:rsidRPr="0099652B">
        <w:rPr>
          <w:sz w:val="28"/>
          <w:szCs w:val="28"/>
        </w:rPr>
        <w:t xml:space="preserve"> c. 2650 BCE). The Fourth Dynasty reserve heads from the Giza cemeteries, divided between Cairo and the Museum of Fine Arts, Boston, are generally read as part of the same concern with preserving the person's form, although their precise function remains debated (</w:t>
      </w:r>
      <w:r w:rsidRPr="0099652B">
        <w:rPr>
          <w:i/>
          <w:iCs/>
          <w:sz w:val="28"/>
          <w:szCs w:val="28"/>
        </w:rPr>
        <w:t>Reserve heads from Giza</w:t>
      </w:r>
      <w:r w:rsidRPr="0099652B">
        <w:rPr>
          <w:sz w:val="28"/>
          <w:szCs w:val="28"/>
        </w:rPr>
        <w:t xml:space="preserve"> c. 2613–2494 BCE).</w:t>
      </w:r>
    </w:p>
    <w:p w14:paraId="33FF1D74" w14:textId="77777777" w:rsidR="00DB046E" w:rsidRPr="0099652B" w:rsidRDefault="00000000" w:rsidP="00A16231">
      <w:pPr>
        <w:spacing w:line="480" w:lineRule="auto"/>
        <w:ind w:firstLine="720"/>
        <w:jc w:val="both"/>
        <w:rPr>
          <w:sz w:val="28"/>
          <w:szCs w:val="28"/>
        </w:rPr>
      </w:pPr>
      <w:r w:rsidRPr="0099652B">
        <w:rPr>
          <w:sz w:val="28"/>
          <w:szCs w:val="28"/>
        </w:rPr>
        <w:t xml:space="preserve">Tested against the three standards of section 2.3, the textual witnesses are as strong as any in the ancient record. They meet the standard of </w:t>
      </w:r>
      <w:r w:rsidRPr="0099652B">
        <w:rPr>
          <w:i/>
          <w:iCs/>
          <w:sz w:val="28"/>
          <w:szCs w:val="28"/>
        </w:rPr>
        <w:t>contemporaneity</w:t>
      </w:r>
      <w:r w:rsidRPr="0099652B">
        <w:rPr>
          <w:sz w:val="28"/>
          <w:szCs w:val="28"/>
        </w:rPr>
        <w:t xml:space="preserve"> in its fullest sense: the utterances were carved into the burial chamber for the burial itself and sealed with the king, so they are not a later literary recension but the working liturgy of the burials in which they were used. They meet the standard of </w:t>
      </w:r>
      <w:r w:rsidRPr="0099652B">
        <w:rPr>
          <w:i/>
          <w:iCs/>
          <w:sz w:val="28"/>
          <w:szCs w:val="28"/>
        </w:rPr>
        <w:t xml:space="preserve">datability </w:t>
      </w:r>
      <w:r w:rsidRPr="0099652B">
        <w:rPr>
          <w:sz w:val="28"/>
          <w:szCs w:val="28"/>
        </w:rPr>
        <w:t xml:space="preserve">because each pyramid belongs to a named king whose place in the king-lists is fixed independently of anything the texts say about the afterlife; the corpus therefore runs, by reign, from Unas at the end of the Fifth Dynasty to Pepi II at the end of the Sixth. They meet the standard of </w:t>
      </w:r>
      <w:r w:rsidRPr="0099652B">
        <w:rPr>
          <w:i/>
          <w:iCs/>
          <w:sz w:val="28"/>
          <w:szCs w:val="28"/>
        </w:rPr>
        <w:t xml:space="preserve">materiality </w:t>
      </w:r>
      <w:r w:rsidRPr="0099652B">
        <w:rPr>
          <w:sz w:val="28"/>
          <w:szCs w:val="28"/>
        </w:rPr>
        <w:t>because each monument has a known findspot and still stands where it was built.</w:t>
      </w:r>
    </w:p>
    <w:p w14:paraId="5D19B41F" w14:textId="77777777" w:rsidR="00DB046E" w:rsidRPr="0099652B" w:rsidRDefault="00000000" w:rsidP="000D37CD">
      <w:pPr>
        <w:pStyle w:val="NormalWeb"/>
        <w:spacing w:line="480" w:lineRule="auto"/>
        <w:ind w:firstLine="720"/>
        <w:jc w:val="both"/>
        <w:rPr>
          <w:sz w:val="28"/>
          <w:szCs w:val="28"/>
        </w:rPr>
      </w:pPr>
      <w:r w:rsidRPr="0099652B">
        <w:rPr>
          <w:sz w:val="28"/>
          <w:szCs w:val="28"/>
        </w:rPr>
        <w:lastRenderedPageBreak/>
        <w:t xml:space="preserve">Two qualifications keep the argument within those standards. The first is that the statues and reserve heads, although contemporary, datable, and of known provenance, are subject to the caution stated in section 2.4: like burial practice generally, they are mute. They show investment in the person's continued existence, but they cannot, by themselves, distinguish restoration to life from mere survival. The texts make that distinction, and the statues are cited only to support them. The second is that the clearest single image of the </w:t>
      </w:r>
      <w:proofErr w:type="spellStart"/>
      <w:r w:rsidRPr="0099652B">
        <w:rPr>
          <w:sz w:val="28"/>
          <w:szCs w:val="28"/>
        </w:rPr>
        <w:t>kȝ</w:t>
      </w:r>
      <w:proofErr w:type="spellEnd"/>
      <w:r w:rsidRPr="0099652B">
        <w:rPr>
          <w:sz w:val="28"/>
          <w:szCs w:val="28"/>
        </w:rPr>
        <w:t xml:space="preserve">, the wooden statue of King Hor </w:t>
      </w:r>
      <w:proofErr w:type="spellStart"/>
      <w:r w:rsidRPr="0099652B">
        <w:rPr>
          <w:sz w:val="28"/>
          <w:szCs w:val="28"/>
        </w:rPr>
        <w:t>Awibre</w:t>
      </w:r>
      <w:proofErr w:type="spellEnd"/>
      <w:r w:rsidRPr="0099652B">
        <w:rPr>
          <w:sz w:val="28"/>
          <w:szCs w:val="28"/>
        </w:rPr>
        <w:t xml:space="preserve"> found in his tomb at Dahshur and now in Cairo, JE 30948 (</w:t>
      </w:r>
      <w:r w:rsidRPr="0099652B">
        <w:rPr>
          <w:i/>
          <w:iCs/>
          <w:sz w:val="28"/>
          <w:szCs w:val="28"/>
        </w:rPr>
        <w:t>Ka statue of Hor Awibre</w:t>
      </w:r>
      <w:r w:rsidRPr="0099652B">
        <w:rPr>
          <w:sz w:val="28"/>
          <w:szCs w:val="28"/>
        </w:rPr>
        <w:t xml:space="preserve"> c. 1760 BCE), which wears on its head the hieroglyph of upraised arms that writes the word </w:t>
      </w:r>
      <w:proofErr w:type="spellStart"/>
      <w:r w:rsidRPr="0099652B">
        <w:rPr>
          <w:sz w:val="28"/>
          <w:szCs w:val="28"/>
        </w:rPr>
        <w:t>kȝ</w:t>
      </w:r>
      <w:proofErr w:type="spellEnd"/>
      <w:r w:rsidRPr="0099652B">
        <w:rPr>
          <w:sz w:val="28"/>
          <w:szCs w:val="28"/>
        </w:rPr>
        <w:t>, belongs to the Thirteenth Dynasty. Under the standard of contemporaneity, it is evidence for the belief of its own period, not for that of the Old Kingdom, and it is used here only to show the continuity of the conception; its probative weight belongs to Chapter 4.</w:t>
      </w:r>
    </w:p>
    <w:p w14:paraId="3E1FDFF4" w14:textId="77777777" w:rsidR="00DB046E" w:rsidRPr="0099652B" w:rsidRDefault="00000000" w:rsidP="00A16231">
      <w:pPr>
        <w:pStyle w:val="Heading2"/>
        <w:rPr>
          <w:rFonts w:ascii="Times New Roman" w:hAnsi="Times New Roman" w:cs="Times New Roman"/>
          <w:color w:val="auto"/>
        </w:rPr>
      </w:pPr>
      <w:bookmarkStart w:id="17" w:name="_Toc241691218"/>
      <w:r w:rsidRPr="0099652B">
        <w:rPr>
          <w:rFonts w:ascii="Times New Roman" w:hAnsi="Times New Roman" w:cs="Times New Roman"/>
          <w:color w:val="auto"/>
        </w:rPr>
        <w:t>3.2 Criterion Two: Requirement of a Tribunal (judgment)</w:t>
      </w:r>
      <w:bookmarkEnd w:id="17"/>
    </w:p>
    <w:p w14:paraId="67DF738C" w14:textId="77777777" w:rsidR="00DB046E" w:rsidRPr="0099652B" w:rsidRDefault="00000000" w:rsidP="00A16231">
      <w:pPr>
        <w:spacing w:line="480" w:lineRule="auto"/>
        <w:ind w:firstLine="720"/>
        <w:jc w:val="both"/>
        <w:rPr>
          <w:sz w:val="28"/>
          <w:szCs w:val="28"/>
        </w:rPr>
      </w:pPr>
      <w:r w:rsidRPr="0099652B">
        <w:rPr>
          <w:sz w:val="28"/>
          <w:szCs w:val="28"/>
        </w:rPr>
        <w:t>The second criterion requires a tribunal that judges the deceased. The Pyramid Texts contain no judgment scene as such: they depict no balance, no bench of assessors, and no formal proceeding. They do, however, use</w:t>
      </w:r>
    </w:p>
    <w:p w14:paraId="0260AEE2" w14:textId="77777777" w:rsidR="00DB046E" w:rsidRPr="0099652B" w:rsidRDefault="00000000" w:rsidP="00A16231">
      <w:pPr>
        <w:spacing w:line="480" w:lineRule="auto"/>
        <w:jc w:val="both"/>
        <w:rPr>
          <w:sz w:val="28"/>
          <w:szCs w:val="28"/>
        </w:rPr>
      </w:pPr>
      <w:r w:rsidRPr="0099652B">
        <w:rPr>
          <w:sz w:val="28"/>
          <w:szCs w:val="28"/>
        </w:rPr>
        <w:t xml:space="preserve">The vocabulary presupposes such a proceeding, and the denials presuppose an accusation. On its own, this evidence would be suggestive rather than probative. It </w:t>
      </w:r>
      <w:r w:rsidRPr="0099652B">
        <w:rPr>
          <w:sz w:val="28"/>
          <w:szCs w:val="28"/>
        </w:rPr>
        <w:lastRenderedPageBreak/>
        <w:t>becomes decisive only in conjunction with the material examined in the next two sections.</w:t>
      </w:r>
    </w:p>
    <w:p w14:paraId="5221D297" w14:textId="77777777" w:rsidR="00DB046E" w:rsidRPr="0099652B" w:rsidRDefault="00000000" w:rsidP="00A16231">
      <w:pPr>
        <w:spacing w:line="480" w:lineRule="auto"/>
        <w:ind w:firstLine="720"/>
        <w:jc w:val="both"/>
        <w:rPr>
          <w:sz w:val="28"/>
          <w:szCs w:val="28"/>
        </w:rPr>
      </w:pPr>
      <w:r w:rsidRPr="0099652B">
        <w:rPr>
          <w:sz w:val="28"/>
          <w:szCs w:val="28"/>
        </w:rPr>
        <w:t xml:space="preserve">The dead king's condition is expressed in forensic terms. He is </w:t>
      </w:r>
      <w:proofErr w:type="spellStart"/>
      <w:r w:rsidRPr="0099652B">
        <w:rPr>
          <w:sz w:val="28"/>
          <w:szCs w:val="28"/>
        </w:rPr>
        <w:t>mȝʿ-ḫrw</w:t>
      </w:r>
      <w:proofErr w:type="spellEnd"/>
      <w:r w:rsidRPr="0099652B">
        <w:rPr>
          <w:sz w:val="28"/>
          <w:szCs w:val="28"/>
        </w:rPr>
        <w:t>, conventionally rendered "true of voice." More precisely, the term denotes the party whose testimony has prevailed in a legal proceeding: the vindicated, the acquitted, or the one found to be in the right. It applies to Osiris in his mythic litigation against Seth and, by extension, to the deceased assimilated to him.</w:t>
      </w:r>
    </w:p>
    <w:p w14:paraId="7698D76D" w14:textId="77777777" w:rsidR="00DB046E" w:rsidRPr="0099652B" w:rsidRDefault="00000000" w:rsidP="00E95DE6">
      <w:pPr>
        <w:spacing w:line="480" w:lineRule="auto"/>
        <w:ind w:firstLine="720"/>
        <w:jc w:val="both"/>
        <w:rPr>
          <w:sz w:val="28"/>
          <w:szCs w:val="28"/>
        </w:rPr>
      </w:pPr>
      <w:r w:rsidRPr="0099652B">
        <w:rPr>
          <w:sz w:val="28"/>
          <w:szCs w:val="28"/>
        </w:rPr>
        <w:t>Accordingly, the utterances repeatedly deny any accusation: no charge stands against the king, no complaint has been brought by the living or the dead, and no wrongdoing bars his ascent. These denials are significant. Claims of innocence presuppose the possibility of accusation, just as the language of acquittal presupposes a tribunal, a charge, and a standard of judgment. Morenz (1973) first developed this argument systematically, and Griffiths later traced its implications in comparative evidence (Griffiths 1991).</w:t>
      </w:r>
    </w:p>
    <w:p w14:paraId="608D6901" w14:textId="77777777" w:rsidR="00DB046E" w:rsidRPr="0099652B" w:rsidRDefault="00000000" w:rsidP="000D37CD">
      <w:pPr>
        <w:pStyle w:val="Heading3"/>
        <w:rPr>
          <w:rFonts w:ascii="Times New Roman" w:hAnsi="Times New Roman" w:cs="Times New Roman"/>
          <w:color w:val="auto"/>
        </w:rPr>
      </w:pPr>
      <w:r w:rsidRPr="0099652B">
        <w:rPr>
          <w:rFonts w:ascii="Times New Roman" w:hAnsi="Times New Roman" w:cs="Times New Roman"/>
          <w:color w:val="auto"/>
        </w:rPr>
        <w:t xml:space="preserve">Evidentiary Standards </w:t>
      </w:r>
    </w:p>
    <w:p w14:paraId="2C0247AC" w14:textId="2AABD4A1" w:rsidR="00DB046E" w:rsidRPr="0099652B" w:rsidRDefault="00000000" w:rsidP="000D37CD">
      <w:pPr>
        <w:spacing w:line="480" w:lineRule="auto"/>
        <w:ind w:firstLine="720"/>
        <w:jc w:val="both"/>
        <w:rPr>
          <w:sz w:val="28"/>
          <w:szCs w:val="28"/>
        </w:rPr>
      </w:pPr>
      <w:r w:rsidRPr="0099652B">
        <w:rPr>
          <w:sz w:val="28"/>
          <w:szCs w:val="28"/>
        </w:rPr>
        <w:t xml:space="preserve">The forensic vocabulary examined in this section is read on the same monuments as the evidence for Criterion One. The utterances in which the king is declared </w:t>
      </w:r>
      <w:proofErr w:type="spellStart"/>
      <w:r w:rsidRPr="0099652B">
        <w:rPr>
          <w:i/>
          <w:iCs/>
          <w:sz w:val="28"/>
          <w:szCs w:val="28"/>
        </w:rPr>
        <w:t>mȝʿ-ḫrw</w:t>
      </w:r>
      <w:proofErr w:type="spellEnd"/>
      <w:r w:rsidRPr="0099652B">
        <w:rPr>
          <w:sz w:val="28"/>
          <w:szCs w:val="28"/>
        </w:rPr>
        <w:t xml:space="preserve">, and in which every accusation against him is denied, are cut into the walls of the Saqqara pyramids of Unas, Teti, Pepi I, </w:t>
      </w:r>
      <w:proofErr w:type="spellStart"/>
      <w:r w:rsidRPr="0099652B">
        <w:rPr>
          <w:sz w:val="28"/>
          <w:szCs w:val="28"/>
        </w:rPr>
        <w:t>Merenre</w:t>
      </w:r>
      <w:proofErr w:type="spellEnd"/>
      <w:r w:rsidRPr="0099652B">
        <w:rPr>
          <w:sz w:val="28"/>
          <w:szCs w:val="28"/>
        </w:rPr>
        <w:t xml:space="preserve">, and Pepi II, which survive </w:t>
      </w:r>
      <w:r w:rsidRPr="0099652B">
        <w:rPr>
          <w:i/>
          <w:iCs/>
          <w:sz w:val="28"/>
          <w:szCs w:val="28"/>
        </w:rPr>
        <w:t>in situ</w:t>
      </w:r>
      <w:r w:rsidRPr="0099652B">
        <w:rPr>
          <w:sz w:val="28"/>
          <w:szCs w:val="28"/>
        </w:rPr>
        <w:t xml:space="preserve"> (Griffiths 1991</w:t>
      </w:r>
      <w:r w:rsidR="00637487" w:rsidRPr="0099652B">
        <w:rPr>
          <w:sz w:val="28"/>
          <w:szCs w:val="28"/>
        </w:rPr>
        <w:t>,</w:t>
      </w:r>
      <w:r w:rsidRPr="0099652B">
        <w:rPr>
          <w:sz w:val="28"/>
          <w:szCs w:val="28"/>
        </w:rPr>
        <w:t xml:space="preserve"> </w:t>
      </w:r>
      <w:r w:rsidRPr="0099652B">
        <w:rPr>
          <w:i/>
          <w:iCs/>
          <w:sz w:val="28"/>
          <w:szCs w:val="28"/>
        </w:rPr>
        <w:t>Pyramid Texts</w:t>
      </w:r>
      <w:r w:rsidRPr="0099652B">
        <w:rPr>
          <w:sz w:val="28"/>
          <w:szCs w:val="28"/>
        </w:rPr>
        <w:t xml:space="preserve"> c. 2375–2184 BCE). They therefore </w:t>
      </w:r>
      <w:r w:rsidRPr="0099652B">
        <w:rPr>
          <w:sz w:val="28"/>
          <w:szCs w:val="28"/>
        </w:rPr>
        <w:lastRenderedPageBreak/>
        <w:t xml:space="preserve">meet the standards of contemporaneity, datability, and materiality on </w:t>
      </w:r>
      <w:proofErr w:type="gramStart"/>
      <w:r w:rsidRPr="0099652B">
        <w:rPr>
          <w:sz w:val="28"/>
          <w:szCs w:val="28"/>
        </w:rPr>
        <w:t>exactly the same</w:t>
      </w:r>
      <w:proofErr w:type="gramEnd"/>
      <w:r w:rsidRPr="0099652B">
        <w:rPr>
          <w:sz w:val="28"/>
          <w:szCs w:val="28"/>
        </w:rPr>
        <w:t xml:space="preserve"> terms. The second body of evidence on which this criterion depends, the threat formulae that name the Great God in the West as judge, is equally material: it is inscribed on private tomb chapels of known Saqqara provenance, two of which, the offering chapel of </w:t>
      </w:r>
      <w:proofErr w:type="spellStart"/>
      <w:r w:rsidRPr="0099652B">
        <w:rPr>
          <w:sz w:val="28"/>
          <w:szCs w:val="28"/>
        </w:rPr>
        <w:t>Hetepherakhet</w:t>
      </w:r>
      <w:proofErr w:type="spellEnd"/>
      <w:r w:rsidRPr="0099652B">
        <w:rPr>
          <w:sz w:val="28"/>
          <w:szCs w:val="28"/>
        </w:rPr>
        <w:t xml:space="preserve"> at Leiden and the mastaba chapel of </w:t>
      </w:r>
      <w:proofErr w:type="spellStart"/>
      <w:r w:rsidRPr="0099652B">
        <w:rPr>
          <w:sz w:val="28"/>
          <w:szCs w:val="28"/>
        </w:rPr>
        <w:t>Perneb</w:t>
      </w:r>
      <w:proofErr w:type="spellEnd"/>
      <w:r w:rsidRPr="0099652B">
        <w:rPr>
          <w:sz w:val="28"/>
          <w:szCs w:val="28"/>
        </w:rPr>
        <w:t xml:space="preserve"> in New York, are examined in section 3.3. The standards establish the date and authenticity of this vocabulary. They do not by themselves settle its meaning, and that question is taken up in the philological objection answered in section 3.6.</w:t>
      </w:r>
    </w:p>
    <w:p w14:paraId="6E845212" w14:textId="77777777" w:rsidR="00DB046E" w:rsidRPr="0099652B" w:rsidRDefault="00000000" w:rsidP="00E95DE6">
      <w:pPr>
        <w:pStyle w:val="Heading2"/>
        <w:rPr>
          <w:rFonts w:ascii="Times New Roman" w:hAnsi="Times New Roman" w:cs="Times New Roman"/>
          <w:color w:val="auto"/>
        </w:rPr>
      </w:pPr>
      <w:bookmarkStart w:id="18" w:name="_Toc241691219"/>
      <w:r w:rsidRPr="0099652B">
        <w:rPr>
          <w:rFonts w:ascii="Times New Roman" w:hAnsi="Times New Roman" w:cs="Times New Roman"/>
          <w:color w:val="auto"/>
        </w:rPr>
        <w:t>3.3 Criterion Three: Moral Determination of the Outcome (verdict)</w:t>
      </w:r>
      <w:bookmarkEnd w:id="18"/>
    </w:p>
    <w:p w14:paraId="654D6C68" w14:textId="77777777" w:rsidR="00DB046E" w:rsidRPr="0099652B" w:rsidRDefault="00000000" w:rsidP="00E95DE6">
      <w:pPr>
        <w:spacing w:line="480" w:lineRule="auto"/>
        <w:ind w:firstLine="720"/>
        <w:jc w:val="both"/>
        <w:rPr>
          <w:sz w:val="28"/>
          <w:szCs w:val="28"/>
        </w:rPr>
      </w:pPr>
      <w:r w:rsidRPr="0099652B">
        <w:rPr>
          <w:sz w:val="28"/>
          <w:szCs w:val="28"/>
        </w:rPr>
        <w:t>The third criterion requires the judge to make a moral determination that results in a verdict. The most direct Old Kingdom (2686–2160 BCE) evidence for a post-mortem tribunal and verdict on the deceased's morality comes not from the royal pyramids but from inscriptions in officials' tombs. These include the mastabas of courtiers buried near the capital, Memphis, and the rock-cut and mastaba tombs of officials buried in their home provinces. Two kinds of inscription are relevant: autobiographies in which the tomb owner describes his conduct, and warnings that threaten anyone who damages the tomb, enters it impurely, or takes its property, aimed at potential violators. Egyptologists call the warnings “threat formulae” - the standard warnings carved in tombs and on monuments.</w:t>
      </w:r>
    </w:p>
    <w:p w14:paraId="6644B2F6" w14:textId="77777777" w:rsidR="00DB046E" w:rsidRPr="0099652B" w:rsidRDefault="00000000" w:rsidP="00E95DE6">
      <w:pPr>
        <w:spacing w:line="480" w:lineRule="auto"/>
        <w:ind w:firstLine="720"/>
        <w:jc w:val="both"/>
        <w:rPr>
          <w:sz w:val="28"/>
          <w:szCs w:val="28"/>
        </w:rPr>
      </w:pPr>
      <w:r w:rsidRPr="0099652B">
        <w:rPr>
          <w:sz w:val="28"/>
          <w:szCs w:val="28"/>
        </w:rPr>
        <w:lastRenderedPageBreak/>
        <w:t>The first type of inscription consists of what scholars call ideal autobiographies, in which the tomb owner presents himself as a righteous man. These ideal autobiographies follow a recognizable pattern. The tomb owner declares that he acted in accordance with Maat — the comprehensive Egyptian concept of truth, justice, and cosmic order — and then specifies his conduct in concrete social and ethical terms. He gave bread to the hungry and clothing to the naked. He ferried across the river the man who had no boat. He buried the man who had no son to bury him. He judged between two litigants so that both left satisfied. He rescued the weak from the strong. He never spoke evil of any person to a superior. He never took by force what belonged to another.</w:t>
      </w:r>
    </w:p>
    <w:p w14:paraId="749277C2" w14:textId="77777777" w:rsidR="00DB046E" w:rsidRPr="0099652B" w:rsidRDefault="00000000" w:rsidP="00A16231">
      <w:pPr>
        <w:spacing w:line="480" w:lineRule="auto"/>
        <w:ind w:firstLine="720"/>
        <w:jc w:val="both"/>
        <w:rPr>
          <w:sz w:val="28"/>
          <w:szCs w:val="28"/>
        </w:rPr>
      </w:pPr>
      <w:r w:rsidRPr="0099652B">
        <w:rPr>
          <w:sz w:val="28"/>
          <w:szCs w:val="28"/>
        </w:rPr>
        <w:t xml:space="preserve">What links these autobiographies of the tomb owner's good deeds to a judgment after death is the reason he gives for performing them. The clearest statement comes from </w:t>
      </w:r>
      <w:proofErr w:type="spellStart"/>
      <w:r w:rsidRPr="0099652B">
        <w:rPr>
          <w:sz w:val="28"/>
          <w:szCs w:val="28"/>
        </w:rPr>
        <w:t>Harkhuf</w:t>
      </w:r>
      <w:proofErr w:type="spellEnd"/>
      <w:r w:rsidRPr="0099652B">
        <w:rPr>
          <w:sz w:val="28"/>
          <w:szCs w:val="28"/>
        </w:rPr>
        <w:t xml:space="preserve">, governor of the south and leader of expeditions into Nubia under the kings </w:t>
      </w:r>
      <w:proofErr w:type="spellStart"/>
      <w:r w:rsidRPr="0099652B">
        <w:rPr>
          <w:sz w:val="28"/>
          <w:szCs w:val="28"/>
        </w:rPr>
        <w:t>Merenre</w:t>
      </w:r>
      <w:proofErr w:type="spellEnd"/>
      <w:r w:rsidRPr="0099652B">
        <w:rPr>
          <w:sz w:val="28"/>
          <w:szCs w:val="28"/>
        </w:rPr>
        <w:t xml:space="preserve"> and Pepi II. His autobiography, dated to about 2280–2250 BCE, is carved into the façade of his rock-cut tomb (tomb 34n) at </w:t>
      </w:r>
      <w:proofErr w:type="spellStart"/>
      <w:r w:rsidRPr="0099652B">
        <w:rPr>
          <w:sz w:val="28"/>
          <w:szCs w:val="28"/>
        </w:rPr>
        <w:t>Qubbet</w:t>
      </w:r>
      <w:proofErr w:type="spellEnd"/>
      <w:r w:rsidRPr="0099652B">
        <w:rPr>
          <w:sz w:val="28"/>
          <w:szCs w:val="28"/>
        </w:rPr>
        <w:t xml:space="preserve"> el-Hawa, on the West Bank opposite Aswan, where it remains </w:t>
      </w:r>
      <w:r w:rsidRPr="0099652B">
        <w:rPr>
          <w:i/>
          <w:iCs/>
          <w:sz w:val="28"/>
          <w:szCs w:val="28"/>
        </w:rPr>
        <w:t>in situ</w:t>
      </w:r>
      <w:r w:rsidRPr="0099652B">
        <w:rPr>
          <w:sz w:val="28"/>
          <w:szCs w:val="28"/>
        </w:rPr>
        <w:t xml:space="preserve">. After listing his virtuous deeds, </w:t>
      </w:r>
      <w:proofErr w:type="spellStart"/>
      <w:r w:rsidRPr="0099652B">
        <w:rPr>
          <w:sz w:val="28"/>
          <w:szCs w:val="28"/>
        </w:rPr>
        <w:t>Harkhuf</w:t>
      </w:r>
      <w:proofErr w:type="spellEnd"/>
      <w:r w:rsidRPr="0099652B">
        <w:rPr>
          <w:sz w:val="28"/>
          <w:szCs w:val="28"/>
        </w:rPr>
        <w:t xml:space="preserve"> declares that he acted as he did because he wanted to be well with the Great God (Strudwick 2005; </w:t>
      </w:r>
      <w:r w:rsidRPr="0099652B">
        <w:rPr>
          <w:i/>
          <w:iCs/>
          <w:sz w:val="28"/>
          <w:szCs w:val="28"/>
        </w:rPr>
        <w:t>Autobiography of Harkhuf</w:t>
      </w:r>
      <w:r w:rsidRPr="0099652B">
        <w:rPr>
          <w:sz w:val="28"/>
          <w:szCs w:val="28"/>
        </w:rPr>
        <w:t xml:space="preserve"> c. 2280–2250 BCE).</w:t>
      </w:r>
      <w:r w:rsidRPr="0099652B">
        <w:rPr>
          <w:b/>
          <w:bCs/>
          <w:sz w:val="28"/>
          <w:szCs w:val="28"/>
          <w:vertAlign w:val="superscript"/>
        </w:rPr>
        <w:t xml:space="preserve"> </w:t>
      </w:r>
      <w:r w:rsidRPr="0099652B">
        <w:rPr>
          <w:sz w:val="28"/>
          <w:szCs w:val="28"/>
        </w:rPr>
        <w:t xml:space="preserve">The ethical claim is therefore neither decorative nor merely a matter of reputation. </w:t>
      </w:r>
      <w:proofErr w:type="spellStart"/>
      <w:r w:rsidRPr="0099652B">
        <w:rPr>
          <w:sz w:val="28"/>
          <w:szCs w:val="28"/>
        </w:rPr>
        <w:t>Harkhuf</w:t>
      </w:r>
      <w:proofErr w:type="spellEnd"/>
      <w:r w:rsidRPr="0099652B">
        <w:rPr>
          <w:sz w:val="28"/>
          <w:szCs w:val="28"/>
        </w:rPr>
        <w:t xml:space="preserve"> offers it as the basis of his standing before the divine judge, and </w:t>
      </w:r>
      <w:r w:rsidRPr="0099652B">
        <w:rPr>
          <w:sz w:val="28"/>
          <w:szCs w:val="28"/>
        </w:rPr>
        <w:lastRenderedPageBreak/>
        <w:t>he names that judge the Great God, the same title that appears in the warning inscriptions discussed below.</w:t>
      </w:r>
    </w:p>
    <w:p w14:paraId="32093900" w14:textId="77777777" w:rsidR="00DB046E" w:rsidRPr="0099652B" w:rsidRDefault="00000000" w:rsidP="00A16231">
      <w:pPr>
        <w:spacing w:line="480" w:lineRule="auto"/>
        <w:ind w:firstLine="720"/>
        <w:jc w:val="both"/>
        <w:rPr>
          <w:sz w:val="28"/>
          <w:szCs w:val="28"/>
        </w:rPr>
      </w:pPr>
      <w:proofErr w:type="spellStart"/>
      <w:r w:rsidRPr="0099652B">
        <w:rPr>
          <w:sz w:val="28"/>
          <w:szCs w:val="28"/>
        </w:rPr>
        <w:t>Harkhuf</w:t>
      </w:r>
      <w:proofErr w:type="spellEnd"/>
      <w:r w:rsidRPr="0099652B">
        <w:rPr>
          <w:sz w:val="28"/>
          <w:szCs w:val="28"/>
        </w:rPr>
        <w:t xml:space="preserve"> was not alone. The mastaba of Nefer-</w:t>
      </w:r>
      <w:proofErr w:type="spellStart"/>
      <w:r w:rsidRPr="0099652B">
        <w:rPr>
          <w:sz w:val="28"/>
          <w:szCs w:val="28"/>
        </w:rPr>
        <w:t>seshem</w:t>
      </w:r>
      <w:proofErr w:type="spellEnd"/>
      <w:r w:rsidRPr="0099652B">
        <w:rPr>
          <w:sz w:val="28"/>
          <w:szCs w:val="28"/>
        </w:rPr>
        <w:t xml:space="preserve">-re, known as </w:t>
      </w:r>
      <w:proofErr w:type="spellStart"/>
      <w:r w:rsidRPr="0099652B">
        <w:rPr>
          <w:sz w:val="28"/>
          <w:szCs w:val="28"/>
        </w:rPr>
        <w:t>Sheshi</w:t>
      </w:r>
      <w:proofErr w:type="spellEnd"/>
      <w:r w:rsidRPr="0099652B">
        <w:rPr>
          <w:sz w:val="28"/>
          <w:szCs w:val="28"/>
        </w:rPr>
        <w:t>, dates to Teti’s reign and remains in the Teti cemetery at Saqqara.</w:t>
      </w:r>
    </w:p>
    <w:p w14:paraId="23876031" w14:textId="77777777" w:rsidR="00CD3DA5" w:rsidRPr="0099652B" w:rsidRDefault="00000000" w:rsidP="00CD3DA5">
      <w:pPr>
        <w:spacing w:line="480" w:lineRule="auto"/>
        <w:jc w:val="both"/>
        <w:rPr>
          <w:sz w:val="28"/>
          <w:szCs w:val="28"/>
        </w:rPr>
      </w:pPr>
      <w:r w:rsidRPr="0099652B">
        <w:rPr>
          <w:sz w:val="28"/>
          <w:szCs w:val="28"/>
        </w:rPr>
        <w:t xml:space="preserve">Its inscription opens by stating that he left his town and descended from his </w:t>
      </w:r>
      <w:proofErr w:type="spellStart"/>
      <w:r w:rsidRPr="0099652B">
        <w:rPr>
          <w:sz w:val="28"/>
          <w:szCs w:val="28"/>
        </w:rPr>
        <w:t>nome</w:t>
      </w:r>
      <w:proofErr w:type="spellEnd"/>
      <w:r w:rsidRPr="0099652B">
        <w:rPr>
          <w:sz w:val="28"/>
          <w:szCs w:val="28"/>
        </w:rPr>
        <w:t xml:space="preserve"> (province) after practicing Maat for its lord, then records similar virtuous deeds (Mastaba of Nefer-</w:t>
      </w:r>
      <w:proofErr w:type="spellStart"/>
      <w:r w:rsidRPr="0099652B">
        <w:rPr>
          <w:sz w:val="28"/>
          <w:szCs w:val="28"/>
        </w:rPr>
        <w:t>seshem</w:t>
      </w:r>
      <w:proofErr w:type="spellEnd"/>
      <w:r w:rsidRPr="0099652B">
        <w:rPr>
          <w:sz w:val="28"/>
          <w:szCs w:val="28"/>
        </w:rPr>
        <w:t xml:space="preserve">-re </w:t>
      </w:r>
      <w:proofErr w:type="spellStart"/>
      <w:r w:rsidRPr="0099652B">
        <w:rPr>
          <w:sz w:val="28"/>
          <w:szCs w:val="28"/>
        </w:rPr>
        <w:t>Sheshi</w:t>
      </w:r>
      <w:proofErr w:type="spellEnd"/>
      <w:r w:rsidRPr="0099652B">
        <w:rPr>
          <w:sz w:val="28"/>
          <w:szCs w:val="28"/>
        </w:rPr>
        <w:t xml:space="preserve"> c. 2345–2323 BCE). At nearby </w:t>
      </w:r>
      <w:proofErr w:type="spellStart"/>
      <w:r w:rsidRPr="0099652B">
        <w:rPr>
          <w:sz w:val="28"/>
          <w:szCs w:val="28"/>
        </w:rPr>
        <w:t>Qubbet</w:t>
      </w:r>
      <w:proofErr w:type="spellEnd"/>
      <w:r w:rsidRPr="0099652B">
        <w:rPr>
          <w:sz w:val="28"/>
          <w:szCs w:val="28"/>
        </w:rPr>
        <w:t xml:space="preserve"> el-Hawa, </w:t>
      </w:r>
      <w:proofErr w:type="spellStart"/>
      <w:r w:rsidRPr="0099652B">
        <w:rPr>
          <w:sz w:val="28"/>
          <w:szCs w:val="28"/>
        </w:rPr>
        <w:t>Pepinakht</w:t>
      </w:r>
      <w:proofErr w:type="spellEnd"/>
      <w:r w:rsidRPr="0099652B">
        <w:rPr>
          <w:sz w:val="28"/>
          <w:szCs w:val="28"/>
        </w:rPr>
        <w:t xml:space="preserve"> Heqaib’s tomb stands beside Harkhuf’s (</w:t>
      </w:r>
      <w:r w:rsidRPr="0099652B">
        <w:rPr>
          <w:i/>
          <w:iCs/>
          <w:sz w:val="28"/>
          <w:szCs w:val="28"/>
        </w:rPr>
        <w:t>Tomb of Pepinakht Heqaib</w:t>
      </w:r>
      <w:r w:rsidRPr="0099652B">
        <w:rPr>
          <w:sz w:val="28"/>
          <w:szCs w:val="28"/>
        </w:rPr>
        <w:t xml:space="preserve"> c. 2278–2184 BCE). After </w:t>
      </w:r>
      <w:proofErr w:type="spellStart"/>
      <w:r w:rsidRPr="0099652B">
        <w:rPr>
          <w:sz w:val="28"/>
          <w:szCs w:val="28"/>
        </w:rPr>
        <w:t>Heqaib’s</w:t>
      </w:r>
      <w:proofErr w:type="spellEnd"/>
      <w:r w:rsidRPr="0099652B">
        <w:rPr>
          <w:sz w:val="28"/>
          <w:szCs w:val="28"/>
        </w:rPr>
        <w:t xml:space="preserve"> death, his reputation for just conduct gave rise to a cult, and the later sanctuary on Elephantine has been excavated and published.</w:t>
      </w:r>
      <w:r w:rsidR="00CD3DA5" w:rsidRPr="0099652B">
        <w:rPr>
          <w:sz w:val="28"/>
          <w:szCs w:val="28"/>
        </w:rPr>
        <w:t xml:space="preserve"> </w:t>
      </w:r>
      <w:r w:rsidRPr="0099652B">
        <w:rPr>
          <w:sz w:val="28"/>
          <w:szCs w:val="28"/>
        </w:rPr>
        <w:t xml:space="preserve">Comparable declarations appear in the tombs of </w:t>
      </w:r>
      <w:proofErr w:type="spellStart"/>
      <w:r w:rsidRPr="0099652B">
        <w:rPr>
          <w:sz w:val="28"/>
          <w:szCs w:val="28"/>
        </w:rPr>
        <w:t>Nekhebu</w:t>
      </w:r>
      <w:proofErr w:type="spellEnd"/>
      <w:r w:rsidRPr="0099652B">
        <w:rPr>
          <w:sz w:val="28"/>
          <w:szCs w:val="28"/>
        </w:rPr>
        <w:t>, Weni, and numerous other Sixth Dynasty (2345–2181 BCE) officials, whose inscriptions Nigel Strudwick has compiled in two monographs (Strudwick 2005</w:t>
      </w:r>
      <w:r w:rsidR="00CD3DA5" w:rsidRPr="0099652B">
        <w:rPr>
          <w:sz w:val="28"/>
          <w:szCs w:val="28"/>
        </w:rPr>
        <w:t>)</w:t>
      </w:r>
      <w:r w:rsidRPr="0099652B">
        <w:rPr>
          <w:sz w:val="28"/>
          <w:szCs w:val="28"/>
        </w:rPr>
        <w:t xml:space="preserve">. </w:t>
      </w:r>
    </w:p>
    <w:p w14:paraId="5639524A" w14:textId="77777777" w:rsidR="00CD3DA5" w:rsidRPr="0099652B" w:rsidRDefault="00000000" w:rsidP="00A16231">
      <w:pPr>
        <w:spacing w:line="480" w:lineRule="auto"/>
        <w:ind w:firstLine="720"/>
        <w:jc w:val="both"/>
        <w:rPr>
          <w:sz w:val="28"/>
          <w:szCs w:val="28"/>
        </w:rPr>
      </w:pPr>
      <w:r w:rsidRPr="0099652B">
        <w:rPr>
          <w:sz w:val="28"/>
          <w:szCs w:val="28"/>
        </w:rPr>
        <w:t xml:space="preserve">The second kind of inscription, the warning (threat formulae), carries the argument further. Where the autobiographies record what officials claimed about their own lives, the warnings speak to outsiders. From the Fifth Dynasty (2494–2345 BCE) onward, and more frequently in the Sixth Dynasty (2345–2181 BCE), tomb owners included a warning in their inscriptions addressed to anyone who might enter the tomb in a state of impurity, damage it, or divert its endowment. The wording of </w:t>
      </w:r>
      <w:r w:rsidRPr="0099652B">
        <w:rPr>
          <w:sz w:val="28"/>
          <w:szCs w:val="28"/>
        </w:rPr>
        <w:lastRenderedPageBreak/>
        <w:t>these warnings changes surprisingly little from one cemetery to another or from one king's reign to the next</w:t>
      </w:r>
      <w:r w:rsidR="00CD3DA5" w:rsidRPr="0099652B">
        <w:rPr>
          <w:sz w:val="28"/>
          <w:szCs w:val="28"/>
        </w:rPr>
        <w:t>.</w:t>
      </w:r>
    </w:p>
    <w:p w14:paraId="72D1DA2F" w14:textId="3B0CD430" w:rsidR="00DB046E" w:rsidRPr="0099652B" w:rsidRDefault="00000000" w:rsidP="00A16231">
      <w:pPr>
        <w:spacing w:line="480" w:lineRule="auto"/>
        <w:ind w:firstLine="720"/>
        <w:jc w:val="both"/>
        <w:rPr>
          <w:sz w:val="28"/>
          <w:szCs w:val="28"/>
        </w:rPr>
      </w:pPr>
      <w:r w:rsidRPr="0099652B">
        <w:rPr>
          <w:sz w:val="28"/>
          <w:szCs w:val="28"/>
        </w:rPr>
        <w:t xml:space="preserve">These warnings survive in large numbers, and their locations are well documented. Strudwick's collection of Old Kingdom inscriptions assembles the principal examples with their findspots. Two of them are readily visible today because the chapels that carry them were removed from Saqqara and reconstructed in museums: the Fifth Dynasty offering chapel of </w:t>
      </w:r>
      <w:proofErr w:type="spellStart"/>
      <w:r w:rsidRPr="0099652B">
        <w:rPr>
          <w:sz w:val="28"/>
          <w:szCs w:val="28"/>
        </w:rPr>
        <w:t>Hetepherakhet</w:t>
      </w:r>
      <w:proofErr w:type="spellEnd"/>
      <w:r w:rsidRPr="0099652B">
        <w:rPr>
          <w:sz w:val="28"/>
          <w:szCs w:val="28"/>
        </w:rPr>
        <w:t xml:space="preserve">, now in the Rijksmuseum van </w:t>
      </w:r>
      <w:proofErr w:type="spellStart"/>
      <w:r w:rsidRPr="0099652B">
        <w:rPr>
          <w:sz w:val="28"/>
          <w:szCs w:val="28"/>
        </w:rPr>
        <w:t>Oudheden</w:t>
      </w:r>
      <w:proofErr w:type="spellEnd"/>
      <w:r w:rsidRPr="0099652B">
        <w:rPr>
          <w:sz w:val="28"/>
          <w:szCs w:val="28"/>
        </w:rPr>
        <w:t xml:space="preserve"> at Leiden, and the Fifth Dynasty mastaba chapel of </w:t>
      </w:r>
      <w:proofErr w:type="spellStart"/>
      <w:r w:rsidRPr="0099652B">
        <w:rPr>
          <w:sz w:val="28"/>
          <w:szCs w:val="28"/>
        </w:rPr>
        <w:t>Perneb</w:t>
      </w:r>
      <w:proofErr w:type="spellEnd"/>
      <w:r w:rsidRPr="0099652B">
        <w:rPr>
          <w:sz w:val="28"/>
          <w:szCs w:val="28"/>
        </w:rPr>
        <w:t>, now in the Metropolitan Museum of Art in New York, MMA 13.183.3 (</w:t>
      </w:r>
      <w:r w:rsidRPr="0099652B">
        <w:rPr>
          <w:i/>
          <w:iCs/>
          <w:sz w:val="28"/>
          <w:szCs w:val="28"/>
        </w:rPr>
        <w:t>Offering chapel of Hetepherakhet</w:t>
      </w:r>
      <w:r w:rsidRPr="0099652B">
        <w:rPr>
          <w:sz w:val="28"/>
          <w:szCs w:val="28"/>
        </w:rPr>
        <w:t xml:space="preserve"> c. 2400 BCE; </w:t>
      </w:r>
      <w:r w:rsidRPr="0099652B">
        <w:rPr>
          <w:i/>
          <w:iCs/>
          <w:sz w:val="28"/>
          <w:szCs w:val="28"/>
        </w:rPr>
        <w:t>Mastaba chapel of Perneb</w:t>
      </w:r>
      <w:r w:rsidRPr="0099652B">
        <w:rPr>
          <w:sz w:val="28"/>
          <w:szCs w:val="28"/>
        </w:rPr>
        <w:t xml:space="preserve"> c. 2381–2323 BCE). The chapel of Ti at Saqqara, with its celebrated reliefs, remains in situ, although the statue from its serdab (the sealed statue chamber) is now in Cairo (</w:t>
      </w:r>
      <w:r w:rsidRPr="0099652B">
        <w:rPr>
          <w:i/>
          <w:iCs/>
          <w:sz w:val="28"/>
          <w:szCs w:val="28"/>
        </w:rPr>
        <w:t>Mastaba chapel of Ti</w:t>
      </w:r>
      <w:r w:rsidRPr="0099652B">
        <w:rPr>
          <w:sz w:val="28"/>
          <w:szCs w:val="28"/>
        </w:rPr>
        <w:t xml:space="preserve"> c. 2445–2421 BCE; </w:t>
      </w:r>
      <w:r w:rsidRPr="0099652B">
        <w:rPr>
          <w:i/>
          <w:iCs/>
          <w:sz w:val="28"/>
          <w:szCs w:val="28"/>
        </w:rPr>
        <w:t>Serdab statue of Ti</w:t>
      </w:r>
      <w:r w:rsidRPr="0099652B">
        <w:rPr>
          <w:sz w:val="28"/>
          <w:szCs w:val="28"/>
        </w:rPr>
        <w:t xml:space="preserve"> c. 2445–2421 BCE).</w:t>
      </w:r>
    </w:p>
    <w:p w14:paraId="77AC3C26" w14:textId="77777777" w:rsidR="00DB046E" w:rsidRPr="0099652B" w:rsidRDefault="00000000" w:rsidP="00A16231">
      <w:pPr>
        <w:spacing w:line="480" w:lineRule="auto"/>
        <w:ind w:firstLine="720"/>
        <w:jc w:val="both"/>
        <w:rPr>
          <w:kern w:val="2"/>
          <w:sz w:val="28"/>
          <w:szCs w:val="28"/>
          <w14:ligatures w14:val="standardContextual"/>
        </w:rPr>
      </w:pPr>
      <w:r w:rsidRPr="0099652B">
        <w:rPr>
          <w:sz w:val="28"/>
          <w:szCs w:val="28"/>
        </w:rPr>
        <w:t>The standardized wording of these warnings makes them especially valuable. By the mid-third millennium BCE, Egypt’s official class evidently accepted four propositions: 1) a divine judge existed, 2) the dead faced trial, 3) their conduct in life was examined, and 4) an adverse verdict carried penalties. These threats could deter only if literate audiences regarded them as credible. They therefore indicate not only that the doctrine existed but also that it was widespread enough to be assumed rather than argued.</w:t>
      </w:r>
    </w:p>
    <w:p w14:paraId="1A26E056" w14:textId="3C94121F" w:rsidR="00DB046E" w:rsidRPr="0099652B" w:rsidRDefault="00000000" w:rsidP="00CD3DA5">
      <w:pPr>
        <w:spacing w:line="480" w:lineRule="auto"/>
        <w:ind w:firstLine="720"/>
        <w:jc w:val="both"/>
        <w:rPr>
          <w:sz w:val="28"/>
          <w:szCs w:val="28"/>
        </w:rPr>
      </w:pPr>
      <w:r w:rsidRPr="0099652B">
        <w:rPr>
          <w:sz w:val="28"/>
          <w:szCs w:val="28"/>
        </w:rPr>
        <w:lastRenderedPageBreak/>
        <w:t>Jan Assmann explains what this development meant for Egyptian religion</w:t>
      </w:r>
      <w:r w:rsidR="00CD3DA5" w:rsidRPr="0099652B">
        <w:rPr>
          <w:sz w:val="28"/>
          <w:szCs w:val="28"/>
        </w:rPr>
        <w:t>: t</w:t>
      </w:r>
      <w:r w:rsidRPr="0099652B">
        <w:rPr>
          <w:sz w:val="28"/>
          <w:szCs w:val="28"/>
        </w:rPr>
        <w:t>he moralization of death marks a breakthrough to moral religion. Death is no longer a matter of ritual provisioning, in which the fate of the dead depends on whether the rites are performed and offerings continue—and so, ultimately, on the living. It becomes a matter of justice, in which one's fate after death depends on one's conduct in life. With this shift from provisioning to justice, death becomes a broader problem, and ethics, cosmology, and eschatology fuse into a single system (Assmann 2005).</w:t>
      </w:r>
      <w:r w:rsidR="00CD3DA5" w:rsidRPr="0099652B">
        <w:rPr>
          <w:sz w:val="28"/>
          <w:szCs w:val="28"/>
        </w:rPr>
        <w:t xml:space="preserve"> </w:t>
      </w:r>
      <w:r w:rsidRPr="0099652B">
        <w:rPr>
          <w:sz w:val="28"/>
          <w:szCs w:val="28"/>
        </w:rPr>
        <w:t>This is precisely what the third criterion requires: a verdict on the dead that rests on a moral assessment of how they lived.</w:t>
      </w:r>
    </w:p>
    <w:p w14:paraId="607912D0" w14:textId="77777777" w:rsidR="00DB046E" w:rsidRPr="0099652B" w:rsidRDefault="00000000" w:rsidP="00D54912">
      <w:pPr>
        <w:pStyle w:val="Heading3"/>
        <w:rPr>
          <w:rFonts w:ascii="Times New Roman" w:hAnsi="Times New Roman" w:cs="Times New Roman"/>
          <w:color w:val="auto"/>
        </w:rPr>
      </w:pPr>
      <w:r w:rsidRPr="0099652B">
        <w:rPr>
          <w:rFonts w:ascii="Times New Roman" w:hAnsi="Times New Roman" w:cs="Times New Roman"/>
          <w:color w:val="auto"/>
        </w:rPr>
        <w:t xml:space="preserve">Evidentiary Standards </w:t>
      </w:r>
    </w:p>
    <w:p w14:paraId="1FD3B205" w14:textId="070483E9" w:rsidR="00DB046E" w:rsidRPr="0099652B" w:rsidRDefault="00000000" w:rsidP="00D54912">
      <w:pPr>
        <w:spacing w:line="480" w:lineRule="auto"/>
        <w:ind w:firstLine="720"/>
        <w:jc w:val="both"/>
        <w:rPr>
          <w:sz w:val="28"/>
          <w:szCs w:val="28"/>
        </w:rPr>
      </w:pPr>
      <w:r w:rsidRPr="0099652B">
        <w:rPr>
          <w:sz w:val="28"/>
          <w:szCs w:val="28"/>
        </w:rPr>
        <w:t xml:space="preserve">The inscriptions on which this section rests are the very kind of evidence that section 2.3 takes as its model of </w:t>
      </w:r>
      <w:r w:rsidRPr="0099652B">
        <w:rPr>
          <w:sz w:val="28"/>
          <w:szCs w:val="28"/>
          <w:u w:val="single"/>
        </w:rPr>
        <w:t>contemporaneity</w:t>
      </w:r>
      <w:r w:rsidRPr="0099652B">
        <w:rPr>
          <w:sz w:val="28"/>
          <w:szCs w:val="28"/>
        </w:rPr>
        <w:t xml:space="preserve">: texts carved into the walls of a tomb by, or for, the man who commissioned it, and therefore direct evidence of what he believed. </w:t>
      </w:r>
      <w:proofErr w:type="spellStart"/>
      <w:r w:rsidRPr="0099652B">
        <w:rPr>
          <w:sz w:val="28"/>
          <w:szCs w:val="28"/>
        </w:rPr>
        <w:t>Harkhuf’s</w:t>
      </w:r>
      <w:proofErr w:type="spellEnd"/>
      <w:r w:rsidRPr="0099652B">
        <w:rPr>
          <w:sz w:val="28"/>
          <w:szCs w:val="28"/>
        </w:rPr>
        <w:t xml:space="preserve"> autobiography is carved on the façade of his own tomb at </w:t>
      </w:r>
      <w:proofErr w:type="spellStart"/>
      <w:r w:rsidRPr="0099652B">
        <w:rPr>
          <w:sz w:val="28"/>
          <w:szCs w:val="28"/>
        </w:rPr>
        <w:t>Qubbet</w:t>
      </w:r>
      <w:proofErr w:type="spellEnd"/>
      <w:r w:rsidRPr="0099652B">
        <w:rPr>
          <w:sz w:val="28"/>
          <w:szCs w:val="28"/>
        </w:rPr>
        <w:t xml:space="preserve"> el-Hawa (tomb 34n). The mastaba of Nefer-</w:t>
      </w:r>
      <w:proofErr w:type="spellStart"/>
      <w:r w:rsidRPr="0099652B">
        <w:rPr>
          <w:sz w:val="28"/>
          <w:szCs w:val="28"/>
        </w:rPr>
        <w:t>seshem</w:t>
      </w:r>
      <w:proofErr w:type="spellEnd"/>
      <w:r w:rsidRPr="0099652B">
        <w:rPr>
          <w:sz w:val="28"/>
          <w:szCs w:val="28"/>
        </w:rPr>
        <w:t xml:space="preserve">-re, called </w:t>
      </w:r>
      <w:proofErr w:type="spellStart"/>
      <w:r w:rsidRPr="0099652B">
        <w:rPr>
          <w:sz w:val="28"/>
          <w:szCs w:val="28"/>
        </w:rPr>
        <w:t>Sheshi</w:t>
      </w:r>
      <w:proofErr w:type="spellEnd"/>
      <w:r w:rsidRPr="0099652B">
        <w:rPr>
          <w:sz w:val="28"/>
          <w:szCs w:val="28"/>
        </w:rPr>
        <w:t xml:space="preserve">, stands in the Teti cemetery at Saqqara, and the tomb of </w:t>
      </w:r>
      <w:proofErr w:type="spellStart"/>
      <w:r w:rsidRPr="0099652B">
        <w:rPr>
          <w:sz w:val="28"/>
          <w:szCs w:val="28"/>
        </w:rPr>
        <w:t>Pepinakht</w:t>
      </w:r>
      <w:proofErr w:type="spellEnd"/>
      <w:r w:rsidRPr="0099652B">
        <w:rPr>
          <w:sz w:val="28"/>
          <w:szCs w:val="28"/>
        </w:rPr>
        <w:t xml:space="preserve"> </w:t>
      </w:r>
      <w:proofErr w:type="spellStart"/>
      <w:r w:rsidRPr="0099652B">
        <w:rPr>
          <w:sz w:val="28"/>
          <w:szCs w:val="28"/>
        </w:rPr>
        <w:t>Heqaib</w:t>
      </w:r>
      <w:proofErr w:type="spellEnd"/>
      <w:r w:rsidRPr="0099652B">
        <w:rPr>
          <w:sz w:val="28"/>
          <w:szCs w:val="28"/>
        </w:rPr>
        <w:t xml:space="preserve"> lies beside Harkhuf’s. The threat formulae survive on the offering chapel of </w:t>
      </w:r>
      <w:proofErr w:type="spellStart"/>
      <w:r w:rsidRPr="0099652B">
        <w:rPr>
          <w:sz w:val="28"/>
          <w:szCs w:val="28"/>
        </w:rPr>
        <w:t>Hetepherakhet</w:t>
      </w:r>
      <w:proofErr w:type="spellEnd"/>
      <w:r w:rsidRPr="0099652B">
        <w:rPr>
          <w:sz w:val="28"/>
          <w:szCs w:val="28"/>
        </w:rPr>
        <w:t xml:space="preserve">, now in the Rijksmuseum van </w:t>
      </w:r>
      <w:proofErr w:type="spellStart"/>
      <w:r w:rsidRPr="0099652B">
        <w:rPr>
          <w:sz w:val="28"/>
          <w:szCs w:val="28"/>
        </w:rPr>
        <w:t>Oudheden</w:t>
      </w:r>
      <w:proofErr w:type="spellEnd"/>
      <w:r w:rsidRPr="0099652B">
        <w:rPr>
          <w:sz w:val="28"/>
          <w:szCs w:val="28"/>
        </w:rPr>
        <w:t xml:space="preserve"> at Leiden, and on the mastaba chapel of </w:t>
      </w:r>
      <w:proofErr w:type="spellStart"/>
      <w:r w:rsidRPr="0099652B">
        <w:rPr>
          <w:sz w:val="28"/>
          <w:szCs w:val="28"/>
        </w:rPr>
        <w:t>Perneb</w:t>
      </w:r>
      <w:proofErr w:type="spellEnd"/>
      <w:r w:rsidRPr="0099652B">
        <w:rPr>
          <w:sz w:val="28"/>
          <w:szCs w:val="28"/>
        </w:rPr>
        <w:t xml:space="preserve">, now in the Metropolitan Museum of Art (MMA 13.183.3). Both were </w:t>
      </w:r>
      <w:r w:rsidRPr="0099652B">
        <w:rPr>
          <w:sz w:val="28"/>
          <w:szCs w:val="28"/>
        </w:rPr>
        <w:lastRenderedPageBreak/>
        <w:t>removed from Saqqara with their provenance recorded, while the chapel of Ti remains at Saqqara.</w:t>
      </w:r>
    </w:p>
    <w:p w14:paraId="1FFA049C" w14:textId="77777777" w:rsidR="00CD3DA5" w:rsidRPr="0099652B" w:rsidRDefault="00000000" w:rsidP="00A16231">
      <w:pPr>
        <w:spacing w:line="480" w:lineRule="auto"/>
        <w:ind w:firstLine="720"/>
        <w:jc w:val="both"/>
        <w:rPr>
          <w:sz w:val="28"/>
          <w:szCs w:val="28"/>
        </w:rPr>
      </w:pPr>
      <w:r w:rsidRPr="0099652B">
        <w:rPr>
          <w:sz w:val="28"/>
          <w:szCs w:val="28"/>
        </w:rPr>
        <w:t xml:space="preserve">These witnesses also meet the standard of </w:t>
      </w:r>
      <w:r w:rsidRPr="0099652B">
        <w:rPr>
          <w:sz w:val="28"/>
          <w:szCs w:val="28"/>
          <w:u w:val="single"/>
        </w:rPr>
        <w:t>datability</w:t>
      </w:r>
      <w:r w:rsidRPr="0099652B">
        <w:rPr>
          <w:sz w:val="28"/>
          <w:szCs w:val="28"/>
        </w:rPr>
        <w:t xml:space="preserve"> in its strongest form. Section 2.3 observes that a tomb inscription naming the reigning king can be dated within a reign, and </w:t>
      </w:r>
      <w:proofErr w:type="spellStart"/>
      <w:r w:rsidRPr="0099652B">
        <w:rPr>
          <w:sz w:val="28"/>
          <w:szCs w:val="28"/>
        </w:rPr>
        <w:t>Harkhuf’s</w:t>
      </w:r>
      <w:proofErr w:type="spellEnd"/>
      <w:r w:rsidRPr="0099652B">
        <w:rPr>
          <w:sz w:val="28"/>
          <w:szCs w:val="28"/>
        </w:rPr>
        <w:t xml:space="preserve"> does exactly that: he names </w:t>
      </w:r>
      <w:proofErr w:type="spellStart"/>
      <w:r w:rsidRPr="0099652B">
        <w:rPr>
          <w:sz w:val="28"/>
          <w:szCs w:val="28"/>
        </w:rPr>
        <w:t>Merenre</w:t>
      </w:r>
      <w:proofErr w:type="spellEnd"/>
      <w:r w:rsidRPr="0099652B">
        <w:rPr>
          <w:sz w:val="28"/>
          <w:szCs w:val="28"/>
        </w:rPr>
        <w:t xml:space="preserve"> and Pepi II, and his text can therefore be placed at about 2280–2250 BCE without appeal to its religious content. </w:t>
      </w:r>
      <w:proofErr w:type="spellStart"/>
      <w:r w:rsidRPr="0099652B">
        <w:rPr>
          <w:sz w:val="28"/>
          <w:szCs w:val="28"/>
        </w:rPr>
        <w:t>Sheshi’s</w:t>
      </w:r>
      <w:proofErr w:type="spellEnd"/>
      <w:r w:rsidRPr="0099652B">
        <w:rPr>
          <w:sz w:val="28"/>
          <w:szCs w:val="28"/>
        </w:rPr>
        <w:t xml:space="preserve"> mastaba is placed in the reign of Teti by its position in that king’s pyramid cemetery, and the chapels of </w:t>
      </w:r>
      <w:proofErr w:type="spellStart"/>
      <w:r w:rsidRPr="0099652B">
        <w:rPr>
          <w:sz w:val="28"/>
          <w:szCs w:val="28"/>
        </w:rPr>
        <w:t>Hetepherakhet</w:t>
      </w:r>
      <w:proofErr w:type="spellEnd"/>
      <w:r w:rsidRPr="0099652B">
        <w:rPr>
          <w:sz w:val="28"/>
          <w:szCs w:val="28"/>
        </w:rPr>
        <w:t xml:space="preserve">, </w:t>
      </w:r>
      <w:proofErr w:type="spellStart"/>
      <w:r w:rsidRPr="0099652B">
        <w:rPr>
          <w:sz w:val="28"/>
          <w:szCs w:val="28"/>
        </w:rPr>
        <w:t>Perneb</w:t>
      </w:r>
      <w:proofErr w:type="spellEnd"/>
      <w:r w:rsidRPr="0099652B">
        <w:rPr>
          <w:sz w:val="28"/>
          <w:szCs w:val="28"/>
        </w:rPr>
        <w:t xml:space="preserve">, and Ti belong to the Fifth Dynasty. </w:t>
      </w:r>
    </w:p>
    <w:p w14:paraId="17613858" w14:textId="0A5D49E1" w:rsidR="00DB046E" w:rsidRPr="0099652B" w:rsidRDefault="00CD3DA5" w:rsidP="00A16231">
      <w:pPr>
        <w:spacing w:line="480" w:lineRule="auto"/>
        <w:ind w:firstLine="720"/>
        <w:jc w:val="both"/>
        <w:rPr>
          <w:sz w:val="28"/>
          <w:szCs w:val="28"/>
        </w:rPr>
      </w:pPr>
      <w:r w:rsidRPr="0099652B">
        <w:rPr>
          <w:sz w:val="28"/>
          <w:szCs w:val="28"/>
        </w:rPr>
        <w:t>They meet the standard of materiality because every object survives and every findspot is known. The distribution of these objects adds another point. The same moral claims and the same juridical formulae appear both in the Memphite necropolis and at Aswan, at opposite ends of the country. The uniformity of the wording across that distance is itself evidence that the officials were drawing on a shared doctrine rather than composing independent boasts. The moral determination of the outcome is therefore attested not in a literary tradition of uncertain date but in dated stone commissioned by the men whose beliefs it records.</w:t>
      </w:r>
    </w:p>
    <w:p w14:paraId="07BB493C" w14:textId="77777777" w:rsidR="00067F75" w:rsidRPr="0099652B" w:rsidRDefault="00000000" w:rsidP="00A16231">
      <w:pPr>
        <w:pStyle w:val="Heading2"/>
        <w:rPr>
          <w:rFonts w:ascii="Times New Roman" w:hAnsi="Times New Roman" w:cs="Times New Roman"/>
          <w:color w:val="auto"/>
        </w:rPr>
      </w:pPr>
      <w:bookmarkStart w:id="19" w:name="_Toc241691220"/>
      <w:r w:rsidRPr="0099652B">
        <w:rPr>
          <w:rFonts w:ascii="Times New Roman" w:hAnsi="Times New Roman" w:cs="Times New Roman"/>
          <w:color w:val="auto"/>
        </w:rPr>
        <w:t>3.4 Criterion Four: Divergent Eternal Destinies</w:t>
      </w:r>
      <w:bookmarkEnd w:id="19"/>
    </w:p>
    <w:p w14:paraId="36F53E4A" w14:textId="52FCE3DD" w:rsidR="00067F75" w:rsidRPr="0099652B" w:rsidRDefault="00000000" w:rsidP="00A16231">
      <w:pPr>
        <w:spacing w:line="480" w:lineRule="auto"/>
        <w:ind w:firstLine="720"/>
        <w:jc w:val="both"/>
        <w:rPr>
          <w:sz w:val="28"/>
          <w:szCs w:val="28"/>
        </w:rPr>
      </w:pPr>
      <w:r w:rsidRPr="0099652B">
        <w:rPr>
          <w:sz w:val="28"/>
          <w:szCs w:val="28"/>
        </w:rPr>
        <w:t xml:space="preserve">The fourth criterion requires that the </w:t>
      </w:r>
      <w:r w:rsidRPr="0099652B">
        <w:rPr>
          <w:sz w:val="28"/>
          <w:szCs w:val="28"/>
          <w:u w:val="single"/>
        </w:rPr>
        <w:t>outcomes genuinely differ</w:t>
      </w:r>
      <w:r w:rsidRPr="0099652B">
        <w:rPr>
          <w:sz w:val="28"/>
          <w:szCs w:val="28"/>
        </w:rPr>
        <w:t xml:space="preserve">. The Old Kingdom evidence satisfies this criterion by implication rather than by explicit </w:t>
      </w:r>
      <w:r w:rsidRPr="0099652B">
        <w:rPr>
          <w:sz w:val="28"/>
          <w:szCs w:val="28"/>
        </w:rPr>
        <w:lastRenderedPageBreak/>
        <w:t>description, and the implication is strong. The threat formulae presuppose that when the tomb owner brings the offender before the divine tribunal, an adverse verdict carries real consequences, for a threat without a sanction is no threat at all. The autobiographies are constructed as defenses, and a defense implies the possibility of conviction. The Pyramid Texts repeatedly declare that no accusation against the king can stand. That insistence only makes sense if a valid accusation could block his passage into the afterlife.</w:t>
      </w:r>
    </w:p>
    <w:p w14:paraId="79637F43" w14:textId="77777777" w:rsidR="00DB046E" w:rsidRPr="0099652B" w:rsidRDefault="00000000" w:rsidP="00D54912">
      <w:pPr>
        <w:spacing w:line="480" w:lineRule="auto"/>
        <w:ind w:firstLine="720"/>
        <w:jc w:val="both"/>
        <w:rPr>
          <w:sz w:val="28"/>
          <w:szCs w:val="28"/>
        </w:rPr>
      </w:pPr>
      <w:r w:rsidRPr="0099652B">
        <w:rPr>
          <w:sz w:val="28"/>
          <w:szCs w:val="28"/>
        </w:rPr>
        <w:t>The Egyptian conception of the penalty, made explicit in Chapter 4, is not eternal torment but annihilation: the condemned is destroyed, denied continued existence, and thus fails altogether to attain the transfigured state that the entire religious apparatus exists to secure (i.e., the composite devourer Ammit, waiting beside the scales to consume the heart of the condemned).</w:t>
      </w:r>
    </w:p>
    <w:p w14:paraId="4E2583AF" w14:textId="77777777" w:rsidR="000773F2" w:rsidRPr="0099652B" w:rsidRDefault="00440C20" w:rsidP="00A16231">
      <w:pPr>
        <w:spacing w:line="480" w:lineRule="auto"/>
        <w:ind w:firstLine="720"/>
        <w:jc w:val="both"/>
        <w:rPr>
          <w:sz w:val="28"/>
          <w:szCs w:val="28"/>
        </w:rPr>
      </w:pPr>
      <w:r w:rsidRPr="0099652B">
        <w:rPr>
          <w:sz w:val="28"/>
          <w:szCs w:val="28"/>
        </w:rPr>
        <w:t xml:space="preserve">Because the Old Kingdom evidence satisfies Criterion Four by implication, its material witnesses are the objects that carry Criteria Two and Three: </w:t>
      </w:r>
      <w:proofErr w:type="gramStart"/>
      <w:r w:rsidRPr="0099652B">
        <w:rPr>
          <w:sz w:val="28"/>
          <w:szCs w:val="28"/>
        </w:rPr>
        <w:t>the</w:t>
      </w:r>
      <w:proofErr w:type="gramEnd"/>
      <w:r w:rsidRPr="0099652B">
        <w:rPr>
          <w:sz w:val="28"/>
          <w:szCs w:val="28"/>
        </w:rPr>
        <w:t xml:space="preserve"> Pyramid Texts’ denials of accusation in the royal burial chambers at Saqqara; the threat formulae on the chapels of </w:t>
      </w:r>
      <w:proofErr w:type="spellStart"/>
      <w:r w:rsidRPr="0099652B">
        <w:rPr>
          <w:sz w:val="28"/>
          <w:szCs w:val="28"/>
        </w:rPr>
        <w:t>Hetepherakhet</w:t>
      </w:r>
      <w:proofErr w:type="spellEnd"/>
      <w:r w:rsidRPr="0099652B">
        <w:rPr>
          <w:sz w:val="28"/>
          <w:szCs w:val="28"/>
        </w:rPr>
        <w:t xml:space="preserve"> and </w:t>
      </w:r>
      <w:proofErr w:type="spellStart"/>
      <w:r w:rsidRPr="0099652B">
        <w:rPr>
          <w:sz w:val="28"/>
          <w:szCs w:val="28"/>
        </w:rPr>
        <w:t>Perneb</w:t>
      </w:r>
      <w:proofErr w:type="spellEnd"/>
      <w:r w:rsidRPr="0099652B">
        <w:rPr>
          <w:sz w:val="28"/>
          <w:szCs w:val="28"/>
        </w:rPr>
        <w:t xml:space="preserve">, which presuppose a sanction; and the autobiographies at Saqqara and </w:t>
      </w:r>
      <w:proofErr w:type="spellStart"/>
      <w:r w:rsidRPr="0099652B">
        <w:rPr>
          <w:sz w:val="28"/>
          <w:szCs w:val="28"/>
        </w:rPr>
        <w:t>Qubbet</w:t>
      </w:r>
      <w:proofErr w:type="spellEnd"/>
      <w:r w:rsidRPr="0099652B">
        <w:rPr>
          <w:sz w:val="28"/>
          <w:szCs w:val="28"/>
        </w:rPr>
        <w:t xml:space="preserve"> el-Hawa, which are constructed as defenses. As shown above, all of these meet the three standards. </w:t>
      </w:r>
    </w:p>
    <w:p w14:paraId="7080694B" w14:textId="06537497" w:rsidR="00067F75" w:rsidRPr="0099652B" w:rsidRDefault="00000000" w:rsidP="00A16231">
      <w:pPr>
        <w:pStyle w:val="Heading2"/>
        <w:rPr>
          <w:rFonts w:ascii="Times New Roman" w:hAnsi="Times New Roman" w:cs="Times New Roman"/>
          <w:color w:val="auto"/>
        </w:rPr>
      </w:pPr>
      <w:bookmarkStart w:id="20" w:name="_Toc241691221"/>
      <w:r w:rsidRPr="0099652B">
        <w:rPr>
          <w:rFonts w:ascii="Times New Roman" w:hAnsi="Times New Roman" w:cs="Times New Roman"/>
          <w:color w:val="auto"/>
        </w:rPr>
        <w:lastRenderedPageBreak/>
        <w:t>3.</w:t>
      </w:r>
      <w:r w:rsidR="000773F2" w:rsidRPr="0099652B">
        <w:rPr>
          <w:rFonts w:ascii="Times New Roman" w:hAnsi="Times New Roman" w:cs="Times New Roman"/>
          <w:color w:val="auto"/>
        </w:rPr>
        <w:t>5</w:t>
      </w:r>
      <w:r w:rsidRPr="0099652B">
        <w:rPr>
          <w:rFonts w:ascii="Times New Roman" w:hAnsi="Times New Roman" w:cs="Times New Roman"/>
          <w:color w:val="auto"/>
        </w:rPr>
        <w:t xml:space="preserve"> Interim Conclusion</w:t>
      </w:r>
      <w:bookmarkEnd w:id="20"/>
    </w:p>
    <w:p w14:paraId="09545D22" w14:textId="53BF7B80" w:rsidR="00DB046E" w:rsidRPr="0099652B" w:rsidRDefault="003432C5" w:rsidP="00621713">
      <w:pPr>
        <w:spacing w:line="480" w:lineRule="auto"/>
        <w:ind w:firstLine="720"/>
        <w:jc w:val="both"/>
        <w:rPr>
          <w:sz w:val="28"/>
          <w:szCs w:val="28"/>
        </w:rPr>
      </w:pPr>
      <w:r w:rsidRPr="0099652B">
        <w:rPr>
          <w:sz w:val="28"/>
          <w:szCs w:val="28"/>
        </w:rPr>
        <w:t xml:space="preserve">By the end of the Sixth Dynasty, the </w:t>
      </w:r>
      <w:r w:rsidR="000773F2" w:rsidRPr="0099652B">
        <w:rPr>
          <w:sz w:val="28"/>
          <w:szCs w:val="28"/>
        </w:rPr>
        <w:t xml:space="preserve">Old Kingdom </w:t>
      </w:r>
      <w:r w:rsidRPr="0099652B">
        <w:rPr>
          <w:sz w:val="28"/>
          <w:szCs w:val="28"/>
        </w:rPr>
        <w:t>evidence meets all four criteria, though not with equal directness. The Pyramid Texts explicitly describe the deceased's restoration to life. The tribunal is presupposed by their forensic vocabulary and named outright in the threat formulae, which call on the Great God to judge. The moral basis of the verdict appears in ideal autobiographies. However, divergent destinies are only implied, and the evidence comes from a narrow elite: the king in his burial chamber and officials wealthy enough to commission inscribed tombs.</w:t>
      </w:r>
    </w:p>
    <w:p w14:paraId="75231FA1" w14:textId="77777777" w:rsidR="00067F75" w:rsidRPr="0099652B" w:rsidRDefault="00000000" w:rsidP="00274208">
      <w:pPr>
        <w:pStyle w:val="Heading1"/>
        <w:pageBreakBefore/>
        <w:rPr>
          <w:rFonts w:ascii="Times New Roman" w:hAnsi="Times New Roman" w:cs="Times New Roman"/>
          <w:color w:val="auto"/>
        </w:rPr>
      </w:pPr>
      <w:bookmarkStart w:id="21" w:name="_Toc241691222"/>
      <w:r w:rsidRPr="0099652B">
        <w:rPr>
          <w:rFonts w:ascii="Times New Roman" w:hAnsi="Times New Roman" w:cs="Times New Roman"/>
          <w:color w:val="auto"/>
        </w:rPr>
        <w:lastRenderedPageBreak/>
        <w:t>Chapter 4</w:t>
      </w:r>
      <w:r w:rsidRPr="0099652B">
        <w:rPr>
          <w:rFonts w:ascii="Times New Roman" w:hAnsi="Times New Roman" w:cs="Times New Roman"/>
          <w:color w:val="auto"/>
        </w:rPr>
        <w:br/>
        <w:t>Crystallization and Universalization, c. 2100–1070 BCE</w:t>
      </w:r>
      <w:bookmarkEnd w:id="21"/>
    </w:p>
    <w:p w14:paraId="5F815E5E" w14:textId="77777777" w:rsidR="00DB046E" w:rsidRPr="0099652B" w:rsidRDefault="00000000" w:rsidP="00274208">
      <w:pPr>
        <w:pStyle w:val="NormalWeb"/>
        <w:spacing w:line="480" w:lineRule="auto"/>
        <w:ind w:firstLine="720"/>
        <w:jc w:val="both"/>
        <w:rPr>
          <w:sz w:val="28"/>
          <w:szCs w:val="28"/>
        </w:rPr>
      </w:pPr>
      <w:r w:rsidRPr="0099652B">
        <w:rPr>
          <w:sz w:val="28"/>
          <w:szCs w:val="28"/>
        </w:rPr>
        <w:t xml:space="preserve">The same four criteria of the doctrine of judgment after death, attested in the Old Kingdom in Chapter 3, are crystallized in the Middle and New Kingdoms: the Coffin Texts extend the doctrine to a wider group; the Instruction for </w:t>
      </w:r>
      <w:proofErr w:type="spellStart"/>
      <w:r w:rsidRPr="0099652B">
        <w:rPr>
          <w:sz w:val="28"/>
          <w:szCs w:val="28"/>
        </w:rPr>
        <w:t>Merikare</w:t>
      </w:r>
      <w:proofErr w:type="spellEnd"/>
      <w:r w:rsidRPr="0099652B">
        <w:rPr>
          <w:sz w:val="28"/>
          <w:szCs w:val="28"/>
        </w:rPr>
        <w:t xml:space="preserve"> states the doctrine discursively rather than liturgically; and the Book of the Dead, spell 125, and the weighing of the heart canonize the doctrine in a set script and image. All three sources of evidence confirm an earlier origin for the doctrine rather than indicate a later invention.</w:t>
      </w:r>
    </w:p>
    <w:p w14:paraId="010E3829" w14:textId="77777777" w:rsidR="00DB046E" w:rsidRPr="0099652B" w:rsidRDefault="00000000" w:rsidP="00274208">
      <w:pPr>
        <w:pStyle w:val="Heading2"/>
        <w:rPr>
          <w:rFonts w:ascii="Times New Roman" w:hAnsi="Times New Roman" w:cs="Times New Roman"/>
          <w:color w:val="auto"/>
        </w:rPr>
      </w:pPr>
      <w:bookmarkStart w:id="22" w:name="_Toc241691223"/>
      <w:r w:rsidRPr="0099652B">
        <w:rPr>
          <w:rFonts w:ascii="Times New Roman" w:hAnsi="Times New Roman" w:cs="Times New Roman"/>
          <w:color w:val="auto"/>
        </w:rPr>
        <w:t>4.1 Attestation versus Crystallization</w:t>
      </w:r>
      <w:bookmarkEnd w:id="22"/>
    </w:p>
    <w:p w14:paraId="198D219D" w14:textId="41760CAA" w:rsidR="00DB046E" w:rsidRPr="0099652B" w:rsidRDefault="00000000" w:rsidP="00274208">
      <w:pPr>
        <w:spacing w:line="480" w:lineRule="auto"/>
        <w:ind w:firstLine="720"/>
        <w:jc w:val="both"/>
        <w:rPr>
          <w:sz w:val="28"/>
          <w:szCs w:val="28"/>
        </w:rPr>
      </w:pPr>
      <w:r w:rsidRPr="0099652B">
        <w:rPr>
          <w:sz w:val="28"/>
          <w:szCs w:val="28"/>
        </w:rPr>
        <w:t xml:space="preserve">Scholars who date the doctrine of judgment after death to the Middle Kingdom (c. 2000 BCE) or the New Kingdom (c. 1550 BCE) do not interpret the evidence differently; they date a different event. Old Kingdom sources show that the doctrine of judgment after death existed by 2300 BCE. What occurs between approximately 2100 and 1070 BCE is not the doctrine’s invention but its crystallization: its extension to a wider public, its articulation as discursive and teachable content, and its canonization in a fixed liturgical and iconographic form. The Old Kingdom sources attest to the doctrine; the later sources </w:t>
      </w:r>
      <w:r w:rsidR="007D4D32" w:rsidRPr="0099652B">
        <w:rPr>
          <w:sz w:val="28"/>
          <w:szCs w:val="28"/>
        </w:rPr>
        <w:t>demonstrate</w:t>
      </w:r>
      <w:r w:rsidRPr="0099652B">
        <w:rPr>
          <w:sz w:val="28"/>
          <w:szCs w:val="28"/>
        </w:rPr>
        <w:t xml:space="preserve"> </w:t>
      </w:r>
      <w:proofErr w:type="gramStart"/>
      <w:r w:rsidRPr="0099652B">
        <w:rPr>
          <w:sz w:val="28"/>
          <w:szCs w:val="28"/>
        </w:rPr>
        <w:t>its</w:t>
      </w:r>
      <w:proofErr w:type="gramEnd"/>
      <w:r w:rsidRPr="0099652B">
        <w:rPr>
          <w:sz w:val="28"/>
          <w:szCs w:val="28"/>
        </w:rPr>
        <w:t xml:space="preserve"> crystallization.</w:t>
      </w:r>
    </w:p>
    <w:p w14:paraId="564F37A9" w14:textId="77777777" w:rsidR="00DB046E" w:rsidRPr="0099652B" w:rsidRDefault="00DB046E" w:rsidP="00274208">
      <w:pPr>
        <w:spacing w:line="480" w:lineRule="auto"/>
        <w:ind w:firstLine="720"/>
        <w:jc w:val="both"/>
        <w:rPr>
          <w:sz w:val="28"/>
          <w:szCs w:val="28"/>
        </w:rPr>
      </w:pPr>
    </w:p>
    <w:p w14:paraId="38173981" w14:textId="77777777" w:rsidR="00DB046E" w:rsidRPr="0099652B" w:rsidRDefault="00DB046E" w:rsidP="00274208">
      <w:pPr>
        <w:spacing w:line="480" w:lineRule="auto"/>
        <w:ind w:firstLine="720"/>
        <w:jc w:val="both"/>
        <w:rPr>
          <w:sz w:val="28"/>
          <w:szCs w:val="28"/>
        </w:rPr>
      </w:pPr>
    </w:p>
    <w:p w14:paraId="6E05E99F" w14:textId="77777777" w:rsidR="00067F75" w:rsidRPr="0099652B" w:rsidRDefault="00000000" w:rsidP="00274208">
      <w:pPr>
        <w:pStyle w:val="Heading2"/>
        <w:rPr>
          <w:rFonts w:ascii="Times New Roman" w:hAnsi="Times New Roman" w:cs="Times New Roman"/>
          <w:color w:val="auto"/>
        </w:rPr>
      </w:pPr>
      <w:bookmarkStart w:id="23" w:name="_Toc241691224"/>
      <w:r w:rsidRPr="0099652B">
        <w:rPr>
          <w:rFonts w:ascii="Times New Roman" w:hAnsi="Times New Roman" w:cs="Times New Roman"/>
          <w:color w:val="auto"/>
        </w:rPr>
        <w:lastRenderedPageBreak/>
        <w:t>4.2 Extension to a Wider Public: The Coffin Texts</w:t>
      </w:r>
      <w:bookmarkEnd w:id="23"/>
    </w:p>
    <w:p w14:paraId="73E057D8" w14:textId="6AEDE87B" w:rsidR="00C540C2" w:rsidRPr="0099652B" w:rsidRDefault="00000000" w:rsidP="0066573F">
      <w:pPr>
        <w:spacing w:line="480" w:lineRule="auto"/>
        <w:ind w:firstLine="720"/>
        <w:jc w:val="both"/>
        <w:rPr>
          <w:sz w:val="28"/>
          <w:szCs w:val="28"/>
        </w:rPr>
      </w:pPr>
      <w:r w:rsidRPr="0099652B">
        <w:rPr>
          <w:sz w:val="28"/>
          <w:szCs w:val="28"/>
        </w:rPr>
        <w:t>The Coffin Texts</w:t>
      </w:r>
      <w:r w:rsidR="00215684" w:rsidRPr="0099652B">
        <w:rPr>
          <w:sz w:val="28"/>
          <w:szCs w:val="28"/>
        </w:rPr>
        <w:t xml:space="preserve">, </w:t>
      </w:r>
      <w:r w:rsidR="00C540C2" w:rsidRPr="0099652B">
        <w:rPr>
          <w:sz w:val="28"/>
          <w:szCs w:val="28"/>
        </w:rPr>
        <w:t xml:space="preserve">magical and liturgical spells inscribed on wooden coffins, first emerged during the First Intermediate Period and developed </w:t>
      </w:r>
      <w:r w:rsidRPr="0099652B">
        <w:rPr>
          <w:sz w:val="28"/>
          <w:szCs w:val="28"/>
        </w:rPr>
        <w:t>through the Middle Kingdom</w:t>
      </w:r>
      <w:r w:rsidR="00C540C2" w:rsidRPr="0099652B">
        <w:rPr>
          <w:sz w:val="28"/>
          <w:szCs w:val="28"/>
        </w:rPr>
        <w:t xml:space="preserve"> (</w:t>
      </w:r>
      <w:r w:rsidRPr="0099652B">
        <w:rPr>
          <w:sz w:val="28"/>
          <w:szCs w:val="28"/>
        </w:rPr>
        <w:t>roughly 2100 to 1650 BCE</w:t>
      </w:r>
      <w:r w:rsidR="00C540C2" w:rsidRPr="0099652B">
        <w:rPr>
          <w:sz w:val="28"/>
          <w:szCs w:val="28"/>
        </w:rPr>
        <w:t>)</w:t>
      </w:r>
      <w:r w:rsidRPr="0099652B">
        <w:rPr>
          <w:sz w:val="28"/>
          <w:szCs w:val="28"/>
        </w:rPr>
        <w:t xml:space="preserve">. </w:t>
      </w:r>
      <w:r w:rsidR="00C540C2" w:rsidRPr="0099652B">
        <w:rPr>
          <w:sz w:val="28"/>
          <w:szCs w:val="28"/>
        </w:rPr>
        <w:t xml:space="preserve">Royal Pyramid Texts from the Old Kingdom were sometimes inscribed </w:t>
      </w:r>
      <w:r w:rsidR="0066573F" w:rsidRPr="0099652B">
        <w:rPr>
          <w:sz w:val="28"/>
          <w:szCs w:val="28"/>
        </w:rPr>
        <w:t>alongside the Coffin Texts</w:t>
      </w:r>
      <w:r w:rsidRPr="0099652B">
        <w:rPr>
          <w:sz w:val="28"/>
          <w:szCs w:val="28"/>
        </w:rPr>
        <w:t xml:space="preserve"> (Shaw 2000)</w:t>
      </w:r>
      <w:r w:rsidR="00C540C2" w:rsidRPr="0099652B">
        <w:rPr>
          <w:sz w:val="28"/>
          <w:szCs w:val="28"/>
        </w:rPr>
        <w:t>. Egyptologists have</w:t>
      </w:r>
      <w:r w:rsidR="0066573F" w:rsidRPr="0099652B">
        <w:rPr>
          <w:sz w:val="28"/>
          <w:szCs w:val="28"/>
        </w:rPr>
        <w:t xml:space="preserve"> </w:t>
      </w:r>
      <w:r w:rsidR="00C540C2" w:rsidRPr="0099652B">
        <w:rPr>
          <w:sz w:val="28"/>
          <w:szCs w:val="28"/>
        </w:rPr>
        <w:t xml:space="preserve">described this development as the democratization of the afterlife, </w:t>
      </w:r>
      <w:r w:rsidR="00EE6BDD" w:rsidRPr="0099652B">
        <w:rPr>
          <w:sz w:val="28"/>
          <w:szCs w:val="28"/>
        </w:rPr>
        <w:t xml:space="preserve">which </w:t>
      </w:r>
      <w:r w:rsidR="0066573F" w:rsidRPr="0099652B">
        <w:rPr>
          <w:sz w:val="28"/>
          <w:szCs w:val="28"/>
        </w:rPr>
        <w:t>pushes non-royal access to Osirian conceptions earlier than previously believed</w:t>
      </w:r>
      <w:r w:rsidR="007B3B2E" w:rsidRPr="0099652B">
        <w:rPr>
          <w:sz w:val="28"/>
          <w:szCs w:val="28"/>
        </w:rPr>
        <w:t xml:space="preserve"> and strengthens</w:t>
      </w:r>
      <w:r w:rsidR="00EE6BDD" w:rsidRPr="0099652B">
        <w:rPr>
          <w:sz w:val="28"/>
          <w:szCs w:val="28"/>
        </w:rPr>
        <w:t xml:space="preserve"> the assertion in Chapter 3</w:t>
      </w:r>
      <w:r w:rsidR="00C540C2" w:rsidRPr="0099652B">
        <w:rPr>
          <w:sz w:val="28"/>
          <w:szCs w:val="28"/>
        </w:rPr>
        <w:t xml:space="preserve"> </w:t>
      </w:r>
      <w:r w:rsidR="00EE6BDD" w:rsidRPr="0099652B">
        <w:rPr>
          <w:sz w:val="28"/>
          <w:szCs w:val="28"/>
        </w:rPr>
        <w:t xml:space="preserve">that the doctrine of judgment after death was attested in the Old Kingdom. </w:t>
      </w:r>
      <w:r w:rsidR="00C540C2" w:rsidRPr="0099652B">
        <w:rPr>
          <w:sz w:val="28"/>
          <w:szCs w:val="28"/>
        </w:rPr>
        <w:t xml:space="preserve">What is clear is that after 2100 BCE the evidence for the doctrine </w:t>
      </w:r>
      <w:r w:rsidR="007D4D32" w:rsidRPr="0099652B">
        <w:rPr>
          <w:sz w:val="28"/>
          <w:szCs w:val="28"/>
        </w:rPr>
        <w:t xml:space="preserve">of judgment after death </w:t>
      </w:r>
      <w:r w:rsidR="00C540C2" w:rsidRPr="0099652B">
        <w:rPr>
          <w:sz w:val="28"/>
          <w:szCs w:val="28"/>
        </w:rPr>
        <w:t>is materially more abundant and socially broader than before</w:t>
      </w:r>
      <w:r w:rsidR="007D4D32" w:rsidRPr="0099652B">
        <w:rPr>
          <w:sz w:val="28"/>
          <w:szCs w:val="28"/>
        </w:rPr>
        <w:t xml:space="preserve"> (Smith 2017).</w:t>
      </w:r>
    </w:p>
    <w:p w14:paraId="0096E6A5" w14:textId="68243100" w:rsidR="00DB046E" w:rsidRPr="0099652B" w:rsidRDefault="007D4D32" w:rsidP="00274208">
      <w:pPr>
        <w:spacing w:line="480" w:lineRule="auto"/>
        <w:ind w:firstLine="720"/>
        <w:jc w:val="both"/>
        <w:rPr>
          <w:sz w:val="28"/>
          <w:szCs w:val="28"/>
        </w:rPr>
      </w:pPr>
      <w:r w:rsidRPr="0099652B">
        <w:rPr>
          <w:sz w:val="28"/>
          <w:szCs w:val="28"/>
        </w:rPr>
        <w:t>Examples of principle witness Coffin Text are t</w:t>
      </w:r>
      <w:r w:rsidR="00310D18" w:rsidRPr="0099652B">
        <w:rPr>
          <w:sz w:val="28"/>
          <w:szCs w:val="28"/>
        </w:rPr>
        <w:t>wo burials from the Twelfth Dynasty cemetery at Deir el-</w:t>
      </w:r>
      <w:proofErr w:type="spellStart"/>
      <w:r w:rsidR="00310D18" w:rsidRPr="0099652B">
        <w:rPr>
          <w:sz w:val="28"/>
          <w:szCs w:val="28"/>
        </w:rPr>
        <w:t>Bersha</w:t>
      </w:r>
      <w:proofErr w:type="spellEnd"/>
      <w:r w:rsidR="00310D18" w:rsidRPr="0099652B">
        <w:rPr>
          <w:sz w:val="28"/>
          <w:szCs w:val="28"/>
        </w:rPr>
        <w:t xml:space="preserve"> in the modern governorate of Minya. Both</w:t>
      </w:r>
      <w:r w:rsidRPr="0099652B">
        <w:rPr>
          <w:sz w:val="28"/>
          <w:szCs w:val="28"/>
        </w:rPr>
        <w:t xml:space="preserve"> Coffin Texts</w:t>
      </w:r>
      <w:r w:rsidR="00310D18" w:rsidRPr="0099652B">
        <w:rPr>
          <w:sz w:val="28"/>
          <w:szCs w:val="28"/>
        </w:rPr>
        <w:t xml:space="preserve"> have known findspots, so </w:t>
      </w:r>
      <w:r w:rsidR="0033731E" w:rsidRPr="0099652B">
        <w:rPr>
          <w:sz w:val="28"/>
          <w:szCs w:val="28"/>
        </w:rPr>
        <w:t xml:space="preserve">we can </w:t>
      </w:r>
      <w:r w:rsidR="00637487" w:rsidRPr="0099652B">
        <w:rPr>
          <w:sz w:val="28"/>
          <w:szCs w:val="28"/>
        </w:rPr>
        <w:t xml:space="preserve">date them and identify their </w:t>
      </w:r>
      <w:r w:rsidR="0033731E" w:rsidRPr="0099652B">
        <w:rPr>
          <w:sz w:val="28"/>
          <w:szCs w:val="28"/>
        </w:rPr>
        <w:t>owners</w:t>
      </w:r>
      <w:r w:rsidR="00310D18" w:rsidRPr="0099652B">
        <w:rPr>
          <w:sz w:val="28"/>
          <w:szCs w:val="28"/>
        </w:rPr>
        <w:t>. The first</w:t>
      </w:r>
      <w:r w:rsidR="00024FD6" w:rsidRPr="0099652B">
        <w:rPr>
          <w:sz w:val="28"/>
          <w:szCs w:val="28"/>
        </w:rPr>
        <w:t xml:space="preserve"> text</w:t>
      </w:r>
      <w:r w:rsidR="00310D18" w:rsidRPr="0099652B">
        <w:rPr>
          <w:sz w:val="28"/>
          <w:szCs w:val="28"/>
        </w:rPr>
        <w:t xml:space="preserve"> comprises the inner and outer coffins of Gua, physician to the nomarch </w:t>
      </w:r>
      <w:proofErr w:type="spellStart"/>
      <w:r w:rsidR="00310D18" w:rsidRPr="0099652B">
        <w:rPr>
          <w:sz w:val="28"/>
          <w:szCs w:val="28"/>
        </w:rPr>
        <w:t>Djehutyhotep</w:t>
      </w:r>
      <w:proofErr w:type="spellEnd"/>
      <w:r w:rsidR="00310D18" w:rsidRPr="0099652B">
        <w:rPr>
          <w:sz w:val="28"/>
          <w:szCs w:val="28"/>
        </w:rPr>
        <w:t>, now in the British Museum, BM EA 30839–30840 (</w:t>
      </w:r>
      <w:r w:rsidR="00310D18" w:rsidRPr="0099652B">
        <w:rPr>
          <w:i/>
          <w:iCs/>
          <w:sz w:val="28"/>
          <w:szCs w:val="28"/>
        </w:rPr>
        <w:t>Coffins of Gua</w:t>
      </w:r>
      <w:r w:rsidR="00310D18" w:rsidRPr="0099652B">
        <w:rPr>
          <w:sz w:val="28"/>
          <w:szCs w:val="28"/>
        </w:rPr>
        <w:t xml:space="preserve"> c. 1877–1831 BCE). The second is the outer coffin of the nomarch </w:t>
      </w:r>
      <w:proofErr w:type="spellStart"/>
      <w:r w:rsidR="00310D18" w:rsidRPr="0099652B">
        <w:rPr>
          <w:sz w:val="28"/>
          <w:szCs w:val="28"/>
        </w:rPr>
        <w:t>Djehutynakht</w:t>
      </w:r>
      <w:proofErr w:type="spellEnd"/>
      <w:r w:rsidR="00310D18" w:rsidRPr="0099652B">
        <w:rPr>
          <w:sz w:val="28"/>
          <w:szCs w:val="28"/>
        </w:rPr>
        <w:t>, from tomb 10A at the same site, now in the Museum of Fine Arts, Boston (</w:t>
      </w:r>
      <w:r w:rsidR="00310D18" w:rsidRPr="0099652B">
        <w:rPr>
          <w:i/>
          <w:iCs/>
          <w:sz w:val="28"/>
          <w:szCs w:val="28"/>
        </w:rPr>
        <w:t>Outer coffin of Djehutynakht</w:t>
      </w:r>
      <w:r w:rsidR="00310D18" w:rsidRPr="0099652B">
        <w:rPr>
          <w:sz w:val="28"/>
          <w:szCs w:val="28"/>
        </w:rPr>
        <w:t xml:space="preserve"> c. 2010–1961 BCE). </w:t>
      </w:r>
    </w:p>
    <w:p w14:paraId="381AEE15" w14:textId="77777777" w:rsidR="00067F75" w:rsidRPr="0099652B" w:rsidRDefault="00000000" w:rsidP="00274208">
      <w:pPr>
        <w:pStyle w:val="Heading2"/>
        <w:rPr>
          <w:rFonts w:ascii="Times New Roman" w:hAnsi="Times New Roman" w:cs="Times New Roman"/>
          <w:color w:val="auto"/>
        </w:rPr>
      </w:pPr>
      <w:bookmarkStart w:id="24" w:name="_Toc241691225"/>
      <w:r w:rsidRPr="0099652B">
        <w:rPr>
          <w:rFonts w:ascii="Times New Roman" w:hAnsi="Times New Roman" w:cs="Times New Roman"/>
          <w:color w:val="auto"/>
        </w:rPr>
        <w:lastRenderedPageBreak/>
        <w:t xml:space="preserve">4.3 Statement: The Instruction for </w:t>
      </w:r>
      <w:proofErr w:type="spellStart"/>
      <w:r w:rsidRPr="0099652B">
        <w:rPr>
          <w:rFonts w:ascii="Times New Roman" w:hAnsi="Times New Roman" w:cs="Times New Roman"/>
          <w:color w:val="auto"/>
        </w:rPr>
        <w:t>Merikare</w:t>
      </w:r>
      <w:bookmarkEnd w:id="24"/>
      <w:proofErr w:type="spellEnd"/>
    </w:p>
    <w:p w14:paraId="1B6C78E7" w14:textId="608F3966" w:rsidR="0033731E" w:rsidRPr="0099652B" w:rsidRDefault="00000000" w:rsidP="0033731E">
      <w:pPr>
        <w:spacing w:line="480" w:lineRule="auto"/>
        <w:ind w:firstLine="720"/>
        <w:jc w:val="both"/>
        <w:rPr>
          <w:sz w:val="28"/>
          <w:szCs w:val="28"/>
        </w:rPr>
      </w:pPr>
      <w:r w:rsidRPr="0099652B">
        <w:rPr>
          <w:sz w:val="28"/>
          <w:szCs w:val="28"/>
        </w:rPr>
        <w:t xml:space="preserve">Middle Kingdom instructional literature presents the doctrine of judgment discursively rather than liturgically, </w:t>
      </w:r>
      <w:r w:rsidR="00024FD6" w:rsidRPr="0099652B">
        <w:rPr>
          <w:sz w:val="28"/>
          <w:szCs w:val="28"/>
        </w:rPr>
        <w:t>making the ideology</w:t>
      </w:r>
      <w:r w:rsidRPr="0099652B">
        <w:rPr>
          <w:sz w:val="28"/>
          <w:szCs w:val="28"/>
        </w:rPr>
        <w:t xml:space="preserve"> teachable</w:t>
      </w:r>
      <w:r w:rsidR="00024FD6" w:rsidRPr="0099652B">
        <w:rPr>
          <w:sz w:val="28"/>
          <w:szCs w:val="28"/>
        </w:rPr>
        <w:t>.</w:t>
      </w:r>
      <w:r w:rsidRPr="0099652B">
        <w:rPr>
          <w:sz w:val="28"/>
          <w:szCs w:val="28"/>
        </w:rPr>
        <w:t xml:space="preserve"> The clearest example </w:t>
      </w:r>
      <w:r w:rsidR="00024FD6" w:rsidRPr="0099652B">
        <w:rPr>
          <w:sz w:val="28"/>
          <w:szCs w:val="28"/>
        </w:rPr>
        <w:t>of instructional literature is</w:t>
      </w:r>
      <w:r w:rsidRPr="0099652B">
        <w:rPr>
          <w:sz w:val="28"/>
          <w:szCs w:val="28"/>
        </w:rPr>
        <w:t xml:space="preserve"> the </w:t>
      </w:r>
      <w:r w:rsidRPr="0099652B">
        <w:rPr>
          <w:i/>
          <w:iCs/>
          <w:sz w:val="28"/>
          <w:szCs w:val="28"/>
        </w:rPr>
        <w:t xml:space="preserve">Instruction for </w:t>
      </w:r>
      <w:proofErr w:type="spellStart"/>
      <w:r w:rsidRPr="0099652B">
        <w:rPr>
          <w:i/>
          <w:iCs/>
          <w:sz w:val="28"/>
          <w:szCs w:val="28"/>
        </w:rPr>
        <w:t>Merikare</w:t>
      </w:r>
      <w:proofErr w:type="spellEnd"/>
      <w:r w:rsidRPr="0099652B">
        <w:rPr>
          <w:i/>
          <w:iCs/>
          <w:sz w:val="28"/>
          <w:szCs w:val="28"/>
        </w:rPr>
        <w:t>,</w:t>
      </w:r>
      <w:r w:rsidRPr="0099652B">
        <w:rPr>
          <w:sz w:val="28"/>
          <w:szCs w:val="28"/>
        </w:rPr>
        <w:t xml:space="preserve"> a set of teachings presented as a king's advice to his son and successor. </w:t>
      </w:r>
      <w:r w:rsidR="0033731E" w:rsidRPr="0099652B">
        <w:rPr>
          <w:sz w:val="28"/>
          <w:szCs w:val="28"/>
        </w:rPr>
        <w:t xml:space="preserve">It warns the royal addressee that the tribunal which judges the wretched is not lenient; that one should not trust in length of years, since the judges view a whole lifetime as though it were an hour; that a man endures after death and his deeds are set beside him in a heap; and that existence yonder is for eternity. The </w:t>
      </w:r>
      <w:r w:rsidR="0033731E" w:rsidRPr="0099652B">
        <w:rPr>
          <w:i/>
          <w:iCs/>
          <w:sz w:val="28"/>
          <w:szCs w:val="28"/>
        </w:rPr>
        <w:t>Instruction</w:t>
      </w:r>
      <w:r w:rsidR="0033731E" w:rsidRPr="0099652B">
        <w:rPr>
          <w:sz w:val="28"/>
          <w:szCs w:val="28"/>
        </w:rPr>
        <w:t xml:space="preserve"> is not teaching a new religious belief – it is teaching the ideologies from a doctrine already held (Assmann 2001). </w:t>
      </w:r>
      <w:r w:rsidRPr="0099652B">
        <w:rPr>
          <w:sz w:val="28"/>
          <w:szCs w:val="28"/>
        </w:rPr>
        <w:t xml:space="preserve">The Instruction survives principally in the Papyrus Hermitage 1116A version, held at the State Hermitage Museum in St. Petersburg, </w:t>
      </w:r>
      <w:r w:rsidR="0033731E" w:rsidRPr="0099652B">
        <w:rPr>
          <w:sz w:val="28"/>
          <w:szCs w:val="28"/>
        </w:rPr>
        <w:t>(</w:t>
      </w:r>
      <w:r w:rsidR="0033731E" w:rsidRPr="0099652B">
        <w:rPr>
          <w:i/>
          <w:iCs/>
          <w:sz w:val="28"/>
          <w:szCs w:val="28"/>
        </w:rPr>
        <w:t>Papyrus Hermitage 1116A</w:t>
      </w:r>
      <w:r w:rsidR="0033731E" w:rsidRPr="0099652B">
        <w:rPr>
          <w:sz w:val="28"/>
          <w:szCs w:val="28"/>
        </w:rPr>
        <w:t xml:space="preserve"> c. 1427–1400 BCE).</w:t>
      </w:r>
    </w:p>
    <w:p w14:paraId="40A327A5" w14:textId="77777777" w:rsidR="00067F75" w:rsidRPr="0099652B" w:rsidRDefault="00000000" w:rsidP="00274208">
      <w:pPr>
        <w:pStyle w:val="Heading2"/>
        <w:rPr>
          <w:rFonts w:ascii="Times New Roman" w:hAnsi="Times New Roman" w:cs="Times New Roman"/>
          <w:color w:val="auto"/>
        </w:rPr>
      </w:pPr>
      <w:bookmarkStart w:id="25" w:name="_Toc241691226"/>
      <w:r w:rsidRPr="0099652B">
        <w:rPr>
          <w:rFonts w:ascii="Times New Roman" w:hAnsi="Times New Roman" w:cs="Times New Roman"/>
          <w:color w:val="auto"/>
        </w:rPr>
        <w:t>4.4 Canonization: The Book of the Dead and the Weighing of the Heart</w:t>
      </w:r>
      <w:bookmarkEnd w:id="25"/>
    </w:p>
    <w:p w14:paraId="570C6166" w14:textId="0DEA3289" w:rsidR="00067F75" w:rsidRPr="0099652B" w:rsidRDefault="00000000" w:rsidP="00731832">
      <w:pPr>
        <w:spacing w:line="480" w:lineRule="auto"/>
        <w:ind w:firstLine="720"/>
        <w:jc w:val="both"/>
        <w:rPr>
          <w:sz w:val="28"/>
          <w:szCs w:val="28"/>
        </w:rPr>
      </w:pPr>
      <w:r w:rsidRPr="0099652B">
        <w:rPr>
          <w:sz w:val="28"/>
          <w:szCs w:val="28"/>
        </w:rPr>
        <w:t>The final stage</w:t>
      </w:r>
      <w:r w:rsidR="009C23E1" w:rsidRPr="0099652B">
        <w:rPr>
          <w:sz w:val="28"/>
          <w:szCs w:val="28"/>
        </w:rPr>
        <w:t xml:space="preserve"> of democratization</w:t>
      </w:r>
      <w:r w:rsidRPr="0099652B">
        <w:rPr>
          <w:sz w:val="28"/>
          <w:szCs w:val="28"/>
        </w:rPr>
        <w:t xml:space="preserve"> is canonization: the doctrine that the Coffin Texts extended and the instruction literature stated is now fixed in a standard script and image, reproduced with little variation from one burial to the next. From about 1550 BCE, the corpus conventionally called the Book of the Dead—in Egyptian, the Book of Going Forth by Day—fixes the doctrine in the form by which it became universally known</w:t>
      </w:r>
      <w:r w:rsidR="00731832" w:rsidRPr="0099652B">
        <w:rPr>
          <w:sz w:val="28"/>
          <w:szCs w:val="28"/>
        </w:rPr>
        <w:t xml:space="preserve"> </w:t>
      </w:r>
      <w:r w:rsidR="00310D18" w:rsidRPr="0099652B">
        <w:rPr>
          <w:sz w:val="28"/>
          <w:szCs w:val="28"/>
        </w:rPr>
        <w:t xml:space="preserve">The Book of the Dead is not a single fixed book but a collection </w:t>
      </w:r>
      <w:r w:rsidR="00310D18" w:rsidRPr="0099652B">
        <w:rPr>
          <w:sz w:val="28"/>
          <w:szCs w:val="28"/>
        </w:rPr>
        <w:lastRenderedPageBreak/>
        <w:t xml:space="preserve">of some two hundred spells, from which each owner's papyrus included a selection. Of these, spell 125 </w:t>
      </w:r>
      <w:r w:rsidR="009C23E1" w:rsidRPr="0099652B">
        <w:rPr>
          <w:sz w:val="28"/>
          <w:szCs w:val="28"/>
        </w:rPr>
        <w:t>most directly addresses</w:t>
      </w:r>
      <w:r w:rsidR="00310D18" w:rsidRPr="0099652B">
        <w:rPr>
          <w:sz w:val="28"/>
          <w:szCs w:val="28"/>
        </w:rPr>
        <w:t xml:space="preserve"> the doctrine of judgment. It provides the declaration of innocence, the so-called negative confession, recited before Osiris and a bench of forty-two assessors, each named and assigned a particular offense to be denied. The accompanying vignette depicts the weighing of the heart against the feather of Maat, with Anubis attending the balance, Thoth recording the verdict, and the composite devourer Ammit waiting beside the scales to consume the condemner’s heart. Here, the penalty that the Old Kingdom evidence only implies is finally depicted: the condemned is not punished but destroyed, denied the continued existence that the vindicated attain</w:t>
      </w:r>
      <w:r w:rsidR="00731832" w:rsidRPr="0099652B">
        <w:rPr>
          <w:sz w:val="28"/>
          <w:szCs w:val="28"/>
        </w:rPr>
        <w:t xml:space="preserve"> (Faulkner 2015).</w:t>
      </w:r>
    </w:p>
    <w:p w14:paraId="11016657" w14:textId="77777777" w:rsidR="00067F75" w:rsidRPr="0099652B" w:rsidRDefault="009C23E1" w:rsidP="00310D18">
      <w:pPr>
        <w:spacing w:line="480" w:lineRule="auto"/>
        <w:ind w:firstLine="720"/>
        <w:jc w:val="both"/>
        <w:rPr>
          <w:sz w:val="28"/>
          <w:szCs w:val="28"/>
        </w:rPr>
      </w:pPr>
      <w:r w:rsidRPr="0099652B">
        <w:rPr>
          <w:sz w:val="28"/>
          <w:szCs w:val="28"/>
        </w:rPr>
        <w:t xml:space="preserve">The principal manuscripts have documented provenance and location. The Papyrus of </w:t>
      </w:r>
      <w:proofErr w:type="spellStart"/>
      <w:r w:rsidRPr="0099652B">
        <w:rPr>
          <w:sz w:val="28"/>
          <w:szCs w:val="28"/>
        </w:rPr>
        <w:t>Hunefer</w:t>
      </w:r>
      <w:proofErr w:type="spellEnd"/>
      <w:r w:rsidRPr="0099652B">
        <w:rPr>
          <w:sz w:val="28"/>
          <w:szCs w:val="28"/>
        </w:rPr>
        <w:t>, from Thebes and dating to about 1275 BCE, is in the British Museum (BM EA 9901) and contains the most widely reproduced version of the judgment vignette (</w:t>
      </w:r>
      <w:r w:rsidRPr="0099652B">
        <w:rPr>
          <w:i/>
          <w:iCs/>
          <w:sz w:val="28"/>
          <w:szCs w:val="28"/>
        </w:rPr>
        <w:t>Papyrus of Hunefer</w:t>
      </w:r>
      <w:r w:rsidRPr="0099652B">
        <w:rPr>
          <w:sz w:val="28"/>
          <w:szCs w:val="28"/>
        </w:rPr>
        <w:t xml:space="preserve"> c. 1275 BCE). The Papyrus of Ani, also from Thebes and dating to about 1250 BCE, is likewise in the British Museum (BM EA 10470) and provides the fullest text of spell 125 (</w:t>
      </w:r>
      <w:r w:rsidRPr="0099652B">
        <w:rPr>
          <w:i/>
          <w:iCs/>
          <w:sz w:val="28"/>
          <w:szCs w:val="28"/>
        </w:rPr>
        <w:t>Papyrus of Ani</w:t>
      </w:r>
      <w:r w:rsidRPr="0099652B">
        <w:rPr>
          <w:sz w:val="28"/>
          <w:szCs w:val="28"/>
        </w:rPr>
        <w:t xml:space="preserve"> c. 1250 BCE). The Papyrus of Nu (BM EA 10477) and the Papyrus of </w:t>
      </w:r>
      <w:proofErr w:type="spellStart"/>
      <w:r w:rsidRPr="0099652B">
        <w:rPr>
          <w:sz w:val="28"/>
          <w:szCs w:val="28"/>
        </w:rPr>
        <w:t>Nebseni</w:t>
      </w:r>
      <w:proofErr w:type="spellEnd"/>
      <w:r w:rsidRPr="0099652B">
        <w:rPr>
          <w:sz w:val="28"/>
          <w:szCs w:val="28"/>
        </w:rPr>
        <w:t xml:space="preserve"> (BM EA 9900) preserve earlier Eighteenth Dynasty recensions (</w:t>
      </w:r>
      <w:r w:rsidRPr="0099652B">
        <w:rPr>
          <w:i/>
          <w:iCs/>
          <w:sz w:val="28"/>
          <w:szCs w:val="28"/>
        </w:rPr>
        <w:t>Papyrus of Nu</w:t>
      </w:r>
      <w:r w:rsidRPr="0099652B">
        <w:rPr>
          <w:sz w:val="28"/>
          <w:szCs w:val="28"/>
        </w:rPr>
        <w:t xml:space="preserve"> c. 1550–1295 BCE; </w:t>
      </w:r>
      <w:r w:rsidRPr="0099652B">
        <w:rPr>
          <w:i/>
          <w:iCs/>
          <w:sz w:val="28"/>
          <w:szCs w:val="28"/>
        </w:rPr>
        <w:t>Papyrus of Nebseni</w:t>
      </w:r>
      <w:r w:rsidRPr="0099652B">
        <w:rPr>
          <w:sz w:val="28"/>
          <w:szCs w:val="28"/>
        </w:rPr>
        <w:t xml:space="preserve"> c. 1400–1390 BCE). The Book of the Dead of the architect Kha, from Theban Tomb 8 at Deir el-Medina, is in the Museo Egizio at Turin, within an intact </w:t>
      </w:r>
      <w:r w:rsidRPr="0099652B">
        <w:rPr>
          <w:sz w:val="28"/>
          <w:szCs w:val="28"/>
        </w:rPr>
        <w:lastRenderedPageBreak/>
        <w:t>burial assemblage of exceptional value (</w:t>
      </w:r>
      <w:r w:rsidRPr="0099652B">
        <w:rPr>
          <w:i/>
          <w:iCs/>
          <w:sz w:val="28"/>
          <w:szCs w:val="28"/>
        </w:rPr>
        <w:t>Book of the Dead of Kha</w:t>
      </w:r>
      <w:r w:rsidRPr="0099652B">
        <w:rPr>
          <w:sz w:val="28"/>
          <w:szCs w:val="28"/>
        </w:rPr>
        <w:t xml:space="preserve"> c. 1425–1353 BCE). The Greenfield Papyrus of the Twenty-First Dynasty (BM EA 10554) represents the later canonical form (</w:t>
      </w:r>
      <w:r w:rsidRPr="0099652B">
        <w:rPr>
          <w:i/>
          <w:iCs/>
          <w:sz w:val="28"/>
          <w:szCs w:val="28"/>
        </w:rPr>
        <w:t>Greenfield Papyrus</w:t>
      </w:r>
      <w:r w:rsidRPr="0099652B">
        <w:rPr>
          <w:sz w:val="28"/>
          <w:szCs w:val="28"/>
        </w:rPr>
        <w:t xml:space="preserve"> c. 950–930 BCE).</w:t>
      </w:r>
    </w:p>
    <w:p w14:paraId="44377B46" w14:textId="176539B0" w:rsidR="00067F75" w:rsidRPr="0099652B" w:rsidRDefault="007C3255" w:rsidP="00274208">
      <w:pPr>
        <w:spacing w:line="480" w:lineRule="auto"/>
        <w:ind w:firstLine="720"/>
        <w:jc w:val="both"/>
        <w:rPr>
          <w:sz w:val="28"/>
          <w:szCs w:val="28"/>
        </w:rPr>
      </w:pPr>
      <w:r w:rsidRPr="0099652B">
        <w:rPr>
          <w:sz w:val="28"/>
          <w:szCs w:val="28"/>
        </w:rPr>
        <w:t xml:space="preserve">Two features of the New Kingdom material bear directly on the argument. </w:t>
      </w:r>
      <w:r w:rsidR="00731832" w:rsidRPr="0099652B">
        <w:rPr>
          <w:sz w:val="28"/>
          <w:szCs w:val="28"/>
        </w:rPr>
        <w:t xml:space="preserve">First, spell 125 functions as a defense: its structure is </w:t>
      </w:r>
      <w:r w:rsidRPr="0099652B">
        <w:rPr>
          <w:sz w:val="28"/>
          <w:szCs w:val="28"/>
        </w:rPr>
        <w:t xml:space="preserve">a plea before a court, and its content is a list of specific ethical offenses denied. The second is the heart scarab, which reveals an anxiety that </w:t>
      </w:r>
      <w:r w:rsidR="00A461A4" w:rsidRPr="0099652B">
        <w:rPr>
          <w:sz w:val="28"/>
          <w:szCs w:val="28"/>
        </w:rPr>
        <w:t>makes sense only within a genuinely juridical conception: the fear that one's own heart—the seat of memory and conscience—</w:t>
      </w:r>
      <w:r w:rsidRPr="0099652B">
        <w:rPr>
          <w:sz w:val="28"/>
          <w:szCs w:val="28"/>
        </w:rPr>
        <w:t>will give evidence against one. Such fear has no place in a system of ritual provisioning, in which the fate of the dead depends on correct burial, continued offerings, or noble descent. Fear arises only in a system of justice, in which the fate of the dead depends on their own conduct in life.</w:t>
      </w:r>
    </w:p>
    <w:p w14:paraId="1F80F497" w14:textId="77777777" w:rsidR="00067F75" w:rsidRPr="0099652B" w:rsidRDefault="00000000" w:rsidP="00274208">
      <w:pPr>
        <w:pStyle w:val="Heading2"/>
        <w:rPr>
          <w:rFonts w:ascii="Times New Roman" w:hAnsi="Times New Roman" w:cs="Times New Roman"/>
          <w:color w:val="auto"/>
        </w:rPr>
      </w:pPr>
      <w:bookmarkStart w:id="26" w:name="_Toc241691227"/>
      <w:r w:rsidRPr="0099652B">
        <w:rPr>
          <w:rFonts w:ascii="Times New Roman" w:hAnsi="Times New Roman" w:cs="Times New Roman"/>
          <w:color w:val="auto"/>
        </w:rPr>
        <w:t>4.5 What Changed and What Did Not</w:t>
      </w:r>
      <w:bookmarkEnd w:id="26"/>
    </w:p>
    <w:p w14:paraId="3133F543" w14:textId="1F3CD14E" w:rsidR="008A02C0" w:rsidRPr="0099652B" w:rsidRDefault="00A461A4" w:rsidP="008A02C0">
      <w:pPr>
        <w:spacing w:line="480" w:lineRule="auto"/>
        <w:ind w:firstLine="720"/>
        <w:jc w:val="both"/>
        <w:rPr>
          <w:sz w:val="28"/>
          <w:szCs w:val="28"/>
        </w:rPr>
      </w:pPr>
      <w:r w:rsidRPr="0099652B">
        <w:rPr>
          <w:sz w:val="28"/>
          <w:szCs w:val="28"/>
        </w:rPr>
        <w:t>The relation between 2300 and 1550 BCE is therefore that of a doctrine and its illustration. The tribunal, the moral criterion, and the divergence of destinies are attested in the Old Kingdom; what the Middle and New Kingdoms add is a wider clientele, a discursive statement, a standardized liturgical script, and an image of extraordinary power. Dating the doctrine from the first appearance of the judgment scene in the Book of the Dead conflates the date a belief was first illustrated with the date it was first held.</w:t>
      </w:r>
    </w:p>
    <w:p w14:paraId="1D1D5319" w14:textId="77777777" w:rsidR="00067F75" w:rsidRPr="0099652B" w:rsidRDefault="00000000">
      <w:pPr>
        <w:pStyle w:val="Heading1"/>
        <w:pageBreakBefore/>
        <w:rPr>
          <w:rFonts w:ascii="Times New Roman" w:hAnsi="Times New Roman" w:cs="Times New Roman"/>
          <w:color w:val="auto"/>
        </w:rPr>
      </w:pPr>
      <w:bookmarkStart w:id="27" w:name="_Toc241691228"/>
      <w:r w:rsidRPr="0099652B">
        <w:rPr>
          <w:rFonts w:ascii="Times New Roman" w:hAnsi="Times New Roman" w:cs="Times New Roman"/>
          <w:color w:val="auto"/>
        </w:rPr>
        <w:lastRenderedPageBreak/>
        <w:t>Chapter 5</w:t>
      </w:r>
      <w:r w:rsidRPr="0099652B">
        <w:rPr>
          <w:rFonts w:ascii="Times New Roman" w:hAnsi="Times New Roman" w:cs="Times New Roman"/>
          <w:color w:val="auto"/>
        </w:rPr>
        <w:br/>
        <w:t>The Comparative Case: The Absence of a Rival</w:t>
      </w:r>
      <w:bookmarkEnd w:id="27"/>
    </w:p>
    <w:p w14:paraId="0909A4F3" w14:textId="77777777" w:rsidR="00DB046E" w:rsidRPr="0099652B" w:rsidRDefault="00000000" w:rsidP="00245E73">
      <w:pPr>
        <w:pStyle w:val="Heading2"/>
        <w:rPr>
          <w:rFonts w:ascii="Times New Roman" w:hAnsi="Times New Roman" w:cs="Times New Roman"/>
          <w:color w:val="auto"/>
        </w:rPr>
      </w:pPr>
      <w:bookmarkStart w:id="28" w:name="_Toc241691229"/>
      <w:r w:rsidRPr="0099652B">
        <w:rPr>
          <w:rFonts w:ascii="Times New Roman" w:hAnsi="Times New Roman" w:cs="Times New Roman"/>
          <w:color w:val="auto"/>
        </w:rPr>
        <w:t>5.1 Introduction: The Priority Proposition</w:t>
      </w:r>
      <w:bookmarkEnd w:id="28"/>
      <w:r w:rsidRPr="0099652B">
        <w:rPr>
          <w:rFonts w:ascii="Times New Roman" w:hAnsi="Times New Roman" w:cs="Times New Roman"/>
          <w:color w:val="auto"/>
        </w:rPr>
        <w:t xml:space="preserve"> </w:t>
      </w:r>
    </w:p>
    <w:p w14:paraId="5209C0F6" w14:textId="77777777" w:rsidR="002312B7" w:rsidRPr="0099652B" w:rsidRDefault="00000000" w:rsidP="002312B7">
      <w:pPr>
        <w:spacing w:line="480" w:lineRule="auto"/>
        <w:ind w:firstLine="720"/>
        <w:jc w:val="both"/>
        <w:rPr>
          <w:sz w:val="28"/>
          <w:szCs w:val="28"/>
        </w:rPr>
      </w:pPr>
      <w:r w:rsidRPr="0099652B">
        <w:rPr>
          <w:sz w:val="28"/>
          <w:szCs w:val="28"/>
        </w:rPr>
        <w:t xml:space="preserve">As discussed in the thesis, this paper’s priority proposition is that Ancient Egypt was the first civilization to develop a fully articulated doctrine of righteous resurrection, in which the moral quality of a person's actions during life determines that person's destiny after death. The doctrine is attested in dated, contemporary primary sources </w:t>
      </w:r>
      <w:proofErr w:type="gramStart"/>
      <w:r w:rsidRPr="0099652B">
        <w:rPr>
          <w:sz w:val="28"/>
          <w:szCs w:val="28"/>
        </w:rPr>
        <w:t>by</w:t>
      </w:r>
      <w:proofErr w:type="gramEnd"/>
      <w:r w:rsidRPr="0099652B">
        <w:rPr>
          <w:sz w:val="28"/>
          <w:szCs w:val="28"/>
        </w:rPr>
        <w:t xml:space="preserve"> approximately 2300 BCE.</w:t>
      </w:r>
    </w:p>
    <w:p w14:paraId="5B3C9088" w14:textId="77777777" w:rsidR="00067F75" w:rsidRPr="0099652B" w:rsidRDefault="00000000" w:rsidP="002312B7">
      <w:pPr>
        <w:pStyle w:val="Heading2"/>
        <w:rPr>
          <w:rFonts w:ascii="Times New Roman" w:hAnsi="Times New Roman" w:cs="Times New Roman"/>
          <w:color w:val="auto"/>
        </w:rPr>
      </w:pPr>
      <w:bookmarkStart w:id="29" w:name="_Toc241691230"/>
      <w:r w:rsidRPr="0099652B">
        <w:rPr>
          <w:rFonts w:ascii="Times New Roman" w:hAnsi="Times New Roman" w:cs="Times New Roman"/>
          <w:color w:val="auto"/>
        </w:rPr>
        <w:t>5.2 Method of Comparison</w:t>
      </w:r>
      <w:bookmarkEnd w:id="29"/>
    </w:p>
    <w:p w14:paraId="3D819237" w14:textId="77777777" w:rsidR="00DB046E" w:rsidRPr="0099652B" w:rsidRDefault="00000000" w:rsidP="006F60D8">
      <w:pPr>
        <w:spacing w:line="480" w:lineRule="auto"/>
        <w:ind w:firstLine="720"/>
        <w:jc w:val="both"/>
        <w:rPr>
          <w:sz w:val="28"/>
          <w:szCs w:val="28"/>
        </w:rPr>
      </w:pPr>
      <w:r w:rsidRPr="0099652B">
        <w:rPr>
          <w:sz w:val="28"/>
          <w:szCs w:val="28"/>
        </w:rPr>
        <w:t xml:space="preserve">A priority claim is only as strong as the comparison that supports it. </w:t>
      </w:r>
    </w:p>
    <w:p w14:paraId="2ED31588" w14:textId="77777777" w:rsidR="002312B7" w:rsidRPr="0099652B" w:rsidRDefault="00000000" w:rsidP="002312B7">
      <w:pPr>
        <w:spacing w:line="480" w:lineRule="auto"/>
        <w:ind w:firstLine="720"/>
        <w:jc w:val="both"/>
        <w:rPr>
          <w:sz w:val="28"/>
          <w:szCs w:val="28"/>
        </w:rPr>
      </w:pPr>
      <w:r w:rsidRPr="0099652B">
        <w:rPr>
          <w:sz w:val="28"/>
          <w:szCs w:val="28"/>
        </w:rPr>
        <w:t xml:space="preserve">This Chapter applies the four criteria of section 2.2 and the quality-of-evidence standards of section 2.3 to ancient Mediterranean civilizations that might be advanced as competitors to Egypt, asking in each case whether criteria 2, 3, and 4 are satisfied jointly, and on what date and with what contemporary evidence. </w:t>
      </w:r>
    </w:p>
    <w:p w14:paraId="72EDDC2B" w14:textId="77777777" w:rsidR="00E50D13" w:rsidRPr="0099652B" w:rsidRDefault="00E50D13" w:rsidP="00E50D13">
      <w:pPr>
        <w:keepNext/>
        <w:keepLines/>
        <w:spacing w:line="480" w:lineRule="auto"/>
        <w:outlineLvl w:val="1"/>
        <w:rPr>
          <w:b/>
          <w:bCs/>
          <w:sz w:val="28"/>
          <w:szCs w:val="28"/>
        </w:rPr>
      </w:pPr>
      <w:bookmarkStart w:id="30" w:name="_Toc241691231"/>
      <w:r w:rsidRPr="0099652B">
        <w:rPr>
          <w:b/>
          <w:bCs/>
          <w:sz w:val="28"/>
          <w:szCs w:val="28"/>
        </w:rPr>
        <w:t>5.3 Iran: Zoroastrianism</w:t>
      </w:r>
      <w:bookmarkEnd w:id="30"/>
    </w:p>
    <w:p w14:paraId="2A244EB1" w14:textId="77777777" w:rsidR="00E50D13" w:rsidRPr="0099652B" w:rsidRDefault="00E50D13" w:rsidP="00E50D13">
      <w:pPr>
        <w:spacing w:line="480" w:lineRule="auto"/>
        <w:ind w:firstLine="720"/>
        <w:jc w:val="both"/>
        <w:rPr>
          <w:sz w:val="28"/>
          <w:szCs w:val="28"/>
        </w:rPr>
      </w:pPr>
      <w:r w:rsidRPr="0099652B">
        <w:rPr>
          <w:sz w:val="28"/>
          <w:szCs w:val="28"/>
        </w:rPr>
        <w:t>Zoroastrianism meets all four criteria for a righteous resurrection doctrine (set out in section 2.2) and the evidentiary standards (set out in section 2.3) in the late third century CE.</w:t>
      </w:r>
    </w:p>
    <w:p w14:paraId="4DEB9386" w14:textId="77777777" w:rsidR="00E50D13" w:rsidRPr="0099652B" w:rsidRDefault="00E50D13" w:rsidP="00E50D13">
      <w:pPr>
        <w:spacing w:line="480" w:lineRule="auto"/>
        <w:ind w:firstLine="720"/>
        <w:jc w:val="both"/>
        <w:rPr>
          <w:sz w:val="28"/>
          <w:szCs w:val="28"/>
        </w:rPr>
      </w:pPr>
      <w:r w:rsidRPr="0099652B">
        <w:rPr>
          <w:sz w:val="28"/>
          <w:szCs w:val="28"/>
        </w:rPr>
        <w:t xml:space="preserve">This late date may seem surprising because Zoroastrian tradition places Zarathustra (also known as Zoroaster), the religion's founder, as early as 1500 BCE. </w:t>
      </w:r>
      <w:r w:rsidRPr="0099652B">
        <w:rPr>
          <w:sz w:val="28"/>
          <w:szCs w:val="28"/>
        </w:rPr>
        <w:lastRenderedPageBreak/>
        <w:t>Zoroastrians regard Zarathustra as the prophet who received Ahura Mazda’s revelation and founded Zoroastrianism. He is traditionally associated with the Gathas, the oldest and holiest part of the Avesta, the sacred texts of Zoroastrian liturgy. The Gathas consist of seventeen hymns in five groups, preserved in the Yasna (Yasna 28–34, 43–51, and 53).</w:t>
      </w:r>
    </w:p>
    <w:p w14:paraId="6187507F" w14:textId="77777777" w:rsidR="00E50D13" w:rsidRPr="0099652B" w:rsidRDefault="00E50D13" w:rsidP="00E50D13">
      <w:pPr>
        <w:keepNext/>
        <w:keepLines/>
        <w:spacing w:line="480" w:lineRule="auto"/>
        <w:outlineLvl w:val="2"/>
        <w:rPr>
          <w:sz w:val="28"/>
          <w:szCs w:val="28"/>
          <w:u w:val="single"/>
        </w:rPr>
      </w:pPr>
      <w:r w:rsidRPr="0099652B">
        <w:rPr>
          <w:sz w:val="28"/>
          <w:szCs w:val="28"/>
          <w:u w:val="single"/>
        </w:rPr>
        <w:t xml:space="preserve"> Oral Evidence</w:t>
      </w:r>
    </w:p>
    <w:p w14:paraId="1F2809A8" w14:textId="77777777" w:rsidR="00E50D13" w:rsidRPr="0099652B" w:rsidRDefault="00E50D13" w:rsidP="00E50D13">
      <w:pPr>
        <w:spacing w:line="480" w:lineRule="auto"/>
        <w:ind w:firstLine="720"/>
        <w:jc w:val="both"/>
        <w:rPr>
          <w:sz w:val="28"/>
          <w:szCs w:val="28"/>
        </w:rPr>
      </w:pPr>
      <w:r w:rsidRPr="0099652B">
        <w:rPr>
          <w:sz w:val="28"/>
          <w:szCs w:val="28"/>
        </w:rPr>
        <w:t xml:space="preserve">Scholars cannot precisely date </w:t>
      </w:r>
      <w:proofErr w:type="gramStart"/>
      <w:r w:rsidRPr="0099652B">
        <w:rPr>
          <w:sz w:val="28"/>
          <w:szCs w:val="28"/>
        </w:rPr>
        <w:t>the Gathas</w:t>
      </w:r>
      <w:proofErr w:type="gramEnd"/>
      <w:r w:rsidRPr="0099652B">
        <w:rPr>
          <w:sz w:val="28"/>
          <w:szCs w:val="28"/>
        </w:rPr>
        <w:t>' composition; estimates range from about 1500 to 500 BCE. The Gathas, like the rest of the Avesta, were preserved orally by priests for many centuries. The Avesta was eventually written down in a specially devised alphabet during the late Sasanian period, around the sixth century CE.</w:t>
      </w:r>
    </w:p>
    <w:p w14:paraId="5E072CA0" w14:textId="77777777" w:rsidR="00E50D13" w:rsidRPr="0099652B" w:rsidRDefault="00E50D13" w:rsidP="00E50D13">
      <w:pPr>
        <w:keepNext/>
        <w:keepLines/>
        <w:spacing w:line="480" w:lineRule="auto"/>
        <w:outlineLvl w:val="2"/>
        <w:rPr>
          <w:sz w:val="28"/>
          <w:szCs w:val="28"/>
          <w:u w:val="single"/>
        </w:rPr>
      </w:pPr>
      <w:r w:rsidRPr="0099652B">
        <w:rPr>
          <w:sz w:val="28"/>
          <w:szCs w:val="28"/>
          <w:u w:val="single"/>
        </w:rPr>
        <w:t>Earliest Dated Evidence</w:t>
      </w:r>
    </w:p>
    <w:p w14:paraId="5447D19D" w14:textId="77777777" w:rsidR="00E50D13" w:rsidRPr="0099652B" w:rsidRDefault="00E50D13" w:rsidP="00E50D13">
      <w:pPr>
        <w:spacing w:line="480" w:lineRule="auto"/>
        <w:ind w:firstLine="720"/>
        <w:jc w:val="both"/>
        <w:rPr>
          <w:sz w:val="28"/>
          <w:szCs w:val="28"/>
        </w:rPr>
      </w:pPr>
      <w:r w:rsidRPr="0099652B">
        <w:rPr>
          <w:sz w:val="28"/>
          <w:szCs w:val="28"/>
        </w:rPr>
        <w:t xml:space="preserve">The earliest dated evidence of Iranian religion that mentions the fate of the dead appears in the royal inscriptions of the Achaemenid kings, carved in stone from about 520 to 338 BCE. Two of these inscriptions refer to blessings after death. The first is Darius I's inscription on the cliff at Mount </w:t>
      </w:r>
      <w:proofErr w:type="spellStart"/>
      <w:r w:rsidRPr="0099652B">
        <w:rPr>
          <w:sz w:val="28"/>
          <w:szCs w:val="28"/>
        </w:rPr>
        <w:t>Bisotun</w:t>
      </w:r>
      <w:proofErr w:type="spellEnd"/>
      <w:r w:rsidRPr="0099652B">
        <w:rPr>
          <w:sz w:val="28"/>
          <w:szCs w:val="28"/>
        </w:rPr>
        <w:t xml:space="preserve"> (</w:t>
      </w:r>
      <w:proofErr w:type="spellStart"/>
      <w:r w:rsidRPr="0099652B">
        <w:rPr>
          <w:sz w:val="28"/>
          <w:szCs w:val="28"/>
        </w:rPr>
        <w:t>Behistun</w:t>
      </w:r>
      <w:proofErr w:type="spellEnd"/>
      <w:r w:rsidRPr="0099652B">
        <w:rPr>
          <w:sz w:val="28"/>
          <w:szCs w:val="28"/>
        </w:rPr>
        <w:t>) in Kermanshah province, western Iran, with its fifth column added around 519 BCE (</w:t>
      </w:r>
      <w:r w:rsidRPr="0099652B">
        <w:rPr>
          <w:i/>
          <w:iCs/>
          <w:sz w:val="28"/>
          <w:szCs w:val="28"/>
        </w:rPr>
        <w:t>Bisotun inscription of Darius I</w:t>
      </w:r>
      <w:r w:rsidRPr="0099652B">
        <w:rPr>
          <w:sz w:val="28"/>
          <w:szCs w:val="28"/>
        </w:rPr>
        <w:t xml:space="preserve"> c. 520–518 BCE). The second is Xerxes' Daiva inscription, dated around 486–480 BCE, preserved on stone tablets excavated at Persepolis and </w:t>
      </w:r>
      <w:r w:rsidRPr="0099652B">
        <w:rPr>
          <w:sz w:val="28"/>
          <w:szCs w:val="28"/>
        </w:rPr>
        <w:lastRenderedPageBreak/>
        <w:t xml:space="preserve">Pasargadae in Fars province (texts in Kent 1953 and Schmitt 1991; translations in Kuhrt 2007; </w:t>
      </w:r>
      <w:r w:rsidRPr="0099652B">
        <w:rPr>
          <w:i/>
          <w:iCs/>
          <w:sz w:val="28"/>
          <w:szCs w:val="28"/>
        </w:rPr>
        <w:t>Daiva inscription of Xerxes</w:t>
      </w:r>
      <w:r w:rsidRPr="0099652B">
        <w:rPr>
          <w:sz w:val="28"/>
          <w:szCs w:val="28"/>
        </w:rPr>
        <w:t xml:space="preserve"> c. 486–480 BCE).</w:t>
      </w:r>
    </w:p>
    <w:p w14:paraId="6241458E" w14:textId="6A9A2CC2" w:rsidR="00E50D13" w:rsidRPr="0099652B" w:rsidRDefault="00E50D13" w:rsidP="00E50D13">
      <w:pPr>
        <w:spacing w:line="480" w:lineRule="auto"/>
        <w:ind w:firstLine="720"/>
        <w:jc w:val="both"/>
        <w:rPr>
          <w:sz w:val="28"/>
          <w:szCs w:val="28"/>
        </w:rPr>
      </w:pPr>
      <w:r w:rsidRPr="0099652B">
        <w:rPr>
          <w:sz w:val="28"/>
          <w:szCs w:val="28"/>
        </w:rPr>
        <w:t xml:space="preserve">Also from the reigns of </w:t>
      </w:r>
      <w:proofErr w:type="gramStart"/>
      <w:r w:rsidRPr="0099652B">
        <w:rPr>
          <w:sz w:val="28"/>
          <w:szCs w:val="28"/>
        </w:rPr>
        <w:t>Darius</w:t>
      </w:r>
      <w:proofErr w:type="gramEnd"/>
      <w:r w:rsidRPr="0099652B">
        <w:rPr>
          <w:sz w:val="28"/>
          <w:szCs w:val="28"/>
        </w:rPr>
        <w:t xml:space="preserve"> I and Xerxes are the reliefs of the palaces at Persepolis, carved from about 515 BCE into the fifth century, and the Persepolis Fortification tablets, administrative records from about 509–493 BCE. Both are securely dated and survive at known sites (</w:t>
      </w:r>
      <w:r w:rsidRPr="0099652B">
        <w:rPr>
          <w:i/>
          <w:iCs/>
          <w:sz w:val="28"/>
          <w:szCs w:val="28"/>
        </w:rPr>
        <w:t>Palace reliefs of Persepolis</w:t>
      </w:r>
      <w:r w:rsidRPr="0099652B">
        <w:rPr>
          <w:sz w:val="28"/>
          <w:szCs w:val="28"/>
        </w:rPr>
        <w:t xml:space="preserve"> c. 515–465 BCE; </w:t>
      </w:r>
      <w:r w:rsidRPr="0099652B">
        <w:rPr>
          <w:i/>
          <w:iCs/>
          <w:sz w:val="28"/>
          <w:szCs w:val="28"/>
        </w:rPr>
        <w:t>Persepolis Fortification tablets</w:t>
      </w:r>
      <w:r w:rsidRPr="0099652B">
        <w:rPr>
          <w:sz w:val="28"/>
          <w:szCs w:val="28"/>
        </w:rPr>
        <w:t xml:space="preserve"> c. 509–493 BCE). The tablets record offerings to </w:t>
      </w:r>
      <w:proofErr w:type="spellStart"/>
      <w:r w:rsidRPr="0099652B">
        <w:rPr>
          <w:sz w:val="28"/>
          <w:szCs w:val="28"/>
        </w:rPr>
        <w:t>Ahuramazda</w:t>
      </w:r>
      <w:proofErr w:type="spellEnd"/>
      <w:r w:rsidRPr="0099652B">
        <w:rPr>
          <w:sz w:val="28"/>
          <w:szCs w:val="28"/>
        </w:rPr>
        <w:t xml:space="preserve"> and other gods, including offerings for the royal dead, but neither the tablets nor the reliefs say anything about what becomes of the dead. Because the tablets and reliefs don’t relate to afterlife judgment ideology, they will be eliminated from the criteria and evidentiary standard analysis. </w:t>
      </w:r>
    </w:p>
    <w:p w14:paraId="7D164A66" w14:textId="53119415" w:rsidR="00E50D13" w:rsidRPr="0099652B" w:rsidRDefault="00E50D13" w:rsidP="00E50D13">
      <w:pPr>
        <w:spacing w:line="480" w:lineRule="auto"/>
        <w:ind w:firstLine="720"/>
        <w:jc w:val="both"/>
        <w:rPr>
          <w:sz w:val="28"/>
          <w:szCs w:val="28"/>
        </w:rPr>
      </w:pPr>
      <w:r w:rsidRPr="0099652B">
        <w:rPr>
          <w:sz w:val="28"/>
          <w:szCs w:val="28"/>
        </w:rPr>
        <w:t xml:space="preserve">In the late third century CE, during the reign of </w:t>
      </w:r>
      <w:proofErr w:type="spellStart"/>
      <w:r w:rsidRPr="0099652B">
        <w:rPr>
          <w:sz w:val="28"/>
          <w:szCs w:val="28"/>
        </w:rPr>
        <w:t>Wahrām</w:t>
      </w:r>
      <w:proofErr w:type="spellEnd"/>
      <w:r w:rsidRPr="0099652B">
        <w:rPr>
          <w:sz w:val="28"/>
          <w:szCs w:val="28"/>
        </w:rPr>
        <w:t xml:space="preserve"> II (274–293 CE), the high priest </w:t>
      </w:r>
      <w:proofErr w:type="spellStart"/>
      <w:r w:rsidRPr="0099652B">
        <w:rPr>
          <w:sz w:val="28"/>
          <w:szCs w:val="28"/>
        </w:rPr>
        <w:t>Kirdēr</w:t>
      </w:r>
      <w:proofErr w:type="spellEnd"/>
      <w:r w:rsidRPr="0099652B">
        <w:rPr>
          <w:sz w:val="28"/>
          <w:szCs w:val="28"/>
        </w:rPr>
        <w:t xml:space="preserve"> had inscriptions carved into rock at four sites in Fars: the cliff at </w:t>
      </w:r>
      <w:proofErr w:type="spellStart"/>
      <w:r w:rsidRPr="0099652B">
        <w:rPr>
          <w:sz w:val="28"/>
          <w:szCs w:val="28"/>
        </w:rPr>
        <w:t>Naqš</w:t>
      </w:r>
      <w:proofErr w:type="spellEnd"/>
      <w:r w:rsidRPr="0099652B">
        <w:rPr>
          <w:sz w:val="28"/>
          <w:szCs w:val="28"/>
        </w:rPr>
        <w:t xml:space="preserve">-e Rostam, the nearby </w:t>
      </w:r>
      <w:proofErr w:type="spellStart"/>
      <w:r w:rsidRPr="0099652B">
        <w:rPr>
          <w:sz w:val="28"/>
          <w:szCs w:val="28"/>
        </w:rPr>
        <w:t>Kaʿba</w:t>
      </w:r>
      <w:proofErr w:type="spellEnd"/>
      <w:r w:rsidRPr="0099652B">
        <w:rPr>
          <w:sz w:val="28"/>
          <w:szCs w:val="28"/>
        </w:rPr>
        <w:t xml:space="preserve">-ye </w:t>
      </w:r>
      <w:proofErr w:type="spellStart"/>
      <w:r w:rsidRPr="0099652B">
        <w:rPr>
          <w:sz w:val="28"/>
          <w:szCs w:val="28"/>
        </w:rPr>
        <w:t>Zardošt</w:t>
      </w:r>
      <w:proofErr w:type="spellEnd"/>
      <w:r w:rsidRPr="0099652B">
        <w:rPr>
          <w:sz w:val="28"/>
          <w:szCs w:val="28"/>
        </w:rPr>
        <w:t xml:space="preserve">, </w:t>
      </w:r>
      <w:proofErr w:type="spellStart"/>
      <w:r w:rsidRPr="0099652B">
        <w:rPr>
          <w:sz w:val="28"/>
          <w:szCs w:val="28"/>
        </w:rPr>
        <w:t>Naqš</w:t>
      </w:r>
      <w:proofErr w:type="spellEnd"/>
      <w:r w:rsidRPr="0099652B">
        <w:rPr>
          <w:sz w:val="28"/>
          <w:szCs w:val="28"/>
        </w:rPr>
        <w:t xml:space="preserve">-e Rajab, and Sar-e </w:t>
      </w:r>
      <w:proofErr w:type="spellStart"/>
      <w:r w:rsidRPr="0099652B">
        <w:rPr>
          <w:sz w:val="28"/>
          <w:szCs w:val="28"/>
        </w:rPr>
        <w:t>Mašhad</w:t>
      </w:r>
      <w:proofErr w:type="spellEnd"/>
      <w:r w:rsidRPr="0099652B">
        <w:rPr>
          <w:sz w:val="28"/>
          <w:szCs w:val="28"/>
        </w:rPr>
        <w:t>. They remain in place, and most are dated to about 276–293 CE (</w:t>
      </w:r>
      <w:r w:rsidRPr="0099652B">
        <w:rPr>
          <w:i/>
          <w:iCs/>
          <w:sz w:val="28"/>
          <w:szCs w:val="28"/>
        </w:rPr>
        <w:t xml:space="preserve">Inscriptions of </w:t>
      </w:r>
      <w:proofErr w:type="spellStart"/>
      <w:r w:rsidRPr="0099652B">
        <w:rPr>
          <w:i/>
          <w:iCs/>
          <w:sz w:val="28"/>
          <w:szCs w:val="28"/>
        </w:rPr>
        <w:t>Kirdēr</w:t>
      </w:r>
      <w:proofErr w:type="spellEnd"/>
      <w:r w:rsidRPr="0099652B">
        <w:rPr>
          <w:sz w:val="28"/>
          <w:szCs w:val="28"/>
        </w:rPr>
        <w:t xml:space="preserve"> c. 276–293 CE).</w:t>
      </w:r>
    </w:p>
    <w:p w14:paraId="5B3127E2" w14:textId="77777777" w:rsidR="00E50D13" w:rsidRPr="0099652B" w:rsidRDefault="00E50D13" w:rsidP="00E50D13">
      <w:pPr>
        <w:spacing w:line="480" w:lineRule="auto"/>
        <w:ind w:firstLine="720"/>
        <w:jc w:val="both"/>
        <w:rPr>
          <w:sz w:val="28"/>
          <w:szCs w:val="28"/>
        </w:rPr>
      </w:pPr>
      <w:r w:rsidRPr="0099652B">
        <w:rPr>
          <w:sz w:val="28"/>
          <w:szCs w:val="28"/>
        </w:rPr>
        <w:t xml:space="preserve">Of all this evidence, only two bodies both speak to the fate of the dead and meet the evidentiary standards of section 2.3 (contemporaneity, datability, and materiality): the Achaemenid royal inscriptions and the inscriptions of </w:t>
      </w:r>
      <w:proofErr w:type="spellStart"/>
      <w:r w:rsidRPr="0099652B">
        <w:rPr>
          <w:sz w:val="28"/>
          <w:szCs w:val="28"/>
        </w:rPr>
        <w:t>Kirdēr</w:t>
      </w:r>
      <w:proofErr w:type="spellEnd"/>
      <w:r w:rsidRPr="0099652B">
        <w:rPr>
          <w:sz w:val="28"/>
          <w:szCs w:val="28"/>
        </w:rPr>
        <w:t xml:space="preserve">. Of </w:t>
      </w:r>
      <w:r w:rsidRPr="0099652B">
        <w:rPr>
          <w:sz w:val="28"/>
          <w:szCs w:val="28"/>
        </w:rPr>
        <w:lastRenderedPageBreak/>
        <w:t xml:space="preserve">these two, only </w:t>
      </w:r>
      <w:proofErr w:type="spellStart"/>
      <w:r w:rsidRPr="0099652B">
        <w:rPr>
          <w:sz w:val="28"/>
          <w:szCs w:val="28"/>
        </w:rPr>
        <w:t>Kirdēr's</w:t>
      </w:r>
      <w:proofErr w:type="spellEnd"/>
      <w:r w:rsidRPr="0099652B">
        <w:rPr>
          <w:sz w:val="28"/>
          <w:szCs w:val="28"/>
        </w:rPr>
        <w:t xml:space="preserve"> inscriptions meet all four criteria and therefore provide the earliest evidence for the doctrine of righteous resurrection.</w:t>
      </w:r>
    </w:p>
    <w:p w14:paraId="07D3FA9F" w14:textId="77777777" w:rsidR="00E50D13" w:rsidRPr="0099652B" w:rsidRDefault="00E50D13" w:rsidP="00E50D13">
      <w:pPr>
        <w:keepNext/>
        <w:keepLines/>
        <w:spacing w:line="480" w:lineRule="auto"/>
        <w:outlineLvl w:val="2"/>
        <w:rPr>
          <w:sz w:val="28"/>
          <w:szCs w:val="28"/>
          <w:u w:val="single"/>
        </w:rPr>
      </w:pPr>
      <w:r w:rsidRPr="0099652B">
        <w:rPr>
          <w:sz w:val="28"/>
          <w:szCs w:val="28"/>
          <w:u w:val="single"/>
        </w:rPr>
        <w:t xml:space="preserve">Criterion One: Restoration </w:t>
      </w:r>
      <w:r w:rsidR="00A47D3A" w:rsidRPr="0099652B">
        <w:rPr>
          <w:sz w:val="28"/>
          <w:szCs w:val="28"/>
          <w:u w:val="single"/>
        </w:rPr>
        <w:t>of</w:t>
      </w:r>
      <w:r w:rsidRPr="0099652B">
        <w:rPr>
          <w:sz w:val="28"/>
          <w:szCs w:val="28"/>
          <w:u w:val="single"/>
        </w:rPr>
        <w:t xml:space="preserve"> life or renewed life (not mere survival)</w:t>
      </w:r>
    </w:p>
    <w:p w14:paraId="6A42605A" w14:textId="77777777" w:rsidR="00E50D13" w:rsidRPr="0099652B" w:rsidRDefault="00E50D13" w:rsidP="00E50D13">
      <w:pPr>
        <w:spacing w:line="480" w:lineRule="auto"/>
        <w:ind w:firstLine="720"/>
        <w:rPr>
          <w:rFonts w:eastAsia="Arial"/>
          <w:sz w:val="28"/>
          <w:szCs w:val="28"/>
        </w:rPr>
      </w:pPr>
      <w:r w:rsidRPr="0099652B">
        <w:rPr>
          <w:sz w:val="28"/>
          <w:szCs w:val="28"/>
        </w:rPr>
        <w:t xml:space="preserve">Criterion 1 requires that the dead undergo an ontological change into a new, enduring mode of being, fuller than the life they left, rather than persisting in a diminished state. The change may take two forms. Restoration to life is the reconstitution and reanimation of the person, as when the king’s body is reassembled and his breath restored in the Egyptian Pyramid Texts; or renewed life, a transfiguration into an exalted state, as in the Egyptian </w:t>
      </w:r>
      <w:proofErr w:type="spellStart"/>
      <w:r w:rsidRPr="0099652B">
        <w:rPr>
          <w:sz w:val="28"/>
          <w:szCs w:val="28"/>
        </w:rPr>
        <w:t>ȝḫ</w:t>
      </w:r>
      <w:proofErr w:type="spellEnd"/>
      <w:r w:rsidRPr="0099652B">
        <w:rPr>
          <w:sz w:val="28"/>
          <w:szCs w:val="28"/>
        </w:rPr>
        <w:t xml:space="preserve">, a being of efficacy and mobility, in contrast to the Mesopotamian </w:t>
      </w:r>
      <w:proofErr w:type="spellStart"/>
      <w:r w:rsidRPr="0099652B">
        <w:rPr>
          <w:sz w:val="28"/>
          <w:szCs w:val="28"/>
        </w:rPr>
        <w:t>eṭemmu</w:t>
      </w:r>
      <w:proofErr w:type="spellEnd"/>
      <w:r w:rsidRPr="0099652B">
        <w:rPr>
          <w:sz w:val="28"/>
          <w:szCs w:val="28"/>
        </w:rPr>
        <w:t>, a shade dependent on offerings for a joyless subsistence. Grave goods, surviving ghosts, and dying and returning gods do not satisfy this criterion.</w:t>
      </w:r>
    </w:p>
    <w:p w14:paraId="0F775E8D"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 xml:space="preserve">The royal inscriptions of the Achaemenid kings </w:t>
      </w:r>
    </w:p>
    <w:p w14:paraId="7172F261" w14:textId="77777777" w:rsidR="00E50D13" w:rsidRPr="0099652B" w:rsidRDefault="00E50D13" w:rsidP="00E50D13">
      <w:pPr>
        <w:spacing w:line="480" w:lineRule="auto"/>
        <w:ind w:firstLine="720"/>
        <w:rPr>
          <w:rFonts w:eastAsia="Arial"/>
          <w:sz w:val="28"/>
          <w:szCs w:val="28"/>
        </w:rPr>
      </w:pPr>
      <w:r w:rsidRPr="0099652B">
        <w:rPr>
          <w:rFonts w:eastAsia="Arial"/>
          <w:sz w:val="28"/>
          <w:szCs w:val="28"/>
        </w:rPr>
        <w:t xml:space="preserve">Darius I's inscription at </w:t>
      </w:r>
      <w:proofErr w:type="spellStart"/>
      <w:r w:rsidRPr="0099652B">
        <w:rPr>
          <w:rFonts w:eastAsia="Arial"/>
          <w:sz w:val="28"/>
          <w:szCs w:val="28"/>
        </w:rPr>
        <w:t>Bisotun</w:t>
      </w:r>
      <w:proofErr w:type="spellEnd"/>
      <w:r w:rsidRPr="0099652B">
        <w:rPr>
          <w:rFonts w:eastAsia="Arial"/>
          <w:sz w:val="28"/>
          <w:szCs w:val="28"/>
        </w:rPr>
        <w:t xml:space="preserve"> (</w:t>
      </w:r>
      <w:proofErr w:type="spellStart"/>
      <w:r w:rsidRPr="0099652B">
        <w:rPr>
          <w:rFonts w:eastAsia="Arial"/>
          <w:sz w:val="28"/>
          <w:szCs w:val="28"/>
        </w:rPr>
        <w:t>Behistun</w:t>
      </w:r>
      <w:proofErr w:type="spellEnd"/>
      <w:r w:rsidRPr="0099652B">
        <w:rPr>
          <w:rFonts w:eastAsia="Arial"/>
          <w:sz w:val="28"/>
          <w:szCs w:val="28"/>
        </w:rPr>
        <w:t xml:space="preserve">), whose fifth column was added around 519 BCE, promises that whoever worships </w:t>
      </w:r>
      <w:proofErr w:type="spellStart"/>
      <w:r w:rsidRPr="0099652B">
        <w:rPr>
          <w:rFonts w:eastAsia="Arial"/>
          <w:sz w:val="28"/>
          <w:szCs w:val="28"/>
        </w:rPr>
        <w:t>Ahuramazda</w:t>
      </w:r>
      <w:proofErr w:type="spellEnd"/>
      <w:r w:rsidRPr="0099652B">
        <w:rPr>
          <w:rFonts w:eastAsia="Arial"/>
          <w:sz w:val="28"/>
          <w:szCs w:val="28"/>
        </w:rPr>
        <w:t xml:space="preserve"> will be blessed "both while living and when dead." Xerxes' Daiva inscription, dated to about 486–480 BCE, declares that the man who respects </w:t>
      </w:r>
      <w:proofErr w:type="spellStart"/>
      <w:r w:rsidRPr="0099652B">
        <w:rPr>
          <w:rFonts w:eastAsia="Arial"/>
          <w:sz w:val="28"/>
          <w:szCs w:val="28"/>
        </w:rPr>
        <w:t>Ahuramazda's</w:t>
      </w:r>
      <w:proofErr w:type="spellEnd"/>
      <w:r w:rsidRPr="0099652B">
        <w:rPr>
          <w:rFonts w:eastAsia="Arial"/>
          <w:sz w:val="28"/>
          <w:szCs w:val="28"/>
        </w:rPr>
        <w:t xml:space="preserve"> law "becomes happy while alive and becomes blessed when dead" (DB V; </w:t>
      </w:r>
      <w:proofErr w:type="spellStart"/>
      <w:r w:rsidRPr="0099652B">
        <w:rPr>
          <w:rFonts w:eastAsia="Arial"/>
          <w:sz w:val="28"/>
          <w:szCs w:val="28"/>
        </w:rPr>
        <w:t>XPh</w:t>
      </w:r>
      <w:proofErr w:type="spellEnd"/>
      <w:r w:rsidRPr="0099652B">
        <w:rPr>
          <w:rFonts w:eastAsia="Arial"/>
          <w:sz w:val="28"/>
          <w:szCs w:val="28"/>
        </w:rPr>
        <w:t xml:space="preserve">; Kent 1953; Kuhrt 2007). The inscriptions unmistakably place the faithful dead in a favorable condition, and the parallel between happiness in life and blessedness in death </w:t>
      </w:r>
      <w:r w:rsidRPr="0099652B">
        <w:rPr>
          <w:rFonts w:eastAsia="Arial"/>
          <w:sz w:val="28"/>
          <w:szCs w:val="28"/>
        </w:rPr>
        <w:lastRenderedPageBreak/>
        <w:t xml:space="preserve">excludes Mesopotamia's joyless shade. Yet </w:t>
      </w:r>
      <w:r w:rsidRPr="003E01A8">
        <w:rPr>
          <w:rFonts w:eastAsia="Arial"/>
          <w:sz w:val="28"/>
          <w:szCs w:val="28"/>
        </w:rPr>
        <w:t>they stop short of describing an ontological change</w:t>
      </w:r>
      <w:r w:rsidRPr="0099652B">
        <w:rPr>
          <w:rFonts w:eastAsia="Arial"/>
          <w:sz w:val="28"/>
          <w:szCs w:val="28"/>
        </w:rPr>
        <w:t xml:space="preserve">. The Old Persian term </w:t>
      </w:r>
      <w:proofErr w:type="spellStart"/>
      <w:r w:rsidRPr="0099652B">
        <w:rPr>
          <w:rFonts w:eastAsia="Arial"/>
          <w:sz w:val="28"/>
          <w:szCs w:val="28"/>
        </w:rPr>
        <w:t>artāvan</w:t>
      </w:r>
      <w:proofErr w:type="spellEnd"/>
      <w:r w:rsidRPr="0099652B">
        <w:rPr>
          <w:rFonts w:eastAsia="Arial"/>
          <w:sz w:val="28"/>
          <w:szCs w:val="28"/>
        </w:rPr>
        <w:t xml:space="preserve">, "possessing </w:t>
      </w:r>
      <w:proofErr w:type="spellStart"/>
      <w:r w:rsidRPr="0099652B">
        <w:rPr>
          <w:rFonts w:eastAsia="Arial"/>
          <w:sz w:val="28"/>
          <w:szCs w:val="28"/>
        </w:rPr>
        <w:t>arta</w:t>
      </w:r>
      <w:proofErr w:type="spellEnd"/>
      <w:r w:rsidRPr="0099652B">
        <w:rPr>
          <w:rFonts w:eastAsia="Arial"/>
          <w:sz w:val="28"/>
          <w:szCs w:val="28"/>
        </w:rPr>
        <w:t xml:space="preserve">," denotes a status, the condition of being aligned with truth, rather than a mode of being. </w:t>
      </w:r>
      <w:r w:rsidR="000625B7" w:rsidRPr="003E01A8">
        <w:rPr>
          <w:rFonts w:eastAsia="Arial"/>
          <w:sz w:val="28"/>
          <w:szCs w:val="28"/>
        </w:rPr>
        <w:t>Therefore, the inscriptions</w:t>
      </w:r>
      <w:r w:rsidRPr="003E01A8">
        <w:rPr>
          <w:rFonts w:eastAsia="Arial"/>
          <w:sz w:val="28"/>
          <w:szCs w:val="28"/>
        </w:rPr>
        <w:t xml:space="preserve"> do not meet Criterion 1</w:t>
      </w:r>
      <w:r w:rsidRPr="0099652B">
        <w:rPr>
          <w:rFonts w:eastAsia="Arial"/>
          <w:sz w:val="28"/>
          <w:szCs w:val="28"/>
        </w:rPr>
        <w:t>. Nothing in them contradicts a belief in renewed life, but they do not describe one: they say that the faithful dead are blessed, not that death brings them into a new and fuller existence.</w:t>
      </w:r>
    </w:p>
    <w:p w14:paraId="61C9650D"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 xml:space="preserve">The inscriptions of </w:t>
      </w:r>
      <w:proofErr w:type="spellStart"/>
      <w:r w:rsidRPr="0099652B">
        <w:rPr>
          <w:rFonts w:eastAsia="Arial"/>
          <w:i/>
          <w:iCs/>
          <w:sz w:val="28"/>
          <w:szCs w:val="28"/>
          <w:u w:val="single"/>
        </w:rPr>
        <w:t>Kirdēr</w:t>
      </w:r>
      <w:proofErr w:type="spellEnd"/>
      <w:r w:rsidRPr="0099652B">
        <w:rPr>
          <w:rFonts w:eastAsia="Arial"/>
          <w:i/>
          <w:iCs/>
          <w:sz w:val="28"/>
          <w:szCs w:val="28"/>
          <w:u w:val="single"/>
        </w:rPr>
        <w:t xml:space="preserve"> </w:t>
      </w:r>
    </w:p>
    <w:p w14:paraId="0636A0A2" w14:textId="77777777" w:rsidR="00E50D13" w:rsidRPr="0099652B" w:rsidRDefault="00E50D13" w:rsidP="00E50D13">
      <w:pPr>
        <w:spacing w:line="480" w:lineRule="auto"/>
        <w:ind w:firstLine="720"/>
        <w:rPr>
          <w:rFonts w:eastAsia="Arial"/>
          <w:sz w:val="28"/>
          <w:szCs w:val="28"/>
        </w:rPr>
      </w:pPr>
      <w:proofErr w:type="spellStart"/>
      <w:r w:rsidRPr="0099652B">
        <w:rPr>
          <w:rFonts w:eastAsia="Arial"/>
          <w:sz w:val="28"/>
          <w:szCs w:val="28"/>
        </w:rPr>
        <w:t>Kirdēr’s</w:t>
      </w:r>
      <w:proofErr w:type="spellEnd"/>
      <w:r w:rsidRPr="0099652B">
        <w:rPr>
          <w:rFonts w:eastAsia="Arial"/>
          <w:sz w:val="28"/>
          <w:szCs w:val="28"/>
        </w:rPr>
        <w:t xml:space="preserve"> inscriptions, written in Middle Persian and mostly carved under </w:t>
      </w:r>
      <w:proofErr w:type="spellStart"/>
      <w:r w:rsidRPr="0099652B">
        <w:rPr>
          <w:rFonts w:eastAsia="Arial"/>
          <w:sz w:val="28"/>
          <w:szCs w:val="28"/>
        </w:rPr>
        <w:t>Wahrām</w:t>
      </w:r>
      <w:proofErr w:type="spellEnd"/>
      <w:r w:rsidRPr="0099652B">
        <w:rPr>
          <w:rFonts w:eastAsia="Arial"/>
          <w:sz w:val="28"/>
          <w:szCs w:val="28"/>
        </w:rPr>
        <w:t xml:space="preserve"> II, meet Criterion 1 as a renewed life. In the vision he records, his double crosses a bridge over a bottomless pit and arrives at a palace where golden thrones stand and festive meals are laid. This is not a diminished shade but an exalted, abundant existence, fuller than earthly life and presented as the final abode of the righteous. It corresponds to the </w:t>
      </w:r>
      <w:proofErr w:type="spellStart"/>
      <w:r w:rsidRPr="0099652B">
        <w:rPr>
          <w:rFonts w:eastAsia="Arial"/>
          <w:sz w:val="28"/>
          <w:szCs w:val="28"/>
        </w:rPr>
        <w:t>ȝḫ</w:t>
      </w:r>
      <w:proofErr w:type="spellEnd"/>
      <w:r w:rsidRPr="0099652B">
        <w:rPr>
          <w:rFonts w:eastAsia="Arial"/>
          <w:sz w:val="28"/>
          <w:szCs w:val="28"/>
        </w:rPr>
        <w:t xml:space="preserve">, not the </w:t>
      </w:r>
      <w:proofErr w:type="spellStart"/>
      <w:r w:rsidRPr="0099652B">
        <w:rPr>
          <w:rFonts w:eastAsia="Arial"/>
          <w:sz w:val="28"/>
          <w:szCs w:val="28"/>
        </w:rPr>
        <w:t>eṭemmu</w:t>
      </w:r>
      <w:proofErr w:type="spellEnd"/>
      <w:r w:rsidRPr="0099652B">
        <w:rPr>
          <w:rFonts w:eastAsia="Arial"/>
          <w:sz w:val="28"/>
          <w:szCs w:val="28"/>
        </w:rPr>
        <w:t xml:space="preserve">. </w:t>
      </w:r>
    </w:p>
    <w:p w14:paraId="78BD1275" w14:textId="77777777" w:rsidR="00E50D13" w:rsidRPr="0099652B" w:rsidRDefault="00E50D13" w:rsidP="00E50D13">
      <w:pPr>
        <w:keepNext/>
        <w:keepLines/>
        <w:spacing w:line="480" w:lineRule="auto"/>
        <w:outlineLvl w:val="3"/>
        <w:rPr>
          <w:rFonts w:eastAsia="Arial"/>
          <w:b/>
          <w:bCs/>
          <w:i/>
          <w:iCs/>
          <w:sz w:val="28"/>
          <w:szCs w:val="28"/>
          <w:u w:val="single"/>
        </w:rPr>
      </w:pPr>
      <w:r w:rsidRPr="0099652B">
        <w:rPr>
          <w:rFonts w:eastAsia="Arial"/>
          <w:i/>
          <w:iCs/>
          <w:sz w:val="28"/>
          <w:szCs w:val="28"/>
          <w:u w:val="single"/>
        </w:rPr>
        <w:t>Conclusion</w:t>
      </w:r>
    </w:p>
    <w:p w14:paraId="087A07C5" w14:textId="77777777" w:rsidR="00E50D13" w:rsidRPr="0099652B" w:rsidRDefault="000625B7" w:rsidP="00E50D13">
      <w:pPr>
        <w:spacing w:line="480" w:lineRule="auto"/>
        <w:ind w:firstLine="720"/>
        <w:rPr>
          <w:rFonts w:eastAsia="Arial"/>
          <w:b/>
          <w:bCs/>
          <w:sz w:val="28"/>
          <w:szCs w:val="28"/>
        </w:rPr>
      </w:pPr>
      <w:r w:rsidRPr="0099652B">
        <w:rPr>
          <w:rFonts w:eastAsia="Arial"/>
          <w:sz w:val="28"/>
          <w:szCs w:val="28"/>
        </w:rPr>
        <w:t xml:space="preserve">Only </w:t>
      </w:r>
      <w:proofErr w:type="spellStart"/>
      <w:r w:rsidR="00E50D13" w:rsidRPr="0099652B">
        <w:rPr>
          <w:rFonts w:eastAsia="Arial"/>
          <w:sz w:val="28"/>
          <w:szCs w:val="28"/>
        </w:rPr>
        <w:t>Kirdēr’s</w:t>
      </w:r>
      <w:proofErr w:type="spellEnd"/>
      <w:r w:rsidR="00E50D13" w:rsidRPr="0099652B">
        <w:rPr>
          <w:rFonts w:eastAsia="Arial"/>
          <w:sz w:val="28"/>
          <w:szCs w:val="28"/>
        </w:rPr>
        <w:t xml:space="preserve"> inscriptions meet it by describing the righteous soul’s exalted existence in paradise as a renewed life.</w:t>
      </w:r>
    </w:p>
    <w:p w14:paraId="4C88CE62"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Criterion Two: A Tribunal (judgment)</w:t>
      </w:r>
    </w:p>
    <w:p w14:paraId="376259D2" w14:textId="77777777" w:rsidR="00E50D13" w:rsidRPr="0099652B" w:rsidRDefault="00E50D13" w:rsidP="00E50D13">
      <w:pPr>
        <w:spacing w:line="480" w:lineRule="auto"/>
        <w:ind w:firstLine="720"/>
        <w:rPr>
          <w:rFonts w:eastAsia="Arial"/>
          <w:sz w:val="28"/>
          <w:szCs w:val="28"/>
        </w:rPr>
      </w:pPr>
      <w:r w:rsidRPr="0099652B">
        <w:rPr>
          <w:rFonts w:eastAsia="Arial"/>
          <w:sz w:val="28"/>
          <w:szCs w:val="28"/>
        </w:rPr>
        <w:t xml:space="preserve">Criterion 2 requires a formal, juridically conceived evaluation procedure: a divine judge or bench, a proceeding, the possibility of accusation, and a verdict. Forensic vocabulary is the diagnostic marker, and </w:t>
      </w:r>
      <w:r w:rsidR="000625B7" w:rsidRPr="0099652B">
        <w:rPr>
          <w:rFonts w:eastAsia="Arial"/>
          <w:sz w:val="28"/>
          <w:szCs w:val="28"/>
        </w:rPr>
        <w:t xml:space="preserve">acquittal is its strongest form, </w:t>
      </w:r>
      <w:r w:rsidR="000625B7" w:rsidRPr="0099652B">
        <w:rPr>
          <w:rFonts w:eastAsia="Arial"/>
          <w:sz w:val="28"/>
          <w:szCs w:val="28"/>
        </w:rPr>
        <w:lastRenderedPageBreak/>
        <w:t>since it</w:t>
      </w:r>
      <w:r w:rsidRPr="0099652B">
        <w:rPr>
          <w:rFonts w:eastAsia="Arial"/>
          <w:sz w:val="28"/>
          <w:szCs w:val="28"/>
        </w:rPr>
        <w:t xml:space="preserve"> presupposes a court, a charge, and a standard of proof. However, divine punishment enacted in history through illness, defeat, or catastrophe does not satisfy the criterion, no matter how vividly the gods are conceived as just. For each body of Iranian evidence, the question is whether it describes such a proceeding after death.</w:t>
      </w:r>
    </w:p>
    <w:p w14:paraId="531CAD6C"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 xml:space="preserve">The royal inscriptions of the Achaemenid kings </w:t>
      </w:r>
    </w:p>
    <w:p w14:paraId="0E35E3CD" w14:textId="77777777" w:rsidR="00E50D13" w:rsidRPr="0099652B" w:rsidRDefault="00E50D13" w:rsidP="00E50D13">
      <w:pPr>
        <w:spacing w:line="480" w:lineRule="auto"/>
        <w:ind w:firstLine="720"/>
        <w:rPr>
          <w:rFonts w:eastAsia="Arial"/>
          <w:sz w:val="28"/>
          <w:szCs w:val="28"/>
        </w:rPr>
      </w:pPr>
      <w:r w:rsidRPr="0099652B">
        <w:rPr>
          <w:rFonts w:eastAsia="Arial"/>
          <w:sz w:val="28"/>
          <w:szCs w:val="28"/>
        </w:rPr>
        <w:t xml:space="preserve">Both inscriptions make the fate of the dead depend on conduct in life: the “blessing when dead” belongs to the worshipper of </w:t>
      </w:r>
      <w:proofErr w:type="spellStart"/>
      <w:r w:rsidRPr="0099652B">
        <w:rPr>
          <w:rFonts w:eastAsia="Arial"/>
          <w:sz w:val="28"/>
          <w:szCs w:val="28"/>
        </w:rPr>
        <w:t>Ahuramazda</w:t>
      </w:r>
      <w:proofErr w:type="spellEnd"/>
      <w:r w:rsidRPr="0099652B">
        <w:rPr>
          <w:rFonts w:eastAsia="Arial"/>
          <w:sz w:val="28"/>
          <w:szCs w:val="28"/>
        </w:rPr>
        <w:t xml:space="preserve"> at </w:t>
      </w:r>
      <w:proofErr w:type="spellStart"/>
      <w:r w:rsidRPr="0099652B">
        <w:rPr>
          <w:rFonts w:eastAsia="Arial"/>
          <w:sz w:val="28"/>
          <w:szCs w:val="28"/>
        </w:rPr>
        <w:t>Behistun</w:t>
      </w:r>
      <w:proofErr w:type="spellEnd"/>
      <w:r w:rsidRPr="0099652B">
        <w:rPr>
          <w:rFonts w:eastAsia="Arial"/>
          <w:sz w:val="28"/>
          <w:szCs w:val="28"/>
        </w:rPr>
        <w:t xml:space="preserve"> and to the man who respects his law in the Daiva inscription. Such a condition implies an assessment, yet the inscriptions describe none. They name no judge, describe no </w:t>
      </w:r>
      <w:proofErr w:type="gramStart"/>
      <w:r w:rsidRPr="0099652B">
        <w:rPr>
          <w:rFonts w:eastAsia="Arial"/>
          <w:sz w:val="28"/>
          <w:szCs w:val="28"/>
        </w:rPr>
        <w:t>proceeding</w:t>
      </w:r>
      <w:proofErr w:type="gramEnd"/>
      <w:r w:rsidRPr="0099652B">
        <w:rPr>
          <w:rFonts w:eastAsia="Arial"/>
          <w:sz w:val="28"/>
          <w:szCs w:val="28"/>
        </w:rPr>
        <w:t xml:space="preserve">, envisage no accusation, and pronounce no verdict; blessing follows directly from piety. Where </w:t>
      </w:r>
      <w:proofErr w:type="spellStart"/>
      <w:r w:rsidRPr="0099652B">
        <w:rPr>
          <w:rFonts w:eastAsia="Arial"/>
          <w:sz w:val="28"/>
          <w:szCs w:val="28"/>
        </w:rPr>
        <w:t>Behistun</w:t>
      </w:r>
      <w:proofErr w:type="spellEnd"/>
      <w:r w:rsidRPr="0099652B">
        <w:rPr>
          <w:rFonts w:eastAsia="Arial"/>
          <w:sz w:val="28"/>
          <w:szCs w:val="28"/>
        </w:rPr>
        <w:t xml:space="preserve"> speaks of divine judgment, it is judgment within history, namely </w:t>
      </w:r>
      <w:proofErr w:type="spellStart"/>
      <w:r w:rsidRPr="0099652B">
        <w:rPr>
          <w:rFonts w:eastAsia="Arial"/>
          <w:sz w:val="28"/>
          <w:szCs w:val="28"/>
        </w:rPr>
        <w:t>Ahuramazda’s</w:t>
      </w:r>
      <w:proofErr w:type="spellEnd"/>
      <w:r w:rsidRPr="0099652B">
        <w:rPr>
          <w:rFonts w:eastAsia="Arial"/>
          <w:sz w:val="28"/>
          <w:szCs w:val="28"/>
        </w:rPr>
        <w:t xml:space="preserve"> aid to Darius and the defeat of the rebels led astray by the Lie, which is precisely what the criterion excludes. </w:t>
      </w:r>
      <w:r w:rsidR="000625B7" w:rsidRPr="0099652B">
        <w:rPr>
          <w:rFonts w:eastAsia="Arial"/>
          <w:sz w:val="28"/>
          <w:szCs w:val="28"/>
        </w:rPr>
        <w:t>Therefore, neither inscription</w:t>
      </w:r>
      <w:r w:rsidRPr="0099652B">
        <w:rPr>
          <w:rFonts w:eastAsia="Arial"/>
          <w:sz w:val="28"/>
          <w:szCs w:val="28"/>
        </w:rPr>
        <w:t xml:space="preserve"> </w:t>
      </w:r>
      <w:r w:rsidR="000625B7" w:rsidRPr="0099652B">
        <w:rPr>
          <w:rFonts w:eastAsia="Arial"/>
          <w:sz w:val="28"/>
          <w:szCs w:val="28"/>
        </w:rPr>
        <w:t>meets</w:t>
      </w:r>
      <w:r w:rsidRPr="0099652B">
        <w:rPr>
          <w:rFonts w:eastAsia="Arial"/>
          <w:sz w:val="28"/>
          <w:szCs w:val="28"/>
        </w:rPr>
        <w:t xml:space="preserve"> Criterion 2.</w:t>
      </w:r>
    </w:p>
    <w:p w14:paraId="4470E19A"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 xml:space="preserve">The inscriptions of </w:t>
      </w:r>
      <w:proofErr w:type="spellStart"/>
      <w:r w:rsidRPr="0099652B">
        <w:rPr>
          <w:rFonts w:eastAsia="Arial"/>
          <w:i/>
          <w:iCs/>
          <w:sz w:val="28"/>
          <w:szCs w:val="28"/>
          <w:u w:val="single"/>
        </w:rPr>
        <w:t>Kirdēr</w:t>
      </w:r>
      <w:proofErr w:type="spellEnd"/>
    </w:p>
    <w:p w14:paraId="398B9847" w14:textId="77777777" w:rsidR="00E50D13" w:rsidRPr="0099652B" w:rsidRDefault="00E50D13" w:rsidP="00E50D13">
      <w:pPr>
        <w:spacing w:line="480" w:lineRule="auto"/>
        <w:ind w:firstLine="720"/>
        <w:rPr>
          <w:rFonts w:eastAsia="Arial"/>
          <w:b/>
          <w:bCs/>
          <w:sz w:val="28"/>
          <w:szCs w:val="28"/>
        </w:rPr>
      </w:pPr>
      <w:r w:rsidRPr="0099652B">
        <w:rPr>
          <w:rFonts w:eastAsia="Arial"/>
          <w:sz w:val="28"/>
          <w:szCs w:val="28"/>
        </w:rPr>
        <w:t xml:space="preserve">The inscriptions of the high priest </w:t>
      </w:r>
      <w:proofErr w:type="spellStart"/>
      <w:r w:rsidRPr="0099652B">
        <w:rPr>
          <w:rFonts w:eastAsia="Arial"/>
          <w:sz w:val="28"/>
          <w:szCs w:val="28"/>
        </w:rPr>
        <w:t>Kirdēr</w:t>
      </w:r>
      <w:proofErr w:type="spellEnd"/>
      <w:r w:rsidRPr="0099652B">
        <w:rPr>
          <w:rFonts w:eastAsia="Arial"/>
          <w:sz w:val="28"/>
          <w:szCs w:val="28"/>
        </w:rPr>
        <w:t xml:space="preserve">, carved during the reign of </w:t>
      </w:r>
      <w:proofErr w:type="spellStart"/>
      <w:r w:rsidRPr="0099652B">
        <w:rPr>
          <w:rFonts w:eastAsia="Arial"/>
          <w:sz w:val="28"/>
          <w:szCs w:val="28"/>
        </w:rPr>
        <w:t>Wahrām</w:t>
      </w:r>
      <w:proofErr w:type="spellEnd"/>
      <w:r w:rsidRPr="0099652B">
        <w:rPr>
          <w:rFonts w:eastAsia="Arial"/>
          <w:sz w:val="28"/>
          <w:szCs w:val="28"/>
        </w:rPr>
        <w:t xml:space="preserve"> II (about 276–293 CE), are the only Iranian evidence among the four bodies that describes a tribunal. In the vision </w:t>
      </w:r>
      <w:proofErr w:type="spellStart"/>
      <w:r w:rsidRPr="0099652B">
        <w:rPr>
          <w:rFonts w:eastAsia="Arial"/>
          <w:sz w:val="28"/>
          <w:szCs w:val="28"/>
        </w:rPr>
        <w:t>Kirdēr</w:t>
      </w:r>
      <w:proofErr w:type="spellEnd"/>
      <w:r w:rsidRPr="0099652B">
        <w:rPr>
          <w:rFonts w:eastAsia="Arial"/>
          <w:sz w:val="28"/>
          <w:szCs w:val="28"/>
        </w:rPr>
        <w:t xml:space="preserve"> records, his double sees “a prince the color of dawn with a pair of scales before him, on which he is </w:t>
      </w:r>
      <w:r w:rsidRPr="0099652B">
        <w:rPr>
          <w:rFonts w:eastAsia="Arial"/>
          <w:sz w:val="28"/>
          <w:szCs w:val="28"/>
        </w:rPr>
        <w:lastRenderedPageBreak/>
        <w:t xml:space="preserve">weighing,” a figure generally identified as </w:t>
      </w:r>
      <w:proofErr w:type="spellStart"/>
      <w:r w:rsidRPr="0099652B">
        <w:rPr>
          <w:rFonts w:eastAsia="Arial"/>
          <w:sz w:val="28"/>
          <w:szCs w:val="28"/>
        </w:rPr>
        <w:t>Rašn</w:t>
      </w:r>
      <w:proofErr w:type="spellEnd"/>
      <w:r w:rsidRPr="0099652B">
        <w:rPr>
          <w:rFonts w:eastAsia="Arial"/>
          <w:sz w:val="28"/>
          <w:szCs w:val="28"/>
        </w:rPr>
        <w:t xml:space="preserve">, the judge of the dead in later tradition. The double then comes to a bridge over a bottomless pit, and the vision separates the righteous, who pass to paradise, from the wicked, who go to hell. Each element the criterion requires is present or directly implied. There is a divine judge. There is a proceeding, the weighing, in which the deeds of the dead are set against one another. The weighing presupposes that evil deeds may be found against the soul, which makes accusation possible. A verdict follows, since the outcome of the weighing determines whether the soul crosses </w:t>
      </w:r>
      <w:proofErr w:type="gramStart"/>
      <w:r w:rsidRPr="0099652B">
        <w:rPr>
          <w:rFonts w:eastAsia="Arial"/>
          <w:sz w:val="28"/>
          <w:szCs w:val="28"/>
        </w:rPr>
        <w:t>to</w:t>
      </w:r>
      <w:proofErr w:type="gramEnd"/>
      <w:r w:rsidRPr="0099652B">
        <w:rPr>
          <w:rFonts w:eastAsia="Arial"/>
          <w:sz w:val="28"/>
          <w:szCs w:val="28"/>
        </w:rPr>
        <w:t xml:space="preserve"> paradise or falls into the pit. The balance itself is the strongest kind of forensic imagery, the same image that stands at the center of the Egyptian judgment scene. The inscriptions meet Criterion 2.</w:t>
      </w:r>
    </w:p>
    <w:p w14:paraId="3B5DB2A3"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Conclusion</w:t>
      </w:r>
    </w:p>
    <w:p w14:paraId="149ADEB3" w14:textId="77777777" w:rsidR="00E50D13" w:rsidRPr="0099652B" w:rsidRDefault="000625B7" w:rsidP="00E50D13">
      <w:pPr>
        <w:spacing w:line="480" w:lineRule="auto"/>
        <w:ind w:firstLine="720"/>
        <w:rPr>
          <w:rFonts w:eastAsia="Arial"/>
          <w:sz w:val="28"/>
          <w:szCs w:val="28"/>
        </w:rPr>
      </w:pPr>
      <w:r w:rsidRPr="0099652B">
        <w:rPr>
          <w:rFonts w:eastAsia="Arial"/>
          <w:sz w:val="28"/>
          <w:szCs w:val="28"/>
        </w:rPr>
        <w:t>O</w:t>
      </w:r>
      <w:r w:rsidR="00E50D13" w:rsidRPr="0099652B">
        <w:rPr>
          <w:rFonts w:eastAsia="Arial"/>
          <w:sz w:val="28"/>
          <w:szCs w:val="28"/>
        </w:rPr>
        <w:t xml:space="preserve">nly </w:t>
      </w:r>
      <w:proofErr w:type="spellStart"/>
      <w:r w:rsidR="00E50D13" w:rsidRPr="0099652B">
        <w:rPr>
          <w:rFonts w:eastAsia="Arial"/>
          <w:sz w:val="28"/>
          <w:szCs w:val="28"/>
        </w:rPr>
        <w:t>Kirdēr’s</w:t>
      </w:r>
      <w:proofErr w:type="spellEnd"/>
      <w:r w:rsidR="00E50D13" w:rsidRPr="0099652B">
        <w:rPr>
          <w:rFonts w:eastAsia="Arial"/>
          <w:sz w:val="28"/>
          <w:szCs w:val="28"/>
        </w:rPr>
        <w:t xml:space="preserve"> inscriptions meet Criterion 2. They describe a divine judge, a weighing of deeds, and a verdict that divides the righteous from the wicked.</w:t>
      </w:r>
    </w:p>
    <w:p w14:paraId="145E3772"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Criterion Three: Moral Determination of the Outcome (verdict)</w:t>
      </w:r>
    </w:p>
    <w:p w14:paraId="7D81CFA6" w14:textId="77777777" w:rsidR="00E50D13" w:rsidRPr="0099652B" w:rsidRDefault="000625B7" w:rsidP="00E50D13">
      <w:pPr>
        <w:spacing w:line="480" w:lineRule="auto"/>
        <w:ind w:firstLine="720"/>
        <w:rPr>
          <w:rFonts w:eastAsia="Arial"/>
          <w:sz w:val="28"/>
          <w:szCs w:val="28"/>
        </w:rPr>
      </w:pPr>
      <w:r w:rsidRPr="0099652B">
        <w:rPr>
          <w:rFonts w:eastAsia="Arial"/>
          <w:sz w:val="28"/>
          <w:szCs w:val="28"/>
        </w:rPr>
        <w:t xml:space="preserve">Criterion 3 requires that the verdict </w:t>
      </w:r>
      <w:proofErr w:type="gramStart"/>
      <w:r w:rsidRPr="0099652B">
        <w:rPr>
          <w:rFonts w:eastAsia="Arial"/>
          <w:sz w:val="28"/>
          <w:szCs w:val="28"/>
        </w:rPr>
        <w:t>depend</w:t>
      </w:r>
      <w:proofErr w:type="gramEnd"/>
      <w:r w:rsidRPr="0099652B">
        <w:rPr>
          <w:rFonts w:eastAsia="Arial"/>
          <w:sz w:val="28"/>
          <w:szCs w:val="28"/>
        </w:rPr>
        <w:t xml:space="preserve"> on the ethical quality of conduct in life, not solely on status, correct burial, the diligence of descendants, or ritual knowledge. Moral considerations need not be exclusive, since they coexist with ritual ones in every tradition, but they must operate independently and be explicitly stated.</w:t>
      </w:r>
    </w:p>
    <w:p w14:paraId="78081F31"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lastRenderedPageBreak/>
        <w:t>The royal inscriptions of the Achaemenid kings</w:t>
      </w:r>
    </w:p>
    <w:p w14:paraId="6AA19FCC" w14:textId="77777777" w:rsidR="00E50D13" w:rsidRPr="0099652B" w:rsidRDefault="00E50D13" w:rsidP="00E50D13">
      <w:pPr>
        <w:spacing w:line="480" w:lineRule="auto"/>
        <w:ind w:firstLine="720"/>
        <w:rPr>
          <w:rFonts w:eastAsia="Arial"/>
          <w:sz w:val="28"/>
          <w:szCs w:val="28"/>
        </w:rPr>
      </w:pPr>
      <w:r w:rsidRPr="0099652B">
        <w:rPr>
          <w:rFonts w:eastAsia="Arial"/>
          <w:sz w:val="28"/>
          <w:szCs w:val="28"/>
        </w:rPr>
        <w:t xml:space="preserve">The two inscriptions must be distinguished because they state different conditions. In the fifth column of the </w:t>
      </w:r>
      <w:proofErr w:type="spellStart"/>
      <w:r w:rsidRPr="0099652B">
        <w:rPr>
          <w:rFonts w:eastAsia="Arial"/>
          <w:sz w:val="28"/>
          <w:szCs w:val="28"/>
        </w:rPr>
        <w:t>Behistun</w:t>
      </w:r>
      <w:proofErr w:type="spellEnd"/>
      <w:r w:rsidRPr="0099652B">
        <w:rPr>
          <w:rFonts w:eastAsia="Arial"/>
          <w:sz w:val="28"/>
          <w:szCs w:val="28"/>
        </w:rPr>
        <w:t xml:space="preserve"> inscription, dated about 519 BCE, Darius I promises blessing "both while living and when dead" to whoever worships </w:t>
      </w:r>
      <w:proofErr w:type="spellStart"/>
      <w:r w:rsidRPr="0099652B">
        <w:rPr>
          <w:rFonts w:eastAsia="Arial"/>
          <w:sz w:val="28"/>
          <w:szCs w:val="28"/>
        </w:rPr>
        <w:t>Ahuramazda</w:t>
      </w:r>
      <w:proofErr w:type="spellEnd"/>
      <w:r w:rsidRPr="0099652B">
        <w:rPr>
          <w:rFonts w:eastAsia="Arial"/>
          <w:sz w:val="28"/>
          <w:szCs w:val="28"/>
        </w:rPr>
        <w:t xml:space="preserve">. The condition is worship. It is religious and cultic, and nothing in the passage makes it moral. Elsewhere in the same inscription, Darius insists on his own righteousness, declaring that he followed no lie and did no wrong. But those declarations justify his earthly rule and are not linked to anyone's fate after death. </w:t>
      </w:r>
      <w:r w:rsidR="000625B7" w:rsidRPr="0099652B">
        <w:rPr>
          <w:rFonts w:eastAsia="Arial"/>
          <w:sz w:val="28"/>
          <w:szCs w:val="28"/>
        </w:rPr>
        <w:t>T</w:t>
      </w:r>
      <w:r w:rsidRPr="0099652B">
        <w:rPr>
          <w:rFonts w:eastAsia="Arial"/>
          <w:sz w:val="28"/>
          <w:szCs w:val="28"/>
        </w:rPr>
        <w:t xml:space="preserve">he </w:t>
      </w:r>
      <w:proofErr w:type="spellStart"/>
      <w:r w:rsidRPr="0099652B">
        <w:rPr>
          <w:rFonts w:eastAsia="Arial"/>
          <w:sz w:val="28"/>
          <w:szCs w:val="28"/>
        </w:rPr>
        <w:t>Behistun</w:t>
      </w:r>
      <w:proofErr w:type="spellEnd"/>
      <w:r w:rsidRPr="0099652B">
        <w:rPr>
          <w:rFonts w:eastAsia="Arial"/>
          <w:sz w:val="28"/>
          <w:szCs w:val="28"/>
        </w:rPr>
        <w:t xml:space="preserve"> inscription does not meet Criterion 3. </w:t>
      </w:r>
    </w:p>
    <w:p w14:paraId="557C3ED5" w14:textId="77777777" w:rsidR="00E50D13" w:rsidRPr="0099652B" w:rsidRDefault="00E50D13" w:rsidP="00E50D13">
      <w:pPr>
        <w:spacing w:line="480" w:lineRule="auto"/>
        <w:ind w:firstLine="720"/>
        <w:rPr>
          <w:rFonts w:eastAsia="Arial"/>
          <w:sz w:val="28"/>
          <w:szCs w:val="28"/>
        </w:rPr>
      </w:pPr>
      <w:r w:rsidRPr="0099652B">
        <w:rPr>
          <w:rFonts w:eastAsia="Arial"/>
          <w:sz w:val="28"/>
          <w:szCs w:val="28"/>
        </w:rPr>
        <w:t xml:space="preserve">Xerxes' Daiva inscription, dated about 486–480 BCE, goes further. Blessedness after death is promised to "the man who has respect for that law that </w:t>
      </w:r>
      <w:proofErr w:type="spellStart"/>
      <w:r w:rsidRPr="0099652B">
        <w:rPr>
          <w:rFonts w:eastAsia="Arial"/>
          <w:sz w:val="28"/>
          <w:szCs w:val="28"/>
        </w:rPr>
        <w:t>Ahuramazda</w:t>
      </w:r>
      <w:proofErr w:type="spellEnd"/>
      <w:r w:rsidRPr="0099652B">
        <w:rPr>
          <w:rFonts w:eastAsia="Arial"/>
          <w:sz w:val="28"/>
          <w:szCs w:val="28"/>
        </w:rPr>
        <w:t xml:space="preserve"> has established and worships </w:t>
      </w:r>
      <w:proofErr w:type="spellStart"/>
      <w:r w:rsidRPr="0099652B">
        <w:rPr>
          <w:rFonts w:eastAsia="Arial"/>
          <w:sz w:val="28"/>
          <w:szCs w:val="28"/>
        </w:rPr>
        <w:t>Ahuramazda</w:t>
      </w:r>
      <w:proofErr w:type="spellEnd"/>
      <w:r w:rsidRPr="0099652B">
        <w:rPr>
          <w:rFonts w:eastAsia="Arial"/>
          <w:sz w:val="28"/>
          <w:szCs w:val="28"/>
        </w:rPr>
        <w:t xml:space="preserve"> at the proper time and in the proper manner" (</w:t>
      </w:r>
      <w:proofErr w:type="spellStart"/>
      <w:r w:rsidRPr="0099652B">
        <w:rPr>
          <w:rFonts w:eastAsia="Arial"/>
          <w:sz w:val="28"/>
          <w:szCs w:val="28"/>
        </w:rPr>
        <w:t>XPh</w:t>
      </w:r>
      <w:proofErr w:type="spellEnd"/>
      <w:r w:rsidRPr="0099652B">
        <w:rPr>
          <w:rFonts w:eastAsia="Arial"/>
          <w:sz w:val="28"/>
          <w:szCs w:val="28"/>
        </w:rPr>
        <w:t xml:space="preserve">; Kent 1953). Two conditions are stated side by side. The second, correct worship, is cultic. The first, respect for the law the god has established, is an ethical standard, and the word used for the blessed dead confirms it: </w:t>
      </w:r>
      <w:proofErr w:type="spellStart"/>
      <w:r w:rsidRPr="0099652B">
        <w:rPr>
          <w:rFonts w:eastAsia="Arial"/>
          <w:sz w:val="28"/>
          <w:szCs w:val="28"/>
        </w:rPr>
        <w:t>artāvan</w:t>
      </w:r>
      <w:proofErr w:type="spellEnd"/>
      <w:r w:rsidRPr="0099652B">
        <w:rPr>
          <w:rFonts w:eastAsia="Arial"/>
          <w:sz w:val="28"/>
          <w:szCs w:val="28"/>
        </w:rPr>
        <w:t xml:space="preserve">, "possessing </w:t>
      </w:r>
      <w:proofErr w:type="spellStart"/>
      <w:r w:rsidRPr="0099652B">
        <w:rPr>
          <w:rFonts w:eastAsia="Arial"/>
          <w:sz w:val="28"/>
          <w:szCs w:val="28"/>
        </w:rPr>
        <w:t>arta</w:t>
      </w:r>
      <w:proofErr w:type="spellEnd"/>
      <w:r w:rsidRPr="0099652B">
        <w:rPr>
          <w:rFonts w:eastAsia="Arial"/>
          <w:sz w:val="28"/>
          <w:szCs w:val="28"/>
        </w:rPr>
        <w:t xml:space="preserve">," the Old Persian form of the </w:t>
      </w:r>
      <w:proofErr w:type="spellStart"/>
      <w:r w:rsidRPr="0099652B">
        <w:rPr>
          <w:rFonts w:eastAsia="Arial"/>
          <w:sz w:val="28"/>
          <w:szCs w:val="28"/>
        </w:rPr>
        <w:t>Avestan</w:t>
      </w:r>
      <w:proofErr w:type="spellEnd"/>
      <w:r w:rsidRPr="0099652B">
        <w:rPr>
          <w:rFonts w:eastAsia="Arial"/>
          <w:sz w:val="28"/>
          <w:szCs w:val="28"/>
        </w:rPr>
        <w:t xml:space="preserve"> </w:t>
      </w:r>
      <w:proofErr w:type="spellStart"/>
      <w:r w:rsidRPr="0099652B">
        <w:rPr>
          <w:rFonts w:eastAsia="Arial"/>
          <w:sz w:val="28"/>
          <w:szCs w:val="28"/>
        </w:rPr>
        <w:t>aša</w:t>
      </w:r>
      <w:proofErr w:type="spellEnd"/>
      <w:r w:rsidRPr="0099652B">
        <w:rPr>
          <w:rFonts w:eastAsia="Arial"/>
          <w:sz w:val="28"/>
          <w:szCs w:val="28"/>
        </w:rPr>
        <w:t xml:space="preserve">, the principle of truth and right order that stands at the center of Iranian ethics. The righteous man is blessed in death because he has lived in alignment with truth. The moral condition is stated explicitly and independently of the cultic one, as a separate clause rather than a description of ritual. One may object that the god's law could </w:t>
      </w:r>
      <w:r w:rsidRPr="0099652B">
        <w:rPr>
          <w:rFonts w:eastAsia="Arial"/>
          <w:sz w:val="28"/>
          <w:szCs w:val="28"/>
        </w:rPr>
        <w:lastRenderedPageBreak/>
        <w:t xml:space="preserve">include ritual obligations as well as ethical ones, but the association with </w:t>
      </w:r>
      <w:proofErr w:type="spellStart"/>
      <w:r w:rsidRPr="0099652B">
        <w:rPr>
          <w:rFonts w:eastAsia="Arial"/>
          <w:sz w:val="28"/>
          <w:szCs w:val="28"/>
        </w:rPr>
        <w:t>arta</w:t>
      </w:r>
      <w:proofErr w:type="spellEnd"/>
      <w:r w:rsidRPr="0099652B">
        <w:rPr>
          <w:rFonts w:eastAsia="Arial"/>
          <w:sz w:val="28"/>
          <w:szCs w:val="28"/>
        </w:rPr>
        <w:t xml:space="preserve"> makes the ethical sense unmistakable. The Daiva inscription meets Criterion 3.</w:t>
      </w:r>
    </w:p>
    <w:p w14:paraId="1A835689"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 xml:space="preserve">The inscriptions of </w:t>
      </w:r>
      <w:proofErr w:type="spellStart"/>
      <w:r w:rsidRPr="0099652B">
        <w:rPr>
          <w:rFonts w:eastAsia="Arial"/>
          <w:i/>
          <w:iCs/>
          <w:sz w:val="28"/>
          <w:szCs w:val="28"/>
          <w:u w:val="single"/>
        </w:rPr>
        <w:t>Kirdēr</w:t>
      </w:r>
      <w:proofErr w:type="spellEnd"/>
    </w:p>
    <w:p w14:paraId="3B9B817D" w14:textId="77777777" w:rsidR="00E50D13" w:rsidRPr="0099652B" w:rsidRDefault="00E50D13" w:rsidP="000625B7">
      <w:pPr>
        <w:spacing w:line="480" w:lineRule="auto"/>
        <w:ind w:firstLine="720"/>
        <w:rPr>
          <w:sz w:val="28"/>
          <w:szCs w:val="28"/>
        </w:rPr>
      </w:pPr>
      <w:r w:rsidRPr="0099652B">
        <w:rPr>
          <w:rFonts w:eastAsia="Arial"/>
          <w:sz w:val="28"/>
          <w:szCs w:val="28"/>
        </w:rPr>
        <w:t xml:space="preserve">The inscriptions of the high priest </w:t>
      </w:r>
      <w:proofErr w:type="spellStart"/>
      <w:r w:rsidRPr="0099652B">
        <w:rPr>
          <w:rFonts w:eastAsia="Arial"/>
          <w:sz w:val="28"/>
          <w:szCs w:val="28"/>
        </w:rPr>
        <w:t>Kirdēr</w:t>
      </w:r>
      <w:proofErr w:type="spellEnd"/>
      <w:r w:rsidRPr="0099652B">
        <w:rPr>
          <w:rFonts w:eastAsia="Arial"/>
          <w:sz w:val="28"/>
          <w:szCs w:val="28"/>
        </w:rPr>
        <w:t xml:space="preserve">, carved during the reign of </w:t>
      </w:r>
      <w:proofErr w:type="spellStart"/>
      <w:r w:rsidRPr="0099652B">
        <w:rPr>
          <w:rFonts w:eastAsia="Arial"/>
          <w:sz w:val="28"/>
          <w:szCs w:val="28"/>
        </w:rPr>
        <w:t>Wahrām</w:t>
      </w:r>
      <w:proofErr w:type="spellEnd"/>
      <w:r w:rsidRPr="0099652B">
        <w:rPr>
          <w:rFonts w:eastAsia="Arial"/>
          <w:sz w:val="28"/>
          <w:szCs w:val="28"/>
        </w:rPr>
        <w:t xml:space="preserve"> II, about 276–293 CE, make the verdict's moral basis explicit. </w:t>
      </w:r>
      <w:proofErr w:type="spellStart"/>
      <w:r w:rsidRPr="0099652B">
        <w:rPr>
          <w:rFonts w:eastAsia="Arial"/>
          <w:sz w:val="28"/>
          <w:szCs w:val="28"/>
        </w:rPr>
        <w:t>Kirdēr</w:t>
      </w:r>
      <w:proofErr w:type="spellEnd"/>
      <w:r w:rsidRPr="0099652B">
        <w:rPr>
          <w:rFonts w:eastAsia="Arial"/>
          <w:sz w:val="28"/>
          <w:szCs w:val="28"/>
        </w:rPr>
        <w:t xml:space="preserve"> records that he asked the gods for a sign to confirm that paradise and hell exist as the final abodes of the good and the bad (</w:t>
      </w:r>
      <w:proofErr w:type="spellStart"/>
      <w:r w:rsidRPr="0099652B">
        <w:rPr>
          <w:rFonts w:eastAsia="Arial"/>
          <w:sz w:val="28"/>
          <w:szCs w:val="28"/>
        </w:rPr>
        <w:t>Skjærvø</w:t>
      </w:r>
      <w:proofErr w:type="spellEnd"/>
      <w:r w:rsidRPr="0099652B">
        <w:rPr>
          <w:rFonts w:eastAsia="Arial"/>
          <w:sz w:val="28"/>
          <w:szCs w:val="28"/>
        </w:rPr>
        <w:t xml:space="preserve"> 1983). His vision separates the righteous (</w:t>
      </w:r>
      <w:proofErr w:type="spellStart"/>
      <w:r w:rsidRPr="0099652B">
        <w:rPr>
          <w:rFonts w:eastAsia="Arial"/>
          <w:i/>
          <w:iCs/>
          <w:sz w:val="28"/>
          <w:szCs w:val="28"/>
        </w:rPr>
        <w:t>ahlaw</w:t>
      </w:r>
      <w:proofErr w:type="spellEnd"/>
      <w:r w:rsidRPr="0099652B">
        <w:rPr>
          <w:rFonts w:eastAsia="Arial"/>
          <w:sz w:val="28"/>
          <w:szCs w:val="28"/>
        </w:rPr>
        <w:t>), who go to paradise, from the wicked (</w:t>
      </w:r>
      <w:proofErr w:type="spellStart"/>
      <w:r w:rsidRPr="0099652B">
        <w:rPr>
          <w:rFonts w:eastAsia="Arial"/>
          <w:i/>
          <w:iCs/>
          <w:sz w:val="28"/>
          <w:szCs w:val="28"/>
        </w:rPr>
        <w:t>druwand</w:t>
      </w:r>
      <w:proofErr w:type="spellEnd"/>
      <w:r w:rsidRPr="0099652B">
        <w:rPr>
          <w:rFonts w:eastAsia="Arial"/>
          <w:sz w:val="28"/>
          <w:szCs w:val="28"/>
        </w:rPr>
        <w:t xml:space="preserve">), who go to hell, and at its center stands a judge weighing deeds on a pair of scales. The two terms are moral categories: </w:t>
      </w:r>
      <w:proofErr w:type="spellStart"/>
      <w:r w:rsidRPr="0099652B">
        <w:rPr>
          <w:rFonts w:eastAsia="Arial"/>
          <w:i/>
          <w:iCs/>
          <w:sz w:val="28"/>
          <w:szCs w:val="28"/>
        </w:rPr>
        <w:t>ahlaw</w:t>
      </w:r>
      <w:proofErr w:type="spellEnd"/>
      <w:r w:rsidRPr="0099652B">
        <w:rPr>
          <w:rFonts w:eastAsia="Arial"/>
          <w:sz w:val="28"/>
          <w:szCs w:val="28"/>
        </w:rPr>
        <w:t xml:space="preserve"> is the Middle Persian descendant of the </w:t>
      </w:r>
      <w:proofErr w:type="spellStart"/>
      <w:r w:rsidRPr="0099652B">
        <w:rPr>
          <w:rFonts w:eastAsia="Arial"/>
          <w:sz w:val="28"/>
          <w:szCs w:val="28"/>
        </w:rPr>
        <w:t>Avestan</w:t>
      </w:r>
      <w:proofErr w:type="spellEnd"/>
      <w:r w:rsidRPr="0099652B">
        <w:rPr>
          <w:rFonts w:eastAsia="Arial"/>
          <w:sz w:val="28"/>
          <w:szCs w:val="28"/>
        </w:rPr>
        <w:t xml:space="preserve"> word for one who possesses </w:t>
      </w:r>
      <w:proofErr w:type="spellStart"/>
      <w:r w:rsidRPr="0099652B">
        <w:rPr>
          <w:rFonts w:eastAsia="Arial"/>
          <w:i/>
          <w:iCs/>
          <w:sz w:val="28"/>
          <w:szCs w:val="28"/>
        </w:rPr>
        <w:t>aša</w:t>
      </w:r>
      <w:proofErr w:type="spellEnd"/>
      <w:r w:rsidRPr="0099652B">
        <w:rPr>
          <w:rFonts w:eastAsia="Arial"/>
          <w:sz w:val="28"/>
          <w:szCs w:val="28"/>
        </w:rPr>
        <w:t xml:space="preserve">, and </w:t>
      </w:r>
      <w:proofErr w:type="spellStart"/>
      <w:r w:rsidRPr="0099652B">
        <w:rPr>
          <w:rFonts w:eastAsia="Arial"/>
          <w:i/>
          <w:iCs/>
          <w:sz w:val="28"/>
          <w:szCs w:val="28"/>
        </w:rPr>
        <w:t>druwand</w:t>
      </w:r>
      <w:proofErr w:type="spellEnd"/>
      <w:r w:rsidRPr="0099652B">
        <w:rPr>
          <w:rFonts w:eastAsia="Arial"/>
          <w:sz w:val="28"/>
          <w:szCs w:val="28"/>
        </w:rPr>
        <w:t xml:space="preserve"> denotes a follower of the Lie. The weighing, in which good and evil deeds are set against one another, makes the verdict turn directly on conduct. </w:t>
      </w:r>
      <w:proofErr w:type="spellStart"/>
      <w:r w:rsidRPr="0099652B">
        <w:rPr>
          <w:rFonts w:eastAsia="Arial"/>
          <w:sz w:val="28"/>
          <w:szCs w:val="28"/>
        </w:rPr>
        <w:t>Kirdēr</w:t>
      </w:r>
      <w:proofErr w:type="spellEnd"/>
      <w:r w:rsidRPr="0099652B">
        <w:rPr>
          <w:rFonts w:eastAsia="Arial"/>
          <w:sz w:val="28"/>
          <w:szCs w:val="28"/>
        </w:rPr>
        <w:t xml:space="preserve"> also presents his vision as confirming that the rites he promoted were correct, so ritual considerations are present alongside moral ones, as the criterion allows. But the moral consideration is independently operative and explicitly stated. The inscriptions meet </w:t>
      </w:r>
      <w:r w:rsidRPr="0099652B">
        <w:rPr>
          <w:rFonts w:eastAsia="Arial"/>
          <w:i/>
          <w:iCs/>
          <w:sz w:val="28"/>
          <w:szCs w:val="28"/>
          <w:u w:val="single"/>
        </w:rPr>
        <w:t>Criterion 3</w:t>
      </w:r>
      <w:r w:rsidR="000625B7" w:rsidRPr="0099652B">
        <w:rPr>
          <w:rFonts w:eastAsia="Arial"/>
          <w:i/>
          <w:iCs/>
          <w:sz w:val="28"/>
          <w:szCs w:val="28"/>
          <w:u w:val="single"/>
        </w:rPr>
        <w:t xml:space="preserve"> </w:t>
      </w:r>
      <w:r w:rsidRPr="0099652B">
        <w:rPr>
          <w:rFonts w:eastAsia="Arial"/>
          <w:i/>
          <w:iCs/>
          <w:sz w:val="28"/>
          <w:szCs w:val="28"/>
          <w:u w:val="single"/>
        </w:rPr>
        <w:t xml:space="preserve">Conclusion </w:t>
      </w:r>
    </w:p>
    <w:p w14:paraId="57C36955" w14:textId="77777777" w:rsidR="00E50D13" w:rsidRPr="0099652B" w:rsidRDefault="00E50D13" w:rsidP="00E50D13">
      <w:pPr>
        <w:spacing w:line="480" w:lineRule="auto"/>
        <w:ind w:firstLine="720"/>
        <w:rPr>
          <w:rFonts w:eastAsia="Arial"/>
          <w:sz w:val="28"/>
          <w:szCs w:val="28"/>
        </w:rPr>
      </w:pPr>
      <w:r w:rsidRPr="0099652B">
        <w:rPr>
          <w:rFonts w:eastAsia="Arial"/>
          <w:sz w:val="28"/>
          <w:szCs w:val="28"/>
        </w:rPr>
        <w:t xml:space="preserve">Xerxes’ Daiva and </w:t>
      </w:r>
      <w:proofErr w:type="spellStart"/>
      <w:r w:rsidRPr="0099652B">
        <w:rPr>
          <w:rFonts w:eastAsia="Arial"/>
          <w:sz w:val="28"/>
          <w:szCs w:val="28"/>
        </w:rPr>
        <w:t>Kirdēr’s</w:t>
      </w:r>
      <w:proofErr w:type="spellEnd"/>
      <w:r w:rsidRPr="0099652B">
        <w:rPr>
          <w:rFonts w:eastAsia="Arial"/>
          <w:sz w:val="28"/>
          <w:szCs w:val="28"/>
        </w:rPr>
        <w:t xml:space="preserve"> inscriptions</w:t>
      </w:r>
      <w:r w:rsidR="000625B7" w:rsidRPr="0099652B">
        <w:rPr>
          <w:rFonts w:eastAsia="Arial"/>
          <w:sz w:val="28"/>
          <w:szCs w:val="28"/>
        </w:rPr>
        <w:t xml:space="preserve"> meet Criterion 3</w:t>
      </w:r>
      <w:r w:rsidRPr="0099652B">
        <w:rPr>
          <w:rFonts w:eastAsia="Arial"/>
          <w:sz w:val="28"/>
          <w:szCs w:val="28"/>
        </w:rPr>
        <w:t xml:space="preserve">. Xerxes’ Daiva inscription, of about 486–480 BCE, is the earliest. It makes blessedness after death depend on respect for the law of </w:t>
      </w:r>
      <w:proofErr w:type="spellStart"/>
      <w:r w:rsidRPr="0099652B">
        <w:rPr>
          <w:rFonts w:eastAsia="Arial"/>
          <w:sz w:val="28"/>
          <w:szCs w:val="28"/>
        </w:rPr>
        <w:t>Ahuramazda</w:t>
      </w:r>
      <w:proofErr w:type="spellEnd"/>
      <w:r w:rsidRPr="0099652B">
        <w:rPr>
          <w:rFonts w:eastAsia="Arial"/>
          <w:sz w:val="28"/>
          <w:szCs w:val="28"/>
        </w:rPr>
        <w:t xml:space="preserve"> and on possessing </w:t>
      </w:r>
      <w:proofErr w:type="spellStart"/>
      <w:r w:rsidRPr="0099652B">
        <w:rPr>
          <w:rFonts w:eastAsia="Arial"/>
          <w:i/>
          <w:iCs/>
          <w:sz w:val="28"/>
          <w:szCs w:val="28"/>
        </w:rPr>
        <w:t>arta</w:t>
      </w:r>
      <w:proofErr w:type="spellEnd"/>
      <w:r w:rsidRPr="0099652B">
        <w:rPr>
          <w:rFonts w:eastAsia="Arial"/>
          <w:sz w:val="28"/>
          <w:szCs w:val="28"/>
        </w:rPr>
        <w:t xml:space="preserve">, stating an ethical condition explicitly alongside a cultic one. </w:t>
      </w:r>
      <w:proofErr w:type="spellStart"/>
      <w:r w:rsidRPr="0099652B">
        <w:rPr>
          <w:rFonts w:eastAsia="Arial"/>
          <w:sz w:val="28"/>
          <w:szCs w:val="28"/>
        </w:rPr>
        <w:t>Kirdēr’s</w:t>
      </w:r>
      <w:proofErr w:type="spellEnd"/>
      <w:r w:rsidRPr="0099652B">
        <w:rPr>
          <w:rFonts w:eastAsia="Arial"/>
          <w:sz w:val="28"/>
          <w:szCs w:val="28"/>
        </w:rPr>
        <w:t xml:space="preserve"> inscriptions, from about </w:t>
      </w:r>
      <w:r w:rsidRPr="0099652B">
        <w:rPr>
          <w:rFonts w:eastAsia="Arial"/>
          <w:sz w:val="28"/>
          <w:szCs w:val="28"/>
        </w:rPr>
        <w:lastRenderedPageBreak/>
        <w:t>276–293 CE, state the principle in its developed form, dividing the righteous from the wicked and deciding between them by weighing deeds.</w:t>
      </w:r>
    </w:p>
    <w:p w14:paraId="7EACC24F"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Criterion Four: Divergent Eternal Destinies</w:t>
      </w:r>
    </w:p>
    <w:p w14:paraId="44A74823" w14:textId="77777777" w:rsidR="00E50D13" w:rsidRPr="0099652B" w:rsidRDefault="00E50D13" w:rsidP="00E50D13">
      <w:pPr>
        <w:spacing w:line="480" w:lineRule="auto"/>
        <w:ind w:firstLine="720"/>
        <w:rPr>
          <w:rFonts w:eastAsia="Arial"/>
          <w:sz w:val="28"/>
          <w:szCs w:val="28"/>
        </w:rPr>
      </w:pPr>
      <w:r w:rsidRPr="0099652B">
        <w:rPr>
          <w:rFonts w:eastAsia="Arial"/>
          <w:sz w:val="28"/>
          <w:szCs w:val="28"/>
        </w:rPr>
        <w:t xml:space="preserve">Criterion 4 requires a consequential divergence of outcomes: vindication </w:t>
      </w:r>
      <w:r w:rsidR="00A47D3A" w:rsidRPr="0099652B">
        <w:rPr>
          <w:rFonts w:eastAsia="Arial"/>
          <w:sz w:val="28"/>
          <w:szCs w:val="28"/>
        </w:rPr>
        <w:t>leading to enhanced life and condemnation to</w:t>
      </w:r>
      <w:r w:rsidRPr="0099652B">
        <w:rPr>
          <w:rFonts w:eastAsia="Arial"/>
          <w:sz w:val="28"/>
          <w:szCs w:val="28"/>
        </w:rPr>
        <w:t xml:space="preserve"> destruction, exclusion, or torment. A uniform afterlife fails, however much judgment language surrounds it, as does a system in which the unsuccessful merely fail to be improved.</w:t>
      </w:r>
    </w:p>
    <w:p w14:paraId="60872EDE"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 xml:space="preserve">The royal inscriptions of the Achaemenid kings </w:t>
      </w:r>
    </w:p>
    <w:p w14:paraId="3D1DF7C7" w14:textId="77777777" w:rsidR="00E50D13" w:rsidRPr="0099652B" w:rsidRDefault="00E50D13" w:rsidP="00E50D13">
      <w:pPr>
        <w:spacing w:line="480" w:lineRule="auto"/>
        <w:ind w:firstLine="720"/>
        <w:rPr>
          <w:rFonts w:eastAsia="Arial"/>
          <w:sz w:val="28"/>
          <w:szCs w:val="28"/>
        </w:rPr>
      </w:pPr>
      <w:r w:rsidRPr="0099652B">
        <w:rPr>
          <w:rFonts w:eastAsia="Arial"/>
          <w:sz w:val="28"/>
          <w:szCs w:val="28"/>
        </w:rPr>
        <w:t xml:space="preserve">Both inscriptions promise a postmortem blessing to the faithful and imply that others do not receive it, but neither specifies what happens to them. An absence of blessing may be no more than ordinary, unimproved survival, the very case the criterion excludes. </w:t>
      </w:r>
      <w:proofErr w:type="spellStart"/>
      <w:r w:rsidRPr="0099652B">
        <w:rPr>
          <w:rFonts w:eastAsia="Arial"/>
          <w:sz w:val="28"/>
          <w:szCs w:val="28"/>
        </w:rPr>
        <w:t>Behistun’s</w:t>
      </w:r>
      <w:proofErr w:type="spellEnd"/>
      <w:r w:rsidRPr="0099652B">
        <w:rPr>
          <w:rFonts w:eastAsia="Arial"/>
          <w:sz w:val="28"/>
          <w:szCs w:val="28"/>
        </w:rPr>
        <w:t xml:space="preserve"> threat against those who damage the inscription, that </w:t>
      </w:r>
      <w:proofErr w:type="spellStart"/>
      <w:r w:rsidRPr="0099652B">
        <w:rPr>
          <w:rFonts w:eastAsia="Arial"/>
          <w:sz w:val="28"/>
          <w:szCs w:val="28"/>
        </w:rPr>
        <w:t>Ahuramazda</w:t>
      </w:r>
      <w:proofErr w:type="spellEnd"/>
      <w:r w:rsidRPr="0099652B">
        <w:rPr>
          <w:rFonts w:eastAsia="Arial"/>
          <w:sz w:val="28"/>
          <w:szCs w:val="28"/>
        </w:rPr>
        <w:t xml:space="preserve"> will smite them and leave them without family, is a penalty in this life. The inscriptions imply a difference in the fate of the dead but describe no condemnation. </w:t>
      </w:r>
      <w:r w:rsidR="000625B7" w:rsidRPr="0099652B">
        <w:rPr>
          <w:rFonts w:eastAsia="Arial"/>
          <w:sz w:val="28"/>
          <w:szCs w:val="28"/>
        </w:rPr>
        <w:t>Neither inscription meets</w:t>
      </w:r>
      <w:r w:rsidRPr="0099652B">
        <w:rPr>
          <w:rFonts w:eastAsia="Arial"/>
          <w:sz w:val="28"/>
          <w:szCs w:val="28"/>
        </w:rPr>
        <w:t xml:space="preserve"> Criterion 4.</w:t>
      </w:r>
    </w:p>
    <w:p w14:paraId="41B7742B"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 xml:space="preserve">The inscriptions of </w:t>
      </w:r>
      <w:proofErr w:type="spellStart"/>
      <w:r w:rsidRPr="0099652B">
        <w:rPr>
          <w:rFonts w:eastAsia="Arial"/>
          <w:i/>
          <w:iCs/>
          <w:sz w:val="28"/>
          <w:szCs w:val="28"/>
          <w:u w:val="single"/>
        </w:rPr>
        <w:t>Kirdēr</w:t>
      </w:r>
      <w:proofErr w:type="spellEnd"/>
    </w:p>
    <w:p w14:paraId="35F07E86" w14:textId="77777777" w:rsidR="00E50D13" w:rsidRPr="0099652B" w:rsidRDefault="00E50D13" w:rsidP="00E50D13">
      <w:pPr>
        <w:spacing w:line="480" w:lineRule="auto"/>
        <w:ind w:firstLine="720"/>
        <w:rPr>
          <w:rFonts w:eastAsia="Arial"/>
          <w:sz w:val="28"/>
          <w:szCs w:val="28"/>
        </w:rPr>
      </w:pPr>
      <w:proofErr w:type="spellStart"/>
      <w:r w:rsidRPr="0099652B">
        <w:rPr>
          <w:rFonts w:eastAsia="Arial"/>
          <w:sz w:val="28"/>
          <w:szCs w:val="28"/>
        </w:rPr>
        <w:t>Kirdēr’s</w:t>
      </w:r>
      <w:proofErr w:type="spellEnd"/>
      <w:r w:rsidRPr="0099652B">
        <w:rPr>
          <w:rFonts w:eastAsia="Arial"/>
          <w:sz w:val="28"/>
          <w:szCs w:val="28"/>
        </w:rPr>
        <w:t xml:space="preserve"> inscriptions, carved during the reign of </w:t>
      </w:r>
      <w:proofErr w:type="spellStart"/>
      <w:r w:rsidRPr="0099652B">
        <w:rPr>
          <w:rFonts w:eastAsia="Arial"/>
          <w:sz w:val="28"/>
          <w:szCs w:val="28"/>
        </w:rPr>
        <w:t>Wahrām</w:t>
      </w:r>
      <w:proofErr w:type="spellEnd"/>
      <w:r w:rsidRPr="0099652B">
        <w:rPr>
          <w:rFonts w:eastAsia="Arial"/>
          <w:sz w:val="28"/>
          <w:szCs w:val="28"/>
        </w:rPr>
        <w:t xml:space="preserve"> II (about 276–293 CE), describe two sharply contrasting destinations. Seeking confirmation that paradise and hell are the final abodes of the good and the wicked, </w:t>
      </w:r>
      <w:proofErr w:type="spellStart"/>
      <w:r w:rsidRPr="0099652B">
        <w:rPr>
          <w:rFonts w:eastAsia="Arial"/>
          <w:sz w:val="28"/>
          <w:szCs w:val="28"/>
        </w:rPr>
        <w:t>Kirdēr</w:t>
      </w:r>
      <w:proofErr w:type="spellEnd"/>
      <w:r w:rsidRPr="0099652B">
        <w:rPr>
          <w:rFonts w:eastAsia="Arial"/>
          <w:sz w:val="28"/>
          <w:szCs w:val="28"/>
        </w:rPr>
        <w:t xml:space="preserve"> recounts a vision of both. Beneath the bridge lies “a bottomless well full of evil animals” for </w:t>
      </w:r>
      <w:r w:rsidRPr="0099652B">
        <w:rPr>
          <w:rFonts w:eastAsia="Arial"/>
          <w:sz w:val="28"/>
          <w:szCs w:val="28"/>
        </w:rPr>
        <w:lastRenderedPageBreak/>
        <w:t>the wicked; beyond it stands a palace with “golden thrones” and festive meals for the righteous. This contrast meets the criterion’s central requirement: vindication brings an enhanced, abundant life, whereas condemnation entails exclusion and torment rather than merely the absence of improvement. The inscriptions therefore meet Criterion 4. They do not, however, establish that this division is eternal. Although paradise and hell appear as final abodes, the texts do not say that the wicked remain in hell forever. Later Zoroastrian tradition teaches that hell will be purged at the world’s renovation. Thus, the inscriptions demonstrate a genuine and consequential divergence of destinies but leave their permanence unresolved.</w:t>
      </w:r>
    </w:p>
    <w:p w14:paraId="6632998B"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 xml:space="preserve">Conclusion </w:t>
      </w:r>
    </w:p>
    <w:p w14:paraId="3E39528C" w14:textId="77777777" w:rsidR="00E50D13" w:rsidRPr="0099652B" w:rsidRDefault="00E50D13" w:rsidP="00E50D13">
      <w:pPr>
        <w:spacing w:line="480" w:lineRule="auto"/>
        <w:ind w:firstLine="720"/>
        <w:rPr>
          <w:rFonts w:eastAsia="Arial"/>
          <w:sz w:val="28"/>
          <w:szCs w:val="28"/>
        </w:rPr>
      </w:pPr>
      <w:proofErr w:type="spellStart"/>
      <w:r w:rsidRPr="0099652B">
        <w:rPr>
          <w:rFonts w:eastAsia="Arial"/>
          <w:sz w:val="28"/>
          <w:szCs w:val="28"/>
        </w:rPr>
        <w:t>Kirdēr's</w:t>
      </w:r>
      <w:proofErr w:type="spellEnd"/>
      <w:r w:rsidRPr="0099652B">
        <w:rPr>
          <w:rFonts w:eastAsia="Arial"/>
          <w:sz w:val="28"/>
          <w:szCs w:val="28"/>
        </w:rPr>
        <w:t xml:space="preserve"> inscriptions describe two contrasting destinations, a palace of the blessed and a pit of </w:t>
      </w:r>
      <w:proofErr w:type="gramStart"/>
      <w:r w:rsidRPr="0099652B">
        <w:rPr>
          <w:rFonts w:eastAsia="Arial"/>
          <w:sz w:val="28"/>
          <w:szCs w:val="28"/>
        </w:rPr>
        <w:t>torment</w:t>
      </w:r>
      <w:r w:rsidR="004618E7" w:rsidRPr="0099652B">
        <w:rPr>
          <w:rFonts w:eastAsia="Arial"/>
          <w:sz w:val="28"/>
          <w:szCs w:val="28"/>
        </w:rPr>
        <w:t>,</w:t>
      </w:r>
      <w:r w:rsidRPr="0099652B">
        <w:rPr>
          <w:rFonts w:eastAsia="Arial"/>
          <w:sz w:val="28"/>
          <w:szCs w:val="28"/>
        </w:rPr>
        <w:t xml:space="preserve"> and</w:t>
      </w:r>
      <w:proofErr w:type="gramEnd"/>
      <w:r w:rsidRPr="0099652B">
        <w:rPr>
          <w:rFonts w:eastAsia="Arial"/>
          <w:sz w:val="28"/>
          <w:szCs w:val="28"/>
        </w:rPr>
        <w:t xml:space="preserve"> so establish a genuine and consequential divergence of destinies, though they leave open whether that divergence is eternal. </w:t>
      </w:r>
    </w:p>
    <w:p w14:paraId="382091A9"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Evidentiary Standards</w:t>
      </w:r>
    </w:p>
    <w:p w14:paraId="5480E133" w14:textId="77777777" w:rsidR="00E50D13" w:rsidRPr="0099652B" w:rsidRDefault="00E50D13" w:rsidP="00E50D13">
      <w:pPr>
        <w:spacing w:line="480" w:lineRule="auto"/>
        <w:ind w:firstLine="720"/>
        <w:rPr>
          <w:rFonts w:eastAsia="Arial"/>
          <w:b/>
          <w:bCs/>
          <w:sz w:val="28"/>
          <w:szCs w:val="28"/>
        </w:rPr>
      </w:pPr>
      <w:r w:rsidRPr="0099652B">
        <w:rPr>
          <w:rFonts w:eastAsia="Arial"/>
          <w:b/>
          <w:bCs/>
          <w:sz w:val="28"/>
          <w:szCs w:val="28"/>
        </w:rPr>
        <w:tab/>
      </w:r>
      <w:r w:rsidRPr="0099652B">
        <w:rPr>
          <w:rFonts w:eastAsia="Arial"/>
          <w:sz w:val="28"/>
          <w:szCs w:val="28"/>
        </w:rPr>
        <w:t xml:space="preserve">The inscriptions of the high priest </w:t>
      </w:r>
      <w:proofErr w:type="spellStart"/>
      <w:r w:rsidRPr="0099652B">
        <w:rPr>
          <w:rFonts w:eastAsia="Arial"/>
          <w:sz w:val="28"/>
          <w:szCs w:val="28"/>
        </w:rPr>
        <w:t>Kirdēr</w:t>
      </w:r>
      <w:proofErr w:type="spellEnd"/>
      <w:r w:rsidRPr="0099652B">
        <w:rPr>
          <w:rFonts w:eastAsia="Arial"/>
          <w:sz w:val="28"/>
          <w:szCs w:val="28"/>
        </w:rPr>
        <w:t xml:space="preserve"> meet all three evidentiary standards of section 2.3. They meet the standard of </w:t>
      </w:r>
      <w:r w:rsidRPr="0099652B">
        <w:rPr>
          <w:rFonts w:eastAsia="Arial"/>
          <w:i/>
          <w:iCs/>
          <w:sz w:val="28"/>
          <w:szCs w:val="28"/>
        </w:rPr>
        <w:t xml:space="preserve">contemporaneity </w:t>
      </w:r>
      <w:r w:rsidRPr="0099652B">
        <w:rPr>
          <w:rFonts w:eastAsia="Arial"/>
          <w:sz w:val="28"/>
          <w:szCs w:val="28"/>
        </w:rPr>
        <w:t xml:space="preserve">because they are </w:t>
      </w:r>
      <w:proofErr w:type="spellStart"/>
      <w:r w:rsidRPr="0099652B">
        <w:rPr>
          <w:rFonts w:eastAsia="Arial"/>
          <w:sz w:val="28"/>
          <w:szCs w:val="28"/>
        </w:rPr>
        <w:t>Kirdēr's</w:t>
      </w:r>
      <w:proofErr w:type="spellEnd"/>
      <w:r w:rsidRPr="0099652B">
        <w:rPr>
          <w:rFonts w:eastAsia="Arial"/>
          <w:sz w:val="28"/>
          <w:szCs w:val="28"/>
        </w:rPr>
        <w:t xml:space="preserve"> own statements, set up at his direction and recording what he himself believed and claimed to have seen. They are exactly the kind of evidence section 2.3 takes as its model: an inscription made by the man whose beliefs it records. They meet the standard of </w:t>
      </w:r>
      <w:r w:rsidRPr="0099652B">
        <w:rPr>
          <w:rFonts w:eastAsia="Arial"/>
          <w:i/>
          <w:iCs/>
          <w:sz w:val="28"/>
          <w:szCs w:val="28"/>
        </w:rPr>
        <w:t>datability</w:t>
      </w:r>
      <w:r w:rsidRPr="0099652B">
        <w:rPr>
          <w:rFonts w:eastAsia="Arial"/>
          <w:sz w:val="28"/>
          <w:szCs w:val="28"/>
        </w:rPr>
        <w:t xml:space="preserve"> because their date is fixed independently of </w:t>
      </w:r>
      <w:r w:rsidRPr="0099652B">
        <w:rPr>
          <w:rFonts w:eastAsia="Arial"/>
          <w:sz w:val="28"/>
          <w:szCs w:val="28"/>
        </w:rPr>
        <w:lastRenderedPageBreak/>
        <w:t xml:space="preserve">the beliefs they express. </w:t>
      </w:r>
      <w:proofErr w:type="spellStart"/>
      <w:r w:rsidRPr="0099652B">
        <w:rPr>
          <w:rFonts w:eastAsia="Arial"/>
          <w:sz w:val="28"/>
          <w:szCs w:val="28"/>
        </w:rPr>
        <w:t>Kirdēr</w:t>
      </w:r>
      <w:proofErr w:type="spellEnd"/>
      <w:r w:rsidRPr="0099652B">
        <w:rPr>
          <w:rFonts w:eastAsia="Arial"/>
          <w:sz w:val="28"/>
          <w:szCs w:val="28"/>
        </w:rPr>
        <w:t xml:space="preserve"> sets out his career reign by reign, naming the titles and </w:t>
      </w:r>
      <w:r w:rsidR="00A47D3A" w:rsidRPr="0099652B">
        <w:rPr>
          <w:rFonts w:eastAsia="Arial"/>
          <w:sz w:val="28"/>
          <w:szCs w:val="28"/>
        </w:rPr>
        <w:t xml:space="preserve">honors he received under successive kings from Shapur I to </w:t>
      </w:r>
      <w:proofErr w:type="spellStart"/>
      <w:r w:rsidR="00A47D3A" w:rsidRPr="0099652B">
        <w:rPr>
          <w:rFonts w:eastAsia="Arial"/>
          <w:sz w:val="28"/>
          <w:szCs w:val="28"/>
        </w:rPr>
        <w:t>Wahrām</w:t>
      </w:r>
      <w:proofErr w:type="spellEnd"/>
      <w:r w:rsidR="00A47D3A" w:rsidRPr="0099652B">
        <w:rPr>
          <w:rFonts w:eastAsia="Arial"/>
          <w:sz w:val="28"/>
          <w:szCs w:val="28"/>
        </w:rPr>
        <w:t xml:space="preserve"> II, so the inscriptions can be placed within </w:t>
      </w:r>
      <w:proofErr w:type="spellStart"/>
      <w:r w:rsidR="00A47D3A" w:rsidRPr="0099652B">
        <w:rPr>
          <w:rFonts w:eastAsia="Arial"/>
          <w:sz w:val="28"/>
          <w:szCs w:val="28"/>
        </w:rPr>
        <w:t>Wahrām</w:t>
      </w:r>
      <w:proofErr w:type="spellEnd"/>
      <w:r w:rsidR="00A47D3A" w:rsidRPr="0099652B">
        <w:rPr>
          <w:rFonts w:eastAsia="Arial"/>
          <w:sz w:val="28"/>
          <w:szCs w:val="28"/>
        </w:rPr>
        <w:t xml:space="preserve"> II's reign</w:t>
      </w:r>
      <w:r w:rsidRPr="0099652B">
        <w:rPr>
          <w:rFonts w:eastAsia="Arial"/>
          <w:sz w:val="28"/>
          <w:szCs w:val="28"/>
        </w:rPr>
        <w:t xml:space="preserve"> (274–293 CE), most of them about 276–293 CE. That date comes from the political history of the Sasanian dynasty, not from the doctrine the inscriptions contain, so it avoids the circularity section 2.3 warns against. They meet the standard of </w:t>
      </w:r>
      <w:r w:rsidRPr="0099652B">
        <w:rPr>
          <w:rFonts w:eastAsia="Arial"/>
          <w:i/>
          <w:iCs/>
          <w:sz w:val="28"/>
          <w:szCs w:val="28"/>
        </w:rPr>
        <w:t>materiality</w:t>
      </w:r>
      <w:r w:rsidRPr="0099652B">
        <w:rPr>
          <w:rFonts w:eastAsia="Arial"/>
          <w:sz w:val="28"/>
          <w:szCs w:val="28"/>
        </w:rPr>
        <w:t xml:space="preserve"> because they survive where they were carved, at four known sites in Fars: on the cliff at </w:t>
      </w:r>
      <w:proofErr w:type="spellStart"/>
      <w:r w:rsidRPr="0099652B">
        <w:rPr>
          <w:rFonts w:eastAsia="Arial"/>
          <w:sz w:val="28"/>
          <w:szCs w:val="28"/>
        </w:rPr>
        <w:t>Naqš</w:t>
      </w:r>
      <w:proofErr w:type="spellEnd"/>
      <w:r w:rsidRPr="0099652B">
        <w:rPr>
          <w:rFonts w:eastAsia="Arial"/>
          <w:sz w:val="28"/>
          <w:szCs w:val="28"/>
        </w:rPr>
        <w:t xml:space="preserve">-e Rostam and on the nearby </w:t>
      </w:r>
      <w:proofErr w:type="spellStart"/>
      <w:r w:rsidRPr="0099652B">
        <w:rPr>
          <w:rFonts w:eastAsia="Arial"/>
          <w:sz w:val="28"/>
          <w:szCs w:val="28"/>
        </w:rPr>
        <w:t>Kaʿba</w:t>
      </w:r>
      <w:proofErr w:type="spellEnd"/>
      <w:r w:rsidRPr="0099652B">
        <w:rPr>
          <w:rFonts w:eastAsia="Arial"/>
          <w:sz w:val="28"/>
          <w:szCs w:val="28"/>
        </w:rPr>
        <w:t xml:space="preserve">-ye </w:t>
      </w:r>
      <w:proofErr w:type="spellStart"/>
      <w:r w:rsidRPr="0099652B">
        <w:rPr>
          <w:rFonts w:eastAsia="Arial"/>
          <w:sz w:val="28"/>
          <w:szCs w:val="28"/>
        </w:rPr>
        <w:t>Zardošt</w:t>
      </w:r>
      <w:proofErr w:type="spellEnd"/>
      <w:r w:rsidRPr="0099652B">
        <w:rPr>
          <w:rFonts w:eastAsia="Arial"/>
          <w:sz w:val="28"/>
          <w:szCs w:val="28"/>
        </w:rPr>
        <w:t xml:space="preserve">, at </w:t>
      </w:r>
      <w:proofErr w:type="spellStart"/>
      <w:r w:rsidRPr="0099652B">
        <w:rPr>
          <w:rFonts w:eastAsia="Arial"/>
          <w:sz w:val="28"/>
          <w:szCs w:val="28"/>
        </w:rPr>
        <w:t>Naqš</w:t>
      </w:r>
      <w:proofErr w:type="spellEnd"/>
      <w:r w:rsidRPr="0099652B">
        <w:rPr>
          <w:rFonts w:eastAsia="Arial"/>
          <w:sz w:val="28"/>
          <w:szCs w:val="28"/>
        </w:rPr>
        <w:t xml:space="preserve">-e Rajab, and at Sar-e </w:t>
      </w:r>
      <w:proofErr w:type="spellStart"/>
      <w:r w:rsidRPr="0099652B">
        <w:rPr>
          <w:rFonts w:eastAsia="Arial"/>
          <w:sz w:val="28"/>
          <w:szCs w:val="28"/>
        </w:rPr>
        <w:t>Mašhad</w:t>
      </w:r>
      <w:proofErr w:type="spellEnd"/>
      <w:r w:rsidRPr="0099652B">
        <w:rPr>
          <w:rFonts w:eastAsia="Arial"/>
          <w:sz w:val="28"/>
          <w:szCs w:val="28"/>
        </w:rPr>
        <w:t xml:space="preserve">. Anyone can inspect them there today. Parts of the longer texts are weathered, and some readings are restored by comparing the parallel versions. But the passages on which the argument </w:t>
      </w:r>
      <w:r w:rsidR="004618E7" w:rsidRPr="0099652B">
        <w:rPr>
          <w:rFonts w:eastAsia="Arial"/>
          <w:sz w:val="28"/>
          <w:szCs w:val="28"/>
        </w:rPr>
        <w:t>depend</w:t>
      </w:r>
      <w:r w:rsidRPr="0099652B">
        <w:rPr>
          <w:rFonts w:eastAsia="Arial"/>
          <w:sz w:val="28"/>
          <w:szCs w:val="28"/>
        </w:rPr>
        <w:t xml:space="preserve">, the judge with his scales, the bridge, and the separation of the righteous from the wicked, are attested in the surviving inscriptions themselves. </w:t>
      </w:r>
      <w:proofErr w:type="spellStart"/>
      <w:r w:rsidRPr="0099652B">
        <w:rPr>
          <w:rFonts w:eastAsia="Arial"/>
          <w:sz w:val="28"/>
          <w:szCs w:val="28"/>
        </w:rPr>
        <w:t>Kirdēr's</w:t>
      </w:r>
      <w:proofErr w:type="spellEnd"/>
      <w:r w:rsidRPr="0099652B">
        <w:rPr>
          <w:rFonts w:eastAsia="Arial"/>
          <w:sz w:val="28"/>
          <w:szCs w:val="28"/>
        </w:rPr>
        <w:t xml:space="preserve"> inscriptions are therefore contemporary, independently datable, and materially preserved in the full sense section 2.3 requires.</w:t>
      </w:r>
    </w:p>
    <w:p w14:paraId="6F4C5570"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Formalization of Institutional Apparatus</w:t>
      </w:r>
    </w:p>
    <w:p w14:paraId="5E76A9D0"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Section 2.2 adds a fifth consideration as an index of whether a belief has become a doctrine: a professional priesthood, an endowed cult, a transmitted corpus, and a formalized liturgy. </w:t>
      </w:r>
      <w:r w:rsidR="004618E7" w:rsidRPr="0099652B">
        <w:rPr>
          <w:rFonts w:eastAsia="Arial"/>
          <w:sz w:val="28"/>
          <w:szCs w:val="28"/>
        </w:rPr>
        <w:t xml:space="preserve">We need to address only </w:t>
      </w:r>
      <w:proofErr w:type="spellStart"/>
      <w:r w:rsidR="004618E7" w:rsidRPr="0099652B">
        <w:rPr>
          <w:rFonts w:eastAsia="Arial"/>
          <w:sz w:val="28"/>
          <w:szCs w:val="28"/>
        </w:rPr>
        <w:t>Kirdēr’s</w:t>
      </w:r>
      <w:proofErr w:type="spellEnd"/>
      <w:r w:rsidR="004618E7" w:rsidRPr="0099652B">
        <w:rPr>
          <w:rFonts w:eastAsia="Arial"/>
          <w:sz w:val="28"/>
          <w:szCs w:val="28"/>
        </w:rPr>
        <w:t xml:space="preserve"> inscriptions because neither royal inscription meets the other criteria. </w:t>
      </w:r>
      <w:r w:rsidRPr="0099652B">
        <w:rPr>
          <w:rFonts w:eastAsia="Arial"/>
          <w:sz w:val="28"/>
          <w:szCs w:val="28"/>
        </w:rPr>
        <w:t xml:space="preserve">In the Sasanian period, a formalized </w:t>
      </w:r>
      <w:r w:rsidRPr="0099652B">
        <w:rPr>
          <w:rFonts w:eastAsia="Arial"/>
          <w:sz w:val="28"/>
          <w:szCs w:val="28"/>
        </w:rPr>
        <w:lastRenderedPageBreak/>
        <w:t xml:space="preserve">institutional apparatus </w:t>
      </w:r>
      <w:r w:rsidR="004618E7" w:rsidRPr="0099652B">
        <w:rPr>
          <w:rFonts w:eastAsia="Arial"/>
          <w:sz w:val="28"/>
          <w:szCs w:val="28"/>
        </w:rPr>
        <w:t>was</w:t>
      </w:r>
      <w:r w:rsidRPr="0099652B">
        <w:rPr>
          <w:rFonts w:eastAsia="Arial"/>
          <w:sz w:val="28"/>
          <w:szCs w:val="28"/>
        </w:rPr>
        <w:t xml:space="preserve"> fully visible. </w:t>
      </w:r>
      <w:proofErr w:type="spellStart"/>
      <w:r w:rsidRPr="0099652B">
        <w:rPr>
          <w:rFonts w:eastAsia="Arial"/>
          <w:sz w:val="28"/>
          <w:szCs w:val="28"/>
        </w:rPr>
        <w:t>Kirdēr’s</w:t>
      </w:r>
      <w:proofErr w:type="spellEnd"/>
      <w:r w:rsidRPr="0099652B">
        <w:rPr>
          <w:rFonts w:eastAsia="Arial"/>
          <w:sz w:val="28"/>
          <w:szCs w:val="28"/>
        </w:rPr>
        <w:t xml:space="preserve"> inscriptions describe a high priest who founded fire temples, appointed priests, promoted correct rites, and used state power against rival religions.</w:t>
      </w:r>
    </w:p>
    <w:p w14:paraId="095D81C8"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The Avesta was also written down during the same period. The institutional criterion is therefore met at the same point as the four criteria together: in the late third century CE.</w:t>
      </w:r>
    </w:p>
    <w:p w14:paraId="63489ABD"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Two Objections</w:t>
      </w:r>
    </w:p>
    <w:p w14:paraId="736530A1"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This essay dates the demonstrable Zoroastrian doctrine much later than much of the general literature, and two objections warrant an answer in their strongest form.</w:t>
      </w:r>
    </w:p>
    <w:p w14:paraId="0C0786E1" w14:textId="77777777" w:rsidR="00E50D13" w:rsidRPr="0099652B" w:rsidRDefault="00E50D13" w:rsidP="00E50D13">
      <w:pPr>
        <w:keepNext/>
        <w:keepLines/>
        <w:spacing w:line="480" w:lineRule="auto"/>
        <w:outlineLvl w:val="3"/>
        <w:rPr>
          <w:rFonts w:eastAsia="Arial"/>
          <w:i/>
          <w:iCs/>
          <w:sz w:val="28"/>
          <w:szCs w:val="28"/>
          <w:u w:val="single"/>
        </w:rPr>
      </w:pPr>
      <w:r w:rsidRPr="0099652B">
        <w:rPr>
          <w:rFonts w:eastAsia="Arial"/>
          <w:i/>
          <w:iCs/>
          <w:sz w:val="28"/>
          <w:szCs w:val="28"/>
          <w:u w:val="single"/>
        </w:rPr>
        <w:t xml:space="preserve">The objection to early dating </w:t>
      </w:r>
    </w:p>
    <w:p w14:paraId="17CE18EB" w14:textId="17D76674" w:rsidR="00E50D13" w:rsidRPr="0099652B" w:rsidRDefault="00A461A4" w:rsidP="00E50D13">
      <w:pPr>
        <w:spacing w:line="480" w:lineRule="auto"/>
        <w:jc w:val="both"/>
        <w:rPr>
          <w:rFonts w:eastAsia="Arial"/>
          <w:sz w:val="28"/>
          <w:szCs w:val="28"/>
        </w:rPr>
      </w:pPr>
      <w:r w:rsidRPr="0099652B">
        <w:rPr>
          <w:rFonts w:eastAsia="Arial"/>
          <w:sz w:val="28"/>
          <w:szCs w:val="28"/>
        </w:rPr>
        <w:t xml:space="preserve">One may argue </w:t>
      </w:r>
      <w:r w:rsidR="00E50D13" w:rsidRPr="0099652B">
        <w:rPr>
          <w:rFonts w:eastAsia="Arial"/>
          <w:sz w:val="28"/>
          <w:szCs w:val="28"/>
        </w:rPr>
        <w:t>that the resurrection and the final judgment trace back to Zarathustra himself, and that the priestly schools that preserved the Gathas were conservative enough to guarantee their antiquity.</w:t>
      </w:r>
    </w:p>
    <w:p w14:paraId="589EA52B"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The response is that section 2.4 does not question the conservatism of oral transmission. It requires a fixed point, and an orally transmitted corpus provides only a range, in this case spanning about a thousand years. The exclusion applies symmetrically: it costs Egypt its Predynastic material as well. And even Boyce’s reading of the Gathas depends on interpreting them through the later tradition, which section 2.3 forbids for dating.</w:t>
      </w:r>
    </w:p>
    <w:p w14:paraId="59334C7E"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lastRenderedPageBreak/>
        <w:t>Interim Conclusion</w:t>
      </w:r>
    </w:p>
    <w:p w14:paraId="200A70DE"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Zoroastrianism presents one of the ancient world’s fullest doctrines of righteous resurrection: a transfigured afterlife and bodily resurrection, judgment at the bridge that develops into a formal court, an explicitly ethical standard, and sharply divergent destinies. Only the permanence of hell remains qualified. If the Gathas could be securely dated to an early period, the tradition would be a serious contender for priority.</w:t>
      </w:r>
    </w:p>
    <w:p w14:paraId="4B98A820" w14:textId="77777777" w:rsidR="00E50D13" w:rsidRPr="0099652B" w:rsidRDefault="004618E7" w:rsidP="004618E7">
      <w:pPr>
        <w:spacing w:line="480" w:lineRule="auto"/>
        <w:ind w:firstLine="720"/>
        <w:jc w:val="both"/>
        <w:rPr>
          <w:rFonts w:eastAsia="Arial"/>
          <w:sz w:val="28"/>
          <w:szCs w:val="28"/>
        </w:rPr>
      </w:pPr>
      <w:r w:rsidRPr="0099652B">
        <w:rPr>
          <w:rFonts w:eastAsia="Arial"/>
          <w:sz w:val="28"/>
          <w:szCs w:val="28"/>
        </w:rPr>
        <w:t xml:space="preserve">The only evidence that meets the four criteria and three evidentiary standards </w:t>
      </w:r>
      <w:r w:rsidR="008350B2" w:rsidRPr="0099652B">
        <w:rPr>
          <w:rFonts w:eastAsia="Arial"/>
          <w:sz w:val="28"/>
          <w:szCs w:val="28"/>
        </w:rPr>
        <w:t>is</w:t>
      </w:r>
      <w:r w:rsidRPr="0099652B">
        <w:rPr>
          <w:rFonts w:eastAsia="Arial"/>
          <w:sz w:val="28"/>
          <w:szCs w:val="28"/>
        </w:rPr>
        <w:t xml:space="preserve"> the </w:t>
      </w:r>
      <w:proofErr w:type="spellStart"/>
      <w:r w:rsidR="00E50D13" w:rsidRPr="0099652B">
        <w:rPr>
          <w:rFonts w:eastAsia="Arial"/>
          <w:sz w:val="28"/>
          <w:szCs w:val="28"/>
        </w:rPr>
        <w:t>Kirdēr</w:t>
      </w:r>
      <w:proofErr w:type="spellEnd"/>
      <w:r w:rsidR="00E50D13" w:rsidRPr="0099652B">
        <w:rPr>
          <w:rFonts w:eastAsia="Arial"/>
          <w:sz w:val="28"/>
          <w:szCs w:val="28"/>
        </w:rPr>
        <w:t xml:space="preserve"> inscriptions from about 290 CE, roughly twenty-six centuries after the Egyptian evidence examined in Chapter 3.  </w:t>
      </w:r>
    </w:p>
    <w:p w14:paraId="3A76A54C" w14:textId="77777777" w:rsidR="00E50D13" w:rsidRPr="0099652B" w:rsidRDefault="00E50D13" w:rsidP="00E50D13">
      <w:pPr>
        <w:keepNext/>
        <w:keepLines/>
        <w:spacing w:line="480" w:lineRule="auto"/>
        <w:outlineLvl w:val="1"/>
        <w:rPr>
          <w:rFonts w:eastAsia="Arial"/>
          <w:b/>
          <w:bCs/>
          <w:sz w:val="28"/>
          <w:szCs w:val="28"/>
        </w:rPr>
      </w:pPr>
      <w:bookmarkStart w:id="31" w:name="_Toc241691232"/>
      <w:r w:rsidRPr="0099652B">
        <w:rPr>
          <w:b/>
          <w:bCs/>
          <w:sz w:val="28"/>
          <w:szCs w:val="28"/>
        </w:rPr>
        <w:t>5.4 Mesopotamia</w:t>
      </w:r>
      <w:bookmarkEnd w:id="31"/>
    </w:p>
    <w:p w14:paraId="74B02DFF" w14:textId="476A8F73" w:rsidR="00E50D13" w:rsidRPr="0099652B" w:rsidRDefault="00A46DFC" w:rsidP="00E50D13">
      <w:pPr>
        <w:spacing w:line="480" w:lineRule="auto"/>
        <w:ind w:firstLine="720"/>
        <w:jc w:val="both"/>
        <w:rPr>
          <w:sz w:val="28"/>
          <w:szCs w:val="28"/>
        </w:rPr>
      </w:pPr>
      <w:r w:rsidRPr="0099652B">
        <w:rPr>
          <w:sz w:val="28"/>
          <w:szCs w:val="28"/>
        </w:rPr>
        <w:t xml:space="preserve">Mesopotamia is an indispensable comparison to Egypt. Both Egypt and Mesopotamia were riverine civilizations that developed cities, monumental architecture, kingship, and writing roughly at the same time </w:t>
      </w:r>
      <w:proofErr w:type="gramStart"/>
      <w:r w:rsidRPr="0099652B">
        <w:rPr>
          <w:sz w:val="28"/>
          <w:szCs w:val="28"/>
        </w:rPr>
        <w:t>and,</w:t>
      </w:r>
      <w:proofErr w:type="gramEnd"/>
      <w:r w:rsidRPr="0099652B">
        <w:rPr>
          <w:sz w:val="28"/>
          <w:szCs w:val="28"/>
        </w:rPr>
        <w:t xml:space="preserve"> as far as can be determined, independently. Their documentary records are comparably rich. However, their internal rhythms differed profoundly — the Nile's regular flood and Egypt's protected geography fostered an early and durable political unity under a divine king, while the violent rivers and open landscape of Mesopotamia produced a mosaic of competing city-states and a civilization of cyclical rise and fall — and their answers to mortality differed correspondingly.</w:t>
      </w:r>
    </w:p>
    <w:p w14:paraId="579A70D2" w14:textId="0F263857" w:rsidR="00E50D13" w:rsidRPr="0099652B" w:rsidRDefault="00A461A4" w:rsidP="00E50D13">
      <w:pPr>
        <w:spacing w:line="480" w:lineRule="auto"/>
        <w:ind w:firstLine="720"/>
        <w:jc w:val="both"/>
        <w:rPr>
          <w:sz w:val="28"/>
          <w:szCs w:val="28"/>
        </w:rPr>
      </w:pPr>
      <w:r w:rsidRPr="0099652B">
        <w:rPr>
          <w:sz w:val="28"/>
          <w:szCs w:val="28"/>
        </w:rPr>
        <w:lastRenderedPageBreak/>
        <w:t xml:space="preserve">The Mesopotamian dead survive as </w:t>
      </w:r>
      <w:proofErr w:type="spellStart"/>
      <w:r w:rsidRPr="0099652B">
        <w:rPr>
          <w:sz w:val="28"/>
          <w:szCs w:val="28"/>
        </w:rPr>
        <w:t>gidim</w:t>
      </w:r>
      <w:proofErr w:type="spellEnd"/>
      <w:r w:rsidRPr="0099652B">
        <w:rPr>
          <w:sz w:val="28"/>
          <w:szCs w:val="28"/>
        </w:rPr>
        <w:t xml:space="preserve"> or </w:t>
      </w:r>
      <w:proofErr w:type="spellStart"/>
      <w:r w:rsidRPr="0099652B">
        <w:rPr>
          <w:sz w:val="28"/>
          <w:szCs w:val="28"/>
        </w:rPr>
        <w:t>eṭemmu</w:t>
      </w:r>
      <w:proofErr w:type="spellEnd"/>
      <w:r w:rsidRPr="0099652B">
        <w:rPr>
          <w:sz w:val="28"/>
          <w:szCs w:val="28"/>
        </w:rPr>
        <w:t xml:space="preserve">: ghosts inhabiting a dim netherworld, dependent on burial and the continued offerings of descendants. </w:t>
      </w:r>
      <w:r w:rsidR="00E50D13" w:rsidRPr="0099652B">
        <w:rPr>
          <w:sz w:val="28"/>
          <w:szCs w:val="28"/>
        </w:rPr>
        <w:t>The Sumerian composition Gilgamesh, Enkidu, and the Netherworld makes the operative variables explicit, and they are demographic and ritual rather than ethical: the man with many sons fares well, the man with none fares badly, and the man whose corpse lies unburied and whose spirit receives no offerings fares worst of all</w:t>
      </w:r>
      <w:r w:rsidR="00A46DFC" w:rsidRPr="0099652B">
        <w:rPr>
          <w:sz w:val="28"/>
          <w:szCs w:val="28"/>
        </w:rPr>
        <w:t>. No post-mortem moral tribunal allocates divergent destinies. Divine justice in Mesopotamian thought is enacted within history — through illness, defeat, poverty, and catastrophe — rather than after it, and the netherworld is essentially uniform</w:t>
      </w:r>
      <w:proofErr w:type="gramStart"/>
      <w:r w:rsidR="00A46DFC" w:rsidRPr="0099652B">
        <w:rPr>
          <w:sz w:val="28"/>
          <w:szCs w:val="28"/>
        </w:rPr>
        <w:t xml:space="preserve">   (</w:t>
      </w:r>
      <w:proofErr w:type="gramEnd"/>
      <w:r w:rsidR="00A46DFC" w:rsidRPr="0099652B">
        <w:rPr>
          <w:sz w:val="28"/>
          <w:szCs w:val="28"/>
        </w:rPr>
        <w:t>Schneider 2018).</w:t>
      </w:r>
    </w:p>
    <w:p w14:paraId="5AE71AA1" w14:textId="77777777" w:rsidR="00E50D13" w:rsidRPr="0099652B" w:rsidRDefault="00E50D13" w:rsidP="00E50D13">
      <w:pPr>
        <w:spacing w:line="480" w:lineRule="auto"/>
        <w:ind w:firstLine="720"/>
        <w:jc w:val="both"/>
        <w:rPr>
          <w:sz w:val="28"/>
          <w:szCs w:val="28"/>
        </w:rPr>
      </w:pPr>
      <w:r w:rsidRPr="0099652B">
        <w:rPr>
          <w:sz w:val="28"/>
          <w:szCs w:val="28"/>
        </w:rPr>
        <w:t xml:space="preserve">The Standard Babylonian </w:t>
      </w:r>
      <w:r w:rsidRPr="0099652B">
        <w:rPr>
          <w:i/>
          <w:iCs/>
          <w:sz w:val="28"/>
          <w:szCs w:val="28"/>
        </w:rPr>
        <w:t>Epic of Gilgamesh</w:t>
      </w:r>
      <w:r w:rsidRPr="0099652B">
        <w:rPr>
          <w:sz w:val="28"/>
          <w:szCs w:val="28"/>
        </w:rPr>
        <w:t xml:space="preserve"> frames mortality as the central human problem and answers it with resignation. The hero's quest for eternal life fails; immortality is the prerogative of the gods; and the consolation offered at the end is the city wall he built, which is to say a memorial rather than a resurrection. Enkidu's vision of the house of dust, where the dead sit in darkness with feathers for garments and eat clay, is the precise antithesis of the Field of Reeds (</w:t>
      </w:r>
      <w:r w:rsidRPr="0099652B">
        <w:rPr>
          <w:i/>
          <w:iCs/>
          <w:sz w:val="28"/>
          <w:szCs w:val="28"/>
        </w:rPr>
        <w:t>Epic of Gilgamesh</w:t>
      </w:r>
      <w:r w:rsidRPr="0099652B">
        <w:rPr>
          <w:sz w:val="28"/>
          <w:szCs w:val="28"/>
        </w:rPr>
        <w:t>, tablets VII and X–XI; George 1999, 2003).</w:t>
      </w:r>
      <w:r w:rsidRPr="0099652B">
        <w:rPr>
          <w:b/>
          <w:bCs/>
          <w:sz w:val="28"/>
          <w:szCs w:val="28"/>
        </w:rPr>
        <w:t xml:space="preserve"> </w:t>
      </w:r>
      <w:r w:rsidRPr="0099652B">
        <w:rPr>
          <w:sz w:val="28"/>
          <w:szCs w:val="28"/>
        </w:rPr>
        <w:t>The principal manuscript witnesses come from the library tablets of Nineveh, now in the British Museum; the tablet carrying the eleventh book bears the number K.3375 (</w:t>
      </w:r>
      <w:r w:rsidRPr="0099652B">
        <w:rPr>
          <w:i/>
          <w:iCs/>
          <w:sz w:val="28"/>
          <w:szCs w:val="28"/>
        </w:rPr>
        <w:t>Tablet XI of the Epic of Gilgamesh</w:t>
      </w:r>
      <w:r w:rsidRPr="0099652B">
        <w:rPr>
          <w:sz w:val="28"/>
          <w:szCs w:val="28"/>
        </w:rPr>
        <w:t xml:space="preserve"> 7th century BCE).</w:t>
      </w:r>
    </w:p>
    <w:p w14:paraId="41BFADB9" w14:textId="7E25F9CF" w:rsidR="00A46DFC" w:rsidRPr="0099652B" w:rsidRDefault="00E50D13" w:rsidP="00E50D13">
      <w:pPr>
        <w:spacing w:line="480" w:lineRule="auto"/>
        <w:ind w:firstLine="720"/>
        <w:jc w:val="both"/>
        <w:rPr>
          <w:b/>
          <w:bCs/>
          <w:sz w:val="28"/>
          <w:szCs w:val="28"/>
        </w:rPr>
      </w:pPr>
      <w:r w:rsidRPr="0099652B">
        <w:rPr>
          <w:sz w:val="28"/>
          <w:szCs w:val="28"/>
        </w:rPr>
        <w:lastRenderedPageBreak/>
        <w:t>The Royal Cemetery at Ur (</w:t>
      </w:r>
      <w:proofErr w:type="spellStart"/>
      <w:r w:rsidRPr="0099652B">
        <w:rPr>
          <w:sz w:val="28"/>
          <w:szCs w:val="28"/>
        </w:rPr>
        <w:t>Dhi</w:t>
      </w:r>
      <w:proofErr w:type="spellEnd"/>
      <w:r w:rsidRPr="0099652B">
        <w:rPr>
          <w:sz w:val="28"/>
          <w:szCs w:val="28"/>
        </w:rPr>
        <w:t xml:space="preserve"> </w:t>
      </w:r>
      <w:proofErr w:type="spellStart"/>
      <w:r w:rsidRPr="0099652B">
        <w:rPr>
          <w:sz w:val="28"/>
          <w:szCs w:val="28"/>
        </w:rPr>
        <w:t>Qar</w:t>
      </w:r>
      <w:proofErr w:type="spellEnd"/>
      <w:r w:rsidRPr="0099652B">
        <w:rPr>
          <w:sz w:val="28"/>
          <w:szCs w:val="28"/>
        </w:rPr>
        <w:t xml:space="preserve"> governorate, Iraq), excavated by Woolley and dating to approximately 2600–2400 BCE, testifies magnificently to an expectation of continued status and service after death: the grave of Puabi (PG 800) and the mass burial known as the Great Death Pit (PG 1237) contained lavish provisioning and, in the latter case, dozens of attendants. Finds are divided between the British Museum, the Penn Museum in Philadelphia, and Baghdad; the Standard of Ur is British Museum 121201 (</w:t>
      </w:r>
      <w:r w:rsidRPr="0099652B">
        <w:rPr>
          <w:i/>
          <w:iCs/>
          <w:sz w:val="28"/>
          <w:szCs w:val="28"/>
        </w:rPr>
        <w:t>Royal Cemetery at Ur</w:t>
      </w:r>
      <w:r w:rsidRPr="0099652B">
        <w:rPr>
          <w:sz w:val="28"/>
          <w:szCs w:val="28"/>
        </w:rPr>
        <w:t xml:space="preserve"> c. 2600–2400 BCE; </w:t>
      </w:r>
      <w:r w:rsidRPr="0099652B">
        <w:rPr>
          <w:i/>
          <w:iCs/>
          <w:sz w:val="28"/>
          <w:szCs w:val="28"/>
        </w:rPr>
        <w:t>Standard of Ur</w:t>
      </w:r>
      <w:r w:rsidRPr="0099652B">
        <w:rPr>
          <w:sz w:val="28"/>
          <w:szCs w:val="28"/>
        </w:rPr>
        <w:t xml:space="preserve"> c. 2550–2400 BCE).</w:t>
      </w:r>
      <w:r w:rsidRPr="0099652B">
        <w:rPr>
          <w:b/>
          <w:bCs/>
          <w:sz w:val="28"/>
          <w:szCs w:val="28"/>
        </w:rPr>
        <w:t xml:space="preserve"> </w:t>
      </w:r>
    </w:p>
    <w:p w14:paraId="6EF5735E" w14:textId="0D7E2780" w:rsidR="00E50D13" w:rsidRPr="0099652B" w:rsidRDefault="00A46DFC" w:rsidP="00E50D13">
      <w:pPr>
        <w:spacing w:line="480" w:lineRule="auto"/>
        <w:ind w:firstLine="720"/>
        <w:jc w:val="both"/>
        <w:rPr>
          <w:sz w:val="28"/>
          <w:szCs w:val="28"/>
        </w:rPr>
      </w:pPr>
      <w:r w:rsidRPr="0099652B">
        <w:rPr>
          <w:sz w:val="28"/>
          <w:szCs w:val="28"/>
        </w:rPr>
        <w:t>None of the Mesopotamian religion bears on moral evaluation. Mesopotamia fails criteria 1, 3, and 4, and the argument from silence is strongest here, since the sources state positively what determines the condition of the dead.</w:t>
      </w:r>
    </w:p>
    <w:p w14:paraId="5957D808" w14:textId="77777777" w:rsidR="00E50D13" w:rsidRPr="0099652B" w:rsidRDefault="00E50D13" w:rsidP="00E50D13">
      <w:pPr>
        <w:keepNext/>
        <w:keepLines/>
        <w:spacing w:line="480" w:lineRule="auto"/>
        <w:outlineLvl w:val="1"/>
        <w:rPr>
          <w:b/>
          <w:bCs/>
          <w:sz w:val="28"/>
          <w:szCs w:val="28"/>
        </w:rPr>
      </w:pPr>
      <w:bookmarkStart w:id="32" w:name="_Toc241691233"/>
      <w:r w:rsidRPr="0099652B">
        <w:rPr>
          <w:b/>
          <w:bCs/>
          <w:sz w:val="28"/>
          <w:szCs w:val="28"/>
        </w:rPr>
        <w:t>5.5 Israel</w:t>
      </w:r>
      <w:bookmarkEnd w:id="32"/>
      <w:r w:rsidRPr="0099652B">
        <w:rPr>
          <w:b/>
          <w:bCs/>
          <w:sz w:val="28"/>
          <w:szCs w:val="28"/>
        </w:rPr>
        <w:t xml:space="preserve"> </w:t>
      </w:r>
    </w:p>
    <w:p w14:paraId="1A07808D"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The Criteria</w:t>
      </w:r>
    </w:p>
    <w:p w14:paraId="2CDB6C4D"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For most of the biblical period, Israel shared the Levantine conception of </w:t>
      </w:r>
      <w:proofErr w:type="spellStart"/>
      <w:r w:rsidRPr="0099652B">
        <w:rPr>
          <w:rFonts w:eastAsia="Arial"/>
          <w:sz w:val="28"/>
          <w:szCs w:val="28"/>
        </w:rPr>
        <w:t>Sheol</w:t>
      </w:r>
      <w:proofErr w:type="spellEnd"/>
      <w:r w:rsidRPr="0099652B">
        <w:rPr>
          <w:rFonts w:eastAsia="Arial"/>
          <w:sz w:val="28"/>
          <w:szCs w:val="28"/>
        </w:rPr>
        <w:t>: an undifferentiated realm to which the righteous and the wicked alike descend, with divine justice worked out within history and the covenant community rather than in the individual's fate after death. Divine punishment within history does not satisfy Criterion Two (section 2.2).</w:t>
      </w:r>
    </w:p>
    <w:p w14:paraId="78D69FF5" w14:textId="1F0A7CEA"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The position changes with Daniel 12:1–3, composed about 165 BCE</w:t>
      </w:r>
      <w:r w:rsidR="00637487" w:rsidRPr="0099652B">
        <w:rPr>
          <w:rFonts w:eastAsia="Arial"/>
          <w:sz w:val="28"/>
          <w:szCs w:val="28"/>
        </w:rPr>
        <w:t>.</w:t>
      </w:r>
      <w:r w:rsidRPr="0099652B">
        <w:rPr>
          <w:rFonts w:eastAsia="Arial"/>
          <w:sz w:val="28"/>
          <w:szCs w:val="28"/>
        </w:rPr>
        <w:t xml:space="preserve">  Criterion One is met: “many of those who sleep in the dust of the earth shall awake,” </w:t>
      </w:r>
      <w:r w:rsidRPr="0099652B">
        <w:rPr>
          <w:rFonts w:eastAsia="Arial"/>
          <w:sz w:val="28"/>
          <w:szCs w:val="28"/>
        </w:rPr>
        <w:lastRenderedPageBreak/>
        <w:t>a restoration to life, and the wise “shall shine like the brightness of the sky.” Criterion Two is met</w:t>
      </w:r>
      <w:r w:rsidRPr="0099652B">
        <w:rPr>
          <w:rFonts w:eastAsia="Arial"/>
          <w:i/>
          <w:iCs/>
          <w:sz w:val="28"/>
          <w:szCs w:val="28"/>
        </w:rPr>
        <w:t xml:space="preserve"> </w:t>
      </w:r>
      <w:r w:rsidRPr="0099652B">
        <w:rPr>
          <w:rFonts w:eastAsia="Arial"/>
          <w:sz w:val="28"/>
          <w:szCs w:val="28"/>
        </w:rPr>
        <w:t xml:space="preserve">with a qualification. Deliverance depends on being “found written in the book,” which belongs to the court scene of Daniel 7:9–10, where “the court sat in judgment, and the books were opened.” </w:t>
      </w:r>
      <w:r w:rsidR="00E20FD5" w:rsidRPr="0099652B">
        <w:rPr>
          <w:rFonts w:eastAsia="Arial"/>
          <w:sz w:val="28"/>
          <w:szCs w:val="28"/>
        </w:rPr>
        <w:t>The judge, court, and record are present, though</w:t>
      </w:r>
      <w:r w:rsidRPr="0099652B">
        <w:rPr>
          <w:rFonts w:eastAsia="Arial"/>
          <w:sz w:val="28"/>
          <w:szCs w:val="28"/>
        </w:rPr>
        <w:t xml:space="preserve"> the tribunal emerges only when Chapters 7 and 12 are read together. </w:t>
      </w:r>
    </w:p>
    <w:p w14:paraId="5CC37FF9"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Criterion Three is met: those who awake to glory are “those who lead many to righteousness” (12:3), and the righteous and the wicked are divided in explicitly moral terms (12:10; compare 11:32–35). </w:t>
      </w:r>
      <w:r w:rsidRPr="0099652B">
        <w:rPr>
          <w:rFonts w:eastAsia="Arial"/>
          <w:i/>
          <w:iCs/>
          <w:sz w:val="28"/>
          <w:szCs w:val="28"/>
        </w:rPr>
        <w:t>Criterion Four</w:t>
      </w:r>
      <w:r w:rsidRPr="0099652B">
        <w:rPr>
          <w:rFonts w:eastAsia="Arial"/>
          <w:sz w:val="28"/>
          <w:szCs w:val="28"/>
        </w:rPr>
        <w:t xml:space="preserve"> is met: some awake “to everlasting life, and some to shame and everlasting contempt.”</w:t>
      </w:r>
    </w:p>
    <w:p w14:paraId="53116AF8" w14:textId="2B39828C"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The resurrection is not universal, since “many,” not all, awake. Isaiah 26:19 has been read as an earlier witness, and Levenson argues that the doctrine’s roots run deeper. But the date of Isaiah 24–27 is disputed, and the passage lacks a tribunal, a moral criterion, and divergent destinies. Daniel is the earliest Israelite text to satisfy all four criteria.</w:t>
      </w:r>
    </w:p>
    <w:p w14:paraId="5E417B11"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Evidentiary Standards</w:t>
      </w:r>
    </w:p>
    <w:p w14:paraId="111B2640" w14:textId="243DC56A"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Daniel meets the standard of </w:t>
      </w:r>
      <w:r w:rsidRPr="0099652B">
        <w:rPr>
          <w:rFonts w:eastAsia="Arial"/>
          <w:i/>
          <w:iCs/>
          <w:sz w:val="28"/>
          <w:szCs w:val="28"/>
        </w:rPr>
        <w:t>datability</w:t>
      </w:r>
      <w:r w:rsidRPr="0099652B">
        <w:rPr>
          <w:rFonts w:eastAsia="Arial"/>
          <w:sz w:val="28"/>
          <w:szCs w:val="28"/>
        </w:rPr>
        <w:t xml:space="preserve"> on grounds independent of the belief it expresses. The survey of Daniel 11 follows Antiochus IV through the desecration of the Temple in 167 BCE but does not know the circumstances of his death in 164 BCE, which fixes the book at about 165 BCE</w:t>
      </w:r>
      <w:r w:rsidR="00637487" w:rsidRPr="0099652B">
        <w:rPr>
          <w:rFonts w:eastAsia="Arial"/>
          <w:sz w:val="28"/>
          <w:szCs w:val="28"/>
        </w:rPr>
        <w:t>.</w:t>
      </w:r>
    </w:p>
    <w:p w14:paraId="59972E61" w14:textId="33CE0D2F" w:rsidR="00E50D13" w:rsidRPr="0099652B" w:rsidRDefault="00E50D13" w:rsidP="00E50D13">
      <w:pPr>
        <w:spacing w:line="480" w:lineRule="auto"/>
        <w:ind w:firstLine="720"/>
        <w:jc w:val="both"/>
        <w:rPr>
          <w:rFonts w:eastAsia="Arial"/>
          <w:sz w:val="28"/>
          <w:szCs w:val="28"/>
        </w:rPr>
      </w:pPr>
      <w:r w:rsidRPr="0099652B">
        <w:rPr>
          <w:rFonts w:eastAsia="Arial"/>
          <w:sz w:val="28"/>
          <w:szCs w:val="28"/>
        </w:rPr>
        <w:lastRenderedPageBreak/>
        <w:t xml:space="preserve">Daniel meets the standard of </w:t>
      </w:r>
      <w:r w:rsidRPr="0099652B">
        <w:rPr>
          <w:rFonts w:eastAsia="Arial"/>
          <w:i/>
          <w:iCs/>
          <w:sz w:val="28"/>
          <w:szCs w:val="28"/>
        </w:rPr>
        <w:t xml:space="preserve">contemporaneity </w:t>
      </w:r>
      <w:r w:rsidRPr="0099652B">
        <w:rPr>
          <w:rFonts w:eastAsia="Arial"/>
          <w:sz w:val="28"/>
          <w:szCs w:val="28"/>
        </w:rPr>
        <w:t>only by inference. Fragments of eight manuscripts of Daniel survive among the Dead Sea Scrolls, the earliest dating to the late second century BCE, within a few generations of composition (Ulrich 2010). So far as the published fragments show, none preserves 12:1–3, which the ancient Greek versions and the medieval Hebrew text transmit. The inference is strong, because the Qumran copies show that the book was copied soon after it was written, but it remains an inference.</w:t>
      </w:r>
    </w:p>
    <w:p w14:paraId="17DB23DF" w14:textId="79A26EC8"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Daniel does </w:t>
      </w:r>
      <w:r w:rsidRPr="0099652B">
        <w:rPr>
          <w:rFonts w:eastAsia="Arial"/>
          <w:i/>
          <w:iCs/>
          <w:sz w:val="28"/>
          <w:szCs w:val="28"/>
        </w:rPr>
        <w:t>not meet</w:t>
      </w:r>
      <w:r w:rsidRPr="0099652B">
        <w:rPr>
          <w:rFonts w:eastAsia="Arial"/>
          <w:sz w:val="28"/>
          <w:szCs w:val="28"/>
        </w:rPr>
        <w:t xml:space="preserve"> the standard of </w:t>
      </w:r>
      <w:r w:rsidRPr="0099652B">
        <w:rPr>
          <w:rFonts w:eastAsia="Arial"/>
          <w:i/>
          <w:iCs/>
          <w:sz w:val="28"/>
          <w:szCs w:val="28"/>
        </w:rPr>
        <w:t>materiality</w:t>
      </w:r>
      <w:r w:rsidRPr="0099652B">
        <w:rPr>
          <w:rFonts w:eastAsia="Arial"/>
          <w:sz w:val="28"/>
          <w:szCs w:val="28"/>
        </w:rPr>
        <w:t xml:space="preserve">: no object cataloged bears the passage, and Jerusalem is listed only as a site. The one Israelite witness that meets all three standards, the </w:t>
      </w:r>
      <w:proofErr w:type="spellStart"/>
      <w:r w:rsidRPr="0099652B">
        <w:rPr>
          <w:rFonts w:eastAsia="Arial"/>
          <w:sz w:val="28"/>
          <w:szCs w:val="28"/>
        </w:rPr>
        <w:t>Merneptah</w:t>
      </w:r>
      <w:proofErr w:type="spellEnd"/>
      <w:r w:rsidRPr="0099652B">
        <w:rPr>
          <w:rFonts w:eastAsia="Arial"/>
          <w:sz w:val="28"/>
          <w:szCs w:val="28"/>
        </w:rPr>
        <w:t xml:space="preserve"> Stele of about 1207 BCE (Egyptian Museum, Cairo, JE 31408), attests Israel’s existence as a people and bears on none of the criteria</w:t>
      </w:r>
      <w:r w:rsidR="00EA34B9" w:rsidRPr="0099652B">
        <w:rPr>
          <w:rFonts w:eastAsia="Arial"/>
          <w:sz w:val="28"/>
          <w:szCs w:val="28"/>
        </w:rPr>
        <w:t>.</w:t>
      </w:r>
    </w:p>
    <w:p w14:paraId="4CFBD350"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Israel therefore satisfies all four criteria in content from about 165 BCE, in a text that is datable but neither contemporary in its surviving form nor material, more than two thousand years after the Egyptian evidence.</w:t>
      </w:r>
    </w:p>
    <w:p w14:paraId="73E691D4" w14:textId="77777777" w:rsidR="00E50D13" w:rsidRPr="0099652B" w:rsidRDefault="00E50D13" w:rsidP="00E50D13">
      <w:pPr>
        <w:keepNext/>
        <w:keepLines/>
        <w:spacing w:line="480" w:lineRule="auto"/>
        <w:outlineLvl w:val="1"/>
        <w:rPr>
          <w:b/>
          <w:bCs/>
          <w:sz w:val="28"/>
          <w:szCs w:val="28"/>
        </w:rPr>
      </w:pPr>
      <w:bookmarkStart w:id="33" w:name="_Toc241691234"/>
      <w:r w:rsidRPr="0099652B">
        <w:rPr>
          <w:b/>
          <w:bCs/>
          <w:sz w:val="28"/>
          <w:szCs w:val="28"/>
        </w:rPr>
        <w:t>5.6 Greece: Pindar’s Second Olympian Ode</w:t>
      </w:r>
      <w:bookmarkEnd w:id="33"/>
    </w:p>
    <w:p w14:paraId="6F757630"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The Criteria</w:t>
      </w:r>
    </w:p>
    <w:p w14:paraId="0843F92A"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Homer’s underworld of shades, where Minos settles the disputes of the dead rather than judging their lives, fails to meet all four criteria (Homer, </w:t>
      </w:r>
      <w:r w:rsidRPr="0099652B">
        <w:rPr>
          <w:rFonts w:eastAsia="Arial"/>
          <w:i/>
          <w:iCs/>
          <w:sz w:val="28"/>
          <w:szCs w:val="28"/>
        </w:rPr>
        <w:t>Odyssey</w:t>
      </w:r>
      <w:r w:rsidRPr="0099652B">
        <w:rPr>
          <w:rFonts w:eastAsia="Arial"/>
          <w:sz w:val="28"/>
          <w:szCs w:val="28"/>
        </w:rPr>
        <w:t xml:space="preserve"> 11.568–71).</w:t>
      </w:r>
    </w:p>
    <w:p w14:paraId="32BA7F20"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lastRenderedPageBreak/>
        <w:t>Hesiod’s heroes reach the Isles of the Blessed by Zeus’s favor, and the Homeric Hymn to Demeter rewards initiation rather than righteousness. Orphic and Pythagorean teaching from the sixth century BCE likely introduced moral differentiation, but we know it only from later writers and from gold tablets dating to the late fifth and fourth centuries BCE.</w:t>
      </w:r>
    </w:p>
    <w:p w14:paraId="37ABB150" w14:textId="77777777" w:rsidR="00E50D13" w:rsidRPr="0099652B" w:rsidRDefault="00E50D13" w:rsidP="00E50D13">
      <w:pPr>
        <w:spacing w:line="480" w:lineRule="auto"/>
        <w:jc w:val="both"/>
        <w:rPr>
          <w:rFonts w:eastAsia="Arial"/>
          <w:sz w:val="28"/>
          <w:szCs w:val="28"/>
        </w:rPr>
      </w:pPr>
      <w:r w:rsidRPr="0099652B">
        <w:rPr>
          <w:rFonts w:eastAsia="Arial"/>
          <w:sz w:val="28"/>
          <w:szCs w:val="28"/>
        </w:rPr>
        <w:t>No datable Greek source before 476 BCE states all four criteria.</w:t>
      </w:r>
    </w:p>
    <w:p w14:paraId="50BE16DD"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Pindar’s second Olympian ode, composed for Theron of Acragas after his chariot victory at Olympia in 476 BCE, is the earliest datable Greek text that does (</w:t>
      </w:r>
      <w:r w:rsidRPr="0099652B">
        <w:rPr>
          <w:rFonts w:eastAsia="Arial"/>
          <w:i/>
          <w:iCs/>
          <w:sz w:val="28"/>
          <w:szCs w:val="28"/>
        </w:rPr>
        <w:t>Olympian</w:t>
      </w:r>
      <w:r w:rsidRPr="0099652B">
        <w:rPr>
          <w:rFonts w:eastAsia="Arial"/>
          <w:sz w:val="28"/>
          <w:szCs w:val="28"/>
        </w:rPr>
        <w:t xml:space="preserve"> 2.56–83, in Pindar 1997). </w:t>
      </w:r>
      <w:r w:rsidRPr="0099652B">
        <w:rPr>
          <w:rFonts w:eastAsia="Arial"/>
          <w:i/>
          <w:iCs/>
          <w:sz w:val="28"/>
          <w:szCs w:val="28"/>
          <w:u w:val="single"/>
        </w:rPr>
        <w:t>Criterion One</w:t>
      </w:r>
      <w:r w:rsidRPr="0099652B">
        <w:rPr>
          <w:rFonts w:eastAsia="Arial"/>
          <w:sz w:val="28"/>
          <w:szCs w:val="28"/>
          <w:u w:val="single"/>
        </w:rPr>
        <w:t xml:space="preserve"> is met</w:t>
      </w:r>
      <w:r w:rsidRPr="0099652B">
        <w:rPr>
          <w:rFonts w:eastAsia="Arial"/>
          <w:sz w:val="28"/>
          <w:szCs w:val="28"/>
        </w:rPr>
        <w:t xml:space="preserve">: the good receive “an existence without tears” among the gods, and the just pass to the Isles of the Blessed, a renewed and enhanced life. </w:t>
      </w:r>
      <w:r w:rsidRPr="0099652B">
        <w:rPr>
          <w:rFonts w:eastAsia="Arial"/>
          <w:i/>
          <w:iCs/>
          <w:sz w:val="28"/>
          <w:szCs w:val="28"/>
          <w:u w:val="single"/>
        </w:rPr>
        <w:t>Criterion Two</w:t>
      </w:r>
      <w:r w:rsidRPr="0099652B">
        <w:rPr>
          <w:rFonts w:eastAsia="Arial"/>
          <w:sz w:val="28"/>
          <w:szCs w:val="28"/>
          <w:u w:val="single"/>
        </w:rPr>
        <w:t xml:space="preserve"> is met</w:t>
      </w:r>
      <w:r w:rsidRPr="0099652B">
        <w:rPr>
          <w:rFonts w:eastAsia="Arial"/>
          <w:sz w:val="28"/>
          <w:szCs w:val="28"/>
        </w:rPr>
        <w:t xml:space="preserve">: misdeeds in this realm are judged beneath the earth by one who “pronounces sentence with hateful necessity,” and Rhadamanthys sits as assessor on the Isles. </w:t>
      </w:r>
      <w:r w:rsidRPr="0099652B">
        <w:rPr>
          <w:rFonts w:eastAsia="Arial"/>
          <w:i/>
          <w:iCs/>
          <w:sz w:val="28"/>
          <w:szCs w:val="28"/>
          <w:u w:val="single"/>
        </w:rPr>
        <w:t>Criterion Three</w:t>
      </w:r>
      <w:r w:rsidRPr="0099652B">
        <w:rPr>
          <w:rFonts w:eastAsia="Arial"/>
          <w:sz w:val="28"/>
          <w:szCs w:val="28"/>
          <w:u w:val="single"/>
        </w:rPr>
        <w:t xml:space="preserve"> is met</w:t>
      </w:r>
      <w:r w:rsidRPr="0099652B">
        <w:rPr>
          <w:rFonts w:eastAsia="Arial"/>
          <w:sz w:val="28"/>
          <w:szCs w:val="28"/>
        </w:rPr>
        <w:t xml:space="preserve">: the favored “rejoiced in keeping their oaths,” and the highest destiny belongs to those who kept their souls “entirely from injustice.” </w:t>
      </w:r>
      <w:r w:rsidRPr="0099652B">
        <w:rPr>
          <w:rFonts w:eastAsia="Arial"/>
          <w:i/>
          <w:iCs/>
          <w:sz w:val="28"/>
          <w:szCs w:val="28"/>
          <w:u w:val="single"/>
        </w:rPr>
        <w:t>Criterion Four</w:t>
      </w:r>
      <w:r w:rsidRPr="0099652B">
        <w:rPr>
          <w:rFonts w:eastAsia="Arial"/>
          <w:sz w:val="28"/>
          <w:szCs w:val="28"/>
          <w:u w:val="single"/>
        </w:rPr>
        <w:t xml:space="preserve"> is met:</w:t>
      </w:r>
      <w:r w:rsidRPr="0099652B">
        <w:rPr>
          <w:rFonts w:eastAsia="Arial"/>
          <w:sz w:val="28"/>
          <w:szCs w:val="28"/>
        </w:rPr>
        <w:t xml:space="preserve"> the others “endure toil too terrible to look upon.”</w:t>
      </w:r>
    </w:p>
    <w:p w14:paraId="277FFD18" w14:textId="066DB93C" w:rsidR="00E50D13" w:rsidRPr="0099652B" w:rsidRDefault="00EA34B9" w:rsidP="00E50D13">
      <w:pPr>
        <w:spacing w:line="480" w:lineRule="auto"/>
        <w:ind w:firstLine="720"/>
        <w:jc w:val="both"/>
        <w:rPr>
          <w:rFonts w:eastAsia="Arial"/>
          <w:sz w:val="28"/>
          <w:szCs w:val="28"/>
        </w:rPr>
      </w:pPr>
      <w:r w:rsidRPr="0099652B">
        <w:rPr>
          <w:rFonts w:eastAsia="Arial"/>
          <w:sz w:val="28"/>
          <w:szCs w:val="28"/>
        </w:rPr>
        <w:t xml:space="preserve">The ode links judgment to a cycle of rebirth, probably Orphic and Pythagorean, in which the Isles are reached after three just lives on each side of death. This does not defeat Criterion One, because the just's final destiny is an enduring renewed life. Plato later gave the pattern its fullest classical form (Gorgias </w:t>
      </w:r>
      <w:r w:rsidRPr="0099652B">
        <w:rPr>
          <w:rFonts w:eastAsia="Arial"/>
          <w:sz w:val="28"/>
          <w:szCs w:val="28"/>
        </w:rPr>
        <w:lastRenderedPageBreak/>
        <w:t>523a–527a; Phaedo 107c–115a; Republic 10.614a–621d, in Plato 1997; Bremmer 2002), but Pindar is the earliest datable witness.</w:t>
      </w:r>
    </w:p>
    <w:p w14:paraId="741D4F44"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Evidentiary Standards</w:t>
      </w:r>
    </w:p>
    <w:p w14:paraId="2376E3D5"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The ode meets the standard of </w:t>
      </w:r>
      <w:r w:rsidRPr="0099652B">
        <w:rPr>
          <w:rFonts w:eastAsia="Arial"/>
          <w:i/>
          <w:iCs/>
          <w:sz w:val="28"/>
          <w:szCs w:val="28"/>
        </w:rPr>
        <w:t>datability</w:t>
      </w:r>
      <w:r w:rsidRPr="0099652B">
        <w:rPr>
          <w:rFonts w:eastAsia="Arial"/>
          <w:sz w:val="28"/>
          <w:szCs w:val="28"/>
        </w:rPr>
        <w:t xml:space="preserve"> independently of its eschatology, because ancient records of Olympic victors and ancient commentaries on Pindar fix Theron’s victory to 476 BCE, so the argument is not circular.</w:t>
      </w:r>
    </w:p>
    <w:p w14:paraId="230F2D3C"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It meets the standard of </w:t>
      </w:r>
      <w:r w:rsidRPr="0099652B">
        <w:rPr>
          <w:rFonts w:eastAsia="Arial"/>
          <w:i/>
          <w:iCs/>
          <w:sz w:val="28"/>
          <w:szCs w:val="28"/>
        </w:rPr>
        <w:t>contemporaneity</w:t>
      </w:r>
      <w:r w:rsidRPr="0099652B">
        <w:rPr>
          <w:rFonts w:eastAsia="Arial"/>
          <w:sz w:val="28"/>
          <w:szCs w:val="28"/>
        </w:rPr>
        <w:t xml:space="preserve"> only by inference. Alexandrian scholars edited the odes, and they survive chiefly in medieval manuscripts, which are direct evidence for their own time and only inferential evidence for fifth-century Acragas. The inference is strong because the ode’s text is well established and its language belongs to the fifth century, but it remains an inference.</w:t>
      </w:r>
    </w:p>
    <w:p w14:paraId="18471BE2" w14:textId="77777777"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It does not meet the materiality standard because no cataloged object bears it. The Greek objects that meet all three standards, the gold tablets from </w:t>
      </w:r>
      <w:proofErr w:type="spellStart"/>
      <w:r w:rsidRPr="0099652B">
        <w:rPr>
          <w:rFonts w:eastAsia="Arial"/>
          <w:sz w:val="28"/>
          <w:szCs w:val="28"/>
        </w:rPr>
        <w:t>Hipponion</w:t>
      </w:r>
      <w:proofErr w:type="spellEnd"/>
      <w:r w:rsidRPr="0099652B">
        <w:rPr>
          <w:rFonts w:eastAsia="Arial"/>
          <w:sz w:val="28"/>
          <w:szCs w:val="28"/>
        </w:rPr>
        <w:t xml:space="preserve">, </w:t>
      </w:r>
      <w:proofErr w:type="spellStart"/>
      <w:r w:rsidRPr="0099652B">
        <w:rPr>
          <w:rFonts w:eastAsia="Arial"/>
          <w:sz w:val="28"/>
          <w:szCs w:val="28"/>
        </w:rPr>
        <w:t>Thurii</w:t>
      </w:r>
      <w:proofErr w:type="spellEnd"/>
      <w:r w:rsidRPr="0099652B">
        <w:rPr>
          <w:rFonts w:eastAsia="Arial"/>
          <w:sz w:val="28"/>
          <w:szCs w:val="28"/>
        </w:rPr>
        <w:t xml:space="preserve">, and </w:t>
      </w:r>
      <w:proofErr w:type="spellStart"/>
      <w:r w:rsidRPr="0099652B">
        <w:rPr>
          <w:rFonts w:eastAsia="Arial"/>
          <w:sz w:val="28"/>
          <w:szCs w:val="28"/>
        </w:rPr>
        <w:t>Pelinna</w:t>
      </w:r>
      <w:proofErr w:type="spellEnd"/>
      <w:r w:rsidRPr="0099652B">
        <w:rPr>
          <w:rFonts w:eastAsia="Arial"/>
          <w:sz w:val="28"/>
          <w:szCs w:val="28"/>
        </w:rPr>
        <w:t>, and the Derveni Papyrus of about 340 BCE (Thessaloniki), cannot make up for the deficiency: they are later than Pindar and reserve the favored destiny chiefly for initiates who declare their ritual purity (</w:t>
      </w:r>
      <w:r w:rsidRPr="0099652B">
        <w:rPr>
          <w:rFonts w:eastAsia="Arial"/>
          <w:i/>
          <w:iCs/>
          <w:sz w:val="28"/>
          <w:szCs w:val="28"/>
        </w:rPr>
        <w:t>Gold tablets from Hipponion, Thurii and Pelinna</w:t>
      </w:r>
      <w:r w:rsidRPr="0099652B">
        <w:rPr>
          <w:rFonts w:eastAsia="Arial"/>
          <w:sz w:val="28"/>
          <w:szCs w:val="28"/>
        </w:rPr>
        <w:t xml:space="preserve"> c. 400–300 BCE; </w:t>
      </w:r>
      <w:r w:rsidRPr="0099652B">
        <w:rPr>
          <w:rFonts w:eastAsia="Arial"/>
          <w:i/>
          <w:iCs/>
          <w:sz w:val="28"/>
          <w:szCs w:val="28"/>
        </w:rPr>
        <w:t>Derveni Papyrus</w:t>
      </w:r>
      <w:r w:rsidRPr="0099652B">
        <w:rPr>
          <w:rFonts w:eastAsia="Arial"/>
          <w:sz w:val="28"/>
          <w:szCs w:val="28"/>
        </w:rPr>
        <w:t xml:space="preserve"> c. 340–320 BCE).</w:t>
      </w:r>
    </w:p>
    <w:p w14:paraId="7B0572B5" w14:textId="77777777" w:rsidR="00E50D13" w:rsidRPr="0099652B" w:rsidRDefault="00E50D13" w:rsidP="00E50D13">
      <w:pPr>
        <w:keepNext/>
        <w:keepLines/>
        <w:spacing w:line="480" w:lineRule="auto"/>
        <w:outlineLvl w:val="1"/>
        <w:rPr>
          <w:b/>
          <w:bCs/>
          <w:sz w:val="28"/>
          <w:szCs w:val="28"/>
        </w:rPr>
      </w:pPr>
      <w:bookmarkStart w:id="34" w:name="_Toc241691235"/>
      <w:r w:rsidRPr="0099652B">
        <w:rPr>
          <w:b/>
          <w:bCs/>
          <w:sz w:val="28"/>
          <w:szCs w:val="28"/>
        </w:rPr>
        <w:lastRenderedPageBreak/>
        <w:t>5.7 Other Traditions</w:t>
      </w:r>
      <w:bookmarkEnd w:id="34"/>
    </w:p>
    <w:p w14:paraId="1B0E8025" w14:textId="77777777" w:rsidR="00E50D13" w:rsidRPr="0099652B" w:rsidRDefault="00E50D13" w:rsidP="00E50D13">
      <w:pPr>
        <w:keepNext/>
        <w:keepLines/>
        <w:spacing w:line="480" w:lineRule="auto"/>
        <w:outlineLvl w:val="2"/>
        <w:rPr>
          <w:rFonts w:eastAsia="Arial"/>
          <w:sz w:val="28"/>
          <w:szCs w:val="28"/>
          <w:u w:val="single"/>
        </w:rPr>
      </w:pPr>
      <w:r w:rsidRPr="0099652B">
        <w:rPr>
          <w:rFonts w:eastAsia="Arial"/>
          <w:sz w:val="28"/>
          <w:szCs w:val="28"/>
          <w:u w:val="single"/>
        </w:rPr>
        <w:t>Traditions Eliminated by the Criteria</w:t>
      </w:r>
    </w:p>
    <w:p w14:paraId="1656BE9F" w14:textId="6C0D618A"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The remaining traditions fail at least one criterion and are eliminated without examining their evidence. </w:t>
      </w:r>
      <w:r w:rsidRPr="0099652B">
        <w:rPr>
          <w:rFonts w:eastAsia="Arial"/>
          <w:i/>
          <w:iCs/>
          <w:sz w:val="28"/>
          <w:szCs w:val="28"/>
        </w:rPr>
        <w:t>Hittite</w:t>
      </w:r>
      <w:r w:rsidRPr="0099652B">
        <w:rPr>
          <w:rFonts w:eastAsia="Arial"/>
          <w:sz w:val="28"/>
          <w:szCs w:val="28"/>
        </w:rPr>
        <w:t xml:space="preserve"> royal ritual declares that the dead king or queen “has become a god,” but the apotheosis is conferred by office, with no tribunal or condemned alternative; it fails Criteria Two, Three, and Four. In </w:t>
      </w:r>
      <w:r w:rsidRPr="0099652B">
        <w:rPr>
          <w:rFonts w:eastAsia="Arial"/>
          <w:i/>
          <w:iCs/>
          <w:sz w:val="28"/>
          <w:szCs w:val="28"/>
        </w:rPr>
        <w:t>Vedic India</w:t>
      </w:r>
      <w:r w:rsidRPr="0099652B">
        <w:rPr>
          <w:rFonts w:eastAsia="Arial"/>
          <w:sz w:val="28"/>
          <w:szCs w:val="28"/>
        </w:rPr>
        <w:t xml:space="preserve">, the Rigveda unites the dead with the ancestors through the merit of sacrifice and gifts, and the Upanishadic doctrine of </w:t>
      </w:r>
      <w:r w:rsidR="00E46F10" w:rsidRPr="0099652B">
        <w:rPr>
          <w:rFonts w:eastAsia="Arial"/>
          <w:sz w:val="28"/>
          <w:szCs w:val="28"/>
        </w:rPr>
        <w:t>Karman</w:t>
      </w:r>
      <w:r w:rsidRPr="0099652B">
        <w:rPr>
          <w:rFonts w:eastAsia="Arial"/>
          <w:sz w:val="28"/>
          <w:szCs w:val="28"/>
        </w:rPr>
        <w:t xml:space="preserve"> supplies a moral criterion but no judge and no eternal destiny; both strata fail the tribunal criterion (</w:t>
      </w:r>
      <w:r w:rsidRPr="0099652B">
        <w:rPr>
          <w:rFonts w:eastAsia="Arial"/>
          <w:i/>
          <w:iCs/>
          <w:sz w:val="28"/>
          <w:szCs w:val="28"/>
        </w:rPr>
        <w:t>Rigveda</w:t>
      </w:r>
      <w:r w:rsidRPr="0099652B">
        <w:rPr>
          <w:rFonts w:eastAsia="Arial"/>
          <w:sz w:val="28"/>
          <w:szCs w:val="28"/>
        </w:rPr>
        <w:t xml:space="preserve"> 10.14</w:t>
      </w:r>
      <w:r w:rsidR="00E46F10" w:rsidRPr="0099652B">
        <w:rPr>
          <w:rFonts w:eastAsia="Arial"/>
          <w:sz w:val="28"/>
          <w:szCs w:val="28"/>
        </w:rPr>
        <w:t>)</w:t>
      </w:r>
      <w:r w:rsidRPr="0099652B">
        <w:rPr>
          <w:rFonts w:eastAsia="Arial"/>
          <w:sz w:val="28"/>
          <w:szCs w:val="28"/>
        </w:rPr>
        <w:t xml:space="preserve">. </w:t>
      </w:r>
      <w:r w:rsidRPr="0099652B">
        <w:rPr>
          <w:rFonts w:eastAsia="Arial"/>
          <w:i/>
          <w:iCs/>
          <w:sz w:val="28"/>
          <w:szCs w:val="28"/>
        </w:rPr>
        <w:t>Minoan</w:t>
      </w:r>
      <w:r w:rsidRPr="0099652B">
        <w:rPr>
          <w:rFonts w:eastAsia="Arial"/>
          <w:b/>
          <w:bCs/>
          <w:sz w:val="28"/>
          <w:szCs w:val="28"/>
        </w:rPr>
        <w:t xml:space="preserve"> </w:t>
      </w:r>
      <w:r w:rsidRPr="0099652B">
        <w:rPr>
          <w:rFonts w:eastAsia="Arial"/>
          <w:sz w:val="28"/>
          <w:szCs w:val="28"/>
        </w:rPr>
        <w:t xml:space="preserve">religion cannot be assessed because Linear A is undeciphered; its remains are eloquent about ritual and silent about doctrine, so the claim is not that the Minoans lacked a doctrine of judgment but that nothing can be established about it. The </w:t>
      </w:r>
      <w:r w:rsidRPr="0099652B">
        <w:rPr>
          <w:rFonts w:eastAsia="Arial"/>
          <w:i/>
          <w:iCs/>
          <w:sz w:val="28"/>
          <w:szCs w:val="28"/>
        </w:rPr>
        <w:t>Eleusinian mysteries</w:t>
      </w:r>
      <w:r w:rsidRPr="0099652B">
        <w:rPr>
          <w:rFonts w:eastAsia="Arial"/>
          <w:b/>
          <w:bCs/>
          <w:sz w:val="28"/>
          <w:szCs w:val="28"/>
        </w:rPr>
        <w:t xml:space="preserve"> </w:t>
      </w:r>
      <w:r w:rsidRPr="0099652B">
        <w:rPr>
          <w:rFonts w:eastAsia="Arial"/>
          <w:sz w:val="28"/>
          <w:szCs w:val="28"/>
        </w:rPr>
        <w:t>rewarded initiation, not morality, and the uninitiated simply failed to improve (</w:t>
      </w:r>
      <w:r w:rsidRPr="0099652B">
        <w:rPr>
          <w:rFonts w:eastAsia="Arial"/>
          <w:i/>
          <w:iCs/>
          <w:sz w:val="28"/>
          <w:szCs w:val="28"/>
        </w:rPr>
        <w:t>Homeric Hymn to Demeter</w:t>
      </w:r>
      <w:r w:rsidRPr="0099652B">
        <w:rPr>
          <w:rFonts w:eastAsia="Arial"/>
          <w:sz w:val="28"/>
          <w:szCs w:val="28"/>
        </w:rPr>
        <w:t xml:space="preserve"> 480–82). </w:t>
      </w:r>
      <w:r w:rsidRPr="0099652B">
        <w:rPr>
          <w:rFonts w:eastAsia="Arial"/>
          <w:i/>
          <w:iCs/>
          <w:sz w:val="28"/>
          <w:szCs w:val="28"/>
        </w:rPr>
        <w:t xml:space="preserve">Etruscan </w:t>
      </w:r>
      <w:r w:rsidRPr="0099652B">
        <w:rPr>
          <w:rFonts w:eastAsia="Arial"/>
          <w:sz w:val="28"/>
          <w:szCs w:val="28"/>
        </w:rPr>
        <w:t xml:space="preserve">tomb paintings of the fourth century BCE at Tarquinia depict a journey to the underworld, attended by demons such as Charun and Vanth, but no tribunal, moral audit, or divergence of destinies. </w:t>
      </w:r>
      <w:r w:rsidRPr="0099652B">
        <w:rPr>
          <w:rFonts w:eastAsia="Arial"/>
          <w:i/>
          <w:iCs/>
          <w:sz w:val="28"/>
          <w:szCs w:val="28"/>
        </w:rPr>
        <w:t xml:space="preserve">Roman </w:t>
      </w:r>
      <w:r w:rsidRPr="0099652B">
        <w:rPr>
          <w:rFonts w:eastAsia="Arial"/>
          <w:sz w:val="28"/>
          <w:szCs w:val="28"/>
        </w:rPr>
        <w:t>religion cared for the manes, the collective dead sustained by family rites, and had almost no doctrine of individual judgment after death</w:t>
      </w:r>
      <w:r w:rsidR="00E46F10" w:rsidRPr="0099652B">
        <w:rPr>
          <w:rFonts w:eastAsia="Arial"/>
          <w:sz w:val="28"/>
          <w:szCs w:val="28"/>
        </w:rPr>
        <w:t>.</w:t>
      </w:r>
    </w:p>
    <w:p w14:paraId="18DB8F90" w14:textId="672DACEB"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Among these ancient traditions, only Israel and Greece satisfy all four criteria, with Greece represented by Pindar’s ode from 476 BCE and Israel by Daniel from </w:t>
      </w:r>
      <w:r w:rsidRPr="0099652B">
        <w:rPr>
          <w:rFonts w:eastAsia="Arial"/>
          <w:sz w:val="28"/>
          <w:szCs w:val="28"/>
        </w:rPr>
        <w:lastRenderedPageBreak/>
        <w:t xml:space="preserve">about 165 BCE. Both texts are securely datable but survive only in later copies and on no cataloged object, so neither meets all three evidentiary standards in section 2.3. Neither </w:t>
      </w:r>
      <w:r w:rsidR="00421184" w:rsidRPr="0099652B">
        <w:rPr>
          <w:rFonts w:eastAsia="Arial"/>
          <w:sz w:val="28"/>
          <w:szCs w:val="28"/>
        </w:rPr>
        <w:t>challenge</w:t>
      </w:r>
      <w:r w:rsidRPr="0099652B">
        <w:rPr>
          <w:rFonts w:eastAsia="Arial"/>
          <w:sz w:val="28"/>
          <w:szCs w:val="28"/>
        </w:rPr>
        <w:t xml:space="preserve"> Egyptian priority: the earliest datable statement of all four criteria appears some eighteen centuries after the Egyptian evidence from about 2300 BCE.</w:t>
      </w:r>
    </w:p>
    <w:p w14:paraId="3A1F4AD3" w14:textId="77777777" w:rsidR="00E50D13" w:rsidRPr="0099652B" w:rsidRDefault="00E50D13" w:rsidP="00E50D13">
      <w:pPr>
        <w:keepNext/>
        <w:keepLines/>
        <w:spacing w:line="480" w:lineRule="auto"/>
        <w:outlineLvl w:val="1"/>
        <w:rPr>
          <w:rFonts w:eastAsia="Arial"/>
          <w:b/>
          <w:bCs/>
          <w:sz w:val="28"/>
          <w:szCs w:val="28"/>
        </w:rPr>
      </w:pPr>
      <w:bookmarkStart w:id="35" w:name="_Toc241691236"/>
      <w:r w:rsidRPr="0099652B">
        <w:rPr>
          <w:b/>
          <w:bCs/>
          <w:sz w:val="28"/>
          <w:szCs w:val="28"/>
        </w:rPr>
        <w:t>5.8 Conclusion</w:t>
      </w:r>
      <w:bookmarkEnd w:id="35"/>
    </w:p>
    <w:p w14:paraId="5D864D61" w14:textId="799B1E52" w:rsidR="00E50D13" w:rsidRPr="0099652B" w:rsidRDefault="00E50D13" w:rsidP="00E50D13">
      <w:pPr>
        <w:spacing w:line="480" w:lineRule="auto"/>
        <w:ind w:firstLine="720"/>
        <w:jc w:val="both"/>
        <w:rPr>
          <w:rFonts w:eastAsia="Arial"/>
          <w:sz w:val="28"/>
          <w:szCs w:val="28"/>
        </w:rPr>
      </w:pPr>
      <w:r w:rsidRPr="0099652B">
        <w:rPr>
          <w:rFonts w:eastAsia="Arial"/>
          <w:sz w:val="28"/>
          <w:szCs w:val="28"/>
        </w:rPr>
        <w:t xml:space="preserve">Extensive analysis using Chapter Two’s objective criteria and evidentiary standards shows that Ancient Egypt was the first ancient Mediterranean civilization to develop a fully articulated doctrine of righteous resurrection, in which moral conduct in life determines destiny after death. Dated, contemporary primary sources attest to this by approximately 2300 BCE. Only Zoroastrian Iran also meets both criteria and </w:t>
      </w:r>
      <w:r w:rsidR="00E46F10" w:rsidRPr="0099652B">
        <w:rPr>
          <w:rFonts w:eastAsia="Arial"/>
          <w:sz w:val="28"/>
          <w:szCs w:val="28"/>
        </w:rPr>
        <w:t>evidentiary standards: Zoroastrianism (about 290 BCE);</w:t>
      </w:r>
      <w:r w:rsidRPr="0099652B">
        <w:rPr>
          <w:rFonts w:eastAsia="Arial"/>
          <w:sz w:val="28"/>
          <w:szCs w:val="28"/>
        </w:rPr>
        <w:t xml:space="preserve"> Israel (about 165 BCE) and Greece (476 BCE) meet the four criteria but fail the evidentiary standards. Every other tradition fails the criteria, including Mesopotamia, Egypt’s greatest ancient rival.</w:t>
      </w:r>
    </w:p>
    <w:p w14:paraId="04535C15" w14:textId="77777777" w:rsidR="00E50D13" w:rsidRPr="0099652B" w:rsidRDefault="00E50D13" w:rsidP="00E50D13">
      <w:pPr>
        <w:spacing w:after="160" w:line="278" w:lineRule="auto"/>
        <w:rPr>
          <w:rFonts w:eastAsiaTheme="minorHAnsi"/>
          <w:kern w:val="2"/>
          <w:sz w:val="28"/>
          <w:szCs w:val="28"/>
          <w14:ligatures w14:val="standardContextual"/>
        </w:rPr>
      </w:pPr>
    </w:p>
    <w:p w14:paraId="0D003CF1" w14:textId="4B35F133" w:rsidR="00DB046E" w:rsidRPr="0099652B" w:rsidRDefault="00000000">
      <w:pPr>
        <w:pStyle w:val="Heading1"/>
        <w:pageBreakBefore/>
        <w:rPr>
          <w:rFonts w:ascii="Times New Roman" w:hAnsi="Times New Roman" w:cs="Times New Roman"/>
          <w:color w:val="auto"/>
        </w:rPr>
      </w:pPr>
      <w:bookmarkStart w:id="36" w:name="_Toc241691237"/>
      <w:r w:rsidRPr="0099652B">
        <w:rPr>
          <w:rFonts w:ascii="Times New Roman" w:hAnsi="Times New Roman" w:cs="Times New Roman"/>
          <w:color w:val="auto"/>
        </w:rPr>
        <w:lastRenderedPageBreak/>
        <w:t>Chapter 6 Conclusion</w:t>
      </w:r>
      <w:r w:rsidRPr="0099652B">
        <w:rPr>
          <w:rFonts w:ascii="Times New Roman" w:hAnsi="Times New Roman" w:cs="Times New Roman"/>
          <w:color w:val="auto"/>
        </w:rPr>
        <w:br/>
        <w:t>Why Egypt’s Doctrine of Righteous Resurrection Matters</w:t>
      </w:r>
      <w:bookmarkEnd w:id="36"/>
    </w:p>
    <w:p w14:paraId="5D2E9C93" w14:textId="77777777" w:rsidR="00DB046E" w:rsidRPr="0099652B" w:rsidRDefault="00000000" w:rsidP="001C3126">
      <w:pPr>
        <w:pStyle w:val="Heading3"/>
        <w:rPr>
          <w:rFonts w:ascii="Times New Roman" w:hAnsi="Times New Roman" w:cs="Times New Roman"/>
          <w:color w:val="auto"/>
        </w:rPr>
      </w:pPr>
      <w:r w:rsidRPr="0099652B">
        <w:rPr>
          <w:rFonts w:ascii="Times New Roman" w:hAnsi="Times New Roman" w:cs="Times New Roman"/>
          <w:color w:val="auto"/>
        </w:rPr>
        <w:t>The Priority Proposition</w:t>
      </w:r>
    </w:p>
    <w:p w14:paraId="6039A7FD" w14:textId="77777777" w:rsidR="00DB046E" w:rsidRPr="0099652B" w:rsidRDefault="00000000">
      <w:pPr>
        <w:spacing w:line="480" w:lineRule="auto"/>
        <w:ind w:firstLine="720"/>
        <w:jc w:val="both"/>
        <w:rPr>
          <w:sz w:val="28"/>
          <w:szCs w:val="28"/>
        </w:rPr>
      </w:pPr>
      <w:r w:rsidRPr="0099652B">
        <w:rPr>
          <w:sz w:val="28"/>
          <w:szCs w:val="28"/>
        </w:rPr>
        <w:t xml:space="preserve">Ancient Egypt was the first ancient Mediterranean civilization to develop a fully articulated doctrine of righteous resurrection, in which the moral quality of a person’s actions during life determines that person’s destiny after death. The doctrine is attested in dated, contemporary primary sources </w:t>
      </w:r>
      <w:proofErr w:type="gramStart"/>
      <w:r w:rsidRPr="0099652B">
        <w:rPr>
          <w:sz w:val="28"/>
          <w:szCs w:val="28"/>
        </w:rPr>
        <w:t>by</w:t>
      </w:r>
      <w:proofErr w:type="gramEnd"/>
      <w:r w:rsidRPr="0099652B">
        <w:rPr>
          <w:sz w:val="28"/>
          <w:szCs w:val="28"/>
        </w:rPr>
        <w:t xml:space="preserve"> approximately 2300 BCE.</w:t>
      </w:r>
    </w:p>
    <w:p w14:paraId="1EEE8707" w14:textId="23C678C7" w:rsidR="00DB046E" w:rsidRPr="0099652B" w:rsidRDefault="00000000">
      <w:pPr>
        <w:spacing w:line="480" w:lineRule="auto"/>
        <w:ind w:firstLine="720"/>
        <w:jc w:val="both"/>
        <w:rPr>
          <w:sz w:val="28"/>
          <w:szCs w:val="28"/>
        </w:rPr>
      </w:pPr>
      <w:r w:rsidRPr="0099652B">
        <w:rPr>
          <w:sz w:val="28"/>
          <w:szCs w:val="28"/>
        </w:rPr>
        <w:t>This conclusion rests on the four criteria of section 2.2 (restoration or renewed life, a tribunal, a moral verdict, and divergent destinies) and the three evidentiary standards of section 2.3 (contemporaneity, independent datability, and materiality), applied equally to every tradition. Egypt meets both in the late Old Kingdom. The Pyramid Texts restore the king to life and declare him justified; officials’ tombs invoke the Great God as judge; and Harkhuf, about 2280–2250 BCE, says he fed the hungry and clothed the naked so that it would be well with him before that god (</w:t>
      </w:r>
      <w:proofErr w:type="spellStart"/>
      <w:r w:rsidRPr="0099652B">
        <w:rPr>
          <w:sz w:val="28"/>
          <w:szCs w:val="28"/>
        </w:rPr>
        <w:t>Lichtheim</w:t>
      </w:r>
      <w:proofErr w:type="spellEnd"/>
      <w:r w:rsidRPr="0099652B">
        <w:rPr>
          <w:sz w:val="28"/>
          <w:szCs w:val="28"/>
        </w:rPr>
        <w:t xml:space="preserve"> 19</w:t>
      </w:r>
      <w:r w:rsidR="0099652B">
        <w:rPr>
          <w:sz w:val="28"/>
          <w:szCs w:val="28"/>
        </w:rPr>
        <w:t>97</w:t>
      </w:r>
      <w:r w:rsidRPr="0099652B">
        <w:rPr>
          <w:sz w:val="28"/>
          <w:szCs w:val="28"/>
        </w:rPr>
        <w:t xml:space="preserve">; Strudwick 2005; </w:t>
      </w:r>
      <w:r w:rsidRPr="0099652B">
        <w:rPr>
          <w:i/>
          <w:iCs/>
          <w:sz w:val="28"/>
          <w:szCs w:val="28"/>
        </w:rPr>
        <w:t>Autobiography of Harkhuf</w:t>
      </w:r>
      <w:r w:rsidRPr="0099652B">
        <w:rPr>
          <w:sz w:val="28"/>
          <w:szCs w:val="28"/>
        </w:rPr>
        <w:t xml:space="preserve"> c. 2280–2250 BCE). Mesopotamia, Egypt’s greatest ancient rival, fails the criteria. Greece (476 BCE) and Israel (about 165 BCE) meet them only in texts that survive in later copies, and Zoroastrian Iran meets both only about 290 CE.</w:t>
      </w:r>
    </w:p>
    <w:p w14:paraId="3FBEE385" w14:textId="77777777" w:rsidR="00DB046E" w:rsidRPr="0099652B" w:rsidRDefault="00000000">
      <w:pPr>
        <w:spacing w:line="480" w:lineRule="auto"/>
        <w:ind w:firstLine="720"/>
        <w:jc w:val="both"/>
        <w:rPr>
          <w:sz w:val="28"/>
          <w:szCs w:val="28"/>
        </w:rPr>
      </w:pPr>
      <w:r w:rsidRPr="0099652B">
        <w:rPr>
          <w:sz w:val="28"/>
          <w:szCs w:val="28"/>
        </w:rPr>
        <w:lastRenderedPageBreak/>
        <w:t>The claim concerns the surviving record and asserts priority, not borrowing. But why does it matter?</w:t>
      </w:r>
    </w:p>
    <w:p w14:paraId="192B4634" w14:textId="77777777" w:rsidR="00DB046E" w:rsidRPr="0099652B" w:rsidRDefault="00000000" w:rsidP="001C3126">
      <w:pPr>
        <w:pStyle w:val="Heading3"/>
        <w:rPr>
          <w:rFonts w:ascii="Times New Roman" w:hAnsi="Times New Roman" w:cs="Times New Roman"/>
          <w:color w:val="auto"/>
        </w:rPr>
      </w:pPr>
      <w:r w:rsidRPr="0099652B">
        <w:rPr>
          <w:rFonts w:ascii="Times New Roman" w:hAnsi="Times New Roman" w:cs="Times New Roman"/>
          <w:color w:val="auto"/>
        </w:rPr>
        <w:t>Why Does It Matter?</w:t>
      </w:r>
    </w:p>
    <w:p w14:paraId="2C30E70C" w14:textId="30A82A35" w:rsidR="00DB046E" w:rsidRPr="0099652B" w:rsidRDefault="00000000">
      <w:pPr>
        <w:spacing w:line="480" w:lineRule="auto"/>
        <w:ind w:firstLine="720"/>
        <w:jc w:val="both"/>
        <w:rPr>
          <w:sz w:val="28"/>
          <w:szCs w:val="28"/>
        </w:rPr>
      </w:pPr>
      <w:r w:rsidRPr="0099652B">
        <w:rPr>
          <w:bCs/>
          <w:i/>
          <w:iCs/>
          <w:sz w:val="28"/>
          <w:szCs w:val="28"/>
        </w:rPr>
        <w:t>It marks a moral revolution, a turning point in the history of ethics.</w:t>
      </w:r>
      <w:r w:rsidRPr="0099652B">
        <w:rPr>
          <w:sz w:val="28"/>
          <w:szCs w:val="28"/>
        </w:rPr>
        <w:t xml:space="preserve"> The Egyptians made ethics a matter of ultimate consequence: every person would be judged after death, and the verdict would turn on how they had treated others. The idea took its classic form in spell 125 of the New Kingdom Book of the Dead, where the deceased declared before Osiris and forty-two judges that he had not stolen, killed, oppressed the poor, or falsified the weights of the balance, and his heart was weighed against the feather of Maat (Book of the Dead, spell 125</w:t>
      </w:r>
      <w:r w:rsidR="005F1864" w:rsidRPr="0099652B">
        <w:rPr>
          <w:sz w:val="28"/>
          <w:szCs w:val="28"/>
        </w:rPr>
        <w:t>)</w:t>
      </w:r>
      <w:r w:rsidRPr="0099652B">
        <w:rPr>
          <w:sz w:val="28"/>
          <w:szCs w:val="28"/>
        </w:rPr>
        <w:t xml:space="preserve">. Maat, meaning truth, justice, and cosmic order, bound king and commoner alike. These texts are among the earliest records of the conviction </w:t>
      </w:r>
      <w:r w:rsidR="005F1864" w:rsidRPr="0099652B">
        <w:rPr>
          <w:sz w:val="28"/>
          <w:szCs w:val="28"/>
        </w:rPr>
        <w:t xml:space="preserve">of </w:t>
      </w:r>
      <w:r w:rsidRPr="0099652B">
        <w:rPr>
          <w:sz w:val="28"/>
          <w:szCs w:val="28"/>
        </w:rPr>
        <w:t>moral order.</w:t>
      </w:r>
    </w:p>
    <w:p w14:paraId="6B1C8D00" w14:textId="371BF6CA" w:rsidR="00DB046E" w:rsidRPr="0099652B" w:rsidRDefault="005F1864">
      <w:pPr>
        <w:spacing w:line="480" w:lineRule="auto"/>
        <w:ind w:firstLine="720"/>
        <w:jc w:val="both"/>
        <w:rPr>
          <w:sz w:val="28"/>
          <w:szCs w:val="28"/>
        </w:rPr>
      </w:pPr>
      <w:r w:rsidRPr="0099652B">
        <w:rPr>
          <w:sz w:val="28"/>
          <w:szCs w:val="28"/>
        </w:rPr>
        <w:t>They show how elite privilege can become a common hope. The transfigured afterlife appears first in the royal Pyramid Texts, from about 2350 BCE, then in the Coffin Texts of nonroyal elites, and from the New Kingdom in the Book of the Dead, available to anyone who could afford a copy. “Democratization” overstates the change, since officials already expected judgment in the Old Kingdom and most Egyptians never owned such texts (Smith 2009). But the moral standard applied to everyone from the start. This widening of sacred hope recurs throughout religious history.</w:t>
      </w:r>
    </w:p>
    <w:p w14:paraId="415A2A71" w14:textId="77777777" w:rsidR="00DB046E" w:rsidRPr="0099652B" w:rsidRDefault="00000000">
      <w:pPr>
        <w:spacing w:line="480" w:lineRule="auto"/>
        <w:ind w:firstLine="720"/>
        <w:jc w:val="both"/>
        <w:rPr>
          <w:sz w:val="28"/>
          <w:szCs w:val="28"/>
        </w:rPr>
      </w:pPr>
      <w:r w:rsidRPr="0099652B">
        <w:rPr>
          <w:bCs/>
          <w:i/>
          <w:iCs/>
          <w:sz w:val="28"/>
          <w:szCs w:val="28"/>
        </w:rPr>
        <w:lastRenderedPageBreak/>
        <w:t>It is a remarkable case of continuity.</w:t>
      </w:r>
      <w:r w:rsidRPr="0099652B">
        <w:rPr>
          <w:sz w:val="28"/>
          <w:szCs w:val="28"/>
        </w:rPr>
        <w:t xml:space="preserve"> From the Naqada burials of the fourth millennium BCE to the closing of the temple of Isis at Philae under Justinian in the 530s CE, Egyptian religion endured for more than four thousand years. It survived Persian, Ptolemaic, and Roman rule, and its conquerors adopted it; Roman emperors appear on temple walls as pharaohs (</w:t>
      </w:r>
      <w:r w:rsidRPr="0099652B">
        <w:rPr>
          <w:i/>
          <w:iCs/>
          <w:sz w:val="28"/>
          <w:szCs w:val="28"/>
        </w:rPr>
        <w:t>Wars</w:t>
      </w:r>
      <w:r w:rsidRPr="0099652B">
        <w:rPr>
          <w:sz w:val="28"/>
          <w:szCs w:val="28"/>
        </w:rPr>
        <w:t xml:space="preserve"> 1.19.36–37, in Procopius 1914; Dijkstra 2008). That endurance suggests the doctrine answered something deep: the wish that death is not the end, and that the end is just.</w:t>
      </w:r>
    </w:p>
    <w:p w14:paraId="3B1B0B31" w14:textId="77777777" w:rsidR="00DB046E" w:rsidRPr="0099652B" w:rsidRDefault="00000000">
      <w:pPr>
        <w:spacing w:line="480" w:lineRule="auto"/>
        <w:ind w:firstLine="720"/>
        <w:jc w:val="both"/>
        <w:rPr>
          <w:sz w:val="28"/>
          <w:szCs w:val="28"/>
        </w:rPr>
      </w:pPr>
      <w:r w:rsidRPr="0099652B">
        <w:rPr>
          <w:bCs/>
          <w:i/>
          <w:iCs/>
          <w:sz w:val="28"/>
          <w:szCs w:val="28"/>
        </w:rPr>
        <w:t>It changes how we see our own inheritance.</w:t>
      </w:r>
      <w:r w:rsidRPr="0099652B">
        <w:rPr>
          <w:sz w:val="28"/>
          <w:szCs w:val="28"/>
        </w:rPr>
        <w:t xml:space="preserve"> Ideas of judgment, reward, and the worth of each life developed across many cultures, from Pindar and Daniel to Christianity and Islam. Harkhuf’s bread for the hungry and clothing for the naked reappear in Matthew’s scene of the Last Judgment (25:35–36), though </w:t>
      </w:r>
      <w:r w:rsidR="00A47D3A" w:rsidRPr="0099652B">
        <w:rPr>
          <w:sz w:val="28"/>
          <w:szCs w:val="28"/>
        </w:rPr>
        <w:t>we need not assume borrowing</w:t>
      </w:r>
      <w:r w:rsidRPr="0099652B">
        <w:rPr>
          <w:sz w:val="28"/>
          <w:szCs w:val="28"/>
        </w:rPr>
        <w:t xml:space="preserve">. The scribes of the Nile were simply the first whose statement of it survives. Breasted called Egypt the “dawn of conscience” (Breasted 1933); </w:t>
      </w:r>
      <w:r w:rsidR="00A47D3A" w:rsidRPr="0099652B">
        <w:rPr>
          <w:sz w:val="28"/>
          <w:szCs w:val="28"/>
        </w:rPr>
        <w:t>studying the scales of Maat is, in part, studying</w:t>
      </w:r>
      <w:r w:rsidRPr="0099652B">
        <w:rPr>
          <w:sz w:val="28"/>
          <w:szCs w:val="28"/>
        </w:rPr>
        <w:t xml:space="preserve"> the prehistory of conscience.</w:t>
      </w:r>
    </w:p>
    <w:p w14:paraId="17891DFC" w14:textId="77777777" w:rsidR="00DB046E" w:rsidRPr="0099652B" w:rsidRDefault="00000000">
      <w:pPr>
        <w:spacing w:line="480" w:lineRule="auto"/>
        <w:ind w:firstLine="720"/>
        <w:jc w:val="both"/>
        <w:rPr>
          <w:sz w:val="28"/>
          <w:szCs w:val="28"/>
        </w:rPr>
      </w:pPr>
      <w:r w:rsidRPr="0099652B">
        <w:rPr>
          <w:bCs/>
          <w:i/>
          <w:iCs/>
          <w:sz w:val="28"/>
          <w:szCs w:val="28"/>
        </w:rPr>
        <w:t>It highlights Egypt’s distinctive achievement.</w:t>
      </w:r>
      <w:r w:rsidRPr="0099652B">
        <w:rPr>
          <w:sz w:val="28"/>
          <w:szCs w:val="28"/>
        </w:rPr>
        <w:t xml:space="preserve"> Egypt was not alone in joining religion and ethics: Mesopotamian rulers from Uru-inimgina to Hammurabi claimed divine sanction for justice (for Uru-inimgina’s reforms, see Cooper 1986; for the prologue and epilogue of the Laws of Hammurabi, see Roth 1997). But Mesopotamian justice operated in this life, and the fate of the dead depended on burial and offerings. Egypt’s innovation was to make the moral quality of a life the </w:t>
      </w:r>
      <w:r w:rsidRPr="0099652B">
        <w:rPr>
          <w:sz w:val="28"/>
          <w:szCs w:val="28"/>
        </w:rPr>
        <w:lastRenderedPageBreak/>
        <w:t>criterion of eternal destiny, decided by a divine tribunal. Familiar today, the idea was new in the third millennium BCE, and it may be Egypt’s most enduring legacy.</w:t>
      </w:r>
    </w:p>
    <w:p w14:paraId="02501575" w14:textId="77777777" w:rsidR="00DB046E" w:rsidRPr="0099652B" w:rsidRDefault="00000000">
      <w:pPr>
        <w:spacing w:line="480" w:lineRule="auto"/>
        <w:ind w:firstLine="720"/>
        <w:jc w:val="both"/>
        <w:rPr>
          <w:sz w:val="28"/>
          <w:szCs w:val="28"/>
        </w:rPr>
      </w:pPr>
      <w:r w:rsidRPr="0099652B">
        <w:rPr>
          <w:sz w:val="28"/>
          <w:szCs w:val="28"/>
        </w:rPr>
        <w:t>The officials who carved their good deeds on tomb walls over four thousand years ago claimed that justice outlasts death and every life will be weighed. The surviving evidence shows that Egypt was the first to set that claim down.</w:t>
      </w:r>
    </w:p>
    <w:p w14:paraId="5553D2DD" w14:textId="77777777" w:rsidR="00DB046E" w:rsidRPr="0099652B" w:rsidRDefault="00000000">
      <w:pPr>
        <w:pStyle w:val="Heading1"/>
        <w:pageBreakBefore/>
        <w:rPr>
          <w:rFonts w:ascii="Times New Roman" w:hAnsi="Times New Roman" w:cs="Times New Roman"/>
          <w:color w:val="auto"/>
        </w:rPr>
      </w:pPr>
      <w:bookmarkStart w:id="37" w:name="_Toc241691238"/>
      <w:r w:rsidRPr="0099652B">
        <w:rPr>
          <w:rFonts w:ascii="Times New Roman" w:hAnsi="Times New Roman" w:cs="Times New Roman"/>
          <w:color w:val="auto"/>
        </w:rPr>
        <w:lastRenderedPageBreak/>
        <w:t>Bibliography</w:t>
      </w:r>
      <w:bookmarkEnd w:id="37"/>
    </w:p>
    <w:p w14:paraId="0BCD4C52" w14:textId="77777777" w:rsidR="003167A3" w:rsidRPr="0099652B" w:rsidRDefault="00000000">
      <w:pPr>
        <w:pStyle w:val="Heading2"/>
        <w:rPr>
          <w:rFonts w:ascii="Times New Roman" w:hAnsi="Times New Roman" w:cs="Times New Roman"/>
          <w:color w:val="auto"/>
        </w:rPr>
      </w:pPr>
      <w:bookmarkStart w:id="38" w:name="_Toc241691239"/>
      <w:r w:rsidRPr="0099652B">
        <w:rPr>
          <w:rFonts w:ascii="Times New Roman" w:hAnsi="Times New Roman" w:cs="Times New Roman"/>
          <w:color w:val="auto"/>
        </w:rPr>
        <w:t>Primary Sources: Objects and Monuments</w:t>
      </w:r>
      <w:bookmarkEnd w:id="38"/>
    </w:p>
    <w:p w14:paraId="5DF59CB6" w14:textId="77777777" w:rsidR="003167A3" w:rsidRPr="0099652B" w:rsidRDefault="00000000">
      <w:pPr>
        <w:spacing w:after="240"/>
        <w:ind w:left="720" w:hanging="720"/>
        <w:rPr>
          <w:sz w:val="28"/>
          <w:szCs w:val="28"/>
        </w:rPr>
      </w:pPr>
      <w:r w:rsidRPr="0099652B">
        <w:rPr>
          <w:i/>
          <w:iCs/>
          <w:sz w:val="28"/>
          <w:szCs w:val="28"/>
        </w:rPr>
        <w:t>Autobiography of Harkhuf</w:t>
      </w:r>
      <w:r w:rsidRPr="0099652B">
        <w:rPr>
          <w:sz w:val="28"/>
          <w:szCs w:val="28"/>
        </w:rPr>
        <w:t xml:space="preserve"> (c. 2280–2250 BCE) [Inscription on tomb façade]. Tomb QH 34n, Qubbet el-Hawa, Aswan, in situ.</w:t>
      </w:r>
    </w:p>
    <w:p w14:paraId="3289D16D" w14:textId="77777777" w:rsidR="003167A3" w:rsidRPr="0099652B" w:rsidRDefault="00000000">
      <w:pPr>
        <w:spacing w:after="240"/>
        <w:ind w:left="720" w:hanging="720"/>
        <w:rPr>
          <w:sz w:val="28"/>
          <w:szCs w:val="28"/>
        </w:rPr>
      </w:pPr>
      <w:r w:rsidRPr="0099652B">
        <w:rPr>
          <w:i/>
          <w:iCs/>
          <w:sz w:val="28"/>
          <w:szCs w:val="28"/>
        </w:rPr>
        <w:t>Bisotun inscription of Darius I</w:t>
      </w:r>
      <w:r w:rsidRPr="0099652B">
        <w:rPr>
          <w:sz w:val="28"/>
          <w:szCs w:val="28"/>
        </w:rPr>
        <w:t xml:space="preserve"> (c. 520–518 BCE) [Rock relief and trilingual cuneiform inscription]. Mount Bisotun, Kermanshah, Iran, in situ.</w:t>
      </w:r>
    </w:p>
    <w:p w14:paraId="6C341E3C" w14:textId="77777777" w:rsidR="003167A3" w:rsidRPr="0099652B" w:rsidRDefault="00000000">
      <w:pPr>
        <w:spacing w:after="240"/>
        <w:ind w:left="720" w:hanging="720"/>
        <w:rPr>
          <w:sz w:val="28"/>
          <w:szCs w:val="28"/>
        </w:rPr>
      </w:pPr>
      <w:r w:rsidRPr="0099652B">
        <w:rPr>
          <w:i/>
          <w:iCs/>
          <w:sz w:val="28"/>
          <w:szCs w:val="28"/>
        </w:rPr>
        <w:t>Book of the Dead of Kha</w:t>
      </w:r>
      <w:r w:rsidRPr="0099652B">
        <w:rPr>
          <w:sz w:val="28"/>
          <w:szCs w:val="28"/>
        </w:rPr>
        <w:t xml:space="preserve"> (c. 1425–1353 BCE) [Papyrus]. Turin: Museo Egizio (Suppl. 8438).</w:t>
      </w:r>
    </w:p>
    <w:p w14:paraId="2678C342" w14:textId="77777777" w:rsidR="003167A3" w:rsidRPr="0099652B" w:rsidRDefault="00000000">
      <w:pPr>
        <w:spacing w:after="240"/>
        <w:ind w:left="720" w:hanging="720"/>
        <w:rPr>
          <w:sz w:val="28"/>
          <w:szCs w:val="28"/>
        </w:rPr>
      </w:pPr>
      <w:r w:rsidRPr="0099652B">
        <w:rPr>
          <w:i/>
          <w:iCs/>
          <w:sz w:val="28"/>
          <w:szCs w:val="28"/>
        </w:rPr>
        <w:t>Coffins of Gua</w:t>
      </w:r>
      <w:r w:rsidRPr="0099652B">
        <w:rPr>
          <w:sz w:val="28"/>
          <w:szCs w:val="28"/>
        </w:rPr>
        <w:t xml:space="preserve"> (c. 1877–1831 BCE) [Painted wooden coffins]. London: British Museum (EA 30839, outer coffin; EA 30840, inner coffin).</w:t>
      </w:r>
    </w:p>
    <w:p w14:paraId="01E77E57" w14:textId="77777777" w:rsidR="003167A3" w:rsidRPr="0099652B" w:rsidRDefault="00000000">
      <w:pPr>
        <w:spacing w:after="240"/>
        <w:ind w:left="720" w:hanging="720"/>
        <w:rPr>
          <w:sz w:val="28"/>
          <w:szCs w:val="28"/>
        </w:rPr>
      </w:pPr>
      <w:r w:rsidRPr="0099652B">
        <w:rPr>
          <w:i/>
          <w:iCs/>
          <w:sz w:val="28"/>
          <w:szCs w:val="28"/>
        </w:rPr>
        <w:t>Daiva inscription of Xerxes</w:t>
      </w:r>
      <w:r w:rsidRPr="0099652B">
        <w:rPr>
          <w:sz w:val="28"/>
          <w:szCs w:val="28"/>
        </w:rPr>
        <w:t xml:space="preserve"> (c. 486–480 BCE) [Inscribed stone tablets]. Excavated at Persepolis and Pasargadae, Fars, Iran; Old Persian copy in Tehran: National Museum of Iran.</w:t>
      </w:r>
    </w:p>
    <w:p w14:paraId="2FF19AC7" w14:textId="77777777" w:rsidR="003167A3" w:rsidRPr="0099652B" w:rsidRDefault="00000000">
      <w:pPr>
        <w:spacing w:after="240"/>
        <w:ind w:left="720" w:hanging="720"/>
        <w:rPr>
          <w:sz w:val="28"/>
          <w:szCs w:val="28"/>
        </w:rPr>
      </w:pPr>
      <w:r w:rsidRPr="0099652B">
        <w:rPr>
          <w:i/>
          <w:iCs/>
          <w:sz w:val="28"/>
          <w:szCs w:val="28"/>
        </w:rPr>
        <w:t xml:space="preserve">Gold tablets from </w:t>
      </w:r>
      <w:proofErr w:type="spellStart"/>
      <w:r w:rsidRPr="0099652B">
        <w:rPr>
          <w:i/>
          <w:iCs/>
          <w:sz w:val="28"/>
          <w:szCs w:val="28"/>
        </w:rPr>
        <w:t>Hipponion</w:t>
      </w:r>
      <w:proofErr w:type="spellEnd"/>
      <w:r w:rsidRPr="0099652B">
        <w:rPr>
          <w:i/>
          <w:iCs/>
          <w:sz w:val="28"/>
          <w:szCs w:val="28"/>
        </w:rPr>
        <w:t xml:space="preserve">, </w:t>
      </w:r>
      <w:proofErr w:type="spellStart"/>
      <w:r w:rsidRPr="0099652B">
        <w:rPr>
          <w:i/>
          <w:iCs/>
          <w:sz w:val="28"/>
          <w:szCs w:val="28"/>
        </w:rPr>
        <w:t>Thurii</w:t>
      </w:r>
      <w:proofErr w:type="spellEnd"/>
      <w:r w:rsidRPr="0099652B">
        <w:rPr>
          <w:i/>
          <w:iCs/>
          <w:sz w:val="28"/>
          <w:szCs w:val="28"/>
        </w:rPr>
        <w:t xml:space="preserve"> and </w:t>
      </w:r>
      <w:proofErr w:type="spellStart"/>
      <w:r w:rsidRPr="0099652B">
        <w:rPr>
          <w:i/>
          <w:iCs/>
          <w:sz w:val="28"/>
          <w:szCs w:val="28"/>
        </w:rPr>
        <w:t>Pelinna</w:t>
      </w:r>
      <w:proofErr w:type="spellEnd"/>
      <w:r w:rsidRPr="0099652B">
        <w:rPr>
          <w:sz w:val="28"/>
          <w:szCs w:val="28"/>
        </w:rPr>
        <w:t xml:space="preserve"> (c. 400–300 BCE) [Inscribed gold lamellae]. Hipponion tablet: Vibo Valentia, Museo Archeologico Nazionale “Vito Capialbi”; Thurii tablets: Naples, Museo Archeologico Nazionale; Pelinna tablets: from Pelinna, Thessaly.</w:t>
      </w:r>
    </w:p>
    <w:p w14:paraId="62CB85DA" w14:textId="77777777" w:rsidR="003167A3" w:rsidRPr="0099652B" w:rsidRDefault="00000000">
      <w:pPr>
        <w:spacing w:after="240"/>
        <w:ind w:left="720" w:hanging="720"/>
        <w:rPr>
          <w:sz w:val="28"/>
          <w:szCs w:val="28"/>
        </w:rPr>
      </w:pPr>
      <w:r w:rsidRPr="0099652B">
        <w:rPr>
          <w:i/>
          <w:iCs/>
          <w:sz w:val="28"/>
          <w:szCs w:val="28"/>
        </w:rPr>
        <w:t>Greenfield Papyrus</w:t>
      </w:r>
      <w:r w:rsidRPr="0099652B">
        <w:rPr>
          <w:sz w:val="28"/>
          <w:szCs w:val="28"/>
        </w:rPr>
        <w:t xml:space="preserve"> (c. 950–930 BCE) [Papyrus]. London: British Museum (EA 10554).</w:t>
      </w:r>
    </w:p>
    <w:p w14:paraId="34DAF9ED" w14:textId="77777777" w:rsidR="003167A3" w:rsidRPr="0099652B" w:rsidRDefault="00000000">
      <w:pPr>
        <w:spacing w:after="240"/>
        <w:ind w:left="720" w:hanging="720"/>
        <w:rPr>
          <w:sz w:val="28"/>
          <w:szCs w:val="28"/>
        </w:rPr>
      </w:pPr>
      <w:r w:rsidRPr="0099652B">
        <w:rPr>
          <w:i/>
          <w:iCs/>
          <w:sz w:val="28"/>
          <w:szCs w:val="28"/>
        </w:rPr>
        <w:t>Inscriptions of Kirdēr</w:t>
      </w:r>
      <w:r w:rsidRPr="0099652B">
        <w:rPr>
          <w:sz w:val="28"/>
          <w:szCs w:val="28"/>
        </w:rPr>
        <w:t xml:space="preserve"> (c. 276–293 CE) [Rock inscriptions]. Naqš-e Rostam, Kaʿba-ye Zardošt, Naqš-e Rajab and Sar-e Mašhad, Fars, Iran, in situ.</w:t>
      </w:r>
    </w:p>
    <w:p w14:paraId="4FB2CAFE" w14:textId="77777777" w:rsidR="003167A3" w:rsidRPr="0099652B" w:rsidRDefault="00000000">
      <w:pPr>
        <w:spacing w:after="240"/>
        <w:ind w:left="720" w:hanging="720"/>
        <w:rPr>
          <w:sz w:val="28"/>
          <w:szCs w:val="28"/>
        </w:rPr>
      </w:pPr>
      <w:r w:rsidRPr="0099652B">
        <w:rPr>
          <w:i/>
          <w:iCs/>
          <w:sz w:val="28"/>
          <w:szCs w:val="28"/>
        </w:rPr>
        <w:t>Ka statue of Hor Awibre</w:t>
      </w:r>
      <w:r w:rsidRPr="0099652B">
        <w:rPr>
          <w:sz w:val="28"/>
          <w:szCs w:val="28"/>
        </w:rPr>
        <w:t xml:space="preserve"> (c. 1760 BCE) [Wooden statue]. Cairo: Egyptian Museum (JE 30948).</w:t>
      </w:r>
    </w:p>
    <w:p w14:paraId="19226092" w14:textId="77777777" w:rsidR="003167A3" w:rsidRPr="0099652B" w:rsidRDefault="00000000">
      <w:pPr>
        <w:spacing w:after="240"/>
        <w:ind w:left="720" w:hanging="720"/>
        <w:rPr>
          <w:sz w:val="28"/>
          <w:szCs w:val="28"/>
        </w:rPr>
      </w:pPr>
      <w:r w:rsidRPr="0099652B">
        <w:rPr>
          <w:i/>
          <w:iCs/>
          <w:sz w:val="28"/>
          <w:szCs w:val="28"/>
        </w:rPr>
        <w:t>Mastaba chapel of Perneb</w:t>
      </w:r>
      <w:r w:rsidRPr="0099652B">
        <w:rPr>
          <w:sz w:val="28"/>
          <w:szCs w:val="28"/>
        </w:rPr>
        <w:t xml:space="preserve"> (c. 2381–2323 BCE) [Painted limestone chapel]. New York: Metropolitan Museum of Art (13.183.3).</w:t>
      </w:r>
    </w:p>
    <w:p w14:paraId="56DF82E6" w14:textId="77777777" w:rsidR="003167A3" w:rsidRPr="0099652B" w:rsidRDefault="00000000">
      <w:pPr>
        <w:spacing w:after="240"/>
        <w:ind w:left="720" w:hanging="720"/>
        <w:rPr>
          <w:sz w:val="28"/>
          <w:szCs w:val="28"/>
        </w:rPr>
      </w:pPr>
      <w:r w:rsidRPr="0099652B">
        <w:rPr>
          <w:i/>
          <w:iCs/>
          <w:sz w:val="28"/>
          <w:szCs w:val="28"/>
        </w:rPr>
        <w:t>Mastaba chapel of Ti</w:t>
      </w:r>
      <w:r w:rsidRPr="0099652B">
        <w:rPr>
          <w:sz w:val="28"/>
          <w:szCs w:val="28"/>
        </w:rPr>
        <w:t xml:space="preserve"> (c. 2445–2421 BCE) [Mastaba tomb chapel]. Saqqara, in situ.</w:t>
      </w:r>
    </w:p>
    <w:p w14:paraId="57ADA4CB" w14:textId="77777777" w:rsidR="003167A3" w:rsidRPr="0099652B" w:rsidRDefault="00000000">
      <w:pPr>
        <w:spacing w:after="240"/>
        <w:ind w:left="720" w:hanging="720"/>
        <w:rPr>
          <w:sz w:val="28"/>
          <w:szCs w:val="28"/>
        </w:rPr>
      </w:pPr>
      <w:r w:rsidRPr="0099652B">
        <w:rPr>
          <w:i/>
          <w:iCs/>
          <w:sz w:val="28"/>
          <w:szCs w:val="28"/>
        </w:rPr>
        <w:t>Mastaba of Nefer-seshem-re Sheshi</w:t>
      </w:r>
      <w:r w:rsidRPr="0099652B">
        <w:rPr>
          <w:sz w:val="28"/>
          <w:szCs w:val="28"/>
        </w:rPr>
        <w:t xml:space="preserve"> (c. 2345–2323 BCE) [Mastaba tomb]. Teti cemetery, Saqqara, in situ.</w:t>
      </w:r>
    </w:p>
    <w:p w14:paraId="3B97E786" w14:textId="77777777" w:rsidR="003167A3" w:rsidRPr="0099652B" w:rsidRDefault="00000000">
      <w:pPr>
        <w:spacing w:after="240"/>
        <w:ind w:left="720" w:hanging="720"/>
        <w:rPr>
          <w:sz w:val="28"/>
          <w:szCs w:val="28"/>
        </w:rPr>
      </w:pPr>
      <w:r w:rsidRPr="0099652B">
        <w:rPr>
          <w:i/>
          <w:iCs/>
          <w:sz w:val="28"/>
          <w:szCs w:val="28"/>
        </w:rPr>
        <w:lastRenderedPageBreak/>
        <w:t>Merneptah Stele</w:t>
      </w:r>
      <w:r w:rsidRPr="0099652B">
        <w:rPr>
          <w:sz w:val="28"/>
          <w:szCs w:val="28"/>
        </w:rPr>
        <w:t xml:space="preserve"> (c. 1207 BCE) [Granite stela]. Cairo: Egyptian Museum (JE 31408).</w:t>
      </w:r>
    </w:p>
    <w:p w14:paraId="6635F13E" w14:textId="77777777" w:rsidR="003167A3" w:rsidRPr="0099652B" w:rsidRDefault="00000000">
      <w:pPr>
        <w:spacing w:after="240"/>
        <w:ind w:left="720" w:hanging="720"/>
        <w:rPr>
          <w:sz w:val="28"/>
          <w:szCs w:val="28"/>
        </w:rPr>
      </w:pPr>
      <w:r w:rsidRPr="0099652B">
        <w:rPr>
          <w:i/>
          <w:iCs/>
          <w:sz w:val="28"/>
          <w:szCs w:val="28"/>
        </w:rPr>
        <w:t>Palace reliefs of Persepolis</w:t>
      </w:r>
      <w:r w:rsidRPr="0099652B">
        <w:rPr>
          <w:sz w:val="28"/>
          <w:szCs w:val="28"/>
        </w:rPr>
        <w:t xml:space="preserve"> (c. 515–465 BCE) [Stone architectural reliefs]. Persepolis, Fars, Iran, in situ.</w:t>
      </w:r>
    </w:p>
    <w:p w14:paraId="3E74C6CB" w14:textId="77777777" w:rsidR="003167A3" w:rsidRPr="0099652B" w:rsidRDefault="00000000">
      <w:pPr>
        <w:spacing w:after="240"/>
        <w:ind w:left="720" w:hanging="720"/>
        <w:rPr>
          <w:sz w:val="28"/>
          <w:szCs w:val="28"/>
        </w:rPr>
      </w:pPr>
      <w:r w:rsidRPr="0099652B">
        <w:rPr>
          <w:i/>
          <w:iCs/>
          <w:sz w:val="28"/>
          <w:szCs w:val="28"/>
        </w:rPr>
        <w:t>Papyrus Hermitage 1116A</w:t>
      </w:r>
      <w:r w:rsidRPr="0099652B">
        <w:rPr>
          <w:sz w:val="28"/>
          <w:szCs w:val="28"/>
        </w:rPr>
        <w:t xml:space="preserve"> (c. 1427–1400 BCE) [Papyrus]. St Petersburg: State Hermitage Museum (1116A).</w:t>
      </w:r>
    </w:p>
    <w:p w14:paraId="20FB2979" w14:textId="77777777" w:rsidR="003167A3" w:rsidRPr="0099652B" w:rsidRDefault="00000000">
      <w:pPr>
        <w:spacing w:after="240"/>
        <w:ind w:left="720" w:hanging="720"/>
        <w:rPr>
          <w:sz w:val="28"/>
          <w:szCs w:val="28"/>
        </w:rPr>
      </w:pPr>
      <w:r w:rsidRPr="0099652B">
        <w:rPr>
          <w:i/>
          <w:iCs/>
          <w:sz w:val="28"/>
          <w:szCs w:val="28"/>
        </w:rPr>
        <w:t>Papyrus of Ani</w:t>
      </w:r>
      <w:r w:rsidRPr="0099652B">
        <w:rPr>
          <w:sz w:val="28"/>
          <w:szCs w:val="28"/>
        </w:rPr>
        <w:t xml:space="preserve"> (c. 1250 BCE) [Papyrus]. London: British Museum (EA 10470).</w:t>
      </w:r>
    </w:p>
    <w:p w14:paraId="5E72C49F" w14:textId="77777777" w:rsidR="003167A3" w:rsidRPr="0099652B" w:rsidRDefault="00000000">
      <w:pPr>
        <w:spacing w:after="240"/>
        <w:ind w:left="720" w:hanging="720"/>
        <w:rPr>
          <w:sz w:val="28"/>
          <w:szCs w:val="28"/>
        </w:rPr>
      </w:pPr>
      <w:r w:rsidRPr="0099652B">
        <w:rPr>
          <w:i/>
          <w:iCs/>
          <w:sz w:val="28"/>
          <w:szCs w:val="28"/>
        </w:rPr>
        <w:t>Papyrus of Hunefer</w:t>
      </w:r>
      <w:r w:rsidRPr="0099652B">
        <w:rPr>
          <w:sz w:val="28"/>
          <w:szCs w:val="28"/>
        </w:rPr>
        <w:t xml:space="preserve"> (c. 1275 BCE) [Papyrus]. London: British Museum (EA 9901).</w:t>
      </w:r>
    </w:p>
    <w:p w14:paraId="73EDF468" w14:textId="77777777" w:rsidR="003167A3" w:rsidRPr="0099652B" w:rsidRDefault="00000000">
      <w:pPr>
        <w:spacing w:after="240"/>
        <w:ind w:left="720" w:hanging="720"/>
        <w:rPr>
          <w:sz w:val="28"/>
          <w:szCs w:val="28"/>
        </w:rPr>
      </w:pPr>
      <w:r w:rsidRPr="0099652B">
        <w:rPr>
          <w:i/>
          <w:iCs/>
          <w:sz w:val="28"/>
          <w:szCs w:val="28"/>
        </w:rPr>
        <w:t>Papyrus of Nebseni</w:t>
      </w:r>
      <w:r w:rsidRPr="0099652B">
        <w:rPr>
          <w:sz w:val="28"/>
          <w:szCs w:val="28"/>
        </w:rPr>
        <w:t xml:space="preserve"> (c. 1400–1390 BCE) [Papyrus]. London: British Museum (EA 9900).</w:t>
      </w:r>
    </w:p>
    <w:p w14:paraId="0AC62229" w14:textId="77777777" w:rsidR="003167A3" w:rsidRPr="0099652B" w:rsidRDefault="00000000">
      <w:pPr>
        <w:spacing w:after="240"/>
        <w:ind w:left="720" w:hanging="720"/>
        <w:rPr>
          <w:sz w:val="28"/>
          <w:szCs w:val="28"/>
        </w:rPr>
      </w:pPr>
      <w:r w:rsidRPr="0099652B">
        <w:rPr>
          <w:i/>
          <w:iCs/>
          <w:sz w:val="28"/>
          <w:szCs w:val="28"/>
        </w:rPr>
        <w:t>Papyrus of Nu</w:t>
      </w:r>
      <w:r w:rsidRPr="0099652B">
        <w:rPr>
          <w:sz w:val="28"/>
          <w:szCs w:val="28"/>
        </w:rPr>
        <w:t xml:space="preserve"> (c. 1550–1295 BCE) [Papyrus]. London: British Museum (EA 10477).</w:t>
      </w:r>
    </w:p>
    <w:p w14:paraId="57D6765F" w14:textId="77777777" w:rsidR="003167A3" w:rsidRPr="0099652B" w:rsidRDefault="00000000">
      <w:pPr>
        <w:spacing w:after="240"/>
        <w:ind w:left="720" w:hanging="720"/>
        <w:rPr>
          <w:sz w:val="28"/>
          <w:szCs w:val="28"/>
        </w:rPr>
      </w:pPr>
      <w:r w:rsidRPr="0099652B">
        <w:rPr>
          <w:i/>
          <w:iCs/>
          <w:sz w:val="28"/>
          <w:szCs w:val="28"/>
        </w:rPr>
        <w:t>Pyramid Texts</w:t>
      </w:r>
      <w:r w:rsidRPr="0099652B">
        <w:rPr>
          <w:sz w:val="28"/>
          <w:szCs w:val="28"/>
        </w:rPr>
        <w:t xml:space="preserve"> (c. 2375–2184 BCE) [Inscriptions on burial-chamber walls]. Pyramids of Unas, Teti, Pepi I, Merenre and Pepi II, and the queens’ pyramids of Pepi II, Saqqara and South Saqqara, in situ.</w:t>
      </w:r>
    </w:p>
    <w:p w14:paraId="598806EF" w14:textId="77777777" w:rsidR="003167A3" w:rsidRPr="0099652B" w:rsidRDefault="00000000">
      <w:pPr>
        <w:spacing w:after="240"/>
        <w:ind w:left="720" w:hanging="720"/>
        <w:rPr>
          <w:sz w:val="28"/>
          <w:szCs w:val="28"/>
        </w:rPr>
      </w:pPr>
      <w:r w:rsidRPr="0099652B">
        <w:rPr>
          <w:i/>
          <w:iCs/>
          <w:sz w:val="28"/>
          <w:szCs w:val="28"/>
        </w:rPr>
        <w:t>Reserve heads from Giza</w:t>
      </w:r>
      <w:r w:rsidRPr="0099652B">
        <w:rPr>
          <w:sz w:val="28"/>
          <w:szCs w:val="28"/>
        </w:rPr>
        <w:t xml:space="preserve"> (c. 2613–2494 BCE) [Limestone heads]. Cairo: Egyptian Museum (JE 46215–46218); Boston: Museum of Fine Arts (14.717, 14.718, 14.719, 21.328).</w:t>
      </w:r>
    </w:p>
    <w:p w14:paraId="527ED24B" w14:textId="77777777" w:rsidR="003167A3" w:rsidRPr="0099652B" w:rsidRDefault="00000000">
      <w:pPr>
        <w:spacing w:after="240"/>
        <w:ind w:left="720" w:hanging="720"/>
        <w:rPr>
          <w:sz w:val="28"/>
          <w:szCs w:val="28"/>
        </w:rPr>
      </w:pPr>
      <w:r w:rsidRPr="0099652B">
        <w:rPr>
          <w:i/>
          <w:iCs/>
          <w:sz w:val="28"/>
          <w:szCs w:val="28"/>
        </w:rPr>
        <w:t>Royal Cemetery at Ur</w:t>
      </w:r>
      <w:r w:rsidRPr="0099652B">
        <w:rPr>
          <w:sz w:val="28"/>
          <w:szCs w:val="28"/>
        </w:rPr>
        <w:t xml:space="preserve"> (c. 2600–2400 BCE) [Grave assemblages, including PG 800 (Puabi) and PG 1237 (Great Death Pit)]. Finds divided between Baghdad: Iraq Museum; London: British Museum; Philadelphia: Penn Museum.</w:t>
      </w:r>
    </w:p>
    <w:p w14:paraId="7FB3A5AF" w14:textId="77777777" w:rsidR="003167A3" w:rsidRPr="0099652B" w:rsidRDefault="00000000">
      <w:pPr>
        <w:spacing w:after="240"/>
        <w:ind w:left="720" w:hanging="720"/>
        <w:rPr>
          <w:sz w:val="28"/>
          <w:szCs w:val="28"/>
        </w:rPr>
      </w:pPr>
      <w:r w:rsidRPr="0099652B">
        <w:rPr>
          <w:i/>
          <w:iCs/>
          <w:sz w:val="28"/>
          <w:szCs w:val="28"/>
        </w:rPr>
        <w:t>Serdab statue of Ti</w:t>
      </w:r>
      <w:r w:rsidRPr="0099652B">
        <w:rPr>
          <w:sz w:val="28"/>
          <w:szCs w:val="28"/>
        </w:rPr>
        <w:t xml:space="preserve"> (c. 2445–2421 BCE) [Statue]. Cairo: Egyptian Museum (JE 10065).</w:t>
      </w:r>
    </w:p>
    <w:p w14:paraId="477F2B7D" w14:textId="77777777" w:rsidR="003167A3" w:rsidRPr="0099652B" w:rsidRDefault="00000000">
      <w:pPr>
        <w:spacing w:after="240"/>
        <w:ind w:left="720" w:hanging="720"/>
        <w:rPr>
          <w:sz w:val="28"/>
          <w:szCs w:val="28"/>
        </w:rPr>
      </w:pPr>
      <w:r w:rsidRPr="0099652B">
        <w:rPr>
          <w:i/>
          <w:iCs/>
          <w:sz w:val="28"/>
          <w:szCs w:val="28"/>
        </w:rPr>
        <w:t>Step Pyramid complex of Djoser</w:t>
      </w:r>
      <w:r w:rsidRPr="0099652B">
        <w:rPr>
          <w:sz w:val="28"/>
          <w:szCs w:val="28"/>
        </w:rPr>
        <w:t xml:space="preserve"> (c. 2650 BCE) [Funerary complex]. Saqqara, in situ.</w:t>
      </w:r>
    </w:p>
    <w:p w14:paraId="74B44375" w14:textId="77777777" w:rsidR="003167A3" w:rsidRPr="0099652B" w:rsidRDefault="00000000">
      <w:pPr>
        <w:spacing w:after="240"/>
        <w:ind w:left="720" w:hanging="720"/>
        <w:rPr>
          <w:sz w:val="28"/>
          <w:szCs w:val="28"/>
        </w:rPr>
      </w:pPr>
      <w:r w:rsidRPr="0099652B">
        <w:rPr>
          <w:i/>
          <w:iCs/>
          <w:sz w:val="28"/>
          <w:szCs w:val="28"/>
        </w:rPr>
        <w:t>Tablet XI of the Epic of Gilgamesh</w:t>
      </w:r>
      <w:r w:rsidRPr="0099652B">
        <w:rPr>
          <w:sz w:val="28"/>
          <w:szCs w:val="28"/>
        </w:rPr>
        <w:t xml:space="preserve"> (7th century BCE) [Clay tablet]. London: British Museum (K.3375).</w:t>
      </w:r>
    </w:p>
    <w:p w14:paraId="428CD2AB" w14:textId="77777777" w:rsidR="003167A3" w:rsidRPr="0099652B" w:rsidRDefault="00000000">
      <w:pPr>
        <w:spacing w:after="240"/>
        <w:ind w:left="720" w:hanging="720"/>
        <w:rPr>
          <w:sz w:val="28"/>
          <w:szCs w:val="28"/>
        </w:rPr>
      </w:pPr>
      <w:r w:rsidRPr="0099652B">
        <w:rPr>
          <w:i/>
          <w:iCs/>
          <w:sz w:val="28"/>
          <w:szCs w:val="28"/>
        </w:rPr>
        <w:t>Tomb of Pepinakht Heqaib</w:t>
      </w:r>
      <w:r w:rsidRPr="0099652B">
        <w:rPr>
          <w:sz w:val="28"/>
          <w:szCs w:val="28"/>
        </w:rPr>
        <w:t xml:space="preserve"> (c. 2278–2184 BCE) [Rock-cut tomb]. Tombs QH 35 and 35d, Qubbet el-Hawa, Aswan, in situ.</w:t>
      </w:r>
    </w:p>
    <w:p w14:paraId="6E72B276" w14:textId="77777777" w:rsidR="003167A3" w:rsidRPr="0099652B" w:rsidRDefault="00000000">
      <w:pPr>
        <w:pStyle w:val="Heading2"/>
        <w:rPr>
          <w:rFonts w:ascii="Times New Roman" w:hAnsi="Times New Roman" w:cs="Times New Roman"/>
          <w:color w:val="auto"/>
        </w:rPr>
      </w:pPr>
      <w:bookmarkStart w:id="39" w:name="_Toc241691240"/>
      <w:r w:rsidRPr="0099652B">
        <w:rPr>
          <w:rFonts w:ascii="Times New Roman" w:hAnsi="Times New Roman" w:cs="Times New Roman"/>
          <w:color w:val="auto"/>
        </w:rPr>
        <w:lastRenderedPageBreak/>
        <w:t>Secondary Sources</w:t>
      </w:r>
      <w:bookmarkEnd w:id="39"/>
    </w:p>
    <w:p w14:paraId="36AC9907" w14:textId="44642066" w:rsidR="00691E91" w:rsidRPr="0099652B" w:rsidRDefault="00000000">
      <w:pPr>
        <w:spacing w:after="240"/>
        <w:ind w:left="720" w:hanging="720"/>
        <w:rPr>
          <w:sz w:val="28"/>
          <w:szCs w:val="28"/>
        </w:rPr>
      </w:pPr>
      <w:r w:rsidRPr="0099652B">
        <w:rPr>
          <w:sz w:val="28"/>
          <w:szCs w:val="28"/>
        </w:rPr>
        <w:t>Assmann, J. (</w:t>
      </w:r>
      <w:r w:rsidR="00024FD6" w:rsidRPr="0099652B">
        <w:rPr>
          <w:sz w:val="28"/>
          <w:szCs w:val="28"/>
        </w:rPr>
        <w:t xml:space="preserve">2001) The Search </w:t>
      </w:r>
      <w:proofErr w:type="gramStart"/>
      <w:r w:rsidR="00024FD6" w:rsidRPr="0099652B">
        <w:rPr>
          <w:sz w:val="28"/>
          <w:szCs w:val="28"/>
        </w:rPr>
        <w:t>For</w:t>
      </w:r>
      <w:proofErr w:type="gramEnd"/>
      <w:r w:rsidR="00024FD6" w:rsidRPr="0099652B">
        <w:rPr>
          <w:sz w:val="28"/>
          <w:szCs w:val="28"/>
        </w:rPr>
        <w:t xml:space="preserve"> God in Ancient Egypt. Ithaca, NY. Cornell University Press. pp. 171-174.</w:t>
      </w:r>
    </w:p>
    <w:p w14:paraId="167779A9" w14:textId="6E04FA36" w:rsidR="00691E91" w:rsidRPr="0099652B" w:rsidRDefault="00000000">
      <w:pPr>
        <w:spacing w:after="240"/>
        <w:ind w:left="720" w:hanging="720"/>
        <w:rPr>
          <w:sz w:val="28"/>
          <w:szCs w:val="28"/>
        </w:rPr>
      </w:pPr>
      <w:r w:rsidRPr="0099652B">
        <w:rPr>
          <w:sz w:val="28"/>
          <w:szCs w:val="28"/>
        </w:rPr>
        <w:t xml:space="preserve">Assmann, J. (2003) </w:t>
      </w:r>
      <w:r w:rsidRPr="0099652B">
        <w:rPr>
          <w:i/>
          <w:iCs/>
          <w:sz w:val="28"/>
          <w:szCs w:val="28"/>
        </w:rPr>
        <w:t>The Mind of Egypt: History and Meaning in the Time of the Pharaohs</w:t>
      </w:r>
      <w:r w:rsidRPr="0099652B">
        <w:rPr>
          <w:sz w:val="28"/>
          <w:szCs w:val="28"/>
        </w:rPr>
        <w:t>. Translated by A. Jenkins. Cambridge, MA: Harvard University Press.</w:t>
      </w:r>
      <w:r w:rsidR="00E46F10" w:rsidRPr="0099652B">
        <w:rPr>
          <w:sz w:val="28"/>
          <w:szCs w:val="28"/>
        </w:rPr>
        <w:t xml:space="preserve"> pp. 81-114.</w:t>
      </w:r>
    </w:p>
    <w:p w14:paraId="00831341" w14:textId="334EF1C0" w:rsidR="00691E91" w:rsidRPr="0099652B" w:rsidRDefault="00000000">
      <w:pPr>
        <w:spacing w:after="240"/>
        <w:ind w:left="720" w:hanging="720"/>
        <w:rPr>
          <w:sz w:val="28"/>
          <w:szCs w:val="28"/>
        </w:rPr>
      </w:pPr>
      <w:r w:rsidRPr="0099652B">
        <w:rPr>
          <w:sz w:val="28"/>
          <w:szCs w:val="28"/>
        </w:rPr>
        <w:t xml:space="preserve">Assmann, J. (2005) </w:t>
      </w:r>
      <w:r w:rsidRPr="0099652B">
        <w:rPr>
          <w:i/>
          <w:iCs/>
          <w:sz w:val="28"/>
          <w:szCs w:val="28"/>
        </w:rPr>
        <w:t>Death and Salvation in Ancient Egypt</w:t>
      </w:r>
      <w:r w:rsidRPr="0099652B">
        <w:rPr>
          <w:sz w:val="28"/>
          <w:szCs w:val="28"/>
        </w:rPr>
        <w:t>. Translated by D. Lorton. Ithaca, NY: Cornell University Press, pp. 23–234</w:t>
      </w:r>
      <w:r w:rsidR="00E46F10" w:rsidRPr="0099652B">
        <w:rPr>
          <w:sz w:val="28"/>
          <w:szCs w:val="28"/>
        </w:rPr>
        <w:t>; 415.</w:t>
      </w:r>
    </w:p>
    <w:p w14:paraId="0668AD3F" w14:textId="5B932A1D" w:rsidR="00691E91" w:rsidRPr="0099652B" w:rsidRDefault="00000000" w:rsidP="00E46F10">
      <w:pPr>
        <w:spacing w:after="240"/>
        <w:ind w:left="720" w:hanging="720"/>
        <w:rPr>
          <w:sz w:val="28"/>
          <w:szCs w:val="28"/>
        </w:rPr>
      </w:pPr>
      <w:r w:rsidRPr="0099652B">
        <w:rPr>
          <w:sz w:val="28"/>
          <w:szCs w:val="28"/>
        </w:rPr>
        <w:t>Faulkner, R.O. (trans.) (</w:t>
      </w:r>
      <w:r w:rsidR="00731832" w:rsidRPr="0099652B">
        <w:rPr>
          <w:sz w:val="28"/>
          <w:szCs w:val="28"/>
        </w:rPr>
        <w:t>2015</w:t>
      </w:r>
      <w:r w:rsidRPr="0099652B">
        <w:rPr>
          <w:sz w:val="28"/>
          <w:szCs w:val="28"/>
        </w:rPr>
        <w:t xml:space="preserve">) </w:t>
      </w:r>
      <w:r w:rsidRPr="0099652B">
        <w:rPr>
          <w:i/>
          <w:iCs/>
          <w:sz w:val="28"/>
          <w:szCs w:val="28"/>
        </w:rPr>
        <w:t xml:space="preserve">The </w:t>
      </w:r>
      <w:r w:rsidR="00731832" w:rsidRPr="0099652B">
        <w:rPr>
          <w:i/>
          <w:iCs/>
          <w:sz w:val="28"/>
          <w:szCs w:val="28"/>
        </w:rPr>
        <w:t xml:space="preserve">Egyptian Book of the Dead: The Book of Going Forth by Day. </w:t>
      </w:r>
      <w:r w:rsidR="00731832" w:rsidRPr="0099652B">
        <w:rPr>
          <w:sz w:val="28"/>
          <w:szCs w:val="28"/>
        </w:rPr>
        <w:t>San Francisco. Chronicle Books</w:t>
      </w:r>
      <w:proofErr w:type="gramStart"/>
      <w:r w:rsidR="00731832" w:rsidRPr="0099652B">
        <w:rPr>
          <w:sz w:val="28"/>
          <w:szCs w:val="28"/>
        </w:rPr>
        <w:t xml:space="preserve">. </w:t>
      </w:r>
      <w:r w:rsidRPr="0099652B">
        <w:rPr>
          <w:sz w:val="28"/>
          <w:szCs w:val="28"/>
        </w:rPr>
        <w:t>.</w:t>
      </w:r>
      <w:proofErr w:type="gramEnd"/>
    </w:p>
    <w:p w14:paraId="78CB0095" w14:textId="77777777" w:rsidR="00691E91" w:rsidRPr="0099652B" w:rsidRDefault="00000000">
      <w:pPr>
        <w:spacing w:after="240"/>
        <w:ind w:left="720" w:hanging="720"/>
        <w:rPr>
          <w:sz w:val="28"/>
          <w:szCs w:val="28"/>
        </w:rPr>
      </w:pPr>
      <w:r w:rsidRPr="0099652B">
        <w:rPr>
          <w:sz w:val="28"/>
          <w:szCs w:val="28"/>
        </w:rPr>
        <w:t xml:space="preserve">Griffiths, J.G. (1991) </w:t>
      </w:r>
      <w:r w:rsidRPr="0099652B">
        <w:rPr>
          <w:i/>
          <w:iCs/>
          <w:sz w:val="28"/>
          <w:szCs w:val="28"/>
        </w:rPr>
        <w:t>The Divine Verdict: A Study of Divine Judgement in the Ancient Religions</w:t>
      </w:r>
      <w:r w:rsidRPr="0099652B">
        <w:rPr>
          <w:sz w:val="28"/>
          <w:szCs w:val="28"/>
        </w:rPr>
        <w:t>. Leiden: Brill (Studies in the History of Religions, 52), pp. 152–210.</w:t>
      </w:r>
    </w:p>
    <w:p w14:paraId="700B8144" w14:textId="77777777" w:rsidR="00691E91" w:rsidRPr="0099652B" w:rsidRDefault="00000000">
      <w:pPr>
        <w:spacing w:after="240"/>
        <w:ind w:left="720" w:hanging="720"/>
        <w:rPr>
          <w:sz w:val="28"/>
          <w:szCs w:val="28"/>
        </w:rPr>
      </w:pPr>
      <w:proofErr w:type="spellStart"/>
      <w:r w:rsidRPr="0099652B">
        <w:rPr>
          <w:i/>
          <w:iCs/>
          <w:sz w:val="28"/>
          <w:szCs w:val="28"/>
        </w:rPr>
        <w:t>Lichtheim</w:t>
      </w:r>
      <w:proofErr w:type="spellEnd"/>
      <w:r w:rsidRPr="0099652B">
        <w:rPr>
          <w:i/>
          <w:iCs/>
          <w:sz w:val="28"/>
          <w:szCs w:val="28"/>
        </w:rPr>
        <w:t>, M. (1997) Moral Values in Ancient Egypt. Freiburg: Universitätsverlag; Göttingen: Vandenhoeck</w:t>
      </w:r>
      <w:r w:rsidRPr="0099652B">
        <w:rPr>
          <w:sz w:val="28"/>
          <w:szCs w:val="28"/>
        </w:rPr>
        <w:t xml:space="preserve"> &amp; Ruprecht (Orbis Biblicus et Orientalis, 155).</w:t>
      </w:r>
    </w:p>
    <w:p w14:paraId="3D92FF3D" w14:textId="2CF40CC5" w:rsidR="00691E91" w:rsidRPr="0099652B" w:rsidRDefault="002E684D">
      <w:pPr>
        <w:spacing w:after="240"/>
        <w:ind w:left="720" w:hanging="720"/>
        <w:rPr>
          <w:sz w:val="28"/>
          <w:szCs w:val="28"/>
        </w:rPr>
      </w:pPr>
      <w:r w:rsidRPr="0099652B">
        <w:rPr>
          <w:sz w:val="28"/>
          <w:szCs w:val="28"/>
        </w:rPr>
        <w:t xml:space="preserve"> Shaw, I. (ed.) (2000) </w:t>
      </w:r>
      <w:r w:rsidRPr="0099652B">
        <w:rPr>
          <w:i/>
          <w:iCs/>
          <w:sz w:val="28"/>
          <w:szCs w:val="28"/>
        </w:rPr>
        <w:t>The Oxford History of Ancient Egypt</w:t>
      </w:r>
      <w:r w:rsidRPr="0099652B">
        <w:rPr>
          <w:sz w:val="28"/>
          <w:szCs w:val="28"/>
        </w:rPr>
        <w:t>. Oxford: Oxford University Press, pp. 111–</w:t>
      </w:r>
      <w:r w:rsidR="00814909" w:rsidRPr="0099652B">
        <w:rPr>
          <w:sz w:val="28"/>
          <w:szCs w:val="28"/>
        </w:rPr>
        <w:t>117</w:t>
      </w:r>
      <w:r w:rsidRPr="0099652B">
        <w:rPr>
          <w:sz w:val="28"/>
          <w:szCs w:val="28"/>
        </w:rPr>
        <w:t>.</w:t>
      </w:r>
    </w:p>
    <w:p w14:paraId="598B442F" w14:textId="77777777" w:rsidR="00A46DFC" w:rsidRPr="0099652B" w:rsidRDefault="00A46DFC">
      <w:pPr>
        <w:spacing w:after="240"/>
        <w:ind w:left="720" w:hanging="720"/>
        <w:rPr>
          <w:sz w:val="28"/>
          <w:szCs w:val="28"/>
        </w:rPr>
      </w:pPr>
      <w:r w:rsidRPr="0099652B">
        <w:rPr>
          <w:sz w:val="28"/>
          <w:szCs w:val="28"/>
        </w:rPr>
        <w:t>Schneider J. Tammi, (2018) Assyrian and Babylonian Religions, in Salzman, M.R. and Sweeney, M.A. (eds) The Cambridge History of Religions in the Ancient World, Volume 1: From the Bronze Age to the Hellenistic Age. Cambridge: Cambridge University Press, pp. 54-83.</w:t>
      </w:r>
    </w:p>
    <w:p w14:paraId="0A11FD76" w14:textId="452021FC" w:rsidR="00691E91" w:rsidRPr="0099652B" w:rsidRDefault="002E684D">
      <w:pPr>
        <w:spacing w:after="240"/>
        <w:ind w:left="720" w:hanging="720"/>
        <w:rPr>
          <w:sz w:val="28"/>
          <w:szCs w:val="28"/>
        </w:rPr>
      </w:pPr>
      <w:r w:rsidRPr="0099652B">
        <w:rPr>
          <w:sz w:val="28"/>
          <w:szCs w:val="28"/>
        </w:rPr>
        <w:t xml:space="preserve">Smith, M. (2017) Following Osiris: Perspective on the Osirian Afterlife from Four </w:t>
      </w:r>
      <w:proofErr w:type="spellStart"/>
      <w:r w:rsidRPr="0099652B">
        <w:rPr>
          <w:sz w:val="28"/>
          <w:szCs w:val="28"/>
        </w:rPr>
        <w:t>Milennia</w:t>
      </w:r>
      <w:proofErr w:type="spellEnd"/>
      <w:r w:rsidRPr="0099652B">
        <w:rPr>
          <w:sz w:val="28"/>
          <w:szCs w:val="28"/>
        </w:rPr>
        <w:t>. Oxford: Oxford University Press, pp. 166-269.</w:t>
      </w:r>
    </w:p>
    <w:p w14:paraId="6F355F32" w14:textId="2BDBB0A7" w:rsidR="00691E91" w:rsidRPr="0099652B" w:rsidRDefault="00000000">
      <w:pPr>
        <w:spacing w:after="240"/>
        <w:ind w:left="720" w:hanging="720"/>
        <w:rPr>
          <w:sz w:val="28"/>
          <w:szCs w:val="28"/>
        </w:rPr>
      </w:pPr>
      <w:r w:rsidRPr="0099652B">
        <w:rPr>
          <w:sz w:val="28"/>
          <w:szCs w:val="28"/>
        </w:rPr>
        <w:t xml:space="preserve">Stilwell, G.A. (2000) </w:t>
      </w:r>
      <w:r w:rsidRPr="0099652B">
        <w:rPr>
          <w:i/>
          <w:iCs/>
          <w:sz w:val="28"/>
          <w:szCs w:val="28"/>
        </w:rPr>
        <w:t>Conduct and Behavior as Determinants for the Afterlife: A Comparison of the Judgments of the Dead in Ancient Egypt and Ancient Greece</w:t>
      </w:r>
      <w:r w:rsidRPr="0099652B">
        <w:rPr>
          <w:sz w:val="28"/>
          <w:szCs w:val="28"/>
        </w:rPr>
        <w:t>. USA: Dissertation.com.</w:t>
      </w:r>
      <w:r w:rsidR="002E684D" w:rsidRPr="0099652B">
        <w:rPr>
          <w:sz w:val="28"/>
          <w:szCs w:val="28"/>
        </w:rPr>
        <w:t>, pp.198-238.</w:t>
      </w:r>
    </w:p>
    <w:p w14:paraId="6D91FE5E" w14:textId="73378404" w:rsidR="00691E91" w:rsidRPr="0099652B" w:rsidRDefault="00000000">
      <w:pPr>
        <w:spacing w:after="240"/>
        <w:ind w:left="720" w:hanging="720"/>
        <w:rPr>
          <w:sz w:val="28"/>
          <w:szCs w:val="28"/>
        </w:rPr>
      </w:pPr>
      <w:r w:rsidRPr="0099652B">
        <w:rPr>
          <w:sz w:val="28"/>
          <w:szCs w:val="28"/>
        </w:rPr>
        <w:t xml:space="preserve">Strudwick, N.C. (2005) </w:t>
      </w:r>
      <w:r w:rsidRPr="0099652B">
        <w:rPr>
          <w:i/>
          <w:iCs/>
          <w:sz w:val="28"/>
          <w:szCs w:val="28"/>
        </w:rPr>
        <w:t>Texts from the Pyramid Age</w:t>
      </w:r>
      <w:r w:rsidRPr="0099652B">
        <w:rPr>
          <w:sz w:val="28"/>
          <w:szCs w:val="28"/>
        </w:rPr>
        <w:t>. Edited by R.J. Leprohon. Atlanta: Society of Biblical Literature (Writings from the Ancient World, 16), pp.</w:t>
      </w:r>
      <w:r w:rsidR="002E684D" w:rsidRPr="0099652B">
        <w:rPr>
          <w:sz w:val="28"/>
          <w:szCs w:val="28"/>
        </w:rPr>
        <w:t xml:space="preserve"> 241,</w:t>
      </w:r>
      <w:r w:rsidRPr="0099652B">
        <w:rPr>
          <w:sz w:val="28"/>
          <w:szCs w:val="28"/>
        </w:rPr>
        <w:t xml:space="preserve"> 300, 328–333.</w:t>
      </w:r>
    </w:p>
    <w:p w14:paraId="7DEF7415" w14:textId="1EC7C34D" w:rsidR="00691E91" w:rsidRPr="0099652B" w:rsidRDefault="00000000">
      <w:pPr>
        <w:spacing w:after="240"/>
        <w:ind w:left="720" w:hanging="720"/>
        <w:rPr>
          <w:sz w:val="28"/>
          <w:szCs w:val="28"/>
        </w:rPr>
      </w:pPr>
      <w:r w:rsidRPr="0099652B">
        <w:rPr>
          <w:sz w:val="28"/>
          <w:szCs w:val="28"/>
        </w:rPr>
        <w:lastRenderedPageBreak/>
        <w:t xml:space="preserve">Ulrich, E. (ed.) (2010) </w:t>
      </w:r>
      <w:r w:rsidRPr="0099652B">
        <w:rPr>
          <w:i/>
          <w:iCs/>
          <w:sz w:val="28"/>
          <w:szCs w:val="28"/>
        </w:rPr>
        <w:t>The Biblical Qumran Scrolls: Transcriptions and Textual Variants</w:t>
      </w:r>
      <w:r w:rsidRPr="0099652B">
        <w:rPr>
          <w:sz w:val="28"/>
          <w:szCs w:val="28"/>
        </w:rPr>
        <w:t>. Leiden: Brill (Supplements to Vetus Testamentum, 134.</w:t>
      </w:r>
    </w:p>
    <w:sectPr w:rsidR="00691E91" w:rsidRPr="0099652B" w:rsidSect="00C765C3">
      <w:footerReference w:type="default" r:id="rId8"/>
      <w:pgSz w:w="12240" w:h="15840"/>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A933B" w14:textId="77777777" w:rsidR="0005405A" w:rsidRDefault="0005405A">
      <w:r>
        <w:separator/>
      </w:r>
    </w:p>
  </w:endnote>
  <w:endnote w:type="continuationSeparator" w:id="0">
    <w:p w14:paraId="5F1CB62D" w14:textId="77777777" w:rsidR="0005405A" w:rsidRDefault="00054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B6B71" w14:textId="77777777" w:rsidR="00067F75" w:rsidRDefault="00000000">
    <w:pPr>
      <w:jc w:val="center"/>
    </w:pPr>
    <w:r>
      <w:rPr>
        <w:sz w:val="20"/>
        <w:szCs w:val="20"/>
      </w:rPr>
      <w:fldChar w:fldCharType="begin"/>
    </w:r>
    <w:r>
      <w:rPr>
        <w:sz w:val="20"/>
        <w:szCs w:val="20"/>
      </w:rPr>
      <w:instrText>PAGE</w:instrText>
    </w:r>
    <w:r>
      <w:rPr>
        <w:sz w:val="20"/>
        <w:szCs w:val="20"/>
      </w:rPr>
      <w:fldChar w:fldCharType="separate"/>
    </w:r>
    <w:r w:rsidR="00645D0E">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C377A" w14:textId="77777777" w:rsidR="00067F75" w:rsidRDefault="00000000">
    <w:pPr>
      <w:jc w:val="center"/>
    </w:pPr>
    <w:r>
      <w:rPr>
        <w:sz w:val="20"/>
        <w:szCs w:val="20"/>
      </w:rPr>
      <w:fldChar w:fldCharType="begin"/>
    </w:r>
    <w:r>
      <w:rPr>
        <w:sz w:val="20"/>
        <w:szCs w:val="20"/>
      </w:rPr>
      <w:instrText>PAGE</w:instrText>
    </w:r>
    <w:r>
      <w:rPr>
        <w:sz w:val="20"/>
        <w:szCs w:val="20"/>
      </w:rPr>
      <w:fldChar w:fldCharType="separate"/>
    </w:r>
    <w:r w:rsidR="00645D0E">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EFB7D" w14:textId="77777777" w:rsidR="0005405A" w:rsidRDefault="0005405A">
      <w:r>
        <w:separator/>
      </w:r>
    </w:p>
  </w:footnote>
  <w:footnote w:type="continuationSeparator" w:id="0">
    <w:p w14:paraId="6D18DA05" w14:textId="77777777" w:rsidR="0005405A" w:rsidRDefault="000540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D51BCF"/>
    <w:multiLevelType w:val="hybridMultilevel"/>
    <w:tmpl w:val="140C7A36"/>
    <w:lvl w:ilvl="0" w:tplc="076C065A">
      <w:start w:val="1"/>
      <w:numFmt w:val="bullet"/>
      <w:lvlText w:val="●"/>
      <w:lvlJc w:val="left"/>
      <w:pPr>
        <w:ind w:left="720" w:hanging="360"/>
      </w:pPr>
    </w:lvl>
    <w:lvl w:ilvl="1" w:tplc="245C5F54">
      <w:start w:val="1"/>
      <w:numFmt w:val="bullet"/>
      <w:lvlText w:val="○"/>
      <w:lvlJc w:val="left"/>
      <w:pPr>
        <w:ind w:left="1440" w:hanging="360"/>
      </w:pPr>
    </w:lvl>
    <w:lvl w:ilvl="2" w:tplc="92BE2178">
      <w:start w:val="1"/>
      <w:numFmt w:val="bullet"/>
      <w:lvlText w:val="■"/>
      <w:lvlJc w:val="left"/>
      <w:pPr>
        <w:ind w:left="2160" w:hanging="360"/>
      </w:pPr>
    </w:lvl>
    <w:lvl w:ilvl="3" w:tplc="42EE31F4">
      <w:start w:val="1"/>
      <w:numFmt w:val="bullet"/>
      <w:lvlText w:val="●"/>
      <w:lvlJc w:val="left"/>
      <w:pPr>
        <w:ind w:left="2880" w:hanging="360"/>
      </w:pPr>
    </w:lvl>
    <w:lvl w:ilvl="4" w:tplc="D292C800">
      <w:start w:val="1"/>
      <w:numFmt w:val="bullet"/>
      <w:lvlText w:val="○"/>
      <w:lvlJc w:val="left"/>
      <w:pPr>
        <w:ind w:left="3600" w:hanging="360"/>
      </w:pPr>
    </w:lvl>
    <w:lvl w:ilvl="5" w:tplc="32126A72">
      <w:start w:val="1"/>
      <w:numFmt w:val="bullet"/>
      <w:lvlText w:val="■"/>
      <w:lvlJc w:val="left"/>
      <w:pPr>
        <w:ind w:left="4320" w:hanging="360"/>
      </w:pPr>
    </w:lvl>
    <w:lvl w:ilvl="6" w:tplc="FE9A1054">
      <w:start w:val="1"/>
      <w:numFmt w:val="bullet"/>
      <w:lvlText w:val="●"/>
      <w:lvlJc w:val="left"/>
      <w:pPr>
        <w:ind w:left="5040" w:hanging="360"/>
      </w:pPr>
    </w:lvl>
    <w:lvl w:ilvl="7" w:tplc="ED0C81E8">
      <w:start w:val="1"/>
      <w:numFmt w:val="bullet"/>
      <w:lvlText w:val="●"/>
      <w:lvlJc w:val="left"/>
      <w:pPr>
        <w:ind w:left="5760" w:hanging="360"/>
      </w:pPr>
    </w:lvl>
    <w:lvl w:ilvl="8" w:tplc="0C0C8ABC">
      <w:start w:val="1"/>
      <w:numFmt w:val="bullet"/>
      <w:lvlText w:val="●"/>
      <w:lvlJc w:val="left"/>
      <w:pPr>
        <w:ind w:left="6480" w:hanging="360"/>
      </w:pPr>
    </w:lvl>
  </w:abstractNum>
  <w:num w:numId="1" w16cid:durableId="140872241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F75"/>
    <w:rsid w:val="00012446"/>
    <w:rsid w:val="00024FD6"/>
    <w:rsid w:val="000267B4"/>
    <w:rsid w:val="0005405A"/>
    <w:rsid w:val="000625B7"/>
    <w:rsid w:val="000643A4"/>
    <w:rsid w:val="00067F75"/>
    <w:rsid w:val="000773F2"/>
    <w:rsid w:val="000802FC"/>
    <w:rsid w:val="00087058"/>
    <w:rsid w:val="000E6503"/>
    <w:rsid w:val="000F054D"/>
    <w:rsid w:val="00103768"/>
    <w:rsid w:val="001067B7"/>
    <w:rsid w:val="00112249"/>
    <w:rsid w:val="0012067C"/>
    <w:rsid w:val="00121509"/>
    <w:rsid w:val="001B1DD4"/>
    <w:rsid w:val="001B6C22"/>
    <w:rsid w:val="002001E1"/>
    <w:rsid w:val="00207D5E"/>
    <w:rsid w:val="00215684"/>
    <w:rsid w:val="002310DB"/>
    <w:rsid w:val="002312B7"/>
    <w:rsid w:val="0023771B"/>
    <w:rsid w:val="002377F7"/>
    <w:rsid w:val="00237FE7"/>
    <w:rsid w:val="00273CB9"/>
    <w:rsid w:val="00296513"/>
    <w:rsid w:val="00297C46"/>
    <w:rsid w:val="002A2D63"/>
    <w:rsid w:val="002E684D"/>
    <w:rsid w:val="002F1518"/>
    <w:rsid w:val="002F5CC6"/>
    <w:rsid w:val="002F71E6"/>
    <w:rsid w:val="00310D18"/>
    <w:rsid w:val="003167A3"/>
    <w:rsid w:val="003238D0"/>
    <w:rsid w:val="00324A95"/>
    <w:rsid w:val="00330155"/>
    <w:rsid w:val="0033731E"/>
    <w:rsid w:val="003432C5"/>
    <w:rsid w:val="003477B9"/>
    <w:rsid w:val="00367A4D"/>
    <w:rsid w:val="003775F6"/>
    <w:rsid w:val="003817F1"/>
    <w:rsid w:val="0038270F"/>
    <w:rsid w:val="00384B06"/>
    <w:rsid w:val="00386DEC"/>
    <w:rsid w:val="003A2184"/>
    <w:rsid w:val="003A2888"/>
    <w:rsid w:val="003B022C"/>
    <w:rsid w:val="003C5B65"/>
    <w:rsid w:val="003E01A8"/>
    <w:rsid w:val="00407B43"/>
    <w:rsid w:val="0041357E"/>
    <w:rsid w:val="00421184"/>
    <w:rsid w:val="00427AFA"/>
    <w:rsid w:val="00440C20"/>
    <w:rsid w:val="004461CC"/>
    <w:rsid w:val="004618E7"/>
    <w:rsid w:val="00465B5E"/>
    <w:rsid w:val="0047144A"/>
    <w:rsid w:val="0048384A"/>
    <w:rsid w:val="00495066"/>
    <w:rsid w:val="004A11D7"/>
    <w:rsid w:val="004A4528"/>
    <w:rsid w:val="004B088C"/>
    <w:rsid w:val="004E0A48"/>
    <w:rsid w:val="005010E4"/>
    <w:rsid w:val="00551D0E"/>
    <w:rsid w:val="00552702"/>
    <w:rsid w:val="00553DB9"/>
    <w:rsid w:val="00582913"/>
    <w:rsid w:val="0058436C"/>
    <w:rsid w:val="005A20AF"/>
    <w:rsid w:val="005B587E"/>
    <w:rsid w:val="005D0B72"/>
    <w:rsid w:val="005E2E69"/>
    <w:rsid w:val="005F1864"/>
    <w:rsid w:val="005F53DF"/>
    <w:rsid w:val="005F560A"/>
    <w:rsid w:val="005F686E"/>
    <w:rsid w:val="005F6B7F"/>
    <w:rsid w:val="005F7302"/>
    <w:rsid w:val="00607F7F"/>
    <w:rsid w:val="00622130"/>
    <w:rsid w:val="00633D41"/>
    <w:rsid w:val="00637487"/>
    <w:rsid w:val="00640BB6"/>
    <w:rsid w:val="00644344"/>
    <w:rsid w:val="00645D0E"/>
    <w:rsid w:val="00654569"/>
    <w:rsid w:val="00656569"/>
    <w:rsid w:val="0065737C"/>
    <w:rsid w:val="00660228"/>
    <w:rsid w:val="0066573F"/>
    <w:rsid w:val="00671E63"/>
    <w:rsid w:val="00677757"/>
    <w:rsid w:val="0068084E"/>
    <w:rsid w:val="00691E91"/>
    <w:rsid w:val="006B49CB"/>
    <w:rsid w:val="006E117B"/>
    <w:rsid w:val="006F3002"/>
    <w:rsid w:val="006F3ECF"/>
    <w:rsid w:val="007251CE"/>
    <w:rsid w:val="00731832"/>
    <w:rsid w:val="0073420F"/>
    <w:rsid w:val="00754424"/>
    <w:rsid w:val="00754EB6"/>
    <w:rsid w:val="00755321"/>
    <w:rsid w:val="007775F9"/>
    <w:rsid w:val="0077769F"/>
    <w:rsid w:val="00786A5A"/>
    <w:rsid w:val="00794453"/>
    <w:rsid w:val="007B154E"/>
    <w:rsid w:val="007B3B2E"/>
    <w:rsid w:val="007C0147"/>
    <w:rsid w:val="007C3255"/>
    <w:rsid w:val="007D07BA"/>
    <w:rsid w:val="007D4D32"/>
    <w:rsid w:val="007F4ACB"/>
    <w:rsid w:val="0080147C"/>
    <w:rsid w:val="0081470F"/>
    <w:rsid w:val="00814909"/>
    <w:rsid w:val="008158FC"/>
    <w:rsid w:val="00823BA7"/>
    <w:rsid w:val="008350B2"/>
    <w:rsid w:val="00840B84"/>
    <w:rsid w:val="00845380"/>
    <w:rsid w:val="00880EEA"/>
    <w:rsid w:val="00884E39"/>
    <w:rsid w:val="00887D52"/>
    <w:rsid w:val="008A02C0"/>
    <w:rsid w:val="008C15BC"/>
    <w:rsid w:val="008D423D"/>
    <w:rsid w:val="008E2B9B"/>
    <w:rsid w:val="008E63C2"/>
    <w:rsid w:val="008F027E"/>
    <w:rsid w:val="00942E88"/>
    <w:rsid w:val="0099652B"/>
    <w:rsid w:val="009A0E37"/>
    <w:rsid w:val="009A1455"/>
    <w:rsid w:val="009A782E"/>
    <w:rsid w:val="009A7E5C"/>
    <w:rsid w:val="009C174D"/>
    <w:rsid w:val="009C23E1"/>
    <w:rsid w:val="009C4917"/>
    <w:rsid w:val="009E03E8"/>
    <w:rsid w:val="00A35A66"/>
    <w:rsid w:val="00A461A4"/>
    <w:rsid w:val="00A46DFC"/>
    <w:rsid w:val="00A47D3A"/>
    <w:rsid w:val="00A50788"/>
    <w:rsid w:val="00A569E1"/>
    <w:rsid w:val="00A66A54"/>
    <w:rsid w:val="00A72CE1"/>
    <w:rsid w:val="00A756F0"/>
    <w:rsid w:val="00A927C1"/>
    <w:rsid w:val="00A94565"/>
    <w:rsid w:val="00AA1A1C"/>
    <w:rsid w:val="00AA7377"/>
    <w:rsid w:val="00AB1592"/>
    <w:rsid w:val="00AE1A11"/>
    <w:rsid w:val="00AE215C"/>
    <w:rsid w:val="00AF481B"/>
    <w:rsid w:val="00B009E3"/>
    <w:rsid w:val="00B2497D"/>
    <w:rsid w:val="00B31348"/>
    <w:rsid w:val="00B50E31"/>
    <w:rsid w:val="00B53998"/>
    <w:rsid w:val="00B64C1B"/>
    <w:rsid w:val="00B740A6"/>
    <w:rsid w:val="00B7502D"/>
    <w:rsid w:val="00B840F2"/>
    <w:rsid w:val="00BA77F4"/>
    <w:rsid w:val="00BB1B9F"/>
    <w:rsid w:val="00BC0E5E"/>
    <w:rsid w:val="00BC15F7"/>
    <w:rsid w:val="00BD2B20"/>
    <w:rsid w:val="00BD7AAC"/>
    <w:rsid w:val="00BE0459"/>
    <w:rsid w:val="00BE3F00"/>
    <w:rsid w:val="00BF283E"/>
    <w:rsid w:val="00BF63D2"/>
    <w:rsid w:val="00BF7DFB"/>
    <w:rsid w:val="00C05917"/>
    <w:rsid w:val="00C246AA"/>
    <w:rsid w:val="00C45EB9"/>
    <w:rsid w:val="00C525DA"/>
    <w:rsid w:val="00C540C2"/>
    <w:rsid w:val="00C55BE8"/>
    <w:rsid w:val="00C60E66"/>
    <w:rsid w:val="00C765C3"/>
    <w:rsid w:val="00C951C1"/>
    <w:rsid w:val="00CC2A49"/>
    <w:rsid w:val="00CC6045"/>
    <w:rsid w:val="00CD0EA9"/>
    <w:rsid w:val="00CD3DA5"/>
    <w:rsid w:val="00CE2B06"/>
    <w:rsid w:val="00D56F8F"/>
    <w:rsid w:val="00D57214"/>
    <w:rsid w:val="00D61365"/>
    <w:rsid w:val="00D64423"/>
    <w:rsid w:val="00D6540C"/>
    <w:rsid w:val="00D81E97"/>
    <w:rsid w:val="00DB046E"/>
    <w:rsid w:val="00DC562A"/>
    <w:rsid w:val="00DD2417"/>
    <w:rsid w:val="00DF4FEB"/>
    <w:rsid w:val="00E20FD5"/>
    <w:rsid w:val="00E21F4F"/>
    <w:rsid w:val="00E27B71"/>
    <w:rsid w:val="00E46F10"/>
    <w:rsid w:val="00E50D13"/>
    <w:rsid w:val="00E53E1F"/>
    <w:rsid w:val="00E76C5F"/>
    <w:rsid w:val="00E811E5"/>
    <w:rsid w:val="00E96E7A"/>
    <w:rsid w:val="00EA34B9"/>
    <w:rsid w:val="00EB54B5"/>
    <w:rsid w:val="00EC07BF"/>
    <w:rsid w:val="00EC0F90"/>
    <w:rsid w:val="00EE6BDD"/>
    <w:rsid w:val="00EF6592"/>
    <w:rsid w:val="00F4168E"/>
    <w:rsid w:val="00F66ECF"/>
    <w:rsid w:val="00F83BED"/>
    <w:rsid w:val="00FC0CA5"/>
    <w:rsid w:val="00FC2494"/>
    <w:rsid w:val="00FC72B7"/>
    <w:rsid w:val="00FD2707"/>
    <w:rsid w:val="00FD4937"/>
    <w:rsid w:val="00FE02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13078C"/>
  <w15:docId w15:val="{312784F1-2E66-4E48-92B3-3A8473A5C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jc w:val="center"/>
      <w:outlineLvl w:val="0"/>
    </w:pPr>
    <w:rPr>
      <w:rFonts w:ascii="Arial" w:hAnsi="Arial" w:cs="Arial"/>
      <w:b/>
      <w:bCs/>
      <w:color w:val="000000"/>
      <w:sz w:val="28"/>
      <w:szCs w:val="28"/>
    </w:rPr>
  </w:style>
  <w:style w:type="paragraph" w:styleId="Heading2">
    <w:name w:val="heading 2"/>
    <w:basedOn w:val="Normal"/>
    <w:next w:val="Normal"/>
    <w:uiPriority w:val="9"/>
    <w:unhideWhenUsed/>
    <w:qFormat/>
    <w:pPr>
      <w:keepNext/>
      <w:keepLines/>
      <w:spacing w:line="480" w:lineRule="auto"/>
      <w:outlineLvl w:val="1"/>
    </w:pPr>
    <w:rPr>
      <w:rFonts w:ascii="Arial" w:hAnsi="Arial" w:cs="Arial"/>
      <w:b/>
      <w:bCs/>
      <w:color w:val="000000"/>
      <w:sz w:val="28"/>
      <w:szCs w:val="28"/>
    </w:rPr>
  </w:style>
  <w:style w:type="paragraph" w:styleId="Heading3">
    <w:name w:val="heading 3"/>
    <w:basedOn w:val="Normal"/>
    <w:next w:val="Normal"/>
    <w:uiPriority w:val="9"/>
    <w:unhideWhenUsed/>
    <w:qFormat/>
    <w:pPr>
      <w:keepNext/>
      <w:keepLines/>
      <w:spacing w:line="480" w:lineRule="auto"/>
      <w:outlineLvl w:val="2"/>
    </w:pPr>
    <w:rPr>
      <w:rFonts w:ascii="Arial" w:hAnsi="Arial" w:cs="Arial"/>
      <w:color w:val="000000"/>
      <w:sz w:val="28"/>
      <w:szCs w:val="28"/>
      <w:u w:val="single"/>
    </w:rPr>
  </w:style>
  <w:style w:type="paragraph" w:styleId="Heading4">
    <w:name w:val="heading 4"/>
    <w:basedOn w:val="Normal"/>
    <w:next w:val="Normal"/>
    <w:uiPriority w:val="9"/>
    <w:unhideWhenUsed/>
    <w:qFormat/>
    <w:pPr>
      <w:keepNext/>
      <w:keepLines/>
      <w:spacing w:line="480" w:lineRule="auto"/>
      <w:outlineLvl w:val="3"/>
    </w:pPr>
    <w:rPr>
      <w:rFonts w:ascii="Arial" w:hAnsi="Arial" w:cs="Arial"/>
      <w:i/>
      <w:iCs/>
      <w:color w:val="000000"/>
      <w:sz w:val="28"/>
      <w:szCs w:val="28"/>
      <w:u w:val="single"/>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CC2A49"/>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CC2A4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C2A4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rFonts w:ascii="Times New Roman" w:eastAsia="Times New Roman" w:hAnsi="Times New Roman" w:cs="Times New Roman"/>
      <w:sz w:val="24"/>
      <w:szCs w:val="24"/>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CC2A49"/>
    <w:pPr>
      <w:tabs>
        <w:tab w:val="center" w:pos="4680"/>
        <w:tab w:val="right" w:pos="9360"/>
      </w:tabs>
    </w:pPr>
  </w:style>
  <w:style w:type="character" w:customStyle="1" w:styleId="HeaderChar">
    <w:name w:val="Header Char"/>
    <w:basedOn w:val="DefaultParagraphFont"/>
    <w:link w:val="Header"/>
    <w:uiPriority w:val="99"/>
    <w:rsid w:val="00CC2A49"/>
  </w:style>
  <w:style w:type="paragraph" w:styleId="Footer">
    <w:name w:val="footer"/>
    <w:basedOn w:val="Normal"/>
    <w:link w:val="FooterChar"/>
    <w:uiPriority w:val="99"/>
    <w:unhideWhenUsed/>
    <w:rsid w:val="00CC2A49"/>
    <w:pPr>
      <w:tabs>
        <w:tab w:val="center" w:pos="4680"/>
        <w:tab w:val="right" w:pos="9360"/>
      </w:tabs>
    </w:pPr>
  </w:style>
  <w:style w:type="character" w:customStyle="1" w:styleId="FooterChar">
    <w:name w:val="Footer Char"/>
    <w:basedOn w:val="DefaultParagraphFont"/>
    <w:link w:val="Footer"/>
    <w:uiPriority w:val="99"/>
    <w:rsid w:val="00CC2A49"/>
  </w:style>
  <w:style w:type="character" w:styleId="BookTitle">
    <w:name w:val="Book Title"/>
    <w:basedOn w:val="DefaultParagraphFont"/>
    <w:uiPriority w:val="33"/>
    <w:qFormat/>
    <w:rsid w:val="00CC2A49"/>
    <w:rPr>
      <w:b/>
      <w:bCs/>
      <w:i/>
      <w:iCs/>
      <w:spacing w:val="5"/>
    </w:rPr>
  </w:style>
  <w:style w:type="paragraph" w:styleId="Caption">
    <w:name w:val="caption"/>
    <w:basedOn w:val="Normal"/>
    <w:next w:val="Normal"/>
    <w:uiPriority w:val="35"/>
    <w:semiHidden/>
    <w:unhideWhenUsed/>
    <w:qFormat/>
    <w:rsid w:val="00CC2A49"/>
    <w:pPr>
      <w:spacing w:after="200"/>
    </w:pPr>
    <w:rPr>
      <w:i/>
      <w:iCs/>
      <w:color w:val="0E2841" w:themeColor="text2"/>
      <w:sz w:val="18"/>
      <w:szCs w:val="18"/>
    </w:rPr>
  </w:style>
  <w:style w:type="character" w:styleId="Emphasis">
    <w:name w:val="Emphasis"/>
    <w:basedOn w:val="DefaultParagraphFont"/>
    <w:uiPriority w:val="20"/>
    <w:qFormat/>
    <w:rsid w:val="00CC2A49"/>
    <w:rPr>
      <w:i/>
      <w:iCs/>
    </w:rPr>
  </w:style>
  <w:style w:type="character" w:customStyle="1" w:styleId="Heading7Char">
    <w:name w:val="Heading 7 Char"/>
    <w:basedOn w:val="DefaultParagraphFont"/>
    <w:link w:val="Heading7"/>
    <w:uiPriority w:val="9"/>
    <w:semiHidden/>
    <w:rsid w:val="00CC2A49"/>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CC2A4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C2A49"/>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CC2A49"/>
    <w:rPr>
      <w:i/>
      <w:iCs/>
      <w:color w:val="156082" w:themeColor="accent1"/>
    </w:rPr>
  </w:style>
  <w:style w:type="paragraph" w:styleId="IntenseQuote">
    <w:name w:val="Intense Quote"/>
    <w:basedOn w:val="Normal"/>
    <w:next w:val="Normal"/>
    <w:link w:val="IntenseQuoteChar"/>
    <w:uiPriority w:val="30"/>
    <w:qFormat/>
    <w:rsid w:val="00CC2A49"/>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CC2A49"/>
    <w:rPr>
      <w:i/>
      <w:iCs/>
      <w:color w:val="156082" w:themeColor="accent1"/>
    </w:rPr>
  </w:style>
  <w:style w:type="character" w:styleId="IntenseReference">
    <w:name w:val="Intense Reference"/>
    <w:basedOn w:val="DefaultParagraphFont"/>
    <w:uiPriority w:val="32"/>
    <w:qFormat/>
    <w:rsid w:val="00CC2A49"/>
    <w:rPr>
      <w:b/>
      <w:bCs/>
      <w:smallCaps/>
      <w:color w:val="156082" w:themeColor="accent1"/>
      <w:spacing w:val="5"/>
    </w:rPr>
  </w:style>
  <w:style w:type="paragraph" w:styleId="NoSpacing">
    <w:name w:val="No Spacing"/>
    <w:uiPriority w:val="1"/>
    <w:qFormat/>
    <w:rsid w:val="00CC2A49"/>
  </w:style>
  <w:style w:type="paragraph" w:styleId="Quote">
    <w:name w:val="Quote"/>
    <w:basedOn w:val="Normal"/>
    <w:next w:val="Normal"/>
    <w:link w:val="QuoteChar"/>
    <w:uiPriority w:val="29"/>
    <w:qFormat/>
    <w:rsid w:val="00CC2A4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C2A49"/>
    <w:rPr>
      <w:i/>
      <w:iCs/>
      <w:color w:val="404040" w:themeColor="text1" w:themeTint="BF"/>
    </w:rPr>
  </w:style>
  <w:style w:type="character" w:styleId="Strong">
    <w:name w:val="Strong"/>
    <w:basedOn w:val="DefaultParagraphFont"/>
    <w:uiPriority w:val="22"/>
    <w:qFormat/>
    <w:rsid w:val="00CC2A49"/>
    <w:rPr>
      <w:b/>
      <w:bCs/>
    </w:rPr>
  </w:style>
  <w:style w:type="paragraph" w:styleId="Subtitle">
    <w:name w:val="Subtitle"/>
    <w:basedOn w:val="Normal"/>
    <w:next w:val="Normal"/>
    <w:link w:val="SubtitleChar"/>
    <w:uiPriority w:val="11"/>
    <w:qFormat/>
    <w:rsid w:val="00CC2A4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C2A49"/>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CC2A49"/>
    <w:rPr>
      <w:i/>
      <w:iCs/>
      <w:color w:val="404040" w:themeColor="text1" w:themeTint="BF"/>
    </w:rPr>
  </w:style>
  <w:style w:type="character" w:styleId="SubtleReference">
    <w:name w:val="Subtle Reference"/>
    <w:basedOn w:val="DefaultParagraphFont"/>
    <w:uiPriority w:val="31"/>
    <w:qFormat/>
    <w:rsid w:val="00CC2A49"/>
    <w:rPr>
      <w:smallCaps/>
      <w:color w:val="5A5A5A" w:themeColor="text1" w:themeTint="A5"/>
    </w:rPr>
  </w:style>
  <w:style w:type="paragraph" w:styleId="TOCHeading">
    <w:name w:val="TOC Heading"/>
    <w:basedOn w:val="Heading1"/>
    <w:next w:val="Normal"/>
    <w:uiPriority w:val="39"/>
    <w:semiHidden/>
    <w:unhideWhenUsed/>
    <w:qFormat/>
    <w:rsid w:val="00CC2A49"/>
    <w:pPr>
      <w:spacing w:before="240"/>
      <w:outlineLvl w:val="9"/>
    </w:pPr>
    <w:rPr>
      <w:rFonts w:asciiTheme="majorHAnsi" w:eastAsiaTheme="majorEastAsia" w:hAnsiTheme="majorHAnsi" w:cstheme="majorBidi"/>
      <w:b w:val="0"/>
      <w:bCs w:val="0"/>
      <w:color w:val="0F4761" w:themeColor="accent1" w:themeShade="BF"/>
      <w:sz w:val="32"/>
      <w:szCs w:val="32"/>
    </w:rPr>
  </w:style>
  <w:style w:type="paragraph" w:styleId="NormalWeb">
    <w:name w:val="Normal (Web)"/>
    <w:basedOn w:val="Normal"/>
    <w:uiPriority w:val="99"/>
    <w:unhideWhenUsed/>
    <w:rsid w:val="005D0B72"/>
  </w:style>
  <w:style w:type="paragraph" w:styleId="BodyText">
    <w:name w:val="Body Text"/>
    <w:basedOn w:val="Normal"/>
    <w:link w:val="BodyTextChar"/>
    <w:uiPriority w:val="1"/>
    <w:qFormat/>
    <w:rsid w:val="00027EAF"/>
    <w:pPr>
      <w:widowControl w:val="0"/>
      <w:autoSpaceDE w:val="0"/>
      <w:autoSpaceDN w:val="0"/>
    </w:pPr>
    <w:rPr>
      <w:sz w:val="23"/>
      <w:szCs w:val="23"/>
    </w:rPr>
  </w:style>
  <w:style w:type="character" w:customStyle="1" w:styleId="BodyTextChar">
    <w:name w:val="Body Text Char"/>
    <w:basedOn w:val="DefaultParagraphFont"/>
    <w:link w:val="BodyText"/>
    <w:uiPriority w:val="1"/>
    <w:rsid w:val="00027EAF"/>
    <w:rPr>
      <w:sz w:val="23"/>
      <w:szCs w:val="23"/>
    </w:rPr>
  </w:style>
  <w:style w:type="character" w:customStyle="1" w:styleId="FootnoteCharacters">
    <w:name w:val="Footnote Characters"/>
    <w:uiPriority w:val="99"/>
    <w:semiHidden/>
    <w:unhideWhenUsed/>
    <w:qFormat/>
    <w:rsid w:val="008D006D"/>
    <w:rPr>
      <w:vertAlign w:val="superscript"/>
    </w:rPr>
  </w:style>
  <w:style w:type="paragraph" w:styleId="TOC1">
    <w:name w:val="toc 1"/>
    <w:basedOn w:val="Normal"/>
    <w:next w:val="Normal"/>
    <w:uiPriority w:val="39"/>
    <w:unhideWhenUsed/>
    <w:pPr>
      <w:tabs>
        <w:tab w:val="right" w:leader="dot" w:pos="9350"/>
      </w:tabs>
      <w:spacing w:before="100" w:after="60" w:line="300" w:lineRule="auto"/>
    </w:pPr>
    <w:rPr>
      <w:rFonts w:ascii="Arial" w:hAnsi="Arial" w:cs="Arial"/>
      <w:sz w:val="28"/>
      <w:szCs w:val="28"/>
    </w:rPr>
  </w:style>
  <w:style w:type="paragraph" w:styleId="TOC2">
    <w:name w:val="toc 2"/>
    <w:basedOn w:val="Normal"/>
    <w:next w:val="Normal"/>
    <w:uiPriority w:val="39"/>
    <w:unhideWhenUsed/>
    <w:pPr>
      <w:tabs>
        <w:tab w:val="right" w:leader="dot" w:pos="9350"/>
      </w:tabs>
      <w:spacing w:after="20" w:line="300" w:lineRule="auto"/>
      <w:ind w:left="480"/>
    </w:pPr>
    <w:rPr>
      <w:rFonts w:ascii="Arial" w:hAnsi="Arial" w:cs="Arial"/>
      <w:sz w:val="28"/>
      <w:szCs w:val="28"/>
    </w:rPr>
  </w:style>
  <w:style w:type="character" w:customStyle="1" w:styleId="inqyif">
    <w:name w:val="inqyif"/>
    <w:basedOn w:val="DefaultParagraphFont"/>
    <w:rsid w:val="0055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67</Pages>
  <Words>14088</Words>
  <Characters>74668</Characters>
  <Application>Microsoft Office Word</Application>
  <DocSecurity>0</DocSecurity>
  <Lines>1287</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Hahn</dc:creator>
  <cp:lastModifiedBy>Kevin Hahn</cp:lastModifiedBy>
  <cp:revision>4</cp:revision>
  <dcterms:created xsi:type="dcterms:W3CDTF">2026-10-01T06:39:00Z</dcterms:created>
  <dcterms:modified xsi:type="dcterms:W3CDTF">2026-10-15T20:42:00Z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a6987aa3bfd6a96da1a87e85ca8c54830863c5aaae0bd4409bf884ea93d81dbd</vt:lpwstr>
  </property>
</Properties>
</file>