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4949F" w14:textId="77777777" w:rsidR="00154B94" w:rsidRPr="00D53D74" w:rsidRDefault="00154B94" w:rsidP="004D61DD">
      <w:pPr>
        <w:pStyle w:val="NormalWeb"/>
        <w:jc w:val="center"/>
        <w:rPr>
          <w:sz w:val="36"/>
          <w:szCs w:val="36"/>
        </w:rPr>
      </w:pPr>
      <w:bookmarkStart w:id="0" w:name="_Hlk191049142"/>
    </w:p>
    <w:p w14:paraId="3A2EABC0" w14:textId="77777777" w:rsidR="00D53D74" w:rsidRPr="00D53D74" w:rsidRDefault="00D53D74" w:rsidP="004D61DD">
      <w:pPr>
        <w:jc w:val="center"/>
        <w:rPr>
          <w:rFonts w:ascii="Arial" w:hAnsi="Arial" w:cs="Arial"/>
          <w:b/>
          <w:bCs/>
          <w:sz w:val="36"/>
          <w:szCs w:val="36"/>
        </w:rPr>
      </w:pPr>
      <w:r w:rsidRPr="00D53D74">
        <w:rPr>
          <w:b/>
          <w:bCs/>
          <w:sz w:val="36"/>
          <w:szCs w:val="36"/>
        </w:rPr>
        <w:t xml:space="preserve">The importance of </w:t>
      </w:r>
      <w:bookmarkStart w:id="1" w:name="_Hlk193474442"/>
      <w:r w:rsidRPr="00D53D74">
        <w:rPr>
          <w:b/>
          <w:bCs/>
          <w:sz w:val="36"/>
          <w:szCs w:val="36"/>
        </w:rPr>
        <w:t>community orientation in business</w:t>
      </w:r>
      <w:bookmarkEnd w:id="1"/>
      <w:r w:rsidRPr="00D53D74">
        <w:rPr>
          <w:b/>
          <w:bCs/>
          <w:sz w:val="36"/>
          <w:szCs w:val="36"/>
        </w:rPr>
        <w:t>: A study of trade relationships between assembly organizations in the UK and China.</w:t>
      </w:r>
    </w:p>
    <w:p w14:paraId="5F78CEE7" w14:textId="77777777" w:rsidR="00D53D74" w:rsidRDefault="00D53D74" w:rsidP="004D61DD">
      <w:pPr>
        <w:pStyle w:val="NormalWeb"/>
        <w:jc w:val="center"/>
      </w:pPr>
    </w:p>
    <w:p w14:paraId="376DCDA1" w14:textId="77777777" w:rsidR="004D61DD" w:rsidRDefault="004D61DD" w:rsidP="004D61DD"/>
    <w:p w14:paraId="7B5BC465" w14:textId="77777777" w:rsidR="004D61DD" w:rsidRDefault="004D61DD" w:rsidP="004D61DD"/>
    <w:p w14:paraId="75EFBB0F" w14:textId="4A916328" w:rsidR="004D61DD" w:rsidRPr="00AD262E" w:rsidRDefault="00AD262E" w:rsidP="00AD262E">
      <w:pPr>
        <w:pStyle w:val="Heading3"/>
        <w:numPr>
          <w:ilvl w:val="0"/>
          <w:numId w:val="0"/>
        </w:numPr>
      </w:pPr>
      <w:bookmarkStart w:id="2" w:name="_Toc194248465"/>
      <w:r w:rsidRPr="00AD262E">
        <w:t xml:space="preserve">Student </w:t>
      </w:r>
      <w:r w:rsidR="00FC4565" w:rsidRPr="00AD262E">
        <w:t>name: Lucretia</w:t>
      </w:r>
      <w:r w:rsidR="00E8180A" w:rsidRPr="00AD262E">
        <w:t xml:space="preserve"> Diaconu</w:t>
      </w:r>
      <w:bookmarkEnd w:id="2"/>
    </w:p>
    <w:p w14:paraId="4D91F701" w14:textId="77777777" w:rsidR="004D61DD" w:rsidRDefault="004D61DD" w:rsidP="004D61DD"/>
    <w:p w14:paraId="51D49F47" w14:textId="77777777" w:rsidR="004D61DD" w:rsidRDefault="004D61DD" w:rsidP="004D61DD"/>
    <w:p w14:paraId="485326C0" w14:textId="77777777" w:rsidR="004D61DD" w:rsidRDefault="004D61DD" w:rsidP="004D61DD"/>
    <w:p w14:paraId="2C139876" w14:textId="77777777" w:rsidR="004D61DD" w:rsidRDefault="004D61DD" w:rsidP="004D61DD"/>
    <w:p w14:paraId="767D0345" w14:textId="77777777" w:rsidR="004D61DD" w:rsidRDefault="004D61DD" w:rsidP="004D61DD"/>
    <w:p w14:paraId="78C62B3A" w14:textId="77777777" w:rsidR="004D61DD" w:rsidRDefault="004D61DD" w:rsidP="004D61DD"/>
    <w:p w14:paraId="5D9BA185" w14:textId="77777777" w:rsidR="004D61DD" w:rsidRDefault="004D61DD" w:rsidP="004D61DD"/>
    <w:p w14:paraId="5C6E4B04" w14:textId="77777777" w:rsidR="004D61DD" w:rsidRDefault="004D61DD" w:rsidP="004D61DD"/>
    <w:p w14:paraId="62E51A57" w14:textId="77777777" w:rsidR="004D61DD" w:rsidRDefault="004D61DD" w:rsidP="004D61DD"/>
    <w:p w14:paraId="7C44DCD5" w14:textId="77777777" w:rsidR="004D61DD" w:rsidRDefault="004D61DD" w:rsidP="004D61DD"/>
    <w:p w14:paraId="2FC53878" w14:textId="77777777" w:rsidR="004D61DD" w:rsidRDefault="004D61DD" w:rsidP="004D61DD"/>
    <w:p w14:paraId="6B1A6446" w14:textId="77777777" w:rsidR="004D61DD" w:rsidRDefault="004D61DD" w:rsidP="004D61DD"/>
    <w:p w14:paraId="1AE57259" w14:textId="77777777" w:rsidR="004D61DD" w:rsidRDefault="004D61DD" w:rsidP="004D61DD"/>
    <w:p w14:paraId="643BC75E" w14:textId="77777777" w:rsidR="004D61DD" w:rsidRDefault="004D61DD" w:rsidP="004D61DD"/>
    <w:p w14:paraId="4304B9ED" w14:textId="77777777" w:rsidR="004D61DD" w:rsidRDefault="004D61DD" w:rsidP="004D61DD"/>
    <w:p w14:paraId="49E6A95D" w14:textId="77777777" w:rsidR="004D61DD" w:rsidRPr="004D61DD" w:rsidRDefault="004D61DD" w:rsidP="004D61DD">
      <w:pPr>
        <w:rPr>
          <w:rFonts w:ascii="Times New Roman" w:hAnsi="Times New Roman" w:cs="Times New Roman"/>
          <w:sz w:val="52"/>
          <w:szCs w:val="52"/>
        </w:rPr>
      </w:pPr>
    </w:p>
    <w:p w14:paraId="53C1229A" w14:textId="77777777" w:rsidR="004D61DD" w:rsidRDefault="004D61DD" w:rsidP="004D61DD">
      <w:pPr>
        <w:rPr>
          <w:rFonts w:ascii="Times New Roman" w:hAnsi="Times New Roman" w:cs="Times New Roman"/>
          <w:sz w:val="52"/>
          <w:szCs w:val="52"/>
        </w:rPr>
      </w:pPr>
    </w:p>
    <w:p w14:paraId="057C80AB" w14:textId="77777777" w:rsidR="004D61DD" w:rsidRDefault="004D61DD" w:rsidP="004D61DD">
      <w:pPr>
        <w:rPr>
          <w:rFonts w:ascii="Times New Roman" w:hAnsi="Times New Roman" w:cs="Times New Roman"/>
          <w:sz w:val="52"/>
          <w:szCs w:val="52"/>
        </w:rPr>
      </w:pPr>
    </w:p>
    <w:sdt>
      <w:sdtPr>
        <w:rPr>
          <w:rFonts w:asciiTheme="minorHAnsi" w:eastAsiaTheme="minorHAnsi" w:hAnsiTheme="minorHAnsi" w:cstheme="minorBidi"/>
          <w:color w:val="auto"/>
          <w:kern w:val="2"/>
          <w:sz w:val="22"/>
          <w:szCs w:val="22"/>
          <w:lang w:val="en-GB"/>
          <w14:ligatures w14:val="standardContextual"/>
        </w:rPr>
        <w:id w:val="-1301532449"/>
        <w:docPartObj>
          <w:docPartGallery w:val="Table of Contents"/>
          <w:docPartUnique/>
        </w:docPartObj>
      </w:sdtPr>
      <w:sdtEndPr>
        <w:rPr>
          <w:b/>
          <w:bCs/>
          <w:noProof/>
        </w:rPr>
      </w:sdtEndPr>
      <w:sdtContent>
        <w:p w14:paraId="0033A8BD" w14:textId="369A5187" w:rsidR="00490752" w:rsidRDefault="00490752">
          <w:pPr>
            <w:pStyle w:val="TOCHeading"/>
          </w:pPr>
          <w:r>
            <w:t>Table of Contents</w:t>
          </w:r>
        </w:p>
        <w:p w14:paraId="3E960D34" w14:textId="4E6709F5" w:rsidR="00AE4BD9" w:rsidRDefault="00490752">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248465" w:history="1">
            <w:r w:rsidR="00AE4BD9" w:rsidRPr="00153AF6">
              <w:rPr>
                <w:rStyle w:val="Hyperlink"/>
                <w:noProof/>
              </w:rPr>
              <w:t>Student name: Lucretia Diaconu</w:t>
            </w:r>
            <w:r w:rsidR="00AE4BD9">
              <w:rPr>
                <w:noProof/>
                <w:webHidden/>
              </w:rPr>
              <w:tab/>
            </w:r>
            <w:r w:rsidR="00AE4BD9">
              <w:rPr>
                <w:noProof/>
                <w:webHidden/>
              </w:rPr>
              <w:fldChar w:fldCharType="begin"/>
            </w:r>
            <w:r w:rsidR="00AE4BD9">
              <w:rPr>
                <w:noProof/>
                <w:webHidden/>
              </w:rPr>
              <w:instrText xml:space="preserve"> PAGEREF _Toc194248465 \h </w:instrText>
            </w:r>
            <w:r w:rsidR="00AE4BD9">
              <w:rPr>
                <w:noProof/>
                <w:webHidden/>
              </w:rPr>
            </w:r>
            <w:r w:rsidR="00AE4BD9">
              <w:rPr>
                <w:noProof/>
                <w:webHidden/>
              </w:rPr>
              <w:fldChar w:fldCharType="separate"/>
            </w:r>
            <w:r w:rsidR="00AE4BD9">
              <w:rPr>
                <w:noProof/>
                <w:webHidden/>
              </w:rPr>
              <w:t>1</w:t>
            </w:r>
            <w:r w:rsidR="00AE4BD9">
              <w:rPr>
                <w:noProof/>
                <w:webHidden/>
              </w:rPr>
              <w:fldChar w:fldCharType="end"/>
            </w:r>
          </w:hyperlink>
        </w:p>
        <w:p w14:paraId="1D854D2C" w14:textId="03010894" w:rsidR="00AE4BD9" w:rsidRDefault="00AE4BD9">
          <w:pPr>
            <w:pStyle w:val="TOC1"/>
            <w:tabs>
              <w:tab w:val="right" w:leader="dot" w:pos="9016"/>
            </w:tabs>
            <w:rPr>
              <w:rFonts w:eastAsiaTheme="minorEastAsia"/>
              <w:noProof/>
              <w:lang w:eastAsia="en-GB"/>
            </w:rPr>
          </w:pPr>
          <w:hyperlink w:anchor="_Toc194248466" w:history="1">
            <w:r w:rsidRPr="00153AF6">
              <w:rPr>
                <w:rStyle w:val="Hyperlink"/>
                <w:noProof/>
              </w:rPr>
              <w:t>Abstract</w:t>
            </w:r>
            <w:r>
              <w:rPr>
                <w:noProof/>
                <w:webHidden/>
              </w:rPr>
              <w:tab/>
            </w:r>
            <w:r>
              <w:rPr>
                <w:noProof/>
                <w:webHidden/>
              </w:rPr>
              <w:fldChar w:fldCharType="begin"/>
            </w:r>
            <w:r>
              <w:rPr>
                <w:noProof/>
                <w:webHidden/>
              </w:rPr>
              <w:instrText xml:space="preserve"> PAGEREF _Toc194248466 \h </w:instrText>
            </w:r>
            <w:r>
              <w:rPr>
                <w:noProof/>
                <w:webHidden/>
              </w:rPr>
            </w:r>
            <w:r>
              <w:rPr>
                <w:noProof/>
                <w:webHidden/>
              </w:rPr>
              <w:fldChar w:fldCharType="separate"/>
            </w:r>
            <w:r>
              <w:rPr>
                <w:noProof/>
                <w:webHidden/>
              </w:rPr>
              <w:t>3</w:t>
            </w:r>
            <w:r>
              <w:rPr>
                <w:noProof/>
                <w:webHidden/>
              </w:rPr>
              <w:fldChar w:fldCharType="end"/>
            </w:r>
          </w:hyperlink>
        </w:p>
        <w:p w14:paraId="1DEE5D30" w14:textId="65D6A80E" w:rsidR="00AE4BD9" w:rsidRDefault="00AE4BD9">
          <w:pPr>
            <w:pStyle w:val="TOC1"/>
            <w:tabs>
              <w:tab w:val="left" w:pos="440"/>
              <w:tab w:val="right" w:leader="dot" w:pos="9016"/>
            </w:tabs>
            <w:rPr>
              <w:rFonts w:eastAsiaTheme="minorEastAsia"/>
              <w:noProof/>
              <w:lang w:eastAsia="en-GB"/>
            </w:rPr>
          </w:pPr>
          <w:hyperlink w:anchor="_Toc194248467" w:history="1">
            <w:r w:rsidRPr="00153AF6">
              <w:rPr>
                <w:rStyle w:val="Hyperlink"/>
                <w:noProof/>
              </w:rPr>
              <w:t>1.</w:t>
            </w:r>
            <w:r>
              <w:rPr>
                <w:rFonts w:eastAsiaTheme="minorEastAsia"/>
                <w:noProof/>
                <w:lang w:eastAsia="en-GB"/>
              </w:rPr>
              <w:tab/>
            </w:r>
            <w:r w:rsidRPr="00153AF6">
              <w:rPr>
                <w:rStyle w:val="Hyperlink"/>
                <w:noProof/>
              </w:rPr>
              <w:t>Introduction</w:t>
            </w:r>
            <w:r>
              <w:rPr>
                <w:noProof/>
                <w:webHidden/>
              </w:rPr>
              <w:tab/>
            </w:r>
            <w:r>
              <w:rPr>
                <w:noProof/>
                <w:webHidden/>
              </w:rPr>
              <w:fldChar w:fldCharType="begin"/>
            </w:r>
            <w:r>
              <w:rPr>
                <w:noProof/>
                <w:webHidden/>
              </w:rPr>
              <w:instrText xml:space="preserve"> PAGEREF _Toc194248467 \h </w:instrText>
            </w:r>
            <w:r>
              <w:rPr>
                <w:noProof/>
                <w:webHidden/>
              </w:rPr>
            </w:r>
            <w:r>
              <w:rPr>
                <w:noProof/>
                <w:webHidden/>
              </w:rPr>
              <w:fldChar w:fldCharType="separate"/>
            </w:r>
            <w:r>
              <w:rPr>
                <w:noProof/>
                <w:webHidden/>
              </w:rPr>
              <w:t>4</w:t>
            </w:r>
            <w:r>
              <w:rPr>
                <w:noProof/>
                <w:webHidden/>
              </w:rPr>
              <w:fldChar w:fldCharType="end"/>
            </w:r>
          </w:hyperlink>
        </w:p>
        <w:p w14:paraId="5C79C9DC" w14:textId="3B1A56CF" w:rsidR="00AE4BD9" w:rsidRDefault="00AE4BD9">
          <w:pPr>
            <w:pStyle w:val="TOC3"/>
            <w:tabs>
              <w:tab w:val="right" w:leader="dot" w:pos="9016"/>
            </w:tabs>
            <w:rPr>
              <w:rFonts w:eastAsiaTheme="minorEastAsia"/>
              <w:noProof/>
              <w:lang w:eastAsia="en-GB"/>
            </w:rPr>
          </w:pPr>
          <w:hyperlink w:anchor="_Toc194248468" w:history="1">
            <w:r w:rsidRPr="00153AF6">
              <w:rPr>
                <w:rStyle w:val="Hyperlink"/>
                <w:noProof/>
              </w:rPr>
              <w:t>1.1 Aim of the Research</w:t>
            </w:r>
            <w:r>
              <w:rPr>
                <w:noProof/>
                <w:webHidden/>
              </w:rPr>
              <w:tab/>
            </w:r>
            <w:r>
              <w:rPr>
                <w:noProof/>
                <w:webHidden/>
              </w:rPr>
              <w:fldChar w:fldCharType="begin"/>
            </w:r>
            <w:r>
              <w:rPr>
                <w:noProof/>
                <w:webHidden/>
              </w:rPr>
              <w:instrText xml:space="preserve"> PAGEREF _Toc194248468 \h </w:instrText>
            </w:r>
            <w:r>
              <w:rPr>
                <w:noProof/>
                <w:webHidden/>
              </w:rPr>
            </w:r>
            <w:r>
              <w:rPr>
                <w:noProof/>
                <w:webHidden/>
              </w:rPr>
              <w:fldChar w:fldCharType="separate"/>
            </w:r>
            <w:r>
              <w:rPr>
                <w:noProof/>
                <w:webHidden/>
              </w:rPr>
              <w:t>4</w:t>
            </w:r>
            <w:r>
              <w:rPr>
                <w:noProof/>
                <w:webHidden/>
              </w:rPr>
              <w:fldChar w:fldCharType="end"/>
            </w:r>
          </w:hyperlink>
        </w:p>
        <w:p w14:paraId="4741EB71" w14:textId="4433D7D0" w:rsidR="00AE4BD9" w:rsidRDefault="00AE4BD9">
          <w:pPr>
            <w:pStyle w:val="TOC3"/>
            <w:tabs>
              <w:tab w:val="right" w:leader="dot" w:pos="9016"/>
            </w:tabs>
            <w:rPr>
              <w:rFonts w:eastAsiaTheme="minorEastAsia"/>
              <w:noProof/>
              <w:lang w:eastAsia="en-GB"/>
            </w:rPr>
          </w:pPr>
          <w:hyperlink w:anchor="_Toc194248469" w:history="1">
            <w:r w:rsidRPr="00153AF6">
              <w:rPr>
                <w:rStyle w:val="Hyperlink"/>
                <w:noProof/>
              </w:rPr>
              <w:t>1.2 Objectives of the Research</w:t>
            </w:r>
            <w:r>
              <w:rPr>
                <w:noProof/>
                <w:webHidden/>
              </w:rPr>
              <w:tab/>
            </w:r>
            <w:r>
              <w:rPr>
                <w:noProof/>
                <w:webHidden/>
              </w:rPr>
              <w:fldChar w:fldCharType="begin"/>
            </w:r>
            <w:r>
              <w:rPr>
                <w:noProof/>
                <w:webHidden/>
              </w:rPr>
              <w:instrText xml:space="preserve"> PAGEREF _Toc194248469 \h </w:instrText>
            </w:r>
            <w:r>
              <w:rPr>
                <w:noProof/>
                <w:webHidden/>
              </w:rPr>
            </w:r>
            <w:r>
              <w:rPr>
                <w:noProof/>
                <w:webHidden/>
              </w:rPr>
              <w:fldChar w:fldCharType="separate"/>
            </w:r>
            <w:r>
              <w:rPr>
                <w:noProof/>
                <w:webHidden/>
              </w:rPr>
              <w:t>4</w:t>
            </w:r>
            <w:r>
              <w:rPr>
                <w:noProof/>
                <w:webHidden/>
              </w:rPr>
              <w:fldChar w:fldCharType="end"/>
            </w:r>
          </w:hyperlink>
        </w:p>
        <w:p w14:paraId="46F224D1" w14:textId="7F80D0EC" w:rsidR="00AE4BD9" w:rsidRDefault="00AE4BD9">
          <w:pPr>
            <w:pStyle w:val="TOC3"/>
            <w:tabs>
              <w:tab w:val="right" w:leader="dot" w:pos="9016"/>
            </w:tabs>
            <w:rPr>
              <w:rFonts w:eastAsiaTheme="minorEastAsia"/>
              <w:noProof/>
              <w:lang w:eastAsia="en-GB"/>
            </w:rPr>
          </w:pPr>
          <w:hyperlink w:anchor="_Toc194248470" w:history="1">
            <w:r w:rsidRPr="00153AF6">
              <w:rPr>
                <w:rStyle w:val="Hyperlink"/>
                <w:noProof/>
              </w:rPr>
              <w:t>1.3 Research Questions</w:t>
            </w:r>
            <w:r>
              <w:rPr>
                <w:noProof/>
                <w:webHidden/>
              </w:rPr>
              <w:tab/>
            </w:r>
            <w:r>
              <w:rPr>
                <w:noProof/>
                <w:webHidden/>
              </w:rPr>
              <w:fldChar w:fldCharType="begin"/>
            </w:r>
            <w:r>
              <w:rPr>
                <w:noProof/>
                <w:webHidden/>
              </w:rPr>
              <w:instrText xml:space="preserve"> PAGEREF _Toc194248470 \h </w:instrText>
            </w:r>
            <w:r>
              <w:rPr>
                <w:noProof/>
                <w:webHidden/>
              </w:rPr>
            </w:r>
            <w:r>
              <w:rPr>
                <w:noProof/>
                <w:webHidden/>
              </w:rPr>
              <w:fldChar w:fldCharType="separate"/>
            </w:r>
            <w:r>
              <w:rPr>
                <w:noProof/>
                <w:webHidden/>
              </w:rPr>
              <w:t>4</w:t>
            </w:r>
            <w:r>
              <w:rPr>
                <w:noProof/>
                <w:webHidden/>
              </w:rPr>
              <w:fldChar w:fldCharType="end"/>
            </w:r>
          </w:hyperlink>
        </w:p>
        <w:p w14:paraId="527B4CCD" w14:textId="4BB7EA35" w:rsidR="00AE4BD9" w:rsidRDefault="00AE4BD9">
          <w:pPr>
            <w:pStyle w:val="TOC3"/>
            <w:tabs>
              <w:tab w:val="right" w:leader="dot" w:pos="9016"/>
            </w:tabs>
            <w:rPr>
              <w:rFonts w:eastAsiaTheme="minorEastAsia"/>
              <w:noProof/>
              <w:lang w:eastAsia="en-GB"/>
            </w:rPr>
          </w:pPr>
          <w:hyperlink w:anchor="_Toc194248471" w:history="1">
            <w:r w:rsidRPr="00153AF6">
              <w:rPr>
                <w:rStyle w:val="Hyperlink"/>
                <w:noProof/>
              </w:rPr>
              <w:t>1.4 Introduction to the Topic</w:t>
            </w:r>
            <w:r>
              <w:rPr>
                <w:noProof/>
                <w:webHidden/>
              </w:rPr>
              <w:tab/>
            </w:r>
            <w:r>
              <w:rPr>
                <w:noProof/>
                <w:webHidden/>
              </w:rPr>
              <w:fldChar w:fldCharType="begin"/>
            </w:r>
            <w:r>
              <w:rPr>
                <w:noProof/>
                <w:webHidden/>
              </w:rPr>
              <w:instrText xml:space="preserve"> PAGEREF _Toc194248471 \h </w:instrText>
            </w:r>
            <w:r>
              <w:rPr>
                <w:noProof/>
                <w:webHidden/>
              </w:rPr>
            </w:r>
            <w:r>
              <w:rPr>
                <w:noProof/>
                <w:webHidden/>
              </w:rPr>
              <w:fldChar w:fldCharType="separate"/>
            </w:r>
            <w:r>
              <w:rPr>
                <w:noProof/>
                <w:webHidden/>
              </w:rPr>
              <w:t>4</w:t>
            </w:r>
            <w:r>
              <w:rPr>
                <w:noProof/>
                <w:webHidden/>
              </w:rPr>
              <w:fldChar w:fldCharType="end"/>
            </w:r>
          </w:hyperlink>
        </w:p>
        <w:p w14:paraId="5F3E3D5F" w14:textId="7F5B331F" w:rsidR="00AE4BD9" w:rsidRDefault="00AE4BD9">
          <w:pPr>
            <w:pStyle w:val="TOC1"/>
            <w:tabs>
              <w:tab w:val="left" w:pos="440"/>
              <w:tab w:val="right" w:leader="dot" w:pos="9016"/>
            </w:tabs>
            <w:rPr>
              <w:rFonts w:eastAsiaTheme="minorEastAsia"/>
              <w:noProof/>
              <w:lang w:eastAsia="en-GB"/>
            </w:rPr>
          </w:pPr>
          <w:hyperlink w:anchor="_Toc194248472" w:history="1">
            <w:r w:rsidRPr="00153AF6">
              <w:rPr>
                <w:rStyle w:val="Hyperlink"/>
                <w:noProof/>
              </w:rPr>
              <w:t>2.</w:t>
            </w:r>
            <w:r>
              <w:rPr>
                <w:rFonts w:eastAsiaTheme="minorEastAsia"/>
                <w:noProof/>
                <w:lang w:eastAsia="en-GB"/>
              </w:rPr>
              <w:tab/>
            </w:r>
            <w:r w:rsidRPr="00153AF6">
              <w:rPr>
                <w:rStyle w:val="Hyperlink"/>
                <w:noProof/>
              </w:rPr>
              <w:t>Literature review</w:t>
            </w:r>
            <w:r>
              <w:rPr>
                <w:noProof/>
                <w:webHidden/>
              </w:rPr>
              <w:tab/>
            </w:r>
            <w:r>
              <w:rPr>
                <w:noProof/>
                <w:webHidden/>
              </w:rPr>
              <w:fldChar w:fldCharType="begin"/>
            </w:r>
            <w:r>
              <w:rPr>
                <w:noProof/>
                <w:webHidden/>
              </w:rPr>
              <w:instrText xml:space="preserve"> PAGEREF _Toc194248472 \h </w:instrText>
            </w:r>
            <w:r>
              <w:rPr>
                <w:noProof/>
                <w:webHidden/>
              </w:rPr>
            </w:r>
            <w:r>
              <w:rPr>
                <w:noProof/>
                <w:webHidden/>
              </w:rPr>
              <w:fldChar w:fldCharType="separate"/>
            </w:r>
            <w:r>
              <w:rPr>
                <w:noProof/>
                <w:webHidden/>
              </w:rPr>
              <w:t>6</w:t>
            </w:r>
            <w:r>
              <w:rPr>
                <w:noProof/>
                <w:webHidden/>
              </w:rPr>
              <w:fldChar w:fldCharType="end"/>
            </w:r>
          </w:hyperlink>
        </w:p>
        <w:p w14:paraId="71C54ABD" w14:textId="03637407" w:rsidR="00AE4BD9" w:rsidRDefault="00AE4BD9">
          <w:pPr>
            <w:pStyle w:val="TOC3"/>
            <w:tabs>
              <w:tab w:val="right" w:leader="dot" w:pos="9016"/>
            </w:tabs>
            <w:rPr>
              <w:rFonts w:eastAsiaTheme="minorEastAsia"/>
              <w:noProof/>
              <w:lang w:eastAsia="en-GB"/>
            </w:rPr>
          </w:pPr>
          <w:hyperlink w:anchor="_Toc194248473" w:history="1">
            <w:r w:rsidRPr="00153AF6">
              <w:rPr>
                <w:rStyle w:val="Hyperlink"/>
                <w:noProof/>
              </w:rPr>
              <w:t>2.1 Introduction to Community Orientation in Business</w:t>
            </w:r>
            <w:r>
              <w:rPr>
                <w:noProof/>
                <w:webHidden/>
              </w:rPr>
              <w:tab/>
            </w:r>
            <w:r>
              <w:rPr>
                <w:noProof/>
                <w:webHidden/>
              </w:rPr>
              <w:fldChar w:fldCharType="begin"/>
            </w:r>
            <w:r>
              <w:rPr>
                <w:noProof/>
                <w:webHidden/>
              </w:rPr>
              <w:instrText xml:space="preserve"> PAGEREF _Toc194248473 \h </w:instrText>
            </w:r>
            <w:r>
              <w:rPr>
                <w:noProof/>
                <w:webHidden/>
              </w:rPr>
            </w:r>
            <w:r>
              <w:rPr>
                <w:noProof/>
                <w:webHidden/>
              </w:rPr>
              <w:fldChar w:fldCharType="separate"/>
            </w:r>
            <w:r>
              <w:rPr>
                <w:noProof/>
                <w:webHidden/>
              </w:rPr>
              <w:t>6</w:t>
            </w:r>
            <w:r>
              <w:rPr>
                <w:noProof/>
                <w:webHidden/>
              </w:rPr>
              <w:fldChar w:fldCharType="end"/>
            </w:r>
          </w:hyperlink>
        </w:p>
        <w:p w14:paraId="38D11DB6" w14:textId="1062C37D" w:rsidR="00AE4BD9" w:rsidRDefault="00AE4BD9">
          <w:pPr>
            <w:pStyle w:val="TOC3"/>
            <w:tabs>
              <w:tab w:val="right" w:leader="dot" w:pos="9016"/>
            </w:tabs>
            <w:rPr>
              <w:rFonts w:eastAsiaTheme="minorEastAsia"/>
              <w:noProof/>
              <w:lang w:eastAsia="en-GB"/>
            </w:rPr>
          </w:pPr>
          <w:hyperlink w:anchor="_Toc194248474" w:history="1">
            <w:r w:rsidRPr="00153AF6">
              <w:rPr>
                <w:rStyle w:val="Hyperlink"/>
                <w:noProof/>
              </w:rPr>
              <w:t>2.2 Community Orientation: Global Trends and Local Contexts</w:t>
            </w:r>
            <w:r>
              <w:rPr>
                <w:noProof/>
                <w:webHidden/>
              </w:rPr>
              <w:tab/>
            </w:r>
            <w:r>
              <w:rPr>
                <w:noProof/>
                <w:webHidden/>
              </w:rPr>
              <w:fldChar w:fldCharType="begin"/>
            </w:r>
            <w:r>
              <w:rPr>
                <w:noProof/>
                <w:webHidden/>
              </w:rPr>
              <w:instrText xml:space="preserve"> PAGEREF _Toc194248474 \h </w:instrText>
            </w:r>
            <w:r>
              <w:rPr>
                <w:noProof/>
                <w:webHidden/>
              </w:rPr>
            </w:r>
            <w:r>
              <w:rPr>
                <w:noProof/>
                <w:webHidden/>
              </w:rPr>
              <w:fldChar w:fldCharType="separate"/>
            </w:r>
            <w:r>
              <w:rPr>
                <w:noProof/>
                <w:webHidden/>
              </w:rPr>
              <w:t>6</w:t>
            </w:r>
            <w:r>
              <w:rPr>
                <w:noProof/>
                <w:webHidden/>
              </w:rPr>
              <w:fldChar w:fldCharType="end"/>
            </w:r>
          </w:hyperlink>
        </w:p>
        <w:p w14:paraId="496D9C11" w14:textId="7CB1227F" w:rsidR="00AE4BD9" w:rsidRDefault="00AE4BD9">
          <w:pPr>
            <w:pStyle w:val="TOC3"/>
            <w:tabs>
              <w:tab w:val="right" w:leader="dot" w:pos="9016"/>
            </w:tabs>
            <w:rPr>
              <w:rFonts w:eastAsiaTheme="minorEastAsia"/>
              <w:noProof/>
              <w:lang w:eastAsia="en-GB"/>
            </w:rPr>
          </w:pPr>
          <w:hyperlink w:anchor="_Toc194248475" w:history="1">
            <w:r w:rsidRPr="00153AF6">
              <w:rPr>
                <w:rStyle w:val="Hyperlink"/>
                <w:noProof/>
              </w:rPr>
              <w:t>2.3 The Impact of Community Orientation on Business Performance</w:t>
            </w:r>
            <w:r>
              <w:rPr>
                <w:noProof/>
                <w:webHidden/>
              </w:rPr>
              <w:tab/>
            </w:r>
            <w:r>
              <w:rPr>
                <w:noProof/>
                <w:webHidden/>
              </w:rPr>
              <w:fldChar w:fldCharType="begin"/>
            </w:r>
            <w:r>
              <w:rPr>
                <w:noProof/>
                <w:webHidden/>
              </w:rPr>
              <w:instrText xml:space="preserve"> PAGEREF _Toc194248475 \h </w:instrText>
            </w:r>
            <w:r>
              <w:rPr>
                <w:noProof/>
                <w:webHidden/>
              </w:rPr>
            </w:r>
            <w:r>
              <w:rPr>
                <w:noProof/>
                <w:webHidden/>
              </w:rPr>
              <w:fldChar w:fldCharType="separate"/>
            </w:r>
            <w:r>
              <w:rPr>
                <w:noProof/>
                <w:webHidden/>
              </w:rPr>
              <w:t>6</w:t>
            </w:r>
            <w:r>
              <w:rPr>
                <w:noProof/>
                <w:webHidden/>
              </w:rPr>
              <w:fldChar w:fldCharType="end"/>
            </w:r>
          </w:hyperlink>
        </w:p>
        <w:p w14:paraId="0D0926EC" w14:textId="260595F4" w:rsidR="00AE4BD9" w:rsidRDefault="00AE4BD9">
          <w:pPr>
            <w:pStyle w:val="TOC3"/>
            <w:tabs>
              <w:tab w:val="right" w:leader="dot" w:pos="9016"/>
            </w:tabs>
            <w:rPr>
              <w:rFonts w:eastAsiaTheme="minorEastAsia"/>
              <w:noProof/>
              <w:lang w:eastAsia="en-GB"/>
            </w:rPr>
          </w:pPr>
          <w:hyperlink w:anchor="_Toc194248476" w:history="1">
            <w:r w:rsidRPr="00153AF6">
              <w:rPr>
                <w:rStyle w:val="Hyperlink"/>
                <w:noProof/>
              </w:rPr>
              <w:t>2.4 Challenges and Opportunities in Community-Oriented Business Practices</w:t>
            </w:r>
            <w:r>
              <w:rPr>
                <w:noProof/>
                <w:webHidden/>
              </w:rPr>
              <w:tab/>
            </w:r>
            <w:r>
              <w:rPr>
                <w:noProof/>
                <w:webHidden/>
              </w:rPr>
              <w:fldChar w:fldCharType="begin"/>
            </w:r>
            <w:r>
              <w:rPr>
                <w:noProof/>
                <w:webHidden/>
              </w:rPr>
              <w:instrText xml:space="preserve"> PAGEREF _Toc194248476 \h </w:instrText>
            </w:r>
            <w:r>
              <w:rPr>
                <w:noProof/>
                <w:webHidden/>
              </w:rPr>
            </w:r>
            <w:r>
              <w:rPr>
                <w:noProof/>
                <w:webHidden/>
              </w:rPr>
              <w:fldChar w:fldCharType="separate"/>
            </w:r>
            <w:r>
              <w:rPr>
                <w:noProof/>
                <w:webHidden/>
              </w:rPr>
              <w:t>7</w:t>
            </w:r>
            <w:r>
              <w:rPr>
                <w:noProof/>
                <w:webHidden/>
              </w:rPr>
              <w:fldChar w:fldCharType="end"/>
            </w:r>
          </w:hyperlink>
        </w:p>
        <w:p w14:paraId="3326F10B" w14:textId="131F29F3" w:rsidR="00AE4BD9" w:rsidRDefault="00AE4BD9">
          <w:pPr>
            <w:pStyle w:val="TOC3"/>
            <w:tabs>
              <w:tab w:val="right" w:leader="dot" w:pos="9016"/>
            </w:tabs>
            <w:rPr>
              <w:rFonts w:eastAsiaTheme="minorEastAsia"/>
              <w:noProof/>
              <w:lang w:eastAsia="en-GB"/>
            </w:rPr>
          </w:pPr>
          <w:hyperlink w:anchor="_Toc194248477" w:history="1">
            <w:r w:rsidRPr="00153AF6">
              <w:rPr>
                <w:rStyle w:val="Hyperlink"/>
                <w:noProof/>
              </w:rPr>
              <w:t>2.5 Integrating CSR and Cultural Dimensions</w:t>
            </w:r>
            <w:r>
              <w:rPr>
                <w:noProof/>
                <w:webHidden/>
              </w:rPr>
              <w:tab/>
            </w:r>
            <w:r>
              <w:rPr>
                <w:noProof/>
                <w:webHidden/>
              </w:rPr>
              <w:fldChar w:fldCharType="begin"/>
            </w:r>
            <w:r>
              <w:rPr>
                <w:noProof/>
                <w:webHidden/>
              </w:rPr>
              <w:instrText xml:space="preserve"> PAGEREF _Toc194248477 \h </w:instrText>
            </w:r>
            <w:r>
              <w:rPr>
                <w:noProof/>
                <w:webHidden/>
              </w:rPr>
            </w:r>
            <w:r>
              <w:rPr>
                <w:noProof/>
                <w:webHidden/>
              </w:rPr>
              <w:fldChar w:fldCharType="separate"/>
            </w:r>
            <w:r>
              <w:rPr>
                <w:noProof/>
                <w:webHidden/>
              </w:rPr>
              <w:t>7</w:t>
            </w:r>
            <w:r>
              <w:rPr>
                <w:noProof/>
                <w:webHidden/>
              </w:rPr>
              <w:fldChar w:fldCharType="end"/>
            </w:r>
          </w:hyperlink>
        </w:p>
        <w:p w14:paraId="77FA0D82" w14:textId="5F70BCBF" w:rsidR="00AE4BD9" w:rsidRDefault="00AE4BD9">
          <w:pPr>
            <w:pStyle w:val="TOC3"/>
            <w:tabs>
              <w:tab w:val="right" w:leader="dot" w:pos="9016"/>
            </w:tabs>
            <w:rPr>
              <w:rFonts w:eastAsiaTheme="minorEastAsia"/>
              <w:noProof/>
              <w:lang w:eastAsia="en-GB"/>
            </w:rPr>
          </w:pPr>
          <w:hyperlink w:anchor="_Toc194248478" w:history="1">
            <w:r w:rsidRPr="00153AF6">
              <w:rPr>
                <w:rStyle w:val="Hyperlink"/>
                <w:noProof/>
              </w:rPr>
              <w:t>2.6 UK vs. China in CSR Implementation</w:t>
            </w:r>
            <w:r>
              <w:rPr>
                <w:noProof/>
                <w:webHidden/>
              </w:rPr>
              <w:tab/>
            </w:r>
            <w:r>
              <w:rPr>
                <w:noProof/>
                <w:webHidden/>
              </w:rPr>
              <w:fldChar w:fldCharType="begin"/>
            </w:r>
            <w:r>
              <w:rPr>
                <w:noProof/>
                <w:webHidden/>
              </w:rPr>
              <w:instrText xml:space="preserve"> PAGEREF _Toc194248478 \h </w:instrText>
            </w:r>
            <w:r>
              <w:rPr>
                <w:noProof/>
                <w:webHidden/>
              </w:rPr>
            </w:r>
            <w:r>
              <w:rPr>
                <w:noProof/>
                <w:webHidden/>
              </w:rPr>
              <w:fldChar w:fldCharType="separate"/>
            </w:r>
            <w:r>
              <w:rPr>
                <w:noProof/>
                <w:webHidden/>
              </w:rPr>
              <w:t>8</w:t>
            </w:r>
            <w:r>
              <w:rPr>
                <w:noProof/>
                <w:webHidden/>
              </w:rPr>
              <w:fldChar w:fldCharType="end"/>
            </w:r>
          </w:hyperlink>
        </w:p>
        <w:p w14:paraId="4EE51E40" w14:textId="517B5B19" w:rsidR="00AE4BD9" w:rsidRDefault="00AE4BD9">
          <w:pPr>
            <w:pStyle w:val="TOC3"/>
            <w:tabs>
              <w:tab w:val="right" w:leader="dot" w:pos="9016"/>
            </w:tabs>
            <w:rPr>
              <w:rFonts w:eastAsiaTheme="minorEastAsia"/>
              <w:noProof/>
              <w:lang w:eastAsia="en-GB"/>
            </w:rPr>
          </w:pPr>
          <w:hyperlink w:anchor="_Toc194248479" w:history="1">
            <w:r w:rsidRPr="00153AF6">
              <w:rPr>
                <w:rStyle w:val="Hyperlink"/>
                <w:noProof/>
              </w:rPr>
              <w:t>2.7 Integrating CSR and Cultural Dimensions</w:t>
            </w:r>
            <w:r>
              <w:rPr>
                <w:noProof/>
                <w:webHidden/>
              </w:rPr>
              <w:tab/>
            </w:r>
            <w:r>
              <w:rPr>
                <w:noProof/>
                <w:webHidden/>
              </w:rPr>
              <w:fldChar w:fldCharType="begin"/>
            </w:r>
            <w:r>
              <w:rPr>
                <w:noProof/>
                <w:webHidden/>
              </w:rPr>
              <w:instrText xml:space="preserve"> PAGEREF _Toc194248479 \h </w:instrText>
            </w:r>
            <w:r>
              <w:rPr>
                <w:noProof/>
                <w:webHidden/>
              </w:rPr>
            </w:r>
            <w:r>
              <w:rPr>
                <w:noProof/>
                <w:webHidden/>
              </w:rPr>
              <w:fldChar w:fldCharType="separate"/>
            </w:r>
            <w:r>
              <w:rPr>
                <w:noProof/>
                <w:webHidden/>
              </w:rPr>
              <w:t>8</w:t>
            </w:r>
            <w:r>
              <w:rPr>
                <w:noProof/>
                <w:webHidden/>
              </w:rPr>
              <w:fldChar w:fldCharType="end"/>
            </w:r>
          </w:hyperlink>
        </w:p>
        <w:p w14:paraId="46C657FD" w14:textId="2BDCD0E7" w:rsidR="00AE4BD9" w:rsidRDefault="00AE4BD9">
          <w:pPr>
            <w:pStyle w:val="TOC3"/>
            <w:tabs>
              <w:tab w:val="right" w:leader="dot" w:pos="9016"/>
            </w:tabs>
            <w:rPr>
              <w:rFonts w:eastAsiaTheme="minorEastAsia"/>
              <w:noProof/>
              <w:lang w:eastAsia="en-GB"/>
            </w:rPr>
          </w:pPr>
          <w:hyperlink w:anchor="_Toc194248480" w:history="1">
            <w:r w:rsidRPr="00153AF6">
              <w:rPr>
                <w:rStyle w:val="Hyperlink"/>
                <w:noProof/>
              </w:rPr>
              <w:t>2.8 Justification for the Choice of Countries and Sector</w:t>
            </w:r>
            <w:r>
              <w:rPr>
                <w:noProof/>
                <w:webHidden/>
              </w:rPr>
              <w:tab/>
            </w:r>
            <w:r>
              <w:rPr>
                <w:noProof/>
                <w:webHidden/>
              </w:rPr>
              <w:fldChar w:fldCharType="begin"/>
            </w:r>
            <w:r>
              <w:rPr>
                <w:noProof/>
                <w:webHidden/>
              </w:rPr>
              <w:instrText xml:space="preserve"> PAGEREF _Toc194248480 \h </w:instrText>
            </w:r>
            <w:r>
              <w:rPr>
                <w:noProof/>
                <w:webHidden/>
              </w:rPr>
            </w:r>
            <w:r>
              <w:rPr>
                <w:noProof/>
                <w:webHidden/>
              </w:rPr>
              <w:fldChar w:fldCharType="separate"/>
            </w:r>
            <w:r>
              <w:rPr>
                <w:noProof/>
                <w:webHidden/>
              </w:rPr>
              <w:t>9</w:t>
            </w:r>
            <w:r>
              <w:rPr>
                <w:noProof/>
                <w:webHidden/>
              </w:rPr>
              <w:fldChar w:fldCharType="end"/>
            </w:r>
          </w:hyperlink>
        </w:p>
        <w:p w14:paraId="422A5D7A" w14:textId="42DD77D1" w:rsidR="00AE4BD9" w:rsidRDefault="00AE4BD9">
          <w:pPr>
            <w:pStyle w:val="TOC3"/>
            <w:tabs>
              <w:tab w:val="right" w:leader="dot" w:pos="9016"/>
            </w:tabs>
            <w:rPr>
              <w:rFonts w:eastAsiaTheme="minorEastAsia"/>
              <w:noProof/>
              <w:lang w:eastAsia="en-GB"/>
            </w:rPr>
          </w:pPr>
          <w:hyperlink w:anchor="_Toc194248481" w:history="1">
            <w:r w:rsidRPr="00153AF6">
              <w:rPr>
                <w:rStyle w:val="Hyperlink"/>
                <w:noProof/>
              </w:rPr>
              <w:t>2.9 Theoretical insights and gaps in literature reviews</w:t>
            </w:r>
            <w:r>
              <w:rPr>
                <w:noProof/>
                <w:webHidden/>
              </w:rPr>
              <w:tab/>
            </w:r>
            <w:r>
              <w:rPr>
                <w:noProof/>
                <w:webHidden/>
              </w:rPr>
              <w:fldChar w:fldCharType="begin"/>
            </w:r>
            <w:r>
              <w:rPr>
                <w:noProof/>
                <w:webHidden/>
              </w:rPr>
              <w:instrText xml:space="preserve"> PAGEREF _Toc194248481 \h </w:instrText>
            </w:r>
            <w:r>
              <w:rPr>
                <w:noProof/>
                <w:webHidden/>
              </w:rPr>
            </w:r>
            <w:r>
              <w:rPr>
                <w:noProof/>
                <w:webHidden/>
              </w:rPr>
              <w:fldChar w:fldCharType="separate"/>
            </w:r>
            <w:r>
              <w:rPr>
                <w:noProof/>
                <w:webHidden/>
              </w:rPr>
              <w:t>10</w:t>
            </w:r>
            <w:r>
              <w:rPr>
                <w:noProof/>
                <w:webHidden/>
              </w:rPr>
              <w:fldChar w:fldCharType="end"/>
            </w:r>
          </w:hyperlink>
        </w:p>
        <w:p w14:paraId="6E50DF9E" w14:textId="6A859BD6" w:rsidR="00AE4BD9" w:rsidRDefault="00AE4BD9">
          <w:pPr>
            <w:pStyle w:val="TOC1"/>
            <w:tabs>
              <w:tab w:val="left" w:pos="440"/>
              <w:tab w:val="right" w:leader="dot" w:pos="9016"/>
            </w:tabs>
            <w:rPr>
              <w:rFonts w:eastAsiaTheme="minorEastAsia"/>
              <w:noProof/>
              <w:lang w:eastAsia="en-GB"/>
            </w:rPr>
          </w:pPr>
          <w:hyperlink w:anchor="_Toc194248482" w:history="1">
            <w:r w:rsidRPr="00153AF6">
              <w:rPr>
                <w:rStyle w:val="Hyperlink"/>
                <w:noProof/>
              </w:rPr>
              <w:t>3.</w:t>
            </w:r>
            <w:r>
              <w:rPr>
                <w:rFonts w:eastAsiaTheme="minorEastAsia"/>
                <w:noProof/>
                <w:lang w:eastAsia="en-GB"/>
              </w:rPr>
              <w:tab/>
            </w:r>
            <w:r w:rsidRPr="00153AF6">
              <w:rPr>
                <w:rStyle w:val="Hyperlink"/>
                <w:noProof/>
              </w:rPr>
              <w:t>Methodology Overview</w:t>
            </w:r>
            <w:r>
              <w:rPr>
                <w:noProof/>
                <w:webHidden/>
              </w:rPr>
              <w:tab/>
            </w:r>
            <w:r>
              <w:rPr>
                <w:noProof/>
                <w:webHidden/>
              </w:rPr>
              <w:fldChar w:fldCharType="begin"/>
            </w:r>
            <w:r>
              <w:rPr>
                <w:noProof/>
                <w:webHidden/>
              </w:rPr>
              <w:instrText xml:space="preserve"> PAGEREF _Toc194248482 \h </w:instrText>
            </w:r>
            <w:r>
              <w:rPr>
                <w:noProof/>
                <w:webHidden/>
              </w:rPr>
            </w:r>
            <w:r>
              <w:rPr>
                <w:noProof/>
                <w:webHidden/>
              </w:rPr>
              <w:fldChar w:fldCharType="separate"/>
            </w:r>
            <w:r>
              <w:rPr>
                <w:noProof/>
                <w:webHidden/>
              </w:rPr>
              <w:t>11</w:t>
            </w:r>
            <w:r>
              <w:rPr>
                <w:noProof/>
                <w:webHidden/>
              </w:rPr>
              <w:fldChar w:fldCharType="end"/>
            </w:r>
          </w:hyperlink>
        </w:p>
        <w:p w14:paraId="2F9FA97C" w14:textId="4AC55739" w:rsidR="00AE4BD9" w:rsidRDefault="00AE4BD9">
          <w:pPr>
            <w:pStyle w:val="TOC3"/>
            <w:tabs>
              <w:tab w:val="right" w:leader="dot" w:pos="9016"/>
            </w:tabs>
            <w:rPr>
              <w:rFonts w:eastAsiaTheme="minorEastAsia"/>
              <w:noProof/>
              <w:lang w:eastAsia="en-GB"/>
            </w:rPr>
          </w:pPr>
          <w:hyperlink w:anchor="_Toc194248483" w:history="1">
            <w:r w:rsidRPr="00153AF6">
              <w:rPr>
                <w:rStyle w:val="Hyperlink"/>
                <w:noProof/>
              </w:rPr>
              <w:t>3.1 Data Collection</w:t>
            </w:r>
            <w:r>
              <w:rPr>
                <w:noProof/>
                <w:webHidden/>
              </w:rPr>
              <w:tab/>
            </w:r>
            <w:r>
              <w:rPr>
                <w:noProof/>
                <w:webHidden/>
              </w:rPr>
              <w:fldChar w:fldCharType="begin"/>
            </w:r>
            <w:r>
              <w:rPr>
                <w:noProof/>
                <w:webHidden/>
              </w:rPr>
              <w:instrText xml:space="preserve"> PAGEREF _Toc194248483 \h </w:instrText>
            </w:r>
            <w:r>
              <w:rPr>
                <w:noProof/>
                <w:webHidden/>
              </w:rPr>
            </w:r>
            <w:r>
              <w:rPr>
                <w:noProof/>
                <w:webHidden/>
              </w:rPr>
              <w:fldChar w:fldCharType="separate"/>
            </w:r>
            <w:r>
              <w:rPr>
                <w:noProof/>
                <w:webHidden/>
              </w:rPr>
              <w:t>11</w:t>
            </w:r>
            <w:r>
              <w:rPr>
                <w:noProof/>
                <w:webHidden/>
              </w:rPr>
              <w:fldChar w:fldCharType="end"/>
            </w:r>
          </w:hyperlink>
        </w:p>
        <w:p w14:paraId="1B35C1E8" w14:textId="58904478" w:rsidR="00AE4BD9" w:rsidRDefault="00AE4BD9">
          <w:pPr>
            <w:pStyle w:val="TOC3"/>
            <w:tabs>
              <w:tab w:val="right" w:leader="dot" w:pos="9016"/>
            </w:tabs>
            <w:rPr>
              <w:rFonts w:eastAsiaTheme="minorEastAsia"/>
              <w:noProof/>
              <w:lang w:eastAsia="en-GB"/>
            </w:rPr>
          </w:pPr>
          <w:hyperlink w:anchor="_Toc194248484" w:history="1">
            <w:r w:rsidRPr="00153AF6">
              <w:rPr>
                <w:rStyle w:val="Hyperlink"/>
                <w:noProof/>
              </w:rPr>
              <w:t>3.2 Analytical Techniques</w:t>
            </w:r>
            <w:r>
              <w:rPr>
                <w:noProof/>
                <w:webHidden/>
              </w:rPr>
              <w:tab/>
            </w:r>
            <w:r>
              <w:rPr>
                <w:noProof/>
                <w:webHidden/>
              </w:rPr>
              <w:fldChar w:fldCharType="begin"/>
            </w:r>
            <w:r>
              <w:rPr>
                <w:noProof/>
                <w:webHidden/>
              </w:rPr>
              <w:instrText xml:space="preserve"> PAGEREF _Toc194248484 \h </w:instrText>
            </w:r>
            <w:r>
              <w:rPr>
                <w:noProof/>
                <w:webHidden/>
              </w:rPr>
            </w:r>
            <w:r>
              <w:rPr>
                <w:noProof/>
                <w:webHidden/>
              </w:rPr>
              <w:fldChar w:fldCharType="separate"/>
            </w:r>
            <w:r>
              <w:rPr>
                <w:noProof/>
                <w:webHidden/>
              </w:rPr>
              <w:t>12</w:t>
            </w:r>
            <w:r>
              <w:rPr>
                <w:noProof/>
                <w:webHidden/>
              </w:rPr>
              <w:fldChar w:fldCharType="end"/>
            </w:r>
          </w:hyperlink>
        </w:p>
        <w:p w14:paraId="785C9C2C" w14:textId="52E1DC58" w:rsidR="00AE4BD9" w:rsidRDefault="00AE4BD9">
          <w:pPr>
            <w:pStyle w:val="TOC3"/>
            <w:tabs>
              <w:tab w:val="right" w:leader="dot" w:pos="9016"/>
            </w:tabs>
            <w:rPr>
              <w:rFonts w:eastAsiaTheme="minorEastAsia"/>
              <w:noProof/>
              <w:lang w:eastAsia="en-GB"/>
            </w:rPr>
          </w:pPr>
          <w:hyperlink w:anchor="_Toc194248485" w:history="1">
            <w:r w:rsidRPr="00153AF6">
              <w:rPr>
                <w:rStyle w:val="Hyperlink"/>
                <w:noProof/>
              </w:rPr>
              <w:t>3.3 Ethical Considerations</w:t>
            </w:r>
            <w:r>
              <w:rPr>
                <w:noProof/>
                <w:webHidden/>
              </w:rPr>
              <w:tab/>
            </w:r>
            <w:r>
              <w:rPr>
                <w:noProof/>
                <w:webHidden/>
              </w:rPr>
              <w:fldChar w:fldCharType="begin"/>
            </w:r>
            <w:r>
              <w:rPr>
                <w:noProof/>
                <w:webHidden/>
              </w:rPr>
              <w:instrText xml:space="preserve"> PAGEREF _Toc194248485 \h </w:instrText>
            </w:r>
            <w:r>
              <w:rPr>
                <w:noProof/>
                <w:webHidden/>
              </w:rPr>
            </w:r>
            <w:r>
              <w:rPr>
                <w:noProof/>
                <w:webHidden/>
              </w:rPr>
              <w:fldChar w:fldCharType="separate"/>
            </w:r>
            <w:r>
              <w:rPr>
                <w:noProof/>
                <w:webHidden/>
              </w:rPr>
              <w:t>13</w:t>
            </w:r>
            <w:r>
              <w:rPr>
                <w:noProof/>
                <w:webHidden/>
              </w:rPr>
              <w:fldChar w:fldCharType="end"/>
            </w:r>
          </w:hyperlink>
        </w:p>
        <w:p w14:paraId="13E03B59" w14:textId="7754BFEC" w:rsidR="00AE4BD9" w:rsidRDefault="00AE4BD9">
          <w:pPr>
            <w:pStyle w:val="TOC3"/>
            <w:tabs>
              <w:tab w:val="right" w:leader="dot" w:pos="9016"/>
            </w:tabs>
            <w:rPr>
              <w:rFonts w:eastAsiaTheme="minorEastAsia"/>
              <w:noProof/>
              <w:lang w:eastAsia="en-GB"/>
            </w:rPr>
          </w:pPr>
          <w:hyperlink w:anchor="_Toc194248486" w:history="1">
            <w:r w:rsidRPr="00153AF6">
              <w:rPr>
                <w:rStyle w:val="Hyperlink"/>
                <w:noProof/>
              </w:rPr>
              <w:t>3.4 Managerial Implications: Strategies for Global Assembly Firms</w:t>
            </w:r>
            <w:r>
              <w:rPr>
                <w:noProof/>
                <w:webHidden/>
              </w:rPr>
              <w:tab/>
            </w:r>
            <w:r>
              <w:rPr>
                <w:noProof/>
                <w:webHidden/>
              </w:rPr>
              <w:fldChar w:fldCharType="begin"/>
            </w:r>
            <w:r>
              <w:rPr>
                <w:noProof/>
                <w:webHidden/>
              </w:rPr>
              <w:instrText xml:space="preserve"> PAGEREF _Toc194248486 \h </w:instrText>
            </w:r>
            <w:r>
              <w:rPr>
                <w:noProof/>
                <w:webHidden/>
              </w:rPr>
            </w:r>
            <w:r>
              <w:rPr>
                <w:noProof/>
                <w:webHidden/>
              </w:rPr>
              <w:fldChar w:fldCharType="separate"/>
            </w:r>
            <w:r>
              <w:rPr>
                <w:noProof/>
                <w:webHidden/>
              </w:rPr>
              <w:t>13</w:t>
            </w:r>
            <w:r>
              <w:rPr>
                <w:noProof/>
                <w:webHidden/>
              </w:rPr>
              <w:fldChar w:fldCharType="end"/>
            </w:r>
          </w:hyperlink>
        </w:p>
        <w:p w14:paraId="1C518672" w14:textId="6A66AD19" w:rsidR="00AE4BD9" w:rsidRDefault="00AE4BD9">
          <w:pPr>
            <w:pStyle w:val="TOC3"/>
            <w:tabs>
              <w:tab w:val="left" w:pos="1100"/>
              <w:tab w:val="right" w:leader="dot" w:pos="9016"/>
            </w:tabs>
            <w:rPr>
              <w:rFonts w:eastAsiaTheme="minorEastAsia"/>
              <w:noProof/>
              <w:lang w:eastAsia="en-GB"/>
            </w:rPr>
          </w:pPr>
          <w:hyperlink w:anchor="_Toc194248487" w:history="1">
            <w:r w:rsidRPr="00153AF6">
              <w:rPr>
                <w:rStyle w:val="Hyperlink"/>
                <w:noProof/>
              </w:rPr>
              <w:t>3.5</w:t>
            </w:r>
            <w:r>
              <w:rPr>
                <w:rFonts w:eastAsiaTheme="minorEastAsia"/>
                <w:noProof/>
                <w:lang w:eastAsia="en-GB"/>
              </w:rPr>
              <w:t xml:space="preserve"> </w:t>
            </w:r>
            <w:r w:rsidRPr="00153AF6">
              <w:rPr>
                <w:rStyle w:val="Hyperlink"/>
                <w:noProof/>
              </w:rPr>
              <w:t>Key findings</w:t>
            </w:r>
            <w:r>
              <w:rPr>
                <w:noProof/>
                <w:webHidden/>
              </w:rPr>
              <w:tab/>
            </w:r>
            <w:r>
              <w:rPr>
                <w:noProof/>
                <w:webHidden/>
              </w:rPr>
              <w:fldChar w:fldCharType="begin"/>
            </w:r>
            <w:r>
              <w:rPr>
                <w:noProof/>
                <w:webHidden/>
              </w:rPr>
              <w:instrText xml:space="preserve"> PAGEREF _Toc194248487 \h </w:instrText>
            </w:r>
            <w:r>
              <w:rPr>
                <w:noProof/>
                <w:webHidden/>
              </w:rPr>
            </w:r>
            <w:r>
              <w:rPr>
                <w:noProof/>
                <w:webHidden/>
              </w:rPr>
              <w:fldChar w:fldCharType="separate"/>
            </w:r>
            <w:r>
              <w:rPr>
                <w:noProof/>
                <w:webHidden/>
              </w:rPr>
              <w:t>14</w:t>
            </w:r>
            <w:r>
              <w:rPr>
                <w:noProof/>
                <w:webHidden/>
              </w:rPr>
              <w:fldChar w:fldCharType="end"/>
            </w:r>
          </w:hyperlink>
        </w:p>
        <w:p w14:paraId="7E9F9755" w14:textId="25BF0206" w:rsidR="00AE4BD9" w:rsidRDefault="00AE4BD9">
          <w:pPr>
            <w:pStyle w:val="TOC3"/>
            <w:tabs>
              <w:tab w:val="right" w:leader="dot" w:pos="9016"/>
            </w:tabs>
            <w:rPr>
              <w:rFonts w:eastAsiaTheme="minorEastAsia"/>
              <w:noProof/>
              <w:lang w:eastAsia="en-GB"/>
            </w:rPr>
          </w:pPr>
          <w:hyperlink w:anchor="_Toc194248488" w:history="1">
            <w:r w:rsidRPr="00153AF6">
              <w:rPr>
                <w:rStyle w:val="Hyperlink"/>
                <w:noProof/>
              </w:rPr>
              <w:t>3.6 Justification for Secondary Data Use</w:t>
            </w:r>
            <w:r>
              <w:rPr>
                <w:noProof/>
                <w:webHidden/>
              </w:rPr>
              <w:tab/>
            </w:r>
            <w:r>
              <w:rPr>
                <w:noProof/>
                <w:webHidden/>
              </w:rPr>
              <w:fldChar w:fldCharType="begin"/>
            </w:r>
            <w:r>
              <w:rPr>
                <w:noProof/>
                <w:webHidden/>
              </w:rPr>
              <w:instrText xml:space="preserve"> PAGEREF _Toc194248488 \h </w:instrText>
            </w:r>
            <w:r>
              <w:rPr>
                <w:noProof/>
                <w:webHidden/>
              </w:rPr>
            </w:r>
            <w:r>
              <w:rPr>
                <w:noProof/>
                <w:webHidden/>
              </w:rPr>
              <w:fldChar w:fldCharType="separate"/>
            </w:r>
            <w:r>
              <w:rPr>
                <w:noProof/>
                <w:webHidden/>
              </w:rPr>
              <w:t>16</w:t>
            </w:r>
            <w:r>
              <w:rPr>
                <w:noProof/>
                <w:webHidden/>
              </w:rPr>
              <w:fldChar w:fldCharType="end"/>
            </w:r>
          </w:hyperlink>
        </w:p>
        <w:p w14:paraId="4B7D8280" w14:textId="16855786" w:rsidR="00AE4BD9" w:rsidRDefault="00AE4BD9">
          <w:pPr>
            <w:pStyle w:val="TOC3"/>
            <w:tabs>
              <w:tab w:val="right" w:leader="dot" w:pos="9016"/>
            </w:tabs>
            <w:rPr>
              <w:rFonts w:eastAsiaTheme="minorEastAsia"/>
              <w:noProof/>
              <w:lang w:eastAsia="en-GB"/>
            </w:rPr>
          </w:pPr>
          <w:hyperlink w:anchor="_Toc194248489" w:history="1">
            <w:r w:rsidRPr="00153AF6">
              <w:rPr>
                <w:rStyle w:val="Hyperlink"/>
                <w:noProof/>
              </w:rPr>
              <w:t>3.7 Limitations</w:t>
            </w:r>
            <w:r>
              <w:rPr>
                <w:noProof/>
                <w:webHidden/>
              </w:rPr>
              <w:tab/>
            </w:r>
            <w:r>
              <w:rPr>
                <w:noProof/>
                <w:webHidden/>
              </w:rPr>
              <w:fldChar w:fldCharType="begin"/>
            </w:r>
            <w:r>
              <w:rPr>
                <w:noProof/>
                <w:webHidden/>
              </w:rPr>
              <w:instrText xml:space="preserve"> PAGEREF _Toc194248489 \h </w:instrText>
            </w:r>
            <w:r>
              <w:rPr>
                <w:noProof/>
                <w:webHidden/>
              </w:rPr>
            </w:r>
            <w:r>
              <w:rPr>
                <w:noProof/>
                <w:webHidden/>
              </w:rPr>
              <w:fldChar w:fldCharType="separate"/>
            </w:r>
            <w:r>
              <w:rPr>
                <w:noProof/>
                <w:webHidden/>
              </w:rPr>
              <w:t>16</w:t>
            </w:r>
            <w:r>
              <w:rPr>
                <w:noProof/>
                <w:webHidden/>
              </w:rPr>
              <w:fldChar w:fldCharType="end"/>
            </w:r>
          </w:hyperlink>
        </w:p>
        <w:p w14:paraId="290454A0" w14:textId="23F76CEA" w:rsidR="00AE4BD9" w:rsidRDefault="00AE4BD9">
          <w:pPr>
            <w:pStyle w:val="TOC1"/>
            <w:tabs>
              <w:tab w:val="left" w:pos="440"/>
              <w:tab w:val="right" w:leader="dot" w:pos="9016"/>
            </w:tabs>
            <w:rPr>
              <w:rFonts w:eastAsiaTheme="minorEastAsia"/>
              <w:noProof/>
              <w:lang w:eastAsia="en-GB"/>
            </w:rPr>
          </w:pPr>
          <w:hyperlink w:anchor="_Toc194248490" w:history="1">
            <w:r w:rsidRPr="00153AF6">
              <w:rPr>
                <w:rStyle w:val="Hyperlink"/>
                <w:noProof/>
              </w:rPr>
              <w:t>4.</w:t>
            </w:r>
            <w:r>
              <w:rPr>
                <w:rFonts w:eastAsiaTheme="minorEastAsia"/>
                <w:noProof/>
                <w:lang w:eastAsia="en-GB"/>
              </w:rPr>
              <w:tab/>
            </w:r>
            <w:r w:rsidRPr="00153AF6">
              <w:rPr>
                <w:rStyle w:val="Hyperlink"/>
                <w:noProof/>
              </w:rPr>
              <w:t>Conclusion</w:t>
            </w:r>
            <w:r>
              <w:rPr>
                <w:noProof/>
                <w:webHidden/>
              </w:rPr>
              <w:tab/>
            </w:r>
            <w:r>
              <w:rPr>
                <w:noProof/>
                <w:webHidden/>
              </w:rPr>
              <w:fldChar w:fldCharType="begin"/>
            </w:r>
            <w:r>
              <w:rPr>
                <w:noProof/>
                <w:webHidden/>
              </w:rPr>
              <w:instrText xml:space="preserve"> PAGEREF _Toc194248490 \h </w:instrText>
            </w:r>
            <w:r>
              <w:rPr>
                <w:noProof/>
                <w:webHidden/>
              </w:rPr>
            </w:r>
            <w:r>
              <w:rPr>
                <w:noProof/>
                <w:webHidden/>
              </w:rPr>
              <w:fldChar w:fldCharType="separate"/>
            </w:r>
            <w:r>
              <w:rPr>
                <w:noProof/>
                <w:webHidden/>
              </w:rPr>
              <w:t>18</w:t>
            </w:r>
            <w:r>
              <w:rPr>
                <w:noProof/>
                <w:webHidden/>
              </w:rPr>
              <w:fldChar w:fldCharType="end"/>
            </w:r>
          </w:hyperlink>
        </w:p>
        <w:p w14:paraId="262F35B9" w14:textId="558DD4D5" w:rsidR="00AE4BD9" w:rsidRDefault="00AE4BD9">
          <w:pPr>
            <w:pStyle w:val="TOC3"/>
            <w:tabs>
              <w:tab w:val="left" w:pos="1100"/>
              <w:tab w:val="right" w:leader="dot" w:pos="9016"/>
            </w:tabs>
            <w:rPr>
              <w:rFonts w:eastAsiaTheme="minorEastAsia"/>
              <w:noProof/>
              <w:lang w:eastAsia="en-GB"/>
            </w:rPr>
          </w:pPr>
          <w:hyperlink w:anchor="_Toc194248491" w:history="1">
            <w:r w:rsidRPr="00153AF6">
              <w:rPr>
                <w:rStyle w:val="Hyperlink"/>
                <w:noProof/>
              </w:rPr>
              <w:t>4.1</w:t>
            </w:r>
            <w:r>
              <w:rPr>
                <w:rFonts w:eastAsiaTheme="minorEastAsia"/>
                <w:noProof/>
                <w:lang w:eastAsia="en-GB"/>
              </w:rPr>
              <w:t xml:space="preserve"> </w:t>
            </w:r>
            <w:r w:rsidRPr="00153AF6">
              <w:rPr>
                <w:rStyle w:val="Hyperlink"/>
                <w:noProof/>
              </w:rPr>
              <w:t>Overview of the Study</w:t>
            </w:r>
            <w:r>
              <w:rPr>
                <w:noProof/>
                <w:webHidden/>
              </w:rPr>
              <w:tab/>
            </w:r>
            <w:r>
              <w:rPr>
                <w:noProof/>
                <w:webHidden/>
              </w:rPr>
              <w:fldChar w:fldCharType="begin"/>
            </w:r>
            <w:r>
              <w:rPr>
                <w:noProof/>
                <w:webHidden/>
              </w:rPr>
              <w:instrText xml:space="preserve"> PAGEREF _Toc194248491 \h </w:instrText>
            </w:r>
            <w:r>
              <w:rPr>
                <w:noProof/>
                <w:webHidden/>
              </w:rPr>
            </w:r>
            <w:r>
              <w:rPr>
                <w:noProof/>
                <w:webHidden/>
              </w:rPr>
              <w:fldChar w:fldCharType="separate"/>
            </w:r>
            <w:r>
              <w:rPr>
                <w:noProof/>
                <w:webHidden/>
              </w:rPr>
              <w:t>18</w:t>
            </w:r>
            <w:r>
              <w:rPr>
                <w:noProof/>
                <w:webHidden/>
              </w:rPr>
              <w:fldChar w:fldCharType="end"/>
            </w:r>
          </w:hyperlink>
        </w:p>
        <w:p w14:paraId="7C2CCB80" w14:textId="2E22C0E5" w:rsidR="00AE4BD9" w:rsidRDefault="00AE4BD9">
          <w:pPr>
            <w:pStyle w:val="TOC3"/>
            <w:tabs>
              <w:tab w:val="left" w:pos="1100"/>
              <w:tab w:val="right" w:leader="dot" w:pos="9016"/>
            </w:tabs>
            <w:rPr>
              <w:rFonts w:eastAsiaTheme="minorEastAsia"/>
              <w:noProof/>
              <w:lang w:eastAsia="en-GB"/>
            </w:rPr>
          </w:pPr>
          <w:hyperlink w:anchor="_Toc194248492" w:history="1">
            <w:r w:rsidRPr="00153AF6">
              <w:rPr>
                <w:rStyle w:val="Hyperlink"/>
                <w:noProof/>
              </w:rPr>
              <w:t>4.2</w:t>
            </w:r>
            <w:r>
              <w:rPr>
                <w:rFonts w:eastAsiaTheme="minorEastAsia"/>
                <w:noProof/>
                <w:lang w:eastAsia="en-GB"/>
              </w:rPr>
              <w:t xml:space="preserve"> </w:t>
            </w:r>
            <w:r w:rsidRPr="00153AF6">
              <w:rPr>
                <w:rStyle w:val="Hyperlink"/>
                <w:noProof/>
              </w:rPr>
              <w:t>Contribution of the research</w:t>
            </w:r>
            <w:r>
              <w:rPr>
                <w:noProof/>
                <w:webHidden/>
              </w:rPr>
              <w:tab/>
            </w:r>
            <w:r>
              <w:rPr>
                <w:noProof/>
                <w:webHidden/>
              </w:rPr>
              <w:fldChar w:fldCharType="begin"/>
            </w:r>
            <w:r>
              <w:rPr>
                <w:noProof/>
                <w:webHidden/>
              </w:rPr>
              <w:instrText xml:space="preserve"> PAGEREF _Toc194248492 \h </w:instrText>
            </w:r>
            <w:r>
              <w:rPr>
                <w:noProof/>
                <w:webHidden/>
              </w:rPr>
            </w:r>
            <w:r>
              <w:rPr>
                <w:noProof/>
                <w:webHidden/>
              </w:rPr>
              <w:fldChar w:fldCharType="separate"/>
            </w:r>
            <w:r>
              <w:rPr>
                <w:noProof/>
                <w:webHidden/>
              </w:rPr>
              <w:t>19</w:t>
            </w:r>
            <w:r>
              <w:rPr>
                <w:noProof/>
                <w:webHidden/>
              </w:rPr>
              <w:fldChar w:fldCharType="end"/>
            </w:r>
          </w:hyperlink>
        </w:p>
        <w:p w14:paraId="5D87F0C6" w14:textId="1A50FDF7" w:rsidR="00AE4BD9" w:rsidRDefault="00AE4BD9">
          <w:pPr>
            <w:pStyle w:val="TOC3"/>
            <w:tabs>
              <w:tab w:val="left" w:pos="1100"/>
              <w:tab w:val="right" w:leader="dot" w:pos="9016"/>
            </w:tabs>
            <w:rPr>
              <w:rFonts w:eastAsiaTheme="minorEastAsia"/>
              <w:noProof/>
              <w:lang w:eastAsia="en-GB"/>
            </w:rPr>
          </w:pPr>
          <w:hyperlink w:anchor="_Toc194248493" w:history="1">
            <w:r w:rsidRPr="00153AF6">
              <w:rPr>
                <w:rStyle w:val="Hyperlink"/>
                <w:noProof/>
              </w:rPr>
              <w:t>4.3</w:t>
            </w:r>
            <w:r>
              <w:rPr>
                <w:rFonts w:eastAsiaTheme="minorEastAsia"/>
                <w:noProof/>
                <w:lang w:eastAsia="en-GB"/>
              </w:rPr>
              <w:t xml:space="preserve"> </w:t>
            </w:r>
            <w:r w:rsidRPr="00153AF6">
              <w:rPr>
                <w:rStyle w:val="Hyperlink"/>
                <w:noProof/>
              </w:rPr>
              <w:t>Limitations and Future Research</w:t>
            </w:r>
            <w:r>
              <w:rPr>
                <w:noProof/>
                <w:webHidden/>
              </w:rPr>
              <w:tab/>
            </w:r>
            <w:r>
              <w:rPr>
                <w:noProof/>
                <w:webHidden/>
              </w:rPr>
              <w:fldChar w:fldCharType="begin"/>
            </w:r>
            <w:r>
              <w:rPr>
                <w:noProof/>
                <w:webHidden/>
              </w:rPr>
              <w:instrText xml:space="preserve"> PAGEREF _Toc194248493 \h </w:instrText>
            </w:r>
            <w:r>
              <w:rPr>
                <w:noProof/>
                <w:webHidden/>
              </w:rPr>
            </w:r>
            <w:r>
              <w:rPr>
                <w:noProof/>
                <w:webHidden/>
              </w:rPr>
              <w:fldChar w:fldCharType="separate"/>
            </w:r>
            <w:r>
              <w:rPr>
                <w:noProof/>
                <w:webHidden/>
              </w:rPr>
              <w:t>20</w:t>
            </w:r>
            <w:r>
              <w:rPr>
                <w:noProof/>
                <w:webHidden/>
              </w:rPr>
              <w:fldChar w:fldCharType="end"/>
            </w:r>
          </w:hyperlink>
        </w:p>
        <w:p w14:paraId="432CBEC3" w14:textId="0055E67A" w:rsidR="00AE4BD9" w:rsidRDefault="00AE4BD9">
          <w:pPr>
            <w:pStyle w:val="TOC1"/>
            <w:tabs>
              <w:tab w:val="left" w:pos="440"/>
              <w:tab w:val="right" w:leader="dot" w:pos="9016"/>
            </w:tabs>
            <w:rPr>
              <w:rFonts w:eastAsiaTheme="minorEastAsia"/>
              <w:noProof/>
              <w:lang w:eastAsia="en-GB"/>
            </w:rPr>
          </w:pPr>
          <w:hyperlink w:anchor="_Toc194248494" w:history="1">
            <w:r w:rsidRPr="00153AF6">
              <w:rPr>
                <w:rStyle w:val="Hyperlink"/>
                <w:noProof/>
              </w:rPr>
              <w:t>5.</w:t>
            </w:r>
            <w:r>
              <w:rPr>
                <w:rFonts w:eastAsiaTheme="minorEastAsia"/>
                <w:noProof/>
                <w:lang w:eastAsia="en-GB"/>
              </w:rPr>
              <w:tab/>
            </w:r>
            <w:r w:rsidRPr="00153AF6">
              <w:rPr>
                <w:rStyle w:val="Hyperlink"/>
                <w:noProof/>
              </w:rPr>
              <w:t>References</w:t>
            </w:r>
            <w:r>
              <w:rPr>
                <w:noProof/>
                <w:webHidden/>
              </w:rPr>
              <w:tab/>
            </w:r>
            <w:r>
              <w:rPr>
                <w:noProof/>
                <w:webHidden/>
              </w:rPr>
              <w:fldChar w:fldCharType="begin"/>
            </w:r>
            <w:r>
              <w:rPr>
                <w:noProof/>
                <w:webHidden/>
              </w:rPr>
              <w:instrText xml:space="preserve"> PAGEREF _Toc194248494 \h </w:instrText>
            </w:r>
            <w:r>
              <w:rPr>
                <w:noProof/>
                <w:webHidden/>
              </w:rPr>
            </w:r>
            <w:r>
              <w:rPr>
                <w:noProof/>
                <w:webHidden/>
              </w:rPr>
              <w:fldChar w:fldCharType="separate"/>
            </w:r>
            <w:r>
              <w:rPr>
                <w:noProof/>
                <w:webHidden/>
              </w:rPr>
              <w:t>21</w:t>
            </w:r>
            <w:r>
              <w:rPr>
                <w:noProof/>
                <w:webHidden/>
              </w:rPr>
              <w:fldChar w:fldCharType="end"/>
            </w:r>
          </w:hyperlink>
        </w:p>
        <w:p w14:paraId="58DD0093" w14:textId="269F08B9" w:rsidR="00490752" w:rsidRDefault="00490752">
          <w:r>
            <w:rPr>
              <w:b/>
              <w:bCs/>
              <w:noProof/>
            </w:rPr>
            <w:fldChar w:fldCharType="end"/>
          </w:r>
        </w:p>
      </w:sdtContent>
    </w:sdt>
    <w:p w14:paraId="63074311" w14:textId="77777777" w:rsidR="004D61DD" w:rsidRDefault="004D61DD" w:rsidP="00490752"/>
    <w:p w14:paraId="581B78C3" w14:textId="77777777" w:rsidR="004D61DD" w:rsidRDefault="004D61DD" w:rsidP="004D61DD"/>
    <w:p w14:paraId="392FD9C0" w14:textId="77777777" w:rsidR="004D61DD" w:rsidRDefault="004D61DD" w:rsidP="004D61DD"/>
    <w:p w14:paraId="44BFD7C4" w14:textId="77777777" w:rsidR="004D61DD" w:rsidRDefault="004D61DD" w:rsidP="004D61DD"/>
    <w:p w14:paraId="40E5D64F" w14:textId="77777777" w:rsidR="004D61DD" w:rsidRDefault="004D61DD" w:rsidP="004D61DD"/>
    <w:p w14:paraId="080E7C53" w14:textId="77777777" w:rsidR="004D61DD" w:rsidRDefault="004D61DD" w:rsidP="004D61DD"/>
    <w:p w14:paraId="3A74C1DB" w14:textId="77777777" w:rsidR="004D61DD" w:rsidRDefault="004D61DD" w:rsidP="004D61DD"/>
    <w:p w14:paraId="574C7919" w14:textId="77777777" w:rsidR="004D61DD" w:rsidRPr="004D61DD" w:rsidRDefault="004D61DD" w:rsidP="004D61DD"/>
    <w:p w14:paraId="3B796278" w14:textId="2ADD6277" w:rsidR="00154B94" w:rsidRPr="00D255A5" w:rsidRDefault="006E291B" w:rsidP="00AE4BD9">
      <w:pPr>
        <w:pStyle w:val="Heading1"/>
        <w:numPr>
          <w:ilvl w:val="0"/>
          <w:numId w:val="0"/>
        </w:numPr>
        <w:ind w:left="680"/>
      </w:pPr>
      <w:r w:rsidRPr="00D255A5">
        <w:t xml:space="preserve"> </w:t>
      </w:r>
      <w:bookmarkStart w:id="3" w:name="_Toc194248466"/>
      <w:r w:rsidRPr="00D255A5">
        <w:t>Abstract</w:t>
      </w:r>
      <w:bookmarkEnd w:id="3"/>
    </w:p>
    <w:p w14:paraId="340627A4" w14:textId="77777777" w:rsidR="00CF5B97" w:rsidRPr="00D3479A" w:rsidRDefault="00CF5B97" w:rsidP="00CF5B97">
      <w:pPr>
        <w:pStyle w:val="NormalWeb"/>
        <w:rPr>
          <w:rFonts w:ascii="Arial" w:hAnsi="Arial" w:cs="Arial"/>
          <w:sz w:val="22"/>
          <w:szCs w:val="22"/>
        </w:rPr>
      </w:pPr>
      <w:r w:rsidRPr="00D3479A">
        <w:rPr>
          <w:rFonts w:ascii="Arial" w:hAnsi="Arial" w:cs="Arial"/>
          <w:sz w:val="22"/>
          <w:szCs w:val="22"/>
        </w:rPr>
        <w:t>This dissertation examines the role of community orientation in trade relationships between assembly organizations in the UK and China. It explores how these companies integrate community-focused strategies into their business models and the impact of such approaches on their operational success and international trade relationships. Through qualitative secondary data analysis, this study evaluates corporate social responsibility (CSR) initiatives, stakeholder engagement, and cultural adaptation strategies employed by firms such as Samsung, Makita, Denso, and Stanley Black &amp; Decker.</w:t>
      </w:r>
    </w:p>
    <w:p w14:paraId="6B2B8981" w14:textId="77777777" w:rsidR="00CF5B97" w:rsidRPr="00D3479A" w:rsidRDefault="00CF5B97" w:rsidP="00CF5B97">
      <w:pPr>
        <w:pStyle w:val="NormalWeb"/>
        <w:rPr>
          <w:rFonts w:ascii="Arial" w:hAnsi="Arial" w:cs="Arial"/>
          <w:sz w:val="22"/>
          <w:szCs w:val="22"/>
        </w:rPr>
      </w:pPr>
      <w:r w:rsidRPr="00D3479A">
        <w:rPr>
          <w:rFonts w:ascii="Arial" w:hAnsi="Arial" w:cs="Arial"/>
          <w:sz w:val="22"/>
          <w:szCs w:val="22"/>
        </w:rPr>
        <w:t>Findings indicate that businesses with strong community engagement strategies benefit from improved brand reputation, customer loyalty, and long-term sustainability. UK companies emphasize transparency, ethical governance, and direct stakeholder involvement, whereas Chinese firms align CSR activities with national development policies and government-led initiatives. Despite these differences, firms that successfully adapt their CSR approaches to local cultural and regulatory environments strengthen their market presence and trade partnerships.</w:t>
      </w:r>
    </w:p>
    <w:p w14:paraId="00470C48" w14:textId="77777777" w:rsidR="00CF5B97" w:rsidRPr="00D3479A" w:rsidRDefault="00CF5B97" w:rsidP="00CF5B97">
      <w:pPr>
        <w:pStyle w:val="NormalWeb"/>
        <w:rPr>
          <w:rFonts w:ascii="Arial" w:hAnsi="Arial" w:cs="Arial"/>
          <w:sz w:val="22"/>
          <w:szCs w:val="22"/>
        </w:rPr>
      </w:pPr>
      <w:r w:rsidRPr="00D3479A">
        <w:rPr>
          <w:rFonts w:ascii="Arial" w:hAnsi="Arial" w:cs="Arial"/>
          <w:sz w:val="22"/>
          <w:szCs w:val="22"/>
        </w:rPr>
        <w:t>Challenges include navigating cultural variations, regulatory discrepancies, and balancing global CSR strategies with localized implementations. However, businesses that leverage CSR as a competitive advantage and prioritize community-driven initiatives are more resilient in international markets. This research underscores the strategic significance of community orientation in global trade and offers insights into best practices for sustainable business growth.</w:t>
      </w:r>
    </w:p>
    <w:p w14:paraId="2D3C3B28" w14:textId="77777777" w:rsidR="004D61DD" w:rsidRDefault="004D61DD" w:rsidP="004D61DD">
      <w:pPr>
        <w:pStyle w:val="NormalWeb"/>
        <w:rPr>
          <w:rFonts w:ascii="Arial" w:hAnsi="Arial" w:cs="Arial"/>
          <w:sz w:val="22"/>
          <w:szCs w:val="22"/>
        </w:rPr>
      </w:pPr>
    </w:p>
    <w:p w14:paraId="3D7B1D95" w14:textId="77777777" w:rsidR="004D61DD" w:rsidRDefault="004D61DD" w:rsidP="004D61DD">
      <w:pPr>
        <w:pStyle w:val="NormalWeb"/>
        <w:rPr>
          <w:rFonts w:ascii="Arial" w:hAnsi="Arial" w:cs="Arial"/>
          <w:sz w:val="22"/>
          <w:szCs w:val="22"/>
        </w:rPr>
      </w:pPr>
    </w:p>
    <w:p w14:paraId="7AA9318F" w14:textId="77777777" w:rsidR="004D61DD" w:rsidRDefault="004D61DD" w:rsidP="004D61DD">
      <w:pPr>
        <w:pStyle w:val="NormalWeb"/>
        <w:rPr>
          <w:rFonts w:ascii="Arial" w:hAnsi="Arial" w:cs="Arial"/>
          <w:sz w:val="22"/>
          <w:szCs w:val="22"/>
        </w:rPr>
      </w:pPr>
    </w:p>
    <w:p w14:paraId="5882E935" w14:textId="77777777" w:rsidR="004D61DD" w:rsidRDefault="004D61DD" w:rsidP="004D61DD">
      <w:pPr>
        <w:pStyle w:val="NormalWeb"/>
        <w:rPr>
          <w:rFonts w:ascii="Arial" w:hAnsi="Arial" w:cs="Arial"/>
          <w:sz w:val="22"/>
          <w:szCs w:val="22"/>
        </w:rPr>
      </w:pPr>
    </w:p>
    <w:p w14:paraId="079BCBB5" w14:textId="77777777" w:rsidR="004D61DD" w:rsidRDefault="004D61DD" w:rsidP="004D61DD">
      <w:pPr>
        <w:pStyle w:val="NormalWeb"/>
        <w:rPr>
          <w:rFonts w:ascii="Arial" w:hAnsi="Arial" w:cs="Arial"/>
          <w:sz w:val="22"/>
          <w:szCs w:val="22"/>
        </w:rPr>
      </w:pPr>
    </w:p>
    <w:p w14:paraId="56444544" w14:textId="77777777" w:rsidR="004D61DD" w:rsidRDefault="004D61DD" w:rsidP="004D61DD">
      <w:pPr>
        <w:pStyle w:val="NormalWeb"/>
        <w:rPr>
          <w:rFonts w:ascii="Arial" w:hAnsi="Arial" w:cs="Arial"/>
          <w:sz w:val="22"/>
          <w:szCs w:val="22"/>
        </w:rPr>
      </w:pPr>
    </w:p>
    <w:p w14:paraId="7E619451" w14:textId="77777777" w:rsidR="004D61DD" w:rsidRDefault="004D61DD" w:rsidP="004D61DD">
      <w:pPr>
        <w:pStyle w:val="NormalWeb"/>
        <w:rPr>
          <w:rFonts w:ascii="Arial" w:hAnsi="Arial" w:cs="Arial"/>
          <w:sz w:val="22"/>
          <w:szCs w:val="22"/>
        </w:rPr>
      </w:pPr>
    </w:p>
    <w:p w14:paraId="5DA4F0E4" w14:textId="77777777" w:rsidR="004D61DD" w:rsidRDefault="004D61DD" w:rsidP="004D61DD">
      <w:pPr>
        <w:pStyle w:val="NormalWeb"/>
        <w:rPr>
          <w:rFonts w:ascii="Arial" w:hAnsi="Arial" w:cs="Arial"/>
          <w:sz w:val="22"/>
          <w:szCs w:val="22"/>
        </w:rPr>
      </w:pPr>
    </w:p>
    <w:p w14:paraId="54606047" w14:textId="77777777" w:rsidR="004D61DD" w:rsidRDefault="004D61DD" w:rsidP="004D61DD">
      <w:pPr>
        <w:pStyle w:val="NormalWeb"/>
        <w:rPr>
          <w:rFonts w:ascii="Arial" w:hAnsi="Arial" w:cs="Arial"/>
          <w:sz w:val="22"/>
          <w:szCs w:val="22"/>
        </w:rPr>
      </w:pPr>
    </w:p>
    <w:p w14:paraId="780007EA" w14:textId="77777777" w:rsidR="004D61DD" w:rsidRDefault="004D61DD" w:rsidP="004D61DD">
      <w:pPr>
        <w:pStyle w:val="NormalWeb"/>
        <w:rPr>
          <w:rFonts w:ascii="Arial" w:hAnsi="Arial" w:cs="Arial"/>
          <w:sz w:val="22"/>
          <w:szCs w:val="22"/>
        </w:rPr>
      </w:pPr>
    </w:p>
    <w:p w14:paraId="12A3A7FD" w14:textId="77777777" w:rsidR="004D61DD" w:rsidRDefault="004D61DD" w:rsidP="004D61DD">
      <w:pPr>
        <w:pStyle w:val="NormalWeb"/>
        <w:rPr>
          <w:rFonts w:ascii="Arial" w:hAnsi="Arial" w:cs="Arial"/>
          <w:sz w:val="22"/>
          <w:szCs w:val="22"/>
        </w:rPr>
      </w:pPr>
    </w:p>
    <w:p w14:paraId="1141C55A" w14:textId="77777777" w:rsidR="004D61DD" w:rsidRDefault="004D61DD" w:rsidP="004D61DD">
      <w:pPr>
        <w:pStyle w:val="NormalWeb"/>
        <w:rPr>
          <w:rFonts w:ascii="Arial" w:hAnsi="Arial" w:cs="Arial"/>
          <w:sz w:val="22"/>
          <w:szCs w:val="22"/>
        </w:rPr>
      </w:pPr>
    </w:p>
    <w:p w14:paraId="6BFF6FD6" w14:textId="77777777" w:rsidR="004D61DD" w:rsidRDefault="004D61DD" w:rsidP="004D61DD">
      <w:pPr>
        <w:pStyle w:val="NormalWeb"/>
        <w:rPr>
          <w:rFonts w:ascii="Arial" w:hAnsi="Arial" w:cs="Arial"/>
          <w:sz w:val="22"/>
          <w:szCs w:val="22"/>
        </w:rPr>
      </w:pPr>
    </w:p>
    <w:p w14:paraId="5A612336" w14:textId="77777777" w:rsidR="004D61DD" w:rsidRDefault="004D61DD" w:rsidP="004D61DD">
      <w:pPr>
        <w:pStyle w:val="NormalWeb"/>
        <w:rPr>
          <w:rFonts w:ascii="Arial" w:hAnsi="Arial" w:cs="Arial"/>
          <w:sz w:val="22"/>
          <w:szCs w:val="22"/>
        </w:rPr>
      </w:pPr>
    </w:p>
    <w:p w14:paraId="5A8F6029" w14:textId="77777777" w:rsidR="004D61DD" w:rsidRDefault="004D61DD" w:rsidP="004D61DD">
      <w:pPr>
        <w:pStyle w:val="NormalWeb"/>
        <w:rPr>
          <w:rFonts w:ascii="Arial" w:hAnsi="Arial" w:cs="Arial"/>
          <w:sz w:val="22"/>
          <w:szCs w:val="22"/>
        </w:rPr>
      </w:pPr>
    </w:p>
    <w:p w14:paraId="5B715336" w14:textId="77777777" w:rsidR="004D61DD" w:rsidRDefault="004D61DD" w:rsidP="004D61DD">
      <w:pPr>
        <w:pStyle w:val="NormalWeb"/>
        <w:rPr>
          <w:rFonts w:ascii="Arial" w:hAnsi="Arial" w:cs="Arial"/>
          <w:sz w:val="22"/>
          <w:szCs w:val="22"/>
        </w:rPr>
      </w:pPr>
    </w:p>
    <w:p w14:paraId="739291B6" w14:textId="77777777" w:rsidR="004D61DD" w:rsidRPr="004D61DD" w:rsidRDefault="004D61DD" w:rsidP="004D61DD">
      <w:pPr>
        <w:pStyle w:val="NormalWeb"/>
        <w:rPr>
          <w:rFonts w:ascii="Arial" w:hAnsi="Arial" w:cs="Arial"/>
          <w:sz w:val="22"/>
          <w:szCs w:val="22"/>
        </w:rPr>
      </w:pPr>
    </w:p>
    <w:p w14:paraId="421DFFEA" w14:textId="0A173777" w:rsidR="00F47DDF" w:rsidRPr="00354E95" w:rsidRDefault="006E291B" w:rsidP="00354E95">
      <w:pPr>
        <w:pStyle w:val="Heading1"/>
      </w:pPr>
      <w:r w:rsidRPr="00354E95">
        <w:t xml:space="preserve"> </w:t>
      </w:r>
      <w:bookmarkStart w:id="4" w:name="_Toc194248467"/>
      <w:r w:rsidRPr="00354E95">
        <w:t>Introduction</w:t>
      </w:r>
      <w:bookmarkEnd w:id="4"/>
    </w:p>
    <w:p w14:paraId="13EF7B91" w14:textId="3CAB5472" w:rsidR="00F47DDF" w:rsidRPr="00354E95" w:rsidRDefault="00AE4BD9" w:rsidP="00AE4BD9">
      <w:pPr>
        <w:pStyle w:val="Heading3"/>
        <w:numPr>
          <w:ilvl w:val="0"/>
          <w:numId w:val="0"/>
        </w:numPr>
      </w:pPr>
      <w:bookmarkStart w:id="5" w:name="_Toc194248468"/>
      <w:r>
        <w:t>1.1</w:t>
      </w:r>
      <w:r w:rsidR="006E291B" w:rsidRPr="00354E95">
        <w:t xml:space="preserve"> </w:t>
      </w:r>
      <w:r w:rsidR="00F47DDF" w:rsidRPr="00354E95">
        <w:t>Aim of the Research</w:t>
      </w:r>
      <w:bookmarkEnd w:id="5"/>
    </w:p>
    <w:p w14:paraId="65642F0F" w14:textId="77777777" w:rsidR="00F47DDF" w:rsidRPr="003B7A83" w:rsidRDefault="00F47DDF" w:rsidP="003B7A83">
      <w:pPr>
        <w:pStyle w:val="NormalWeb"/>
        <w:rPr>
          <w:rFonts w:ascii="Arial" w:hAnsi="Arial" w:cs="Arial"/>
          <w:sz w:val="22"/>
          <w:szCs w:val="22"/>
        </w:rPr>
      </w:pPr>
      <w:r w:rsidRPr="003B7A83">
        <w:rPr>
          <w:rFonts w:ascii="Arial" w:hAnsi="Arial" w:cs="Arial"/>
          <w:sz w:val="22"/>
          <w:szCs w:val="22"/>
        </w:rPr>
        <w:t>The aim of this research is to investigate the strategies used by assembly companies in the UK and China within the current business community, focusing on how these companies integrate community orientation into their business practices and the resultant effects on their operational success and international trade relationships.</w:t>
      </w:r>
    </w:p>
    <w:p w14:paraId="4F6E33EE" w14:textId="5C75F688" w:rsidR="00F47DDF" w:rsidRPr="00F47DDF" w:rsidRDefault="00AE4BD9" w:rsidP="00AE4BD9">
      <w:pPr>
        <w:pStyle w:val="Heading3"/>
        <w:numPr>
          <w:ilvl w:val="0"/>
          <w:numId w:val="0"/>
        </w:numPr>
      </w:pPr>
      <w:bookmarkStart w:id="6" w:name="_Toc194248469"/>
      <w:r>
        <w:t>1.2</w:t>
      </w:r>
      <w:r w:rsidR="00354E95">
        <w:t xml:space="preserve"> </w:t>
      </w:r>
      <w:r w:rsidR="00F47DDF" w:rsidRPr="00F47DDF">
        <w:t>Objectives of the Research</w:t>
      </w:r>
      <w:bookmarkEnd w:id="6"/>
    </w:p>
    <w:p w14:paraId="51CB175D" w14:textId="77777777" w:rsidR="00F47DDF" w:rsidRPr="004F2D4D" w:rsidRDefault="00F47DDF" w:rsidP="00F47DDF">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To examine how assembly companies in the UK and China implement community orientation within their operational strategies.</w:t>
      </w:r>
    </w:p>
    <w:p w14:paraId="774C25D2" w14:textId="77777777" w:rsidR="00F47DDF" w:rsidRPr="004F2D4D" w:rsidRDefault="00F47DDF" w:rsidP="00F47DDF">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To assess the impact of community-focused practices on the business success and trading relationships of these companies.</w:t>
      </w:r>
    </w:p>
    <w:p w14:paraId="3F53DDBA" w14:textId="77777777" w:rsidR="00F47DDF" w:rsidRPr="004F2D4D" w:rsidRDefault="00F47DDF" w:rsidP="00F47DDF">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To identify the challenges and opportunities presented by community orientation in these international business settings.</w:t>
      </w:r>
    </w:p>
    <w:p w14:paraId="0F6E0CE7" w14:textId="19449715" w:rsidR="00F47DDF" w:rsidRPr="00F47DDF" w:rsidRDefault="00AE4BD9" w:rsidP="00354E95">
      <w:pPr>
        <w:pStyle w:val="Heading3"/>
        <w:numPr>
          <w:ilvl w:val="0"/>
          <w:numId w:val="0"/>
        </w:numPr>
      </w:pPr>
      <w:bookmarkStart w:id="7" w:name="_Toc194248470"/>
      <w:r>
        <w:t>1.3</w:t>
      </w:r>
      <w:r w:rsidR="006A23B0">
        <w:t xml:space="preserve"> Research</w:t>
      </w:r>
      <w:r w:rsidR="00F47DDF" w:rsidRPr="00F47DDF">
        <w:t xml:space="preserve"> Questions</w:t>
      </w:r>
      <w:bookmarkEnd w:id="7"/>
    </w:p>
    <w:p w14:paraId="0BF1B5B7" w14:textId="77777777" w:rsidR="00F47DDF" w:rsidRPr="00CF5B97" w:rsidRDefault="00F47DDF" w:rsidP="00F47DDF">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F5B97">
        <w:rPr>
          <w:rFonts w:ascii="Arial" w:eastAsia="Times New Roman" w:hAnsi="Arial" w:cs="Arial"/>
          <w:kern w:val="0"/>
          <w:lang w:eastAsia="en-GB"/>
          <w14:ligatures w14:val="none"/>
        </w:rPr>
        <w:t>What does 'community perspective' mean within the context of international business for assembly companies in the UK and China?</w:t>
      </w:r>
    </w:p>
    <w:p w14:paraId="52D4DF02" w14:textId="77777777" w:rsidR="00F47DDF" w:rsidRPr="00CF5B97" w:rsidRDefault="00F47DDF" w:rsidP="00F47DDF">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F5B97">
        <w:rPr>
          <w:rFonts w:ascii="Arial" w:eastAsia="Times New Roman" w:hAnsi="Arial" w:cs="Arial"/>
          <w:kern w:val="0"/>
          <w:lang w:eastAsia="en-GB"/>
          <w14:ligatures w14:val="none"/>
        </w:rPr>
        <w:t>Why is community orientation increasingly important for businesses engaged in international trade?</w:t>
      </w:r>
    </w:p>
    <w:p w14:paraId="4B7C2C0A" w14:textId="77777777" w:rsidR="00F47DDF" w:rsidRPr="00CF5B97" w:rsidRDefault="00F47DDF" w:rsidP="00F47DDF">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CF5B97">
        <w:rPr>
          <w:rFonts w:ascii="Arial" w:eastAsia="Times New Roman" w:hAnsi="Arial" w:cs="Arial"/>
          <w:kern w:val="0"/>
          <w:lang w:eastAsia="en-GB"/>
          <w14:ligatures w14:val="none"/>
        </w:rPr>
        <w:t>How do specific community-oriented practices influence the operational and relational dynamics of UK and China assembly companies?</w:t>
      </w:r>
    </w:p>
    <w:p w14:paraId="75B24D14" w14:textId="59AD4161" w:rsidR="00F47DDF" w:rsidRPr="00F47DDF" w:rsidRDefault="00AE4BD9" w:rsidP="00AE4BD9">
      <w:pPr>
        <w:pStyle w:val="Heading3"/>
        <w:numPr>
          <w:ilvl w:val="0"/>
          <w:numId w:val="0"/>
        </w:numPr>
      </w:pPr>
      <w:bookmarkStart w:id="8" w:name="_Toc194248471"/>
      <w:r>
        <w:t>1.4</w:t>
      </w:r>
      <w:r w:rsidR="00354E95">
        <w:t xml:space="preserve"> </w:t>
      </w:r>
      <w:r w:rsidR="00F47DDF" w:rsidRPr="00F47DDF">
        <w:t>Introduction to the Topic</w:t>
      </w:r>
      <w:bookmarkEnd w:id="8"/>
    </w:p>
    <w:p w14:paraId="1E5065B3" w14:textId="77777777" w:rsidR="00CF5B97" w:rsidRPr="00CF5B97" w:rsidRDefault="00CF5B97" w:rsidP="00CF5B97">
      <w:pPr>
        <w:pStyle w:val="NormalWeb"/>
        <w:rPr>
          <w:rFonts w:ascii="Arial" w:hAnsi="Arial" w:cs="Arial"/>
          <w:sz w:val="22"/>
          <w:szCs w:val="22"/>
        </w:rPr>
      </w:pPr>
      <w:r w:rsidRPr="00CF5B97">
        <w:rPr>
          <w:rFonts w:ascii="Arial" w:hAnsi="Arial" w:cs="Arial"/>
          <w:sz w:val="22"/>
          <w:szCs w:val="22"/>
        </w:rPr>
        <w:t xml:space="preserve">In today's world, it's becoming more and more important for companies that do business internationally to focus on community values. This is especially true for companies that assemble products in the UK and China. Putting community values at the heart of business isn't just about being ethical; it also helps companies perform better when economic times are tough and gives them an advantage in competitive markets (Taylor &amp; Wang, 2021). As globalization keeps changing the way economies are structured, it's essential to understand </w:t>
      </w:r>
      <w:r w:rsidRPr="00CF5B97">
        <w:rPr>
          <w:rFonts w:ascii="Arial" w:hAnsi="Arial" w:cs="Arial"/>
          <w:sz w:val="22"/>
          <w:szCs w:val="22"/>
        </w:rPr>
        <w:lastRenderedPageBreak/>
        <w:t>how trade relationships work, particularly between very different markets like the UK and China. These relationships do more than just exchange goods; they promote business practices that care about the community and significantly help with sustainable development (Porter &amp; Kramer, 2011).</w:t>
      </w:r>
    </w:p>
    <w:p w14:paraId="0D5A38DB" w14:textId="77777777" w:rsidR="00CF5B97" w:rsidRPr="00CF5B97" w:rsidRDefault="00CF5B97" w:rsidP="00CF5B97">
      <w:pPr>
        <w:pStyle w:val="NormalWeb"/>
        <w:rPr>
          <w:rFonts w:ascii="Arial" w:hAnsi="Arial" w:cs="Arial"/>
          <w:sz w:val="22"/>
          <w:szCs w:val="22"/>
        </w:rPr>
      </w:pPr>
      <w:r w:rsidRPr="00CF5B97">
        <w:rPr>
          <w:rFonts w:ascii="Arial" w:hAnsi="Arial" w:cs="Arial"/>
          <w:sz w:val="22"/>
          <w:szCs w:val="22"/>
        </w:rPr>
        <w:t>Recent global issues, such as the COVID-19 pandemic and a move toward more sustainable business methods, have pushed companies to show how they support the broader communities where they operate (Kumar &amp; Zhao, 2020; Lee, 2022). Understanding and supporting local community needs and values—what we call the 'community perspective'—is key here. The relationship between the UK and China has grown stronger, with better trade links even amid geopolitical challenges (Smith, 2018). Assembly companies, which are crucial to the manufacturing and production industries, play a big part in this situation. They affect not only the economy but also the social makeup of their communities by providing jobs, pushing forward technology, and supporting sustainable practices (Jones &amp; Comfort, 2014).</w:t>
      </w:r>
    </w:p>
    <w:p w14:paraId="5943DF35" w14:textId="77777777" w:rsidR="00CF5B97" w:rsidRPr="00CF5B97" w:rsidRDefault="00CF5B97" w:rsidP="00CF5B97">
      <w:pPr>
        <w:pStyle w:val="NormalWeb"/>
        <w:rPr>
          <w:rFonts w:ascii="Arial" w:hAnsi="Arial" w:cs="Arial"/>
          <w:sz w:val="22"/>
          <w:szCs w:val="22"/>
        </w:rPr>
      </w:pPr>
      <w:r w:rsidRPr="00CF5B97">
        <w:rPr>
          <w:rFonts w:ascii="Arial" w:hAnsi="Arial" w:cs="Arial"/>
          <w:sz w:val="22"/>
          <w:szCs w:val="22"/>
        </w:rPr>
        <w:t>Corporate Social Responsibility (CSR) has evolved from a discretionary business activity to a strategic imperative that significantly impacts corporate reputation, financial performance, and stakeholder engagement. The increasing pressure from consumers, regulators, and investors has prompted businesses worldwide to integrate community orientation into their corporate strategies (Carroll, 2015; Porter &amp; Kramer, 2011). However, the implementation of CSR varies across regions due to cultural, regulatory, and economic differences. This study examines how assembly organizations in the UK and China integrate community orientation into their CSR initiatives, comparing the underlying drivers, execution approaches, and outcomes.</w:t>
      </w:r>
    </w:p>
    <w:p w14:paraId="1BD6D032" w14:textId="0AF07A76" w:rsidR="00CF5B97" w:rsidRPr="00CF5B97" w:rsidRDefault="00CF5B97" w:rsidP="00CF5B97">
      <w:pPr>
        <w:pStyle w:val="NormalWeb"/>
        <w:rPr>
          <w:rFonts w:ascii="Arial" w:hAnsi="Arial" w:cs="Arial"/>
          <w:sz w:val="22"/>
          <w:szCs w:val="22"/>
        </w:rPr>
      </w:pPr>
      <w:r w:rsidRPr="00CF5B97">
        <w:rPr>
          <w:rFonts w:ascii="Arial" w:hAnsi="Arial" w:cs="Arial"/>
          <w:sz w:val="22"/>
          <w:szCs w:val="22"/>
        </w:rPr>
        <w:t xml:space="preserve">The UK and China represent two distinct business environments shaped by different cultural values and governance structures. UK companies often emphasize transparency, ethical business conduct, and direct community involvement as part of their CSR strategy, reflecting the nation’s strong corporate governance and stakeholder-driven economic model (Smith, 2020; Lee, 2022). On the other hand, Chinese firms align their CSR activities with national development goals and social harmony, demonstrating a top-down approach where government policies play a central role in shaping corporate </w:t>
      </w:r>
      <w:r w:rsidR="00380825" w:rsidRPr="00CF5B97">
        <w:rPr>
          <w:rFonts w:ascii="Arial" w:hAnsi="Arial" w:cs="Arial"/>
          <w:sz w:val="22"/>
          <w:szCs w:val="22"/>
        </w:rPr>
        <w:t>behaviour</w:t>
      </w:r>
      <w:r w:rsidRPr="00CF5B97">
        <w:rPr>
          <w:rFonts w:ascii="Arial" w:hAnsi="Arial" w:cs="Arial"/>
          <w:sz w:val="22"/>
          <w:szCs w:val="22"/>
        </w:rPr>
        <w:t xml:space="preserve"> (Chen, 2021a; Zhang &amp; Li, 2020). Understanding these contrasting CSR approaches is crucial for businesses operating in both markets, as it enables them to design community-oriented initiatives that align with local expectations and enhance their competitive advantage.</w:t>
      </w:r>
    </w:p>
    <w:p w14:paraId="1AFDBCC6" w14:textId="77777777" w:rsidR="00CF5B97" w:rsidRPr="00CF5B97" w:rsidRDefault="00CF5B97" w:rsidP="00CF5B97">
      <w:pPr>
        <w:pStyle w:val="NormalWeb"/>
        <w:rPr>
          <w:rFonts w:ascii="Arial" w:hAnsi="Arial" w:cs="Arial"/>
          <w:sz w:val="22"/>
          <w:szCs w:val="22"/>
        </w:rPr>
      </w:pPr>
      <w:r w:rsidRPr="00CF5B97">
        <w:rPr>
          <w:rFonts w:ascii="Arial" w:hAnsi="Arial" w:cs="Arial"/>
          <w:sz w:val="22"/>
          <w:szCs w:val="22"/>
        </w:rPr>
        <w:t>This research employs a qualitative secondary data analysis methodology to explore the CSR strategies of leading assembly firms in the UK and China. The study utilizes corporate reports from major industry players, including Samsung, Makita, Denso, and Stanley Black &amp; Decker, alongside academic literature, and government policy documents (Samsung, 2023; Makita, 2023; Denso, 2024; Stanley Black &amp; Decker, 2023). By analysing how these firms engage with their respective communities, this research aims to identify best practices, strategic motivations, and key challenges associated with community-oriented CSR initiatives.</w:t>
      </w:r>
    </w:p>
    <w:p w14:paraId="133FAAA9" w14:textId="0409203E" w:rsidR="00CF5B97" w:rsidRPr="00CF5B97" w:rsidRDefault="00CF5B97" w:rsidP="00CF5B97">
      <w:pPr>
        <w:pStyle w:val="NormalWeb"/>
        <w:rPr>
          <w:rFonts w:ascii="Arial" w:hAnsi="Arial" w:cs="Arial"/>
          <w:sz w:val="22"/>
          <w:szCs w:val="22"/>
        </w:rPr>
      </w:pPr>
    </w:p>
    <w:p w14:paraId="1564C0C8" w14:textId="77777777" w:rsidR="004D61DD" w:rsidRPr="00CF5B97" w:rsidRDefault="004D61DD" w:rsidP="00CF5B97">
      <w:pPr>
        <w:pStyle w:val="NormalWeb"/>
        <w:rPr>
          <w:rFonts w:ascii="Arial" w:hAnsi="Arial" w:cs="Arial"/>
          <w:sz w:val="22"/>
          <w:szCs w:val="22"/>
        </w:rPr>
      </w:pPr>
    </w:p>
    <w:p w14:paraId="405C1ED7"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1456D5B5"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5F423922"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507935E5"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32D85554"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4585D966"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6DB79545" w14:textId="77777777" w:rsidR="004D61DD" w:rsidRPr="004F2D4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4E82FDBE" w14:textId="77777777" w:rsidR="004B758D" w:rsidRDefault="004B758D" w:rsidP="00F47DDF">
      <w:pPr>
        <w:pStyle w:val="NormalWeb"/>
      </w:pPr>
    </w:p>
    <w:p w14:paraId="2F2730E3" w14:textId="77777777" w:rsidR="00776A82" w:rsidRDefault="00776A82" w:rsidP="003D0695">
      <w:pPr>
        <w:pStyle w:val="NormalWeb"/>
      </w:pPr>
    </w:p>
    <w:p w14:paraId="720B2A01" w14:textId="48669D19" w:rsidR="003D0695" w:rsidRDefault="003D0695" w:rsidP="00D255A5">
      <w:pPr>
        <w:pStyle w:val="Heading1"/>
      </w:pPr>
      <w:r>
        <w:t xml:space="preserve"> </w:t>
      </w:r>
      <w:bookmarkStart w:id="9" w:name="_Toc194248472"/>
      <w:r w:rsidR="005B23FD" w:rsidRPr="003D0695">
        <w:t>Literature review</w:t>
      </w:r>
      <w:bookmarkEnd w:id="9"/>
    </w:p>
    <w:p w14:paraId="24448C47" w14:textId="77777777" w:rsidR="003D0695" w:rsidRPr="003D0695" w:rsidRDefault="003D0695" w:rsidP="003D0695">
      <w:pPr>
        <w:pStyle w:val="Heading3"/>
        <w:numPr>
          <w:ilvl w:val="0"/>
          <w:numId w:val="0"/>
        </w:numPr>
      </w:pPr>
    </w:p>
    <w:p w14:paraId="33D9E49A" w14:textId="27BF8BA2" w:rsidR="001B7D03" w:rsidRDefault="00AE4BD9" w:rsidP="003D0695">
      <w:pPr>
        <w:pStyle w:val="Heading3"/>
        <w:numPr>
          <w:ilvl w:val="0"/>
          <w:numId w:val="0"/>
        </w:numPr>
        <w:ind w:left="720" w:hanging="720"/>
      </w:pPr>
      <w:bookmarkStart w:id="10" w:name="_Toc194248473"/>
      <w:r>
        <w:t>2.1</w:t>
      </w:r>
      <w:r w:rsidR="003D0695">
        <w:t xml:space="preserve"> </w:t>
      </w:r>
      <w:r w:rsidR="001B7D03" w:rsidRPr="003D0695">
        <w:t>Introduction to Community Orientation in Business</w:t>
      </w:r>
      <w:bookmarkEnd w:id="10"/>
    </w:p>
    <w:p w14:paraId="358A8584" w14:textId="7C65BF4A" w:rsidR="008B0081" w:rsidRPr="008B0081" w:rsidRDefault="008B0081" w:rsidP="008B0081">
      <w:pPr>
        <w:spacing w:before="100" w:beforeAutospacing="1" w:after="100" w:afterAutospacing="1" w:line="240" w:lineRule="auto"/>
        <w:rPr>
          <w:rFonts w:ascii="Arial" w:eastAsia="Times New Roman" w:hAnsi="Arial" w:cs="Arial"/>
          <w:kern w:val="0"/>
          <w:lang w:eastAsia="en-GB"/>
          <w14:ligatures w14:val="none"/>
        </w:rPr>
      </w:pPr>
      <w:r w:rsidRPr="008B0081">
        <w:rPr>
          <w:rFonts w:ascii="Arial" w:eastAsia="Times New Roman" w:hAnsi="Arial" w:cs="Arial"/>
          <w:kern w:val="0"/>
          <w:lang w:eastAsia="en-GB"/>
          <w14:ligatures w14:val="none"/>
        </w:rPr>
        <w:t>Community orientation is becoming an essential strategy for businesses involved in international trade and aiming for long-term success. Taylor and Wang (2021) highlight that incorporating community interests into business plans not only enhances resilience but also provides a competitive edge globally. This approach aligns a company's objectives with the needs and values of the communities they operate in, enabling them to better navigate market fluctuations and build strong, enduring relationships with customers, employees, and other stakeholders. Johnson (2020) discovered that effective community engagement can lead to improved company outcomes, such as increased customer loyalty, a stronger brand, and even direct financial benefits. Moreover, prioritizing community needs can facilitate market entry and mitigate risks associated with international trade.</w:t>
      </w:r>
    </w:p>
    <w:p w14:paraId="1D89E09B" w14:textId="5B3E8350" w:rsidR="000428C2" w:rsidRPr="003D0695" w:rsidRDefault="00AE4BD9" w:rsidP="003D0695">
      <w:pPr>
        <w:pStyle w:val="Heading3"/>
        <w:numPr>
          <w:ilvl w:val="0"/>
          <w:numId w:val="0"/>
        </w:numPr>
        <w:ind w:left="720" w:hanging="720"/>
      </w:pPr>
      <w:bookmarkStart w:id="11" w:name="_Toc194248474"/>
      <w:r>
        <w:t xml:space="preserve">2.2 </w:t>
      </w:r>
      <w:r w:rsidR="000428C2" w:rsidRPr="003D0695">
        <w:t>Community Orientation: Global Trends and Local Contexts</w:t>
      </w:r>
      <w:bookmarkEnd w:id="11"/>
    </w:p>
    <w:p w14:paraId="0D2827A1" w14:textId="7BC0C478" w:rsidR="00431452" w:rsidRPr="004F2D4D" w:rsidRDefault="00431452"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 xml:space="preserve">Corporate social responsibility (CSR) is now seen as crucial for the long-term health of businesses around the world. </w:t>
      </w:r>
      <w:r w:rsidR="002E2DBE" w:rsidRPr="002E2DBE">
        <w:rPr>
          <w:rFonts w:ascii="Arial" w:eastAsia="Times New Roman" w:hAnsi="Arial" w:cs="Arial"/>
          <w:kern w:val="0"/>
          <w:lang w:eastAsia="en-GB"/>
          <w14:ligatures w14:val="none"/>
        </w:rPr>
        <w:t>Hamilton, F., &amp; Webster, B. (2019)</w:t>
      </w:r>
      <w:r w:rsidR="002E2DBE" w:rsidRPr="004F2D4D">
        <w:rPr>
          <w:rFonts w:ascii="Arial" w:eastAsia="Times New Roman" w:hAnsi="Arial" w:cs="Arial"/>
          <w:kern w:val="0"/>
          <w:lang w:eastAsia="en-GB"/>
          <w14:ligatures w14:val="none"/>
        </w:rPr>
        <w:t xml:space="preserve"> stress</w:t>
      </w:r>
      <w:r w:rsidRPr="004F2D4D">
        <w:rPr>
          <w:rFonts w:ascii="Arial" w:eastAsia="Times New Roman" w:hAnsi="Arial" w:cs="Arial"/>
          <w:kern w:val="0"/>
          <w:lang w:eastAsia="en-GB"/>
          <w14:ligatures w14:val="none"/>
        </w:rPr>
        <w:t xml:space="preserve"> that community-</w:t>
      </w:r>
      <w:r w:rsidR="00C1520C" w:rsidRPr="004F2D4D">
        <w:rPr>
          <w:rFonts w:ascii="Arial" w:eastAsia="Times New Roman" w:hAnsi="Arial" w:cs="Arial"/>
          <w:kern w:val="0"/>
          <w:lang w:eastAsia="en-GB"/>
          <w14:ligatures w14:val="none"/>
        </w:rPr>
        <w:t>cantered</w:t>
      </w:r>
      <w:r w:rsidRPr="004F2D4D">
        <w:rPr>
          <w:rFonts w:ascii="Arial" w:eastAsia="Times New Roman" w:hAnsi="Arial" w:cs="Arial"/>
          <w:kern w:val="0"/>
          <w:lang w:eastAsia="en-GB"/>
          <w14:ligatures w14:val="none"/>
        </w:rPr>
        <w:t xml:space="preserve"> practices are important not just for ethical reasons but also for sustainability. Lee (2022) notes that recent environmental and social challenges have pushed companies to actively include community welfare in their daily operations.</w:t>
      </w:r>
    </w:p>
    <w:p w14:paraId="5884F500" w14:textId="77777777" w:rsidR="00431452" w:rsidRPr="004F2D4D" w:rsidRDefault="00431452"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The way CSR is applied differs greatly depending on local cultural and economic conditions, especially in the UK and China. In the UK, CSR efforts are shaped by customer expectations and laws that require companies to be open and environmentally responsible, leading to strong community ties. In China, however, CSR is more about meeting national objectives and traditional values, with a focus on social harmony and the collective good. These differences underline how cultural values can influence how CSR is put into practice and how businesses interact with their communities.</w:t>
      </w:r>
    </w:p>
    <w:p w14:paraId="7B81F37F" w14:textId="77777777" w:rsidR="00BC724D" w:rsidRDefault="00BC724D" w:rsidP="000428C2">
      <w:pPr>
        <w:pStyle w:val="NormalWeb"/>
      </w:pPr>
    </w:p>
    <w:p w14:paraId="096A9523" w14:textId="5CDDE618" w:rsidR="000428C2" w:rsidRPr="003D0695" w:rsidRDefault="00AE4BD9" w:rsidP="003D0695">
      <w:pPr>
        <w:pStyle w:val="Heading3"/>
        <w:numPr>
          <w:ilvl w:val="0"/>
          <w:numId w:val="0"/>
        </w:numPr>
        <w:ind w:left="720" w:hanging="720"/>
      </w:pPr>
      <w:bookmarkStart w:id="12" w:name="_Toc194248475"/>
      <w:r>
        <w:t xml:space="preserve">2.3 </w:t>
      </w:r>
      <w:r w:rsidR="000428C2" w:rsidRPr="003D0695">
        <w:t>The Impact of Community Orientation on Business Performance</w:t>
      </w:r>
      <w:bookmarkEnd w:id="12"/>
    </w:p>
    <w:p w14:paraId="183D18C7" w14:textId="77777777" w:rsidR="00BC724D" w:rsidRPr="004F2D4D" w:rsidRDefault="00BC724D"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lastRenderedPageBreak/>
        <w:t>Community orientation significantly enhances business performance by improving financial outcomes, customer loyalty, and employee satisfaction. Norton and Hughes (2022) demonstrate that companies deeply engaged in community practices not only foster customer loyalty but also enhance employee satisfaction, leading to better financial results.</w:t>
      </w:r>
    </w:p>
    <w:p w14:paraId="7AEC512C" w14:textId="77777777" w:rsidR="00BC724D" w:rsidRPr="004F2D4D" w:rsidRDefault="00BC724D"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Smith (2020) explores strategies UK companies use to engage with communities, such as local projects and partnerships, which enhance public perception and strengthen international trade. These efforts build trust and facilitate smoother international operations, opening access to new markets.</w:t>
      </w:r>
    </w:p>
    <w:p w14:paraId="56F2FEBE" w14:textId="77777777" w:rsidR="00BC724D" w:rsidRPr="004F2D4D" w:rsidRDefault="00BC724D"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Furthermore, companies active in community engagement gain a market edge, boosting customer retention and attracting new clients who value corporate responsibility. These companies also experience lower employee turnover and higher engagement, reducing costs associated with recruitment and training, and increasing operational efficiency.</w:t>
      </w:r>
    </w:p>
    <w:p w14:paraId="43239F4E" w14:textId="77777777" w:rsidR="00BC724D" w:rsidRPr="004F2D4D" w:rsidRDefault="00BC724D"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This section consolidates how community orientation not only builds a positive corporate image and meets ethical standards but also strategically drives business growth and sustainability, marking it as a crucial element of modern business strategy.</w:t>
      </w:r>
    </w:p>
    <w:p w14:paraId="4ED9E543" w14:textId="77777777" w:rsidR="00BC724D" w:rsidRDefault="00BC724D" w:rsidP="003D0695">
      <w:pPr>
        <w:pStyle w:val="Heading3"/>
        <w:numPr>
          <w:ilvl w:val="0"/>
          <w:numId w:val="0"/>
        </w:numPr>
        <w:ind w:left="720" w:hanging="720"/>
      </w:pPr>
    </w:p>
    <w:p w14:paraId="5D0C820D" w14:textId="3A8A830A" w:rsidR="000428C2" w:rsidRPr="003D0695" w:rsidRDefault="00AE4BD9" w:rsidP="003D0695">
      <w:pPr>
        <w:pStyle w:val="Heading3"/>
        <w:numPr>
          <w:ilvl w:val="0"/>
          <w:numId w:val="0"/>
        </w:numPr>
        <w:ind w:left="720" w:hanging="720"/>
      </w:pPr>
      <w:bookmarkStart w:id="13" w:name="_Toc194248476"/>
      <w:r>
        <w:t>2</w:t>
      </w:r>
      <w:r w:rsidR="003D0695">
        <w:t xml:space="preserve">.4 </w:t>
      </w:r>
      <w:r w:rsidR="000428C2" w:rsidRPr="003D0695">
        <w:t>Challenges and Opportunities in Community-Oriented Business Practices</w:t>
      </w:r>
      <w:bookmarkEnd w:id="13"/>
    </w:p>
    <w:p w14:paraId="3F11266B" w14:textId="77777777" w:rsidR="00971C39" w:rsidRPr="003D0695" w:rsidRDefault="00971C39" w:rsidP="00971C39">
      <w:pPr>
        <w:rPr>
          <w:rFonts w:ascii="Times New Roman" w:eastAsia="Times New Roman" w:hAnsi="Times New Roman" w:cs="Times New Roman"/>
          <w:kern w:val="0"/>
          <w:sz w:val="24"/>
          <w:szCs w:val="24"/>
          <w:lang w:eastAsia="en-GB"/>
          <w14:ligatures w14:val="none"/>
        </w:rPr>
      </w:pPr>
    </w:p>
    <w:p w14:paraId="0FFBBC8D" w14:textId="77777777" w:rsidR="00971C39" w:rsidRPr="004F2D4D" w:rsidRDefault="00971C39"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Adopting community-oriented business practices presents challenges in international markets due to diverse cultural and regulatory landscapes. Chen (2021) discusses the difficulties Asian companies face when aligning their corporate social responsibility (CSR) practices with Western standards, which differ significantly in community involvement expectations. These discrepancies can complicate international collaborations and market entries, affecting partnership dynamics and brand perception abroad.</w:t>
      </w:r>
    </w:p>
    <w:p w14:paraId="477D335B" w14:textId="77777777" w:rsidR="00971C39" w:rsidRPr="004F2D4D" w:rsidRDefault="00971C39"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Olsen and Zhao (2021) examine the specific challenges and opportunities in British and Chinese business partnerships, noting cultural and regulatory differences that require careful management. For instance, while British companies may emphasize transparency and direct community engagement, Chinese firms often prioritize government relationships and indirect community benefits. Successfully navigating these differences is crucial for the success of joint ventures and projects.</w:t>
      </w:r>
    </w:p>
    <w:p w14:paraId="29280480" w14:textId="77777777" w:rsidR="00971C39" w:rsidRPr="004F2D4D" w:rsidRDefault="00971C39"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This section explores how addressing these challenges opens opportunities for innovation and growth in international trade. Integrating community-oriented practices that align with local norms enhances reputation, builds trust, and strengthens relationships with local stakeholders, facilitating smoother market entries and bolstering long-term sustainability. Additionally, community orientation can differentiate a company in new markets, attracting customers and partners who value social responsibility, offering a competitive edge in environments that prioritize corporate ethics and community impact.</w:t>
      </w:r>
    </w:p>
    <w:p w14:paraId="79753C34" w14:textId="08703335" w:rsidR="00CF3F2E" w:rsidRPr="003D0695" w:rsidRDefault="00AE4BD9" w:rsidP="003D0695">
      <w:pPr>
        <w:pStyle w:val="Heading3"/>
        <w:numPr>
          <w:ilvl w:val="0"/>
          <w:numId w:val="0"/>
        </w:numPr>
        <w:ind w:left="720" w:hanging="720"/>
      </w:pPr>
      <w:bookmarkStart w:id="14" w:name="_Toc194248477"/>
      <w:r>
        <w:t>2</w:t>
      </w:r>
      <w:r w:rsidR="003D0695">
        <w:t>.</w:t>
      </w:r>
      <w:r w:rsidR="00731F31">
        <w:t>5</w:t>
      </w:r>
      <w:r w:rsidR="003D0695">
        <w:t xml:space="preserve"> </w:t>
      </w:r>
      <w:r w:rsidR="00CF3F2E" w:rsidRPr="003D0695">
        <w:t>Integrating CSR and Cultural Dimensions</w:t>
      </w:r>
      <w:bookmarkEnd w:id="14"/>
    </w:p>
    <w:p w14:paraId="21938051" w14:textId="77777777" w:rsidR="00CF3F2E" w:rsidRPr="004F2D4D" w:rsidRDefault="00CF3F2E" w:rsidP="00CF3F2E">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 xml:space="preserve">The integration of CSR practices and the understanding of cultural dimensions are crucial for UK and China assembly businesses. As companies increasingly operate in a global context, the ability to navigate and align these practices with cultural values becomes essential for maintaining competitiveness and ethical integrity in international markets. For instance, while </w:t>
      </w:r>
      <w:r w:rsidRPr="004F2D4D">
        <w:rPr>
          <w:rFonts w:ascii="Arial" w:eastAsia="Times New Roman" w:hAnsi="Arial" w:cs="Arial"/>
          <w:kern w:val="0"/>
          <w:lang w:eastAsia="en-GB"/>
          <w14:ligatures w14:val="none"/>
        </w:rPr>
        <w:lastRenderedPageBreak/>
        <w:t>CSR in China might focus more on improving societal conditions as per government directives, in the UK, it might lean towards enhancing corporate governance and environmental sustainability (Lee, 2022).</w:t>
      </w:r>
    </w:p>
    <w:p w14:paraId="163096F7" w14:textId="77777777" w:rsidR="00DB767E" w:rsidRPr="004F2D4D" w:rsidRDefault="00CF3F2E" w:rsidP="003D0695">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Moreover, the understanding of cultural dimensions helps businesses in both countries to tailor their CSR activities according to the cultural expectations and norms of their respective societies. This not only enhances the effectiveness of these initiatives but also ensures better local community engagement and support (Hamilton &amp; Webster, 2019).</w:t>
      </w:r>
    </w:p>
    <w:p w14:paraId="72D04C81" w14:textId="06BF1F97" w:rsidR="00DB767E" w:rsidRPr="003D0695" w:rsidRDefault="00DB767E" w:rsidP="003D0695">
      <w:pPr>
        <w:pStyle w:val="Heading3"/>
        <w:numPr>
          <w:ilvl w:val="0"/>
          <w:numId w:val="0"/>
        </w:numPr>
        <w:ind w:left="720" w:hanging="720"/>
      </w:pPr>
      <w:r w:rsidRPr="003D0695">
        <w:t xml:space="preserve"> </w:t>
      </w:r>
      <w:bookmarkStart w:id="15" w:name="_Toc194248478"/>
      <w:r w:rsidR="00AE4BD9">
        <w:t>2</w:t>
      </w:r>
      <w:r w:rsidR="006A23B0">
        <w:t>.</w:t>
      </w:r>
      <w:r w:rsidR="00731F31">
        <w:t>6</w:t>
      </w:r>
      <w:r w:rsidR="006A23B0">
        <w:t xml:space="preserve"> UK</w:t>
      </w:r>
      <w:r w:rsidRPr="003D0695">
        <w:t xml:space="preserve"> vs. China in CSR Implementation</w:t>
      </w:r>
      <w:bookmarkEnd w:id="15"/>
    </w:p>
    <w:p w14:paraId="3C13DA96" w14:textId="77777777" w:rsidR="00DB767E" w:rsidRPr="004F2D4D" w:rsidRDefault="00DB767E" w:rsidP="003D0695">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CSR implementation in the UK and China differs due to variations in Hofstede’s cultural dimensions, which influence governance structures, business priorities, and CSR execution.</w:t>
      </w:r>
    </w:p>
    <w:p w14:paraId="60B591B8" w14:textId="77777777" w:rsidR="00DB767E" w:rsidRPr="004F2D4D" w:rsidRDefault="00DB767E" w:rsidP="00B955E1">
      <w:pPr>
        <w:pStyle w:val="NormalWeb"/>
        <w:numPr>
          <w:ilvl w:val="0"/>
          <w:numId w:val="12"/>
        </w:numPr>
        <w:rPr>
          <w:rFonts w:ascii="Arial" w:hAnsi="Arial" w:cs="Arial"/>
          <w:sz w:val="22"/>
          <w:szCs w:val="22"/>
        </w:rPr>
      </w:pPr>
      <w:r w:rsidRPr="004F2D4D">
        <w:rPr>
          <w:rStyle w:val="Strong"/>
          <w:rFonts w:ascii="Arial" w:hAnsi="Arial" w:cs="Arial"/>
          <w:b w:val="0"/>
          <w:bCs w:val="0"/>
          <w:sz w:val="22"/>
          <w:szCs w:val="22"/>
        </w:rPr>
        <w:t>Power Distance</w:t>
      </w:r>
      <w:r w:rsidRPr="004F2D4D">
        <w:rPr>
          <w:rFonts w:ascii="Arial" w:hAnsi="Arial" w:cs="Arial"/>
          <w:sz w:val="22"/>
          <w:szCs w:val="22"/>
        </w:rPr>
        <w:t xml:space="preserve">: China scores </w:t>
      </w:r>
      <w:r w:rsidRPr="004F2D4D">
        <w:rPr>
          <w:rStyle w:val="Strong"/>
          <w:rFonts w:ascii="Arial" w:hAnsi="Arial" w:cs="Arial"/>
          <w:b w:val="0"/>
          <w:bCs w:val="0"/>
          <w:sz w:val="22"/>
          <w:szCs w:val="22"/>
        </w:rPr>
        <w:t>high in power distance</w:t>
      </w:r>
      <w:r w:rsidRPr="004F2D4D">
        <w:rPr>
          <w:rFonts w:ascii="Arial" w:hAnsi="Arial" w:cs="Arial"/>
          <w:sz w:val="22"/>
          <w:szCs w:val="22"/>
        </w:rPr>
        <w:t xml:space="preserve">, indicating a hierarchical corporate structure where CSR is often driven by government directives (Hofstede, 2011). In contrast, the UK has a </w:t>
      </w:r>
      <w:r w:rsidRPr="004F2D4D">
        <w:rPr>
          <w:rStyle w:val="Strong"/>
          <w:rFonts w:ascii="Arial" w:hAnsi="Arial" w:cs="Arial"/>
          <w:b w:val="0"/>
          <w:bCs w:val="0"/>
          <w:sz w:val="22"/>
          <w:szCs w:val="22"/>
        </w:rPr>
        <w:t>low power distance</w:t>
      </w:r>
      <w:r w:rsidRPr="004F2D4D">
        <w:rPr>
          <w:rFonts w:ascii="Arial" w:hAnsi="Arial" w:cs="Arial"/>
          <w:sz w:val="22"/>
          <w:szCs w:val="22"/>
        </w:rPr>
        <w:t>, promoting decentralized decision-making and stakeholder-driven CSR models (Smith, 2020). This difference explains why UK firms voluntarily integrate CSR as part of their ethical responsibility, while Chinese firms prioritize compliance with government-led sustainability policies (Zhang &amp; Li, 2020).</w:t>
      </w:r>
    </w:p>
    <w:p w14:paraId="30A428E5" w14:textId="77777777" w:rsidR="00DB767E" w:rsidRPr="004F2D4D" w:rsidRDefault="00DB767E" w:rsidP="00B955E1">
      <w:pPr>
        <w:pStyle w:val="NormalWeb"/>
        <w:numPr>
          <w:ilvl w:val="0"/>
          <w:numId w:val="12"/>
        </w:numPr>
        <w:rPr>
          <w:rFonts w:ascii="Arial" w:hAnsi="Arial" w:cs="Arial"/>
          <w:sz w:val="22"/>
          <w:szCs w:val="22"/>
        </w:rPr>
      </w:pPr>
      <w:r w:rsidRPr="004F2D4D">
        <w:rPr>
          <w:rStyle w:val="Strong"/>
          <w:rFonts w:ascii="Arial" w:hAnsi="Arial" w:cs="Arial"/>
          <w:b w:val="0"/>
          <w:bCs w:val="0"/>
          <w:sz w:val="22"/>
          <w:szCs w:val="22"/>
        </w:rPr>
        <w:t>Individualism vs. Collectivism</w:t>
      </w:r>
      <w:r w:rsidRPr="004F2D4D">
        <w:rPr>
          <w:rFonts w:ascii="Arial" w:hAnsi="Arial" w:cs="Arial"/>
          <w:sz w:val="22"/>
          <w:szCs w:val="22"/>
        </w:rPr>
        <w:t xml:space="preserve">: The UK’s </w:t>
      </w:r>
      <w:r w:rsidRPr="004F2D4D">
        <w:rPr>
          <w:rStyle w:val="Strong"/>
          <w:rFonts w:ascii="Arial" w:hAnsi="Arial" w:cs="Arial"/>
          <w:b w:val="0"/>
          <w:bCs w:val="0"/>
          <w:sz w:val="22"/>
          <w:szCs w:val="22"/>
        </w:rPr>
        <w:t>high individualism</w:t>
      </w:r>
      <w:r w:rsidRPr="004F2D4D">
        <w:rPr>
          <w:rFonts w:ascii="Arial" w:hAnsi="Arial" w:cs="Arial"/>
          <w:sz w:val="22"/>
          <w:szCs w:val="22"/>
        </w:rPr>
        <w:t xml:space="preserve"> fosters direct community engagement, transparency, and employee welfare initiatives (Lee, 2022). Chinese companies, rooted in </w:t>
      </w:r>
      <w:r w:rsidRPr="004F2D4D">
        <w:rPr>
          <w:rStyle w:val="Strong"/>
          <w:rFonts w:ascii="Arial" w:hAnsi="Arial" w:cs="Arial"/>
          <w:b w:val="0"/>
          <w:bCs w:val="0"/>
          <w:sz w:val="22"/>
          <w:szCs w:val="22"/>
        </w:rPr>
        <w:t>collectivist values</w:t>
      </w:r>
      <w:r w:rsidRPr="004F2D4D">
        <w:rPr>
          <w:rFonts w:ascii="Arial" w:hAnsi="Arial" w:cs="Arial"/>
          <w:sz w:val="22"/>
          <w:szCs w:val="22"/>
        </w:rPr>
        <w:t>, focus on national development goals and government-approved CSR projects, ensuring social harmony rather than independent corporate philanthropy (Chen, 2021b).</w:t>
      </w:r>
    </w:p>
    <w:p w14:paraId="24C1A5FF" w14:textId="77777777" w:rsidR="00DB767E" w:rsidRPr="004F2D4D" w:rsidRDefault="00DB767E" w:rsidP="00B955E1">
      <w:pPr>
        <w:pStyle w:val="NormalWeb"/>
        <w:numPr>
          <w:ilvl w:val="0"/>
          <w:numId w:val="12"/>
        </w:numPr>
        <w:rPr>
          <w:rFonts w:ascii="Arial" w:hAnsi="Arial" w:cs="Arial"/>
          <w:sz w:val="22"/>
          <w:szCs w:val="22"/>
        </w:rPr>
      </w:pPr>
      <w:r w:rsidRPr="004F2D4D">
        <w:rPr>
          <w:rStyle w:val="Strong"/>
          <w:rFonts w:ascii="Arial" w:hAnsi="Arial" w:cs="Arial"/>
          <w:b w:val="0"/>
          <w:bCs w:val="0"/>
          <w:sz w:val="22"/>
          <w:szCs w:val="22"/>
        </w:rPr>
        <w:t>Long-Term Orientation</w:t>
      </w:r>
      <w:r w:rsidRPr="004F2D4D">
        <w:rPr>
          <w:rFonts w:ascii="Arial" w:hAnsi="Arial" w:cs="Arial"/>
          <w:sz w:val="22"/>
          <w:szCs w:val="22"/>
        </w:rPr>
        <w:t xml:space="preserve">: Both the UK and China exhibit </w:t>
      </w:r>
      <w:r w:rsidRPr="004F2D4D">
        <w:rPr>
          <w:rStyle w:val="Strong"/>
          <w:rFonts w:ascii="Arial" w:hAnsi="Arial" w:cs="Arial"/>
          <w:b w:val="0"/>
          <w:bCs w:val="0"/>
          <w:sz w:val="22"/>
          <w:szCs w:val="22"/>
        </w:rPr>
        <w:t>long-term strategic planning</w:t>
      </w:r>
      <w:r w:rsidRPr="004F2D4D">
        <w:rPr>
          <w:rFonts w:ascii="Arial" w:hAnsi="Arial" w:cs="Arial"/>
          <w:sz w:val="22"/>
          <w:szCs w:val="22"/>
        </w:rPr>
        <w:t>, but with different motivations. UK companies aim for sustained corporate reputation and consumer trust through ESG compliance (Smith, 2020), while Chinese firms align CSR with the country’s economic development agenda for long-term market stability (Hofstede Insights, 2021).</w:t>
      </w:r>
    </w:p>
    <w:p w14:paraId="3409E215" w14:textId="77777777" w:rsidR="00DB767E" w:rsidRPr="004F2D4D" w:rsidRDefault="00DB767E"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For instance, Samsung (2023) emphasizes CSR through its global sustainability goals, aligning with both UK consumer expectations and China’s state-driven industrial policies. Meanwhile, Makita (2023) and Stanley Black &amp; Decker (2023) integrate CSR into community development projects in the UK, whereas Denso (2024) follows government-supported green manufacturing initiatives in China. These examples illustrate how CSR adaptation to national policies enhances business resilience and regulatory compliance.</w:t>
      </w:r>
    </w:p>
    <w:p w14:paraId="1CDD534F" w14:textId="3B95F258" w:rsidR="001363D8" w:rsidRPr="00731F31" w:rsidRDefault="00AE4BD9" w:rsidP="00731F31">
      <w:pPr>
        <w:pStyle w:val="Heading3"/>
        <w:numPr>
          <w:ilvl w:val="0"/>
          <w:numId w:val="0"/>
        </w:numPr>
        <w:ind w:left="720" w:hanging="720"/>
      </w:pPr>
      <w:bookmarkStart w:id="16" w:name="_Toc194248479"/>
      <w:r>
        <w:t>2</w:t>
      </w:r>
      <w:r w:rsidR="001363D8">
        <w:t>.</w:t>
      </w:r>
      <w:r w:rsidR="00731F31" w:rsidRPr="00731F31">
        <w:t>7</w:t>
      </w:r>
      <w:r w:rsidR="001363D8">
        <w:t xml:space="preserve"> </w:t>
      </w:r>
      <w:r w:rsidR="001363D8" w:rsidRPr="00772B03">
        <w:t>Integrating CSR and Cultural Dimensions</w:t>
      </w:r>
      <w:bookmarkEnd w:id="16"/>
    </w:p>
    <w:p w14:paraId="71D1C39B" w14:textId="77777777" w:rsidR="001363D8" w:rsidRPr="007D76AE" w:rsidRDefault="001363D8" w:rsidP="001363D8">
      <w:pPr>
        <w:spacing w:before="100" w:beforeAutospacing="1" w:after="100" w:afterAutospacing="1" w:line="240" w:lineRule="auto"/>
        <w:rPr>
          <w:rFonts w:ascii="Arial" w:eastAsia="Times New Roman" w:hAnsi="Arial" w:cs="Arial"/>
          <w:kern w:val="0"/>
          <w:lang w:eastAsia="en-GB"/>
          <w14:ligatures w14:val="none"/>
        </w:rPr>
      </w:pPr>
      <w:r w:rsidRPr="007D76AE">
        <w:rPr>
          <w:rFonts w:ascii="Arial" w:eastAsia="Times New Roman" w:hAnsi="Arial" w:cs="Arial"/>
          <w:kern w:val="0"/>
          <w:lang w:eastAsia="en-GB"/>
          <w14:ligatures w14:val="none"/>
        </w:rPr>
        <w:t>The integration of corporate social responsibility (CSR) practices with cultural dimensions plays a crucial role in shaping business strategies for assembly companies in the UK and China. As businesses expand globally, aligning CSR initiatives with cultural values becomes essential for maintaining competitiveness and upholding ethical business practices in international markets.</w:t>
      </w:r>
    </w:p>
    <w:p w14:paraId="1749FD35" w14:textId="77777777" w:rsidR="001363D8" w:rsidRPr="007D76AE" w:rsidRDefault="001363D8" w:rsidP="001363D8">
      <w:pPr>
        <w:spacing w:before="100" w:beforeAutospacing="1" w:after="100" w:afterAutospacing="1" w:line="240" w:lineRule="auto"/>
        <w:rPr>
          <w:rFonts w:ascii="Arial" w:eastAsia="Times New Roman" w:hAnsi="Arial" w:cs="Arial"/>
          <w:kern w:val="0"/>
          <w:lang w:eastAsia="en-GB"/>
          <w14:ligatures w14:val="none"/>
        </w:rPr>
      </w:pPr>
      <w:r w:rsidRPr="007D76AE">
        <w:rPr>
          <w:rFonts w:ascii="Arial" w:eastAsia="Times New Roman" w:hAnsi="Arial" w:cs="Arial"/>
          <w:kern w:val="0"/>
          <w:lang w:eastAsia="en-GB"/>
          <w14:ligatures w14:val="none"/>
        </w:rPr>
        <w:t xml:space="preserve">CSR priorities often reflect cultural differences in business environments. For example, Denso (2024) highlights a strong focus on product quality, reliability, and continuous improvement, which aligns with the Japanese corporate philosophy of "Kaizen" (continuous improvement). This emphasis extends to its operations in China, where companies prioritize collective well-being and national development goals. Similarly, Samsung (2023) integrates </w:t>
      </w:r>
      <w:r w:rsidRPr="007D76AE">
        <w:rPr>
          <w:rFonts w:ascii="Arial" w:eastAsia="Times New Roman" w:hAnsi="Arial" w:cs="Arial"/>
          <w:kern w:val="0"/>
          <w:lang w:eastAsia="en-GB"/>
          <w14:ligatures w14:val="none"/>
        </w:rPr>
        <w:lastRenderedPageBreak/>
        <w:t>sustainability initiatives with a focus on environmental and social governance (ESG) in line with global expectations while adapting its strategies to local market requirements.</w:t>
      </w:r>
    </w:p>
    <w:p w14:paraId="0C83A350" w14:textId="77777777" w:rsidR="001363D8" w:rsidRPr="007D76AE" w:rsidRDefault="001363D8" w:rsidP="001363D8">
      <w:pPr>
        <w:spacing w:before="100" w:beforeAutospacing="1" w:after="100" w:afterAutospacing="1" w:line="240" w:lineRule="auto"/>
        <w:rPr>
          <w:rFonts w:ascii="Arial" w:eastAsia="Times New Roman" w:hAnsi="Arial" w:cs="Arial"/>
          <w:kern w:val="0"/>
          <w:lang w:eastAsia="en-GB"/>
          <w14:ligatures w14:val="none"/>
        </w:rPr>
      </w:pPr>
      <w:r w:rsidRPr="007D76AE">
        <w:rPr>
          <w:rFonts w:ascii="Arial" w:eastAsia="Times New Roman" w:hAnsi="Arial" w:cs="Arial"/>
          <w:kern w:val="0"/>
          <w:lang w:eastAsia="en-GB"/>
          <w14:ligatures w14:val="none"/>
        </w:rPr>
        <w:t>In contrast, UK-based companies, such as Makita (2023), emphasize sustainability and environmental responsibility, mirroring the Western approach to CSR. Makita's report outlines its commitment to reducing environmental impact by expanding its range of cordless power tools and aligning its practices with global sustainability standards. Meanwhile, Stanley Black &amp; Decker (2023) highlights CSR efforts aimed at strengthening local community engagement and workforce development through training initiatives. These examples demonstrate that while businesses in China may focus on CSR as part of a broader government-led social agenda, UK companies tend to prioritize transparency, corporate governance, and direct community involvement.</w:t>
      </w:r>
    </w:p>
    <w:p w14:paraId="311CEB5C" w14:textId="77777777" w:rsidR="001363D8" w:rsidRPr="007D76AE" w:rsidRDefault="001363D8" w:rsidP="001363D8">
      <w:pPr>
        <w:spacing w:before="100" w:beforeAutospacing="1" w:after="100" w:afterAutospacing="1" w:line="240" w:lineRule="auto"/>
        <w:rPr>
          <w:rFonts w:ascii="Arial" w:eastAsia="Times New Roman" w:hAnsi="Arial" w:cs="Arial"/>
          <w:kern w:val="0"/>
          <w:lang w:eastAsia="en-GB"/>
          <w14:ligatures w14:val="none"/>
        </w:rPr>
      </w:pPr>
      <w:r w:rsidRPr="007D76AE">
        <w:rPr>
          <w:rFonts w:ascii="Arial" w:eastAsia="Times New Roman" w:hAnsi="Arial" w:cs="Arial"/>
          <w:kern w:val="0"/>
          <w:lang w:eastAsia="en-GB"/>
          <w14:ligatures w14:val="none"/>
        </w:rPr>
        <w:t>These differences align with Hofstede’s (2011) cultural dimensions, which illustrate that China has a high-power distance, indicating a hierarchical structure where CSR initiatives are often government-led. Conversely, the UK’s low power distance fosters more decentralized decision-making, allowing companies greater autonomy in shaping CSR policies that align with consumer expectations. Additionally, both countries score high on long-term orientation, reinforcing the importance of sustainable practices as part of business strategy (Hofstede Insights, 2021).</w:t>
      </w:r>
    </w:p>
    <w:p w14:paraId="3D7E0436" w14:textId="77777777" w:rsidR="001363D8" w:rsidRPr="007D76AE" w:rsidRDefault="001363D8" w:rsidP="001363D8">
      <w:pPr>
        <w:spacing w:before="100" w:beforeAutospacing="1" w:after="100" w:afterAutospacing="1" w:line="240" w:lineRule="auto"/>
        <w:rPr>
          <w:rFonts w:ascii="Arial" w:eastAsia="Times New Roman" w:hAnsi="Arial" w:cs="Arial"/>
          <w:kern w:val="0"/>
          <w:lang w:eastAsia="en-GB"/>
          <w14:ligatures w14:val="none"/>
        </w:rPr>
      </w:pPr>
      <w:r w:rsidRPr="007D76AE">
        <w:rPr>
          <w:rFonts w:ascii="Arial" w:eastAsia="Times New Roman" w:hAnsi="Arial" w:cs="Arial"/>
          <w:kern w:val="0"/>
          <w:lang w:eastAsia="en-GB"/>
          <w14:ligatures w14:val="none"/>
        </w:rPr>
        <w:t>Understanding these cultural differences allows businesses to tailor their CSR activities in ways that resonate with local societal norms. Companies operating in the UK must ensure their CSR initiatives align with consumer expectations of environmental stewardship and social responsibility, while businesses in China benefit from aligning with national economic and social priorities (Makita, 2023; Samsung, 2023).</w:t>
      </w:r>
    </w:p>
    <w:p w14:paraId="32AE6CC8" w14:textId="7A330D2D" w:rsidR="00CF3F2E" w:rsidRPr="004F2D4D" w:rsidRDefault="00CF3F2E" w:rsidP="00CF3F2E">
      <w:pPr>
        <w:spacing w:before="100" w:beforeAutospacing="1" w:after="100" w:afterAutospacing="1" w:line="240" w:lineRule="auto"/>
        <w:rPr>
          <w:rFonts w:ascii="Arial" w:eastAsia="Times New Roman" w:hAnsi="Arial" w:cs="Arial"/>
          <w:kern w:val="0"/>
          <w:lang w:eastAsia="en-GB"/>
          <w14:ligatures w14:val="none"/>
        </w:rPr>
      </w:pPr>
    </w:p>
    <w:p w14:paraId="22E0C319" w14:textId="77777777" w:rsidR="00DB767E" w:rsidRPr="004F2D4D" w:rsidRDefault="00DB767E" w:rsidP="00CF3F2E">
      <w:pPr>
        <w:spacing w:before="100" w:beforeAutospacing="1" w:after="100" w:afterAutospacing="1" w:line="240" w:lineRule="auto"/>
        <w:rPr>
          <w:rFonts w:ascii="Arial" w:eastAsia="Times New Roman" w:hAnsi="Arial" w:cs="Arial"/>
          <w:kern w:val="0"/>
          <w:lang w:eastAsia="en-GB"/>
          <w14:ligatures w14:val="none"/>
        </w:rPr>
      </w:pPr>
    </w:p>
    <w:p w14:paraId="022E0BCB" w14:textId="5D110A36" w:rsidR="00772B03" w:rsidRPr="00731F31" w:rsidRDefault="00AE4BD9" w:rsidP="00731F31">
      <w:pPr>
        <w:pStyle w:val="Heading3"/>
        <w:numPr>
          <w:ilvl w:val="0"/>
          <w:numId w:val="0"/>
        </w:numPr>
        <w:ind w:left="720" w:hanging="720"/>
      </w:pPr>
      <w:bookmarkStart w:id="17" w:name="_Toc194248480"/>
      <w:r>
        <w:t>2</w:t>
      </w:r>
      <w:r w:rsidR="00D255A5">
        <w:t>.</w:t>
      </w:r>
      <w:r w:rsidR="00731F31" w:rsidRPr="00731F31">
        <w:t>8</w:t>
      </w:r>
      <w:r w:rsidR="00D255A5">
        <w:t xml:space="preserve"> </w:t>
      </w:r>
      <w:r w:rsidR="00772B03" w:rsidRPr="00772B03">
        <w:t>Justification for the Choice of Countries and Sector</w:t>
      </w:r>
      <w:bookmarkEnd w:id="17"/>
    </w:p>
    <w:p w14:paraId="3B871229" w14:textId="77777777" w:rsidR="00772B03" w:rsidRPr="004F2D4D" w:rsidRDefault="00772B03" w:rsidP="00772B03">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The selection of the UK and China for this study is strategic due to their prominent roles in global trade and their distinct approaches to community orientation and CSR. China remains a major manufacturing hub with strong government influence over CSR strategies, while the UK promotes corporate-driven CSR initiatives shaped by consumer expectations and regulatory frameworks (Stanley Black &amp; Decker, 2023).</w:t>
      </w:r>
    </w:p>
    <w:p w14:paraId="47D07734" w14:textId="77777777" w:rsidR="00772B03" w:rsidRDefault="00772B03" w:rsidP="00772B03">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The assembly sector serves as an ideal focal point for examining how businesses integrate community values within different regulatory and cultural landscapes. As highlighted by Denso (2024) and Samsung (2023), companies in this sector must balance efficiency with sustainability, ensuring their CSR initiatives align with both market expectations and regulatory requirements. Given the increasing emphasis on sustainable business practices worldwide, investigating the role of CSR in the assembly industry provides valuable insights into how companies adapt their strategies to different cultural and economic environments.</w:t>
      </w:r>
    </w:p>
    <w:p w14:paraId="72DE09A9" w14:textId="77777777" w:rsidR="00046EFC" w:rsidRDefault="00046EFC" w:rsidP="00772B03">
      <w:pPr>
        <w:spacing w:before="100" w:beforeAutospacing="1" w:after="100" w:afterAutospacing="1" w:line="240" w:lineRule="auto"/>
        <w:rPr>
          <w:rFonts w:ascii="Arial" w:eastAsia="Times New Roman" w:hAnsi="Arial" w:cs="Arial"/>
          <w:kern w:val="0"/>
          <w:lang w:eastAsia="en-GB"/>
          <w14:ligatures w14:val="none"/>
        </w:rPr>
      </w:pPr>
    </w:p>
    <w:p w14:paraId="79E95385" w14:textId="77777777" w:rsidR="00046EFC" w:rsidRDefault="00046EFC" w:rsidP="00772B03">
      <w:pPr>
        <w:spacing w:before="100" w:beforeAutospacing="1" w:after="100" w:afterAutospacing="1" w:line="240" w:lineRule="auto"/>
        <w:rPr>
          <w:rFonts w:ascii="Arial" w:eastAsia="Times New Roman" w:hAnsi="Arial" w:cs="Arial"/>
          <w:kern w:val="0"/>
          <w:lang w:eastAsia="en-GB"/>
          <w14:ligatures w14:val="none"/>
        </w:rPr>
      </w:pPr>
    </w:p>
    <w:p w14:paraId="1B4C47D0" w14:textId="77777777" w:rsidR="00731F31" w:rsidRDefault="00731F31" w:rsidP="00772B03">
      <w:pPr>
        <w:spacing w:before="100" w:beforeAutospacing="1" w:after="100" w:afterAutospacing="1" w:line="240" w:lineRule="auto"/>
        <w:rPr>
          <w:rFonts w:ascii="Arial" w:eastAsia="Times New Roman" w:hAnsi="Arial" w:cs="Arial"/>
          <w:kern w:val="0"/>
          <w:lang w:eastAsia="en-GB"/>
          <w14:ligatures w14:val="none"/>
        </w:rPr>
      </w:pPr>
    </w:p>
    <w:p w14:paraId="53CC6D81" w14:textId="77777777" w:rsidR="00731F31" w:rsidRDefault="00731F31" w:rsidP="00772B03">
      <w:pPr>
        <w:spacing w:before="100" w:beforeAutospacing="1" w:after="100" w:afterAutospacing="1" w:line="240" w:lineRule="auto"/>
        <w:rPr>
          <w:rFonts w:ascii="Arial" w:eastAsia="Times New Roman" w:hAnsi="Arial" w:cs="Arial"/>
          <w:kern w:val="0"/>
          <w:lang w:eastAsia="en-GB"/>
          <w14:ligatures w14:val="none"/>
        </w:rPr>
      </w:pPr>
    </w:p>
    <w:p w14:paraId="48DAA839" w14:textId="77777777" w:rsidR="00731F31" w:rsidRPr="004F2D4D" w:rsidRDefault="00731F31" w:rsidP="00772B03">
      <w:pPr>
        <w:spacing w:before="100" w:beforeAutospacing="1" w:after="100" w:afterAutospacing="1" w:line="240" w:lineRule="auto"/>
        <w:rPr>
          <w:rFonts w:ascii="Arial" w:eastAsia="Times New Roman" w:hAnsi="Arial" w:cs="Arial"/>
          <w:kern w:val="0"/>
          <w:lang w:eastAsia="en-GB"/>
          <w14:ligatures w14:val="none"/>
        </w:rPr>
      </w:pPr>
    </w:p>
    <w:p w14:paraId="0F3412A3" w14:textId="77777777" w:rsidR="001A64FA" w:rsidRPr="004F2D4D" w:rsidRDefault="001A64FA" w:rsidP="00C24C9E">
      <w:pPr>
        <w:spacing w:before="100" w:beforeAutospacing="1" w:after="100" w:afterAutospacing="1" w:line="240" w:lineRule="auto"/>
        <w:rPr>
          <w:rFonts w:ascii="Arial" w:eastAsia="Times New Roman" w:hAnsi="Arial" w:cs="Arial"/>
          <w:kern w:val="0"/>
          <w:lang w:eastAsia="en-GB"/>
          <w14:ligatures w14:val="none"/>
        </w:rPr>
      </w:pPr>
    </w:p>
    <w:p w14:paraId="4BC0B7C2" w14:textId="2E0E6C78" w:rsidR="001A64FA" w:rsidRPr="00731F31" w:rsidRDefault="00AE4BD9" w:rsidP="00731F31">
      <w:pPr>
        <w:pStyle w:val="Heading3"/>
        <w:numPr>
          <w:ilvl w:val="0"/>
          <w:numId w:val="0"/>
        </w:numPr>
        <w:ind w:left="720" w:hanging="720"/>
      </w:pPr>
      <w:bookmarkStart w:id="18" w:name="_Toc194248481"/>
      <w:r>
        <w:t>2</w:t>
      </w:r>
      <w:r w:rsidR="00D255A5">
        <w:t>.</w:t>
      </w:r>
      <w:r w:rsidR="00731F31" w:rsidRPr="00731F31">
        <w:t>9</w:t>
      </w:r>
      <w:r w:rsidR="00D255A5">
        <w:t xml:space="preserve"> </w:t>
      </w:r>
      <w:r w:rsidR="001A64FA" w:rsidRPr="00D255A5">
        <w:t>Theoretical insights and gaps in literature reviews</w:t>
      </w:r>
      <w:bookmarkEnd w:id="18"/>
    </w:p>
    <w:p w14:paraId="73DC6B41" w14:textId="77777777" w:rsidR="001A64FA" w:rsidRPr="004F2D4D" w:rsidRDefault="001A64F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Theoretical insights and gaps in literature reviews are critical for establishing the framework of a dissertation, as they identify where existing research falls short and where new research can contribute. For example, while theories of Corporate Social Responsibility (CSR) are well-established in Western contexts, there may be gaps in their applicability to contexts like China, where cultural and regulatory differences can influence CSR practices (Carroll, 2015). This discrepancy suggests a need for research that examines CSR in different cultural settings, particularly in the assembly sectors of the UK and China, which could offer new insights into cross-cultural management practices (Jones &amp; Comfort, 2014).</w:t>
      </w:r>
    </w:p>
    <w:p w14:paraId="6A0B959F" w14:textId="77777777" w:rsidR="001A64FA" w:rsidRPr="004F2D4D" w:rsidRDefault="001A64F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Moreover, Hofstede's cultural dimensions are extensively used for comparing national cultures; however, the interaction between these cultural dimensions and specific business practices, such as assembly operations, is less understood (Hofstede, 2011). Addressing this gap, your research could explore how specific cultural traits in the UK and China influence their respective CSR initiatives, thereby enriching the theoretical framework on international business and cultural studies.</w:t>
      </w:r>
    </w:p>
    <w:p w14:paraId="5977DC16" w14:textId="77777777" w:rsidR="001A64FA" w:rsidRDefault="001A64F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This process of identifying and addressing theoretical gaps not only solidifies the basis of your study but also ensures a substantial contribution to the academic discourse, potentially offering new theoretical perspectives or adaptations (Smith, 2018).</w:t>
      </w:r>
    </w:p>
    <w:p w14:paraId="0C6F5874" w14:textId="77777777" w:rsidR="001363D8" w:rsidRDefault="001363D8" w:rsidP="004F2D4D">
      <w:pPr>
        <w:spacing w:before="100" w:beforeAutospacing="1" w:after="100" w:afterAutospacing="1" w:line="240" w:lineRule="auto"/>
        <w:rPr>
          <w:rFonts w:ascii="Arial" w:eastAsia="Times New Roman" w:hAnsi="Arial" w:cs="Arial"/>
          <w:kern w:val="0"/>
          <w:lang w:eastAsia="en-GB"/>
          <w14:ligatures w14:val="none"/>
        </w:rPr>
      </w:pPr>
    </w:p>
    <w:p w14:paraId="0CBC4AC1" w14:textId="77777777" w:rsidR="001363D8" w:rsidRDefault="001363D8" w:rsidP="004F2D4D">
      <w:pPr>
        <w:spacing w:before="100" w:beforeAutospacing="1" w:after="100" w:afterAutospacing="1" w:line="240" w:lineRule="auto"/>
        <w:rPr>
          <w:rFonts w:ascii="Arial" w:eastAsia="Times New Roman" w:hAnsi="Arial" w:cs="Arial"/>
          <w:kern w:val="0"/>
          <w:lang w:eastAsia="en-GB"/>
          <w14:ligatures w14:val="none"/>
        </w:rPr>
      </w:pPr>
    </w:p>
    <w:p w14:paraId="5EE43492" w14:textId="77777777" w:rsidR="001363D8" w:rsidRDefault="001363D8" w:rsidP="004F2D4D">
      <w:pPr>
        <w:spacing w:before="100" w:beforeAutospacing="1" w:after="100" w:afterAutospacing="1" w:line="240" w:lineRule="auto"/>
        <w:rPr>
          <w:rFonts w:ascii="Arial" w:eastAsia="Times New Roman" w:hAnsi="Arial" w:cs="Arial"/>
          <w:kern w:val="0"/>
          <w:lang w:eastAsia="en-GB"/>
          <w14:ligatures w14:val="none"/>
        </w:rPr>
      </w:pPr>
    </w:p>
    <w:p w14:paraId="66FE83A4" w14:textId="77777777" w:rsidR="001363D8" w:rsidRDefault="001363D8" w:rsidP="004F2D4D">
      <w:pPr>
        <w:spacing w:before="100" w:beforeAutospacing="1" w:after="100" w:afterAutospacing="1" w:line="240" w:lineRule="auto"/>
        <w:rPr>
          <w:rFonts w:ascii="Arial" w:eastAsia="Times New Roman" w:hAnsi="Arial" w:cs="Arial"/>
          <w:kern w:val="0"/>
          <w:lang w:eastAsia="en-GB"/>
          <w14:ligatures w14:val="none"/>
        </w:rPr>
      </w:pPr>
    </w:p>
    <w:p w14:paraId="08AB8052" w14:textId="77777777" w:rsidR="001363D8" w:rsidRDefault="001363D8" w:rsidP="004F2D4D">
      <w:pPr>
        <w:spacing w:before="100" w:beforeAutospacing="1" w:after="100" w:afterAutospacing="1" w:line="240" w:lineRule="auto"/>
        <w:rPr>
          <w:rFonts w:ascii="Arial" w:eastAsia="Times New Roman" w:hAnsi="Arial" w:cs="Arial"/>
          <w:kern w:val="0"/>
          <w:lang w:eastAsia="en-GB"/>
          <w14:ligatures w14:val="none"/>
        </w:rPr>
      </w:pPr>
    </w:p>
    <w:p w14:paraId="3F5C465F"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68B3EB1B"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4CED9806"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5C2E19A6"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390ED288"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11A078BF"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72964CA5"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5BD4A0D4"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4FD87B47"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25B85C39"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1BF6994A"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55E05A68"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714AC842" w14:textId="77777777" w:rsidR="004D61DD" w:rsidRDefault="004D61DD" w:rsidP="004F2D4D">
      <w:pPr>
        <w:spacing w:before="100" w:beforeAutospacing="1" w:after="100" w:afterAutospacing="1" w:line="240" w:lineRule="auto"/>
        <w:rPr>
          <w:rFonts w:ascii="Arial" w:eastAsia="Times New Roman" w:hAnsi="Arial" w:cs="Arial"/>
          <w:kern w:val="0"/>
          <w:lang w:eastAsia="en-GB"/>
          <w14:ligatures w14:val="none"/>
        </w:rPr>
      </w:pPr>
    </w:p>
    <w:p w14:paraId="18C2588A" w14:textId="77777777" w:rsidR="004D61DD" w:rsidRPr="004F2D4D" w:rsidRDefault="004D61DD" w:rsidP="004F2D4D">
      <w:pPr>
        <w:spacing w:before="100" w:beforeAutospacing="1" w:after="100" w:afterAutospacing="1" w:line="240" w:lineRule="auto"/>
        <w:rPr>
          <w:rFonts w:ascii="Arial" w:eastAsia="Times New Roman" w:hAnsi="Arial" w:cs="Arial"/>
          <w:kern w:val="0"/>
          <w:lang w:eastAsia="en-GB"/>
          <w14:ligatures w14:val="none"/>
        </w:rPr>
      </w:pPr>
    </w:p>
    <w:bookmarkEnd w:id="0"/>
    <w:p w14:paraId="74FC89DA" w14:textId="77777777" w:rsidR="005B23FD" w:rsidRPr="005B23FD" w:rsidRDefault="005B23FD" w:rsidP="00154B94">
      <w:pPr>
        <w:rPr>
          <w:b/>
          <w:bCs/>
          <w:sz w:val="40"/>
          <w:szCs w:val="40"/>
        </w:rPr>
      </w:pPr>
    </w:p>
    <w:p w14:paraId="4392DE12" w14:textId="5EF8692F" w:rsidR="00B6485B" w:rsidRDefault="00D255A5" w:rsidP="00D255A5">
      <w:pPr>
        <w:pStyle w:val="Heading1"/>
      </w:pPr>
      <w:r>
        <w:t xml:space="preserve">     </w:t>
      </w:r>
      <w:bookmarkStart w:id="19" w:name="_Toc194248482"/>
      <w:r w:rsidR="00B6485B">
        <w:t>Methodology Overview</w:t>
      </w:r>
      <w:bookmarkEnd w:id="19"/>
    </w:p>
    <w:p w14:paraId="7D837E97" w14:textId="77777777" w:rsidR="00BF17EA" w:rsidRPr="004F2D4D" w:rsidRDefault="00BF17E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 xml:space="preserve">This study employs a </w:t>
      </w:r>
      <w:r w:rsidRPr="00CF62CB">
        <w:rPr>
          <w:rFonts w:ascii="Arial" w:eastAsia="Times New Roman" w:hAnsi="Arial" w:cs="Arial"/>
          <w:kern w:val="0"/>
          <w:lang w:eastAsia="en-GB"/>
          <w14:ligatures w14:val="none"/>
        </w:rPr>
        <w:t>qualitative research design</w:t>
      </w:r>
      <w:r w:rsidRPr="004F2D4D">
        <w:rPr>
          <w:rFonts w:ascii="Arial" w:eastAsia="Times New Roman" w:hAnsi="Arial" w:cs="Arial"/>
          <w:kern w:val="0"/>
          <w:lang w:eastAsia="en-GB"/>
          <w14:ligatures w14:val="none"/>
        </w:rPr>
        <w:t xml:space="preserve"> based on secondary data analysis to explore how assembly organizations in the UK and China integrate community orientation into their business strategies. A qualitative approach is suitable as it allows for an in-depth understanding of cultural and strategic variations in corporate social responsibility (CSR) (Chen, 2021a; Kumar &amp; Zhao, 2020).</w:t>
      </w:r>
    </w:p>
    <w:p w14:paraId="389C58AC" w14:textId="77777777" w:rsidR="00BF17EA" w:rsidRPr="004F2D4D" w:rsidRDefault="00BF17E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A comparative case study approach has been chosen to provide detailed insights into CSR practices within assembly organizations. The study focuses on examining UK and Chinese firms, drawing from CSR reports, industry publications, and academic literature to identify key themes and variations (Hamilton &amp; Webster, 2019; Jones &amp; Comfort, 2014). This method allows for the identification of best practices and challenges faced by firms operating in different cultural and regulatory environments (Lee, 2022).</w:t>
      </w:r>
    </w:p>
    <w:p w14:paraId="59E845A1" w14:textId="25F8B73B" w:rsidR="00B6485B" w:rsidRDefault="00AE4BD9" w:rsidP="00AE4BD9">
      <w:pPr>
        <w:pStyle w:val="Heading3"/>
        <w:numPr>
          <w:ilvl w:val="0"/>
          <w:numId w:val="0"/>
        </w:numPr>
      </w:pPr>
      <w:bookmarkStart w:id="20" w:name="_Toc194248483"/>
      <w:r>
        <w:t>3.1</w:t>
      </w:r>
      <w:r w:rsidR="00D255A5">
        <w:t xml:space="preserve"> </w:t>
      </w:r>
      <w:r w:rsidR="00B6485B">
        <w:t>Data Collection</w:t>
      </w:r>
      <w:bookmarkEnd w:id="20"/>
    </w:p>
    <w:p w14:paraId="36656B23" w14:textId="77777777" w:rsidR="00BF17EA" w:rsidRPr="004F2D4D" w:rsidRDefault="00BF17EA" w:rsidP="004F2D4D">
      <w:pPr>
        <w:spacing w:before="100" w:beforeAutospacing="1" w:after="100" w:afterAutospacing="1" w:line="240" w:lineRule="auto"/>
        <w:rPr>
          <w:rFonts w:ascii="Arial" w:eastAsia="Times New Roman" w:hAnsi="Arial" w:cs="Arial"/>
          <w:kern w:val="0"/>
          <w:lang w:eastAsia="en-GB"/>
          <w14:ligatures w14:val="none"/>
        </w:rPr>
      </w:pPr>
      <w:r w:rsidRPr="004F2D4D">
        <w:rPr>
          <w:rFonts w:ascii="Arial" w:eastAsia="Times New Roman" w:hAnsi="Arial" w:cs="Arial"/>
          <w:kern w:val="0"/>
          <w:lang w:eastAsia="en-GB"/>
          <w14:ligatures w14:val="none"/>
        </w:rPr>
        <w:t>This study relies entirely on secondary data sources, which include:</w:t>
      </w:r>
    </w:p>
    <w:p w14:paraId="6BCBE711" w14:textId="77777777" w:rsidR="00BF17EA" w:rsidRPr="004F2D4D" w:rsidRDefault="00BF17EA" w:rsidP="00BF17EA">
      <w:pPr>
        <w:pStyle w:val="NormalWeb"/>
        <w:numPr>
          <w:ilvl w:val="0"/>
          <w:numId w:val="7"/>
        </w:numPr>
        <w:rPr>
          <w:rFonts w:ascii="Arial" w:hAnsi="Arial" w:cs="Arial"/>
          <w:sz w:val="22"/>
          <w:szCs w:val="22"/>
        </w:rPr>
      </w:pPr>
      <w:r w:rsidRPr="004F2D4D">
        <w:rPr>
          <w:rStyle w:val="Strong"/>
          <w:rFonts w:ascii="Arial" w:hAnsi="Arial" w:cs="Arial"/>
          <w:b w:val="0"/>
          <w:bCs w:val="0"/>
          <w:sz w:val="22"/>
          <w:szCs w:val="22"/>
        </w:rPr>
        <w:t>Academic Literature</w:t>
      </w:r>
      <w:r w:rsidRPr="004F2D4D">
        <w:rPr>
          <w:rFonts w:ascii="Arial" w:hAnsi="Arial" w:cs="Arial"/>
          <w:sz w:val="22"/>
          <w:szCs w:val="22"/>
        </w:rPr>
        <w:t>: Peer-reviewed journal articles discussing CSR frameworks, Hofstede’s cultural dimensions, and stakeholder engagement in the UK and China (Carroll, 2015; Hofstede, 2011; Porter &amp; Kramer, 2011).</w:t>
      </w:r>
    </w:p>
    <w:p w14:paraId="086C70B7" w14:textId="77777777" w:rsidR="00BF17EA" w:rsidRPr="004F2D4D" w:rsidRDefault="00BF17EA" w:rsidP="00BF17EA">
      <w:pPr>
        <w:pStyle w:val="NormalWeb"/>
        <w:numPr>
          <w:ilvl w:val="0"/>
          <w:numId w:val="7"/>
        </w:numPr>
        <w:rPr>
          <w:rFonts w:ascii="Arial" w:hAnsi="Arial" w:cs="Arial"/>
          <w:sz w:val="22"/>
          <w:szCs w:val="22"/>
        </w:rPr>
      </w:pPr>
      <w:r w:rsidRPr="004F2D4D">
        <w:rPr>
          <w:rStyle w:val="Strong"/>
          <w:rFonts w:ascii="Arial" w:hAnsi="Arial" w:cs="Arial"/>
          <w:b w:val="0"/>
          <w:bCs w:val="0"/>
          <w:sz w:val="22"/>
          <w:szCs w:val="22"/>
        </w:rPr>
        <w:t>Corporate Reports</w:t>
      </w:r>
      <w:r w:rsidRPr="004F2D4D">
        <w:rPr>
          <w:rFonts w:ascii="Arial" w:hAnsi="Arial" w:cs="Arial"/>
          <w:sz w:val="22"/>
          <w:szCs w:val="22"/>
        </w:rPr>
        <w:t>: Sustainability and CSR reports of selected assembly firms, such as Denso (2024), Makita (2023), Samsung (2023), and Stanley Black &amp; Decker (2023).</w:t>
      </w:r>
    </w:p>
    <w:p w14:paraId="432CC192" w14:textId="0C9D81D5" w:rsidR="00BF17EA" w:rsidRPr="004F2D4D" w:rsidRDefault="00BF17EA" w:rsidP="00BF17EA">
      <w:pPr>
        <w:pStyle w:val="NormalWeb"/>
        <w:numPr>
          <w:ilvl w:val="0"/>
          <w:numId w:val="7"/>
        </w:numPr>
        <w:rPr>
          <w:rFonts w:ascii="Arial" w:hAnsi="Arial" w:cs="Arial"/>
          <w:sz w:val="22"/>
          <w:szCs w:val="22"/>
        </w:rPr>
      </w:pPr>
      <w:r w:rsidRPr="004F2D4D">
        <w:rPr>
          <w:rStyle w:val="Strong"/>
          <w:rFonts w:ascii="Arial" w:hAnsi="Arial" w:cs="Arial"/>
          <w:b w:val="0"/>
          <w:bCs w:val="0"/>
          <w:sz w:val="22"/>
          <w:szCs w:val="22"/>
        </w:rPr>
        <w:t>Government and Industry Reports</w:t>
      </w:r>
      <w:r w:rsidRPr="004F2D4D">
        <w:rPr>
          <w:rFonts w:ascii="Arial" w:hAnsi="Arial" w:cs="Arial"/>
          <w:sz w:val="22"/>
          <w:szCs w:val="22"/>
        </w:rPr>
        <w:t>: Policy documents and market research from industry bodies on CSR performance and regulatory frameworks in both countries (</w:t>
      </w:r>
      <w:r w:rsidR="006C21DE" w:rsidRPr="006C21DE">
        <w:rPr>
          <w:rFonts w:ascii="Arial" w:hAnsi="Arial" w:cs="Arial"/>
          <w:sz w:val="22"/>
          <w:szCs w:val="22"/>
        </w:rPr>
        <w:t>Hamilton, F., &amp; Webster, B. (2019</w:t>
      </w:r>
      <w:r w:rsidR="006C21DE">
        <w:t>)</w:t>
      </w:r>
      <w:r w:rsidRPr="004F2D4D">
        <w:rPr>
          <w:rFonts w:ascii="Arial" w:hAnsi="Arial" w:cs="Arial"/>
          <w:sz w:val="22"/>
          <w:szCs w:val="22"/>
        </w:rPr>
        <w:t>; Norton &amp; Hughes, 2022)</w:t>
      </w:r>
    </w:p>
    <w:p w14:paraId="270AD482" w14:textId="77777777" w:rsidR="00BF17EA" w:rsidRPr="004F2D4D" w:rsidRDefault="00BF17EA" w:rsidP="00BF17EA">
      <w:pPr>
        <w:pStyle w:val="NormalWeb"/>
        <w:numPr>
          <w:ilvl w:val="0"/>
          <w:numId w:val="7"/>
        </w:numPr>
        <w:rPr>
          <w:rFonts w:ascii="Arial" w:hAnsi="Arial" w:cs="Arial"/>
          <w:sz w:val="22"/>
          <w:szCs w:val="22"/>
        </w:rPr>
      </w:pPr>
      <w:r w:rsidRPr="004F2D4D">
        <w:rPr>
          <w:rStyle w:val="Strong"/>
          <w:rFonts w:ascii="Arial" w:hAnsi="Arial" w:cs="Arial"/>
          <w:b w:val="0"/>
          <w:bCs w:val="0"/>
          <w:sz w:val="22"/>
          <w:szCs w:val="22"/>
        </w:rPr>
        <w:t>Trade and Business Studies</w:t>
      </w:r>
      <w:r w:rsidRPr="004F2D4D">
        <w:rPr>
          <w:rFonts w:ascii="Arial" w:hAnsi="Arial" w:cs="Arial"/>
          <w:sz w:val="22"/>
          <w:szCs w:val="22"/>
        </w:rPr>
        <w:t>: Reports on global trade practices and corporate community engagement strategies (Olsen &amp; Zhao, 2021; Zhang &amp; Li, 2020).</w:t>
      </w:r>
    </w:p>
    <w:p w14:paraId="65874A3A" w14:textId="7A52C121" w:rsidR="00BF17EA" w:rsidRDefault="00BF17EA" w:rsidP="00BF17EA">
      <w:pPr>
        <w:pStyle w:val="NormalWeb"/>
        <w:rPr>
          <w:rFonts w:ascii="Arial" w:hAnsi="Arial" w:cs="Arial"/>
          <w:sz w:val="22"/>
          <w:szCs w:val="22"/>
        </w:rPr>
      </w:pPr>
      <w:r w:rsidRPr="004F2D4D">
        <w:rPr>
          <w:rFonts w:ascii="Arial" w:hAnsi="Arial" w:cs="Arial"/>
          <w:sz w:val="22"/>
          <w:szCs w:val="22"/>
        </w:rPr>
        <w:t xml:space="preserve">Using a </w:t>
      </w:r>
      <w:r w:rsidRPr="004F2D4D">
        <w:rPr>
          <w:rStyle w:val="Strong"/>
          <w:rFonts w:ascii="Arial" w:hAnsi="Arial" w:cs="Arial"/>
          <w:b w:val="0"/>
          <w:bCs w:val="0"/>
          <w:sz w:val="22"/>
          <w:szCs w:val="22"/>
        </w:rPr>
        <w:t>multi-source data collection strategy</w:t>
      </w:r>
      <w:r w:rsidRPr="004F2D4D">
        <w:rPr>
          <w:rFonts w:ascii="Arial" w:hAnsi="Arial" w:cs="Arial"/>
          <w:sz w:val="22"/>
          <w:szCs w:val="22"/>
        </w:rPr>
        <w:t xml:space="preserve"> enhances the validity of the research and ensures a balanced perspective (Chen, 2021b; Taylor &amp; Wang, 2021)</w:t>
      </w:r>
    </w:p>
    <w:p w14:paraId="3F29C575" w14:textId="77777777" w:rsidR="002D6B55" w:rsidRDefault="002D6B55" w:rsidP="00BF17EA">
      <w:pPr>
        <w:pStyle w:val="NormalWeb"/>
        <w:rPr>
          <w:rFonts w:ascii="Arial" w:hAnsi="Arial" w:cs="Arial"/>
          <w:sz w:val="22"/>
          <w:szCs w:val="22"/>
        </w:rPr>
      </w:pPr>
    </w:p>
    <w:p w14:paraId="2A4B546C" w14:textId="77777777" w:rsidR="002D6B55" w:rsidRDefault="002D6B55" w:rsidP="002D6B55">
      <w:pPr>
        <w:pStyle w:val="NormalWeb"/>
        <w:jc w:val="center"/>
        <w:rPr>
          <w:b/>
          <w:bCs/>
        </w:rPr>
      </w:pPr>
      <w:r w:rsidRPr="00ED6086">
        <w:rPr>
          <w:b/>
          <w:bCs/>
        </w:rPr>
        <w:lastRenderedPageBreak/>
        <w:t>Selection data scheme</w:t>
      </w:r>
    </w:p>
    <w:p w14:paraId="2779A753" w14:textId="77777777" w:rsidR="002D6B55" w:rsidRDefault="002D6B55" w:rsidP="00BF17EA">
      <w:pPr>
        <w:pStyle w:val="NormalWeb"/>
        <w:rPr>
          <w:rFonts w:ascii="Arial" w:hAnsi="Arial" w:cs="Arial"/>
          <w:sz w:val="22"/>
          <w:szCs w:val="22"/>
        </w:rPr>
      </w:pPr>
    </w:p>
    <w:p w14:paraId="1B668D31" w14:textId="26924639" w:rsidR="002D6B55" w:rsidRDefault="002D6B55" w:rsidP="00BF17EA">
      <w:pPr>
        <w:pStyle w:val="NormalWeb"/>
        <w:rPr>
          <w:rFonts w:ascii="Arial" w:hAnsi="Arial" w:cs="Arial"/>
          <w:sz w:val="22"/>
          <w:szCs w:val="22"/>
        </w:rPr>
      </w:pPr>
      <w:r w:rsidRPr="002D6B55">
        <w:rPr>
          <w:b/>
          <w:bCs/>
          <w:noProof/>
        </w:rPr>
        <w:drawing>
          <wp:inline distT="0" distB="0" distL="0" distR="0" wp14:anchorId="549CAD3B" wp14:editId="389BA1B3">
            <wp:extent cx="5731510" cy="5360035"/>
            <wp:effectExtent l="0" t="0" r="2540" b="0"/>
            <wp:docPr id="1468137551"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37551" name="Picture 1" descr="A screenshot of a diagram&#10;&#10;Description automatically generated"/>
                    <pic:cNvPicPr/>
                  </pic:nvPicPr>
                  <pic:blipFill>
                    <a:blip r:embed="rId8"/>
                    <a:stretch>
                      <a:fillRect/>
                    </a:stretch>
                  </pic:blipFill>
                  <pic:spPr>
                    <a:xfrm>
                      <a:off x="0" y="0"/>
                      <a:ext cx="5731510" cy="5360035"/>
                    </a:xfrm>
                    <a:prstGeom prst="rect">
                      <a:avLst/>
                    </a:prstGeom>
                  </pic:spPr>
                </pic:pic>
              </a:graphicData>
            </a:graphic>
          </wp:inline>
        </w:drawing>
      </w:r>
    </w:p>
    <w:p w14:paraId="57A4F4B5" w14:textId="460C4F91" w:rsidR="002D6B55" w:rsidRDefault="00B95A42" w:rsidP="00BF17EA">
      <w:pPr>
        <w:pStyle w:val="NormalWeb"/>
        <w:rPr>
          <w:rFonts w:ascii="Arial" w:hAnsi="Arial" w:cs="Arial"/>
          <w:sz w:val="22"/>
          <w:szCs w:val="22"/>
        </w:rPr>
      </w:pPr>
      <w:r>
        <w:rPr>
          <w:rFonts w:ascii="Arial" w:hAnsi="Arial" w:cs="Arial"/>
          <w:sz w:val="22"/>
          <w:szCs w:val="22"/>
        </w:rPr>
        <w:t>Fig.1</w:t>
      </w:r>
    </w:p>
    <w:p w14:paraId="0D29B7AD" w14:textId="77777777" w:rsidR="002D6B55" w:rsidRDefault="002D6B55" w:rsidP="00BF17EA">
      <w:pPr>
        <w:pStyle w:val="NormalWeb"/>
        <w:rPr>
          <w:rFonts w:ascii="Arial" w:hAnsi="Arial" w:cs="Arial"/>
          <w:sz w:val="22"/>
          <w:szCs w:val="22"/>
        </w:rPr>
      </w:pPr>
    </w:p>
    <w:p w14:paraId="61A2AF75" w14:textId="77777777" w:rsidR="002D6B55" w:rsidRDefault="002D6B55" w:rsidP="00BF17EA">
      <w:pPr>
        <w:pStyle w:val="NormalWeb"/>
        <w:rPr>
          <w:rFonts w:ascii="Arial" w:hAnsi="Arial" w:cs="Arial"/>
          <w:sz w:val="22"/>
          <w:szCs w:val="22"/>
        </w:rPr>
      </w:pPr>
    </w:p>
    <w:p w14:paraId="4E307089" w14:textId="77777777" w:rsidR="002D6B55" w:rsidRPr="004F2D4D" w:rsidRDefault="002D6B55" w:rsidP="00BF17EA">
      <w:pPr>
        <w:pStyle w:val="NormalWeb"/>
        <w:rPr>
          <w:rFonts w:ascii="Arial" w:hAnsi="Arial" w:cs="Arial"/>
          <w:sz w:val="22"/>
          <w:szCs w:val="22"/>
        </w:rPr>
      </w:pPr>
    </w:p>
    <w:p w14:paraId="02EA9C12" w14:textId="666603BE" w:rsidR="00B6485B" w:rsidRDefault="00AE4BD9" w:rsidP="00AE4BD9">
      <w:pPr>
        <w:pStyle w:val="Heading3"/>
        <w:numPr>
          <w:ilvl w:val="0"/>
          <w:numId w:val="0"/>
        </w:numPr>
      </w:pPr>
      <w:bookmarkStart w:id="21" w:name="_Toc194248484"/>
      <w:r>
        <w:t>3.2</w:t>
      </w:r>
      <w:r w:rsidR="00D255A5">
        <w:t xml:space="preserve"> </w:t>
      </w:r>
      <w:r w:rsidR="00B6485B">
        <w:t>Analytical Techniques</w:t>
      </w:r>
      <w:bookmarkEnd w:id="21"/>
    </w:p>
    <w:p w14:paraId="13C70ED7" w14:textId="77777777" w:rsidR="00BF17EA" w:rsidRPr="004F2D4D" w:rsidRDefault="00BF17EA" w:rsidP="00BF17EA">
      <w:pPr>
        <w:pStyle w:val="NormalWeb"/>
        <w:rPr>
          <w:rFonts w:ascii="Arial" w:hAnsi="Arial" w:cs="Arial"/>
          <w:sz w:val="22"/>
          <w:szCs w:val="22"/>
        </w:rPr>
      </w:pPr>
      <w:r w:rsidRPr="004F2D4D">
        <w:rPr>
          <w:rFonts w:ascii="Arial" w:hAnsi="Arial" w:cs="Arial"/>
          <w:sz w:val="22"/>
          <w:szCs w:val="22"/>
        </w:rPr>
        <w:t xml:space="preserve">A </w:t>
      </w:r>
      <w:r w:rsidRPr="004F2D4D">
        <w:rPr>
          <w:rStyle w:val="Strong"/>
          <w:rFonts w:ascii="Arial" w:hAnsi="Arial" w:cs="Arial"/>
          <w:b w:val="0"/>
          <w:bCs w:val="0"/>
          <w:sz w:val="22"/>
          <w:szCs w:val="22"/>
        </w:rPr>
        <w:t>thematic analysis</w:t>
      </w:r>
      <w:r w:rsidRPr="004F2D4D">
        <w:rPr>
          <w:rFonts w:ascii="Arial" w:hAnsi="Arial" w:cs="Arial"/>
          <w:sz w:val="22"/>
          <w:szCs w:val="22"/>
        </w:rPr>
        <w:t xml:space="preserve"> approach has been applied to identify recurring patterns and themes in CSR implementation across UK and Chinese firms. The process consists of the following steps:</w:t>
      </w:r>
    </w:p>
    <w:p w14:paraId="5691088C" w14:textId="77777777" w:rsidR="00BF17EA" w:rsidRPr="004F2D4D" w:rsidRDefault="00BF17EA" w:rsidP="00B955E1">
      <w:pPr>
        <w:pStyle w:val="NormalWeb"/>
        <w:numPr>
          <w:ilvl w:val="0"/>
          <w:numId w:val="8"/>
        </w:numPr>
        <w:rPr>
          <w:rFonts w:ascii="Arial" w:hAnsi="Arial" w:cs="Arial"/>
          <w:sz w:val="22"/>
          <w:szCs w:val="22"/>
        </w:rPr>
      </w:pPr>
      <w:r w:rsidRPr="004F2D4D">
        <w:rPr>
          <w:rStyle w:val="Strong"/>
          <w:rFonts w:ascii="Arial" w:hAnsi="Arial" w:cs="Arial"/>
          <w:b w:val="0"/>
          <w:bCs w:val="0"/>
          <w:sz w:val="22"/>
          <w:szCs w:val="22"/>
        </w:rPr>
        <w:lastRenderedPageBreak/>
        <w:t>Data Familiarization</w:t>
      </w:r>
      <w:r w:rsidRPr="004F2D4D">
        <w:rPr>
          <w:rFonts w:ascii="Arial" w:hAnsi="Arial" w:cs="Arial"/>
          <w:sz w:val="22"/>
          <w:szCs w:val="22"/>
        </w:rPr>
        <w:t>: Reviewing reports and literature to understand existing CSR strategies and cultural influences (Hofstede Insights, 2021).</w:t>
      </w:r>
    </w:p>
    <w:p w14:paraId="1501D6C7" w14:textId="77777777" w:rsidR="00BF17EA" w:rsidRPr="004F2D4D" w:rsidRDefault="00BF17EA" w:rsidP="00B955E1">
      <w:pPr>
        <w:pStyle w:val="NormalWeb"/>
        <w:numPr>
          <w:ilvl w:val="0"/>
          <w:numId w:val="8"/>
        </w:numPr>
        <w:rPr>
          <w:rFonts w:ascii="Arial" w:hAnsi="Arial" w:cs="Arial"/>
          <w:sz w:val="22"/>
          <w:szCs w:val="22"/>
        </w:rPr>
      </w:pPr>
      <w:r w:rsidRPr="004F2D4D">
        <w:rPr>
          <w:rStyle w:val="Strong"/>
          <w:rFonts w:ascii="Arial" w:hAnsi="Arial" w:cs="Arial"/>
          <w:b w:val="0"/>
          <w:bCs w:val="0"/>
          <w:sz w:val="22"/>
          <w:szCs w:val="22"/>
        </w:rPr>
        <w:t>Coding</w:t>
      </w:r>
      <w:r w:rsidRPr="004F2D4D">
        <w:rPr>
          <w:rFonts w:ascii="Arial" w:hAnsi="Arial" w:cs="Arial"/>
          <w:sz w:val="22"/>
          <w:szCs w:val="22"/>
        </w:rPr>
        <w:t>: Categorizing data into key themes such as community engagement, sustainability initiatives, regulatory compliance, and cultural adaptation (Lee, 2022; Smith, 2020).</w:t>
      </w:r>
    </w:p>
    <w:p w14:paraId="029943B3" w14:textId="77777777" w:rsidR="00BF17EA" w:rsidRPr="004F2D4D" w:rsidRDefault="00BF17EA" w:rsidP="00B955E1">
      <w:pPr>
        <w:pStyle w:val="NormalWeb"/>
        <w:numPr>
          <w:ilvl w:val="0"/>
          <w:numId w:val="8"/>
        </w:numPr>
        <w:rPr>
          <w:rFonts w:ascii="Arial" w:hAnsi="Arial" w:cs="Arial"/>
          <w:sz w:val="22"/>
          <w:szCs w:val="22"/>
        </w:rPr>
      </w:pPr>
      <w:r w:rsidRPr="004F2D4D">
        <w:rPr>
          <w:rStyle w:val="Strong"/>
          <w:rFonts w:ascii="Arial" w:hAnsi="Arial" w:cs="Arial"/>
          <w:b w:val="0"/>
          <w:bCs w:val="0"/>
          <w:sz w:val="22"/>
          <w:szCs w:val="22"/>
        </w:rPr>
        <w:t>Pattern Recognition</w:t>
      </w:r>
      <w:r w:rsidRPr="004F2D4D">
        <w:rPr>
          <w:rFonts w:ascii="Arial" w:hAnsi="Arial" w:cs="Arial"/>
          <w:sz w:val="22"/>
          <w:szCs w:val="22"/>
        </w:rPr>
        <w:t>: Comparing CSR practices between UK and Chinese firms to identify similarities, divergences, and emerging trends (Jones &amp; Comfort, 2014).</w:t>
      </w:r>
    </w:p>
    <w:p w14:paraId="4CC6CE5E" w14:textId="77777777" w:rsidR="00BF17EA" w:rsidRPr="004F2D4D" w:rsidRDefault="00BF17EA" w:rsidP="00B955E1">
      <w:pPr>
        <w:pStyle w:val="NormalWeb"/>
        <w:numPr>
          <w:ilvl w:val="0"/>
          <w:numId w:val="8"/>
        </w:numPr>
        <w:rPr>
          <w:rFonts w:ascii="Arial" w:hAnsi="Arial" w:cs="Arial"/>
          <w:sz w:val="22"/>
          <w:szCs w:val="22"/>
        </w:rPr>
      </w:pPr>
      <w:r w:rsidRPr="004F2D4D">
        <w:rPr>
          <w:rStyle w:val="Strong"/>
          <w:rFonts w:ascii="Arial" w:hAnsi="Arial" w:cs="Arial"/>
          <w:b w:val="0"/>
          <w:bCs w:val="0"/>
          <w:sz w:val="22"/>
          <w:szCs w:val="22"/>
        </w:rPr>
        <w:t>Interpretation</w:t>
      </w:r>
      <w:r w:rsidRPr="004F2D4D">
        <w:rPr>
          <w:rFonts w:ascii="Arial" w:hAnsi="Arial" w:cs="Arial"/>
          <w:sz w:val="22"/>
          <w:szCs w:val="22"/>
        </w:rPr>
        <w:t>: Drawing conclusions based on theoretical models, including Hofstede’s cultural dimensions and stakeholder theory (Hofstede, 2011; Kumar &amp; Zhao, 2020).</w:t>
      </w:r>
    </w:p>
    <w:p w14:paraId="01E7C9AA" w14:textId="2BFC7300" w:rsidR="00BF17EA" w:rsidRPr="004F2D4D" w:rsidRDefault="00BF17EA" w:rsidP="00BF17EA">
      <w:pPr>
        <w:pStyle w:val="NormalWeb"/>
        <w:rPr>
          <w:rFonts w:ascii="Arial" w:hAnsi="Arial" w:cs="Arial"/>
          <w:sz w:val="22"/>
          <w:szCs w:val="22"/>
        </w:rPr>
      </w:pPr>
      <w:r w:rsidRPr="004F2D4D">
        <w:rPr>
          <w:rFonts w:ascii="Arial" w:hAnsi="Arial" w:cs="Arial"/>
          <w:sz w:val="22"/>
          <w:szCs w:val="22"/>
        </w:rPr>
        <w:t xml:space="preserve">To ensure reliability, a </w:t>
      </w:r>
      <w:r w:rsidRPr="004F2D4D">
        <w:rPr>
          <w:rStyle w:val="Strong"/>
          <w:rFonts w:ascii="Arial" w:hAnsi="Arial" w:cs="Arial"/>
          <w:b w:val="0"/>
          <w:bCs w:val="0"/>
          <w:sz w:val="22"/>
          <w:szCs w:val="22"/>
        </w:rPr>
        <w:t>triangulation approach</w:t>
      </w:r>
      <w:r w:rsidRPr="004F2D4D">
        <w:rPr>
          <w:rFonts w:ascii="Arial" w:hAnsi="Arial" w:cs="Arial"/>
          <w:sz w:val="22"/>
          <w:szCs w:val="22"/>
        </w:rPr>
        <w:t xml:space="preserve"> is applied, comparing multiple data sources to validate findings and mitigate biases (</w:t>
      </w:r>
      <w:r w:rsidR="006C21DE" w:rsidRPr="006C21DE">
        <w:rPr>
          <w:rFonts w:ascii="Arial" w:hAnsi="Arial" w:cs="Arial"/>
          <w:sz w:val="22"/>
          <w:szCs w:val="22"/>
        </w:rPr>
        <w:t>Hamilton, F., &amp; Webster, B. (2019).</w:t>
      </w:r>
    </w:p>
    <w:p w14:paraId="1ABA05AF" w14:textId="4560F51C" w:rsidR="00B6485B" w:rsidRPr="006A23B0" w:rsidRDefault="00AE4BD9" w:rsidP="00AE4BD9">
      <w:pPr>
        <w:pStyle w:val="Heading3"/>
        <w:numPr>
          <w:ilvl w:val="0"/>
          <w:numId w:val="0"/>
        </w:numPr>
      </w:pPr>
      <w:bookmarkStart w:id="22" w:name="_Toc194248485"/>
      <w:r>
        <w:t>3.3</w:t>
      </w:r>
      <w:r w:rsidR="00D255A5" w:rsidRPr="006A23B0">
        <w:t xml:space="preserve"> </w:t>
      </w:r>
      <w:r w:rsidR="00B6485B" w:rsidRPr="006A23B0">
        <w:t>Ethical Considerations</w:t>
      </w:r>
      <w:bookmarkEnd w:id="22"/>
    </w:p>
    <w:p w14:paraId="3B271CAE" w14:textId="77777777" w:rsidR="00BF17EA" w:rsidRPr="004F2D4D" w:rsidRDefault="00BF17EA" w:rsidP="00BF17EA">
      <w:pPr>
        <w:pStyle w:val="NormalWeb"/>
        <w:rPr>
          <w:rFonts w:ascii="Arial" w:hAnsi="Arial" w:cs="Arial"/>
        </w:rPr>
      </w:pPr>
      <w:r w:rsidRPr="00072935">
        <w:rPr>
          <w:rFonts w:ascii="Arial" w:hAnsi="Arial" w:cs="Arial"/>
          <w:sz w:val="22"/>
          <w:szCs w:val="22"/>
        </w:rPr>
        <w:t>Although this research uses publicly available data, ethical considerations are upheld by</w:t>
      </w:r>
      <w:r w:rsidRPr="004F2D4D">
        <w:rPr>
          <w:rFonts w:ascii="Arial" w:hAnsi="Arial" w:cs="Arial"/>
        </w:rPr>
        <w:t>:</w:t>
      </w:r>
    </w:p>
    <w:p w14:paraId="66841334" w14:textId="77777777" w:rsidR="00BF17EA" w:rsidRPr="00072935" w:rsidRDefault="00BF17EA" w:rsidP="00BF17EA">
      <w:pPr>
        <w:pStyle w:val="NormalWeb"/>
        <w:numPr>
          <w:ilvl w:val="0"/>
          <w:numId w:val="11"/>
        </w:numPr>
        <w:rPr>
          <w:rFonts w:ascii="Arial" w:hAnsi="Arial" w:cs="Arial"/>
          <w:sz w:val="22"/>
          <w:szCs w:val="22"/>
        </w:rPr>
      </w:pPr>
      <w:r w:rsidRPr="00072935">
        <w:rPr>
          <w:rStyle w:val="Strong"/>
          <w:rFonts w:ascii="Arial" w:hAnsi="Arial" w:cs="Arial"/>
          <w:b w:val="0"/>
          <w:bCs w:val="0"/>
          <w:sz w:val="22"/>
          <w:szCs w:val="22"/>
        </w:rPr>
        <w:t>Proper Citation and Attribution</w:t>
      </w:r>
      <w:r w:rsidRPr="00072935">
        <w:rPr>
          <w:rFonts w:ascii="Arial" w:hAnsi="Arial" w:cs="Arial"/>
          <w:b/>
          <w:bCs/>
          <w:sz w:val="22"/>
          <w:szCs w:val="22"/>
        </w:rPr>
        <w:t>:</w:t>
      </w:r>
      <w:r w:rsidRPr="00072935">
        <w:rPr>
          <w:rFonts w:ascii="Arial" w:hAnsi="Arial" w:cs="Arial"/>
          <w:sz w:val="22"/>
          <w:szCs w:val="22"/>
        </w:rPr>
        <w:t xml:space="preserve"> All sources are accurately referenced to maintain academic integrity (Chen, 2021a; Zhang &amp; Li, 2020).</w:t>
      </w:r>
    </w:p>
    <w:p w14:paraId="73E1A37B" w14:textId="77777777" w:rsidR="00BF17EA" w:rsidRPr="00072935" w:rsidRDefault="00BF17EA" w:rsidP="00BF17EA">
      <w:pPr>
        <w:pStyle w:val="NormalWeb"/>
        <w:numPr>
          <w:ilvl w:val="0"/>
          <w:numId w:val="11"/>
        </w:numPr>
        <w:rPr>
          <w:rFonts w:ascii="Arial" w:hAnsi="Arial" w:cs="Arial"/>
          <w:sz w:val="22"/>
          <w:szCs w:val="22"/>
        </w:rPr>
      </w:pPr>
      <w:r w:rsidRPr="00072935">
        <w:rPr>
          <w:rStyle w:val="Strong"/>
          <w:rFonts w:ascii="Arial" w:hAnsi="Arial" w:cs="Arial"/>
          <w:b w:val="0"/>
          <w:bCs w:val="0"/>
          <w:sz w:val="22"/>
          <w:szCs w:val="22"/>
        </w:rPr>
        <w:t>Data Reliability</w:t>
      </w:r>
      <w:r w:rsidRPr="00072935">
        <w:rPr>
          <w:rFonts w:ascii="Arial" w:hAnsi="Arial" w:cs="Arial"/>
          <w:sz w:val="22"/>
          <w:szCs w:val="22"/>
        </w:rPr>
        <w:t>: Only established and verified sources are included to ensure accurate interpretations (Denso, 2024; Makita, 2023).</w:t>
      </w:r>
    </w:p>
    <w:p w14:paraId="32498D9C" w14:textId="77777777" w:rsidR="00BF17EA" w:rsidRPr="00072935" w:rsidRDefault="00BF17EA" w:rsidP="00BF17EA">
      <w:pPr>
        <w:pStyle w:val="NormalWeb"/>
        <w:numPr>
          <w:ilvl w:val="0"/>
          <w:numId w:val="11"/>
        </w:numPr>
        <w:rPr>
          <w:rFonts w:ascii="Arial" w:hAnsi="Arial" w:cs="Arial"/>
          <w:sz w:val="22"/>
          <w:szCs w:val="22"/>
        </w:rPr>
      </w:pPr>
      <w:r w:rsidRPr="00072935">
        <w:rPr>
          <w:rStyle w:val="Strong"/>
          <w:rFonts w:ascii="Arial" w:hAnsi="Arial" w:cs="Arial"/>
          <w:b w:val="0"/>
          <w:bCs w:val="0"/>
          <w:sz w:val="22"/>
          <w:szCs w:val="22"/>
        </w:rPr>
        <w:t>Respect for Corporate Confidentiality</w:t>
      </w:r>
      <w:r w:rsidRPr="00072935">
        <w:rPr>
          <w:rFonts w:ascii="Arial" w:hAnsi="Arial" w:cs="Arial"/>
          <w:b/>
          <w:bCs/>
          <w:sz w:val="22"/>
          <w:szCs w:val="22"/>
        </w:rPr>
        <w:t>:</w:t>
      </w:r>
      <w:r w:rsidRPr="00072935">
        <w:rPr>
          <w:rFonts w:ascii="Arial" w:hAnsi="Arial" w:cs="Arial"/>
          <w:sz w:val="22"/>
          <w:szCs w:val="22"/>
        </w:rPr>
        <w:t xml:space="preserve"> No speculation is made regarding undisclosed business strategies or internal CSR failures (Lee, 2022).</w:t>
      </w:r>
    </w:p>
    <w:p w14:paraId="0502FB5C" w14:textId="7DD6A8A4" w:rsidR="004F7F95" w:rsidRDefault="00AE4BD9" w:rsidP="00AE4BD9">
      <w:pPr>
        <w:pStyle w:val="Heading3"/>
        <w:numPr>
          <w:ilvl w:val="0"/>
          <w:numId w:val="0"/>
        </w:numPr>
      </w:pPr>
      <w:bookmarkStart w:id="23" w:name="_Toc194248486"/>
      <w:r>
        <w:t>3.4</w:t>
      </w:r>
      <w:r w:rsidR="00D255A5">
        <w:t xml:space="preserve"> </w:t>
      </w:r>
      <w:r w:rsidR="004F7F95">
        <w:t>Managerial Implications: Strategies for Global Assembly Firms</w:t>
      </w:r>
      <w:bookmarkEnd w:id="23"/>
    </w:p>
    <w:p w14:paraId="12260CC8" w14:textId="3BDB9722" w:rsidR="00846BE2" w:rsidRPr="00E10643" w:rsidRDefault="00846BE2" w:rsidP="00846BE2">
      <w:pPr>
        <w:pStyle w:val="NormalWeb"/>
        <w:rPr>
          <w:rFonts w:ascii="Arial" w:hAnsi="Arial" w:cs="Arial"/>
          <w:sz w:val="22"/>
          <w:szCs w:val="22"/>
        </w:rPr>
      </w:pPr>
      <w:r w:rsidRPr="00E10643">
        <w:rPr>
          <w:rFonts w:ascii="Arial" w:hAnsi="Arial" w:cs="Arial"/>
          <w:sz w:val="22"/>
          <w:szCs w:val="22"/>
        </w:rPr>
        <w:t>The insights gleaned from this research provide a robust toolkit for business leaders aiming to bolster corporate social responsibility (CSR) strategies and navigate the complexities of operating in both the UK and China. These recommendations underscore the importance of cultural understanding, workforce development, and a balanced approach to global versus local practices.</w:t>
      </w:r>
    </w:p>
    <w:p w14:paraId="58C5195D" w14:textId="77777777" w:rsidR="00846BE2" w:rsidRPr="00E10643" w:rsidRDefault="00846BE2" w:rsidP="00846BE2">
      <w:pPr>
        <w:pStyle w:val="NormalWeb"/>
        <w:numPr>
          <w:ilvl w:val="0"/>
          <w:numId w:val="42"/>
        </w:numPr>
        <w:rPr>
          <w:rFonts w:ascii="Arial" w:hAnsi="Arial" w:cs="Arial"/>
          <w:sz w:val="22"/>
          <w:szCs w:val="22"/>
        </w:rPr>
      </w:pPr>
      <w:r w:rsidRPr="00E10643">
        <w:rPr>
          <w:rStyle w:val="Strong"/>
          <w:rFonts w:ascii="Arial" w:hAnsi="Arial" w:cs="Arial"/>
          <w:sz w:val="22"/>
          <w:szCs w:val="22"/>
        </w:rPr>
        <w:t>Adapting CSR to Hofstede’s Cultural Dimensions</w:t>
      </w:r>
      <w:r w:rsidRPr="00E10643">
        <w:rPr>
          <w:rFonts w:ascii="Arial" w:hAnsi="Arial" w:cs="Arial"/>
          <w:sz w:val="22"/>
          <w:szCs w:val="22"/>
        </w:rPr>
        <w:br/>
        <w:t>Firms must integrate CSR initiatives with local cultural frameworks to meet both regulatory requirements and societal expectations (Hofstede, 2011). In the UK, which typically exhibits lower power distance and higher individualism, community engagement often involves transparent communication, stakeholder collaboration, and direct involvement in local projects. By contrast, the higher power distance seen in many Chinese contexts may necessitate closer government relationships and alignment with regional development goals. Businesses that successfully tailor their CSR to these cultural dimensions—while respecting local traditions—often enjoy smoother market entry, stronger stakeholder trust, and fewer compliance hurdles.</w:t>
      </w:r>
    </w:p>
    <w:p w14:paraId="1C6AF448" w14:textId="5DB21853" w:rsidR="00846BE2" w:rsidRPr="00E10643" w:rsidRDefault="00846BE2" w:rsidP="00846BE2">
      <w:pPr>
        <w:pStyle w:val="NormalWeb"/>
        <w:numPr>
          <w:ilvl w:val="0"/>
          <w:numId w:val="41"/>
        </w:numPr>
        <w:rPr>
          <w:rFonts w:ascii="Arial" w:hAnsi="Arial" w:cs="Arial"/>
          <w:sz w:val="22"/>
          <w:szCs w:val="22"/>
        </w:rPr>
      </w:pPr>
      <w:r w:rsidRPr="00E10643">
        <w:rPr>
          <w:rStyle w:val="Strong"/>
          <w:rFonts w:ascii="Arial" w:hAnsi="Arial" w:cs="Arial"/>
          <w:sz w:val="22"/>
          <w:szCs w:val="22"/>
        </w:rPr>
        <w:t>Leveraging CSR for Competitive Advantage</w:t>
      </w:r>
      <w:r w:rsidRPr="00E10643">
        <w:rPr>
          <w:rFonts w:ascii="Arial" w:hAnsi="Arial" w:cs="Arial"/>
          <w:sz w:val="22"/>
          <w:szCs w:val="22"/>
        </w:rPr>
        <w:br/>
        <w:t>CSR can evolve from a mere ethical requirement to a strategic differentiator in global markets (Lee, 2022; Zhang &amp; Li, 2020). In the UK, emphasizing individualistic values, ethical sourcing, and public-facing transparency resonates strongly with consumers and regulatory bodies. Meanwhile, in China, aligning CSR with government-led programs, such as environmental sustainability or poverty alleviation, can elevate a firm’s standing among policymakers and local communities. By leveraging these region-specific CSR advantages, companies can heighten brand loyalty, boost consumer confidence, and secure favourable positions in both regions’ competitive landscapes.</w:t>
      </w:r>
    </w:p>
    <w:p w14:paraId="4E2A2C6C" w14:textId="77777777" w:rsidR="00846BE2" w:rsidRPr="00E10643" w:rsidRDefault="00846BE2" w:rsidP="00846BE2">
      <w:pPr>
        <w:pStyle w:val="NormalWeb"/>
        <w:numPr>
          <w:ilvl w:val="0"/>
          <w:numId w:val="40"/>
        </w:numPr>
        <w:rPr>
          <w:rFonts w:ascii="Arial" w:hAnsi="Arial" w:cs="Arial"/>
          <w:sz w:val="22"/>
          <w:szCs w:val="22"/>
        </w:rPr>
      </w:pPr>
      <w:r w:rsidRPr="00E10643">
        <w:rPr>
          <w:rStyle w:val="Strong"/>
          <w:rFonts w:ascii="Arial" w:hAnsi="Arial" w:cs="Arial"/>
          <w:sz w:val="22"/>
          <w:szCs w:val="22"/>
        </w:rPr>
        <w:lastRenderedPageBreak/>
        <w:t>Investing in Workforce &amp; Community Development</w:t>
      </w:r>
      <w:r w:rsidRPr="00E10643">
        <w:rPr>
          <w:rFonts w:ascii="Arial" w:hAnsi="Arial" w:cs="Arial"/>
          <w:sz w:val="22"/>
          <w:szCs w:val="22"/>
        </w:rPr>
        <w:br/>
        <w:t>Empirical evidence from companies like Stanley Black &amp; Decker (2023) highlights how localized training programs, apprenticeship schemes, and educational partnerships promote employee retention and sustainability. In China, addressing high power distance may mean working through state-accredited training bodies or government-sponsored skill initiatives, whereas in the UK, it might entail forging direct partnerships with local colleges and apprenticeship programs. These workforce investments not only improve operational efficiency but also deepen community ties, increasing social capital and long-term business resilience.</w:t>
      </w:r>
    </w:p>
    <w:p w14:paraId="42F702E7" w14:textId="77777777" w:rsidR="00846BE2" w:rsidRPr="00E10643" w:rsidRDefault="00846BE2" w:rsidP="00846BE2">
      <w:pPr>
        <w:pStyle w:val="NormalWeb"/>
        <w:numPr>
          <w:ilvl w:val="0"/>
          <w:numId w:val="39"/>
        </w:numPr>
        <w:rPr>
          <w:rFonts w:ascii="Arial" w:hAnsi="Arial" w:cs="Arial"/>
          <w:sz w:val="22"/>
          <w:szCs w:val="22"/>
        </w:rPr>
      </w:pPr>
      <w:r w:rsidRPr="00E10643">
        <w:rPr>
          <w:rStyle w:val="Strong"/>
          <w:rFonts w:ascii="Arial" w:hAnsi="Arial" w:cs="Arial"/>
          <w:sz w:val="22"/>
          <w:szCs w:val="22"/>
        </w:rPr>
        <w:t>Balancing Global and Local Strategies</w:t>
      </w:r>
      <w:r w:rsidRPr="00E10643">
        <w:rPr>
          <w:rFonts w:ascii="Arial" w:hAnsi="Arial" w:cs="Arial"/>
          <w:sz w:val="22"/>
          <w:szCs w:val="22"/>
        </w:rPr>
        <w:br/>
        <w:t>Striking the right equilibrium between centralized CSR policies and local adaptations is crucial for multinational assembly firms (Samsung, 2023). A global framework ensures consistent ethical standards and brand identity, while local modifications address region-specific norms and consumer demands. For example, a uniform global sustainability policy can guide overarching environmental goals, yet each market can tailor implementation details—such as choice of suppliers or community initiatives—according to local cultural expectations. This balance mitigates risks of cultural misalignment, optimizes resource allocation, and ensures CSR initiatives remain effective and credible across diverse markets.</w:t>
      </w:r>
    </w:p>
    <w:p w14:paraId="721A558F" w14:textId="158A84A6" w:rsidR="004F7F95" w:rsidRPr="00490B1C" w:rsidRDefault="00AE4BD9" w:rsidP="00AE4BD9">
      <w:pPr>
        <w:pStyle w:val="Heading3"/>
        <w:numPr>
          <w:ilvl w:val="1"/>
          <w:numId w:val="60"/>
        </w:numPr>
      </w:pPr>
      <w:r>
        <w:t xml:space="preserve"> </w:t>
      </w:r>
      <w:bookmarkStart w:id="24" w:name="_Toc194248487"/>
      <w:r w:rsidR="00490B1C" w:rsidRPr="00490B1C">
        <w:t>Key findings</w:t>
      </w:r>
      <w:bookmarkEnd w:id="24"/>
    </w:p>
    <w:p w14:paraId="79A827F3" w14:textId="77777777" w:rsidR="00B955E1" w:rsidRPr="00E10643" w:rsidRDefault="00B955E1" w:rsidP="00B955E1">
      <w:pPr>
        <w:pStyle w:val="NormalWeb"/>
        <w:ind w:left="360"/>
        <w:rPr>
          <w:rFonts w:ascii="Arial" w:hAnsi="Arial" w:cs="Arial"/>
          <w:sz w:val="22"/>
          <w:szCs w:val="22"/>
        </w:rPr>
      </w:pPr>
      <w:r w:rsidRPr="00E10643">
        <w:rPr>
          <w:rFonts w:ascii="Arial" w:hAnsi="Arial" w:cs="Arial"/>
          <w:sz w:val="22"/>
          <w:szCs w:val="22"/>
        </w:rPr>
        <w:t>The integration of community orientation in business emerges as a pivotal driver of successful trade relationships between UK and Chinese assembly organizations. Companies that align their corporate social responsibility (CSR) strategies with local cultural, economic, and regulatory expectations gain a competitive advantage in global markets (Carroll, 2015; Porter &amp; Kramer, 2011). This section examines how firms such as Samsung, Makita, Denso, and Stanley Black &amp; Decker exemplify these strategies, demonstrating how a commitment to community welfare, sustainability, and stakeholder collaboration underpins their long-term growth and cross-border success.</w:t>
      </w:r>
    </w:p>
    <w:p w14:paraId="5AF48BDF" w14:textId="12B91BDE" w:rsidR="00E64B0B" w:rsidRPr="00E64B0B" w:rsidRDefault="00B955E1" w:rsidP="00B955E1">
      <w:pPr>
        <w:pStyle w:val="NormalWeb"/>
        <w:ind w:left="360"/>
        <w:rPr>
          <w:rFonts w:ascii="Arial" w:hAnsi="Arial" w:cs="Arial"/>
          <w:sz w:val="22"/>
          <w:szCs w:val="22"/>
        </w:rPr>
      </w:pPr>
      <w:r w:rsidRPr="00E10643">
        <w:rPr>
          <w:rStyle w:val="Strong"/>
          <w:rFonts w:ascii="Arial" w:hAnsi="Arial" w:cs="Arial"/>
          <w:sz w:val="22"/>
          <w:szCs w:val="22"/>
        </w:rPr>
        <w:t>Samsung:</w:t>
      </w:r>
      <w:r w:rsidRPr="00E10643">
        <w:rPr>
          <w:rFonts w:ascii="Arial" w:hAnsi="Arial" w:cs="Arial"/>
          <w:sz w:val="22"/>
          <w:szCs w:val="22"/>
        </w:rPr>
        <w:t xml:space="preserve"> </w:t>
      </w:r>
      <w:r w:rsidR="00E64B0B" w:rsidRPr="00E64B0B">
        <w:rPr>
          <w:rFonts w:ascii="Arial" w:hAnsi="Arial" w:cs="Arial"/>
          <w:sz w:val="22"/>
          <w:szCs w:val="22"/>
        </w:rPr>
        <w:t>Samsung, a global leader in electronics and semiconductors, prioritizes supply chain community engagement to enhance its trade partnerships in both China and the UK. As detailed in Samsung’s (2023) Annual Report, the firm attributes a substantial share of its $244 billion revenue to robust supplier alliances and local manufacturing investments. Reflecting its broader approach to service and solutions, Samsung emphasizes “</w:t>
      </w:r>
      <w:r w:rsidR="00E64B0B">
        <w:rPr>
          <w:rFonts w:ascii="Arial" w:hAnsi="Arial" w:cs="Arial"/>
          <w:sz w:val="22"/>
          <w:szCs w:val="22"/>
        </w:rPr>
        <w:t>user</w:t>
      </w:r>
      <w:r w:rsidR="00E64B0B" w:rsidRPr="00E64B0B">
        <w:rPr>
          <w:rFonts w:ascii="Arial" w:hAnsi="Arial" w:cs="Arial"/>
          <w:sz w:val="22"/>
          <w:szCs w:val="22"/>
        </w:rPr>
        <w:t>-cantered, convenient, secure financial transactions and optimal financial investment experience through various digital devices such as smartphones, PCs, and tablets” (Samsung, 2023, p. 5). Moreover, in describing its overall market position, the company highlights its role as “Korea’s leading comprehensive financial investment company” that “provides differentiated products and customized solutions for customers utilizing various financial services, including stock brokerage, asset management, corporate finance, and fund management” (Samsung, 2023, p. 8). While its Chinese R&amp;D centres and manufacturing plants are closely aligned with regional industrial policies (PwC, 2023), Samsung’s UK operations underscore sustainability, responsible procurement, and workforce development. This multi-faceted approach not only fortifies Samsung’s brand reputation but also streamlines logistics between the two regions, underscoring how community-oriented policies—involving local suppliers and employee training—lead to stronger trade ties and increased operational resilience (OECD, 2023).</w:t>
      </w:r>
    </w:p>
    <w:p w14:paraId="65A602CB" w14:textId="77777777" w:rsidR="00E64B0B" w:rsidRDefault="00E64B0B" w:rsidP="00B955E1">
      <w:pPr>
        <w:pStyle w:val="NormalWeb"/>
        <w:ind w:left="360"/>
        <w:rPr>
          <w:rFonts w:ascii="Arial" w:hAnsi="Arial" w:cs="Arial"/>
          <w:sz w:val="22"/>
          <w:szCs w:val="22"/>
        </w:rPr>
      </w:pPr>
      <w:r w:rsidRPr="00E10643">
        <w:rPr>
          <w:rStyle w:val="Strong"/>
          <w:rFonts w:ascii="Arial" w:hAnsi="Arial" w:cs="Arial"/>
          <w:sz w:val="22"/>
          <w:szCs w:val="22"/>
        </w:rPr>
        <w:t>Makita</w:t>
      </w:r>
      <w:r>
        <w:t xml:space="preserve">: </w:t>
      </w:r>
      <w:r w:rsidRPr="00E64B0B">
        <w:rPr>
          <w:rFonts w:ascii="Arial" w:hAnsi="Arial" w:cs="Arial"/>
          <w:sz w:val="22"/>
          <w:szCs w:val="22"/>
        </w:rPr>
        <w:t>A leading power tools manufacturer, underscores its ambition to “</w:t>
      </w:r>
      <w:proofErr w:type="spellStart"/>
      <w:r w:rsidRPr="00E64B0B">
        <w:rPr>
          <w:rFonts w:ascii="Arial" w:hAnsi="Arial" w:cs="Arial"/>
          <w:sz w:val="22"/>
          <w:szCs w:val="22"/>
        </w:rPr>
        <w:t>contribut</w:t>
      </w:r>
      <w:proofErr w:type="spellEnd"/>
      <w:r w:rsidRPr="00E64B0B">
        <w:rPr>
          <w:rFonts w:ascii="Arial" w:hAnsi="Arial" w:cs="Arial"/>
          <w:sz w:val="22"/>
          <w:szCs w:val="22"/>
        </w:rPr>
        <w:t xml:space="preserve">[e] to the creation of sustainable society and </w:t>
      </w:r>
      <w:proofErr w:type="spellStart"/>
      <w:r w:rsidRPr="00E64B0B">
        <w:rPr>
          <w:rFonts w:ascii="Arial" w:hAnsi="Arial" w:cs="Arial"/>
          <w:sz w:val="22"/>
          <w:szCs w:val="22"/>
        </w:rPr>
        <w:t>consolidat</w:t>
      </w:r>
      <w:proofErr w:type="spellEnd"/>
      <w:r w:rsidRPr="00E64B0B">
        <w:rPr>
          <w:rFonts w:ascii="Arial" w:hAnsi="Arial" w:cs="Arial"/>
          <w:sz w:val="22"/>
          <w:szCs w:val="22"/>
        </w:rPr>
        <w:t xml:space="preserve">[e] a strong position in the industry </w:t>
      </w:r>
      <w:r w:rsidRPr="00E64B0B">
        <w:rPr>
          <w:rFonts w:ascii="Arial" w:hAnsi="Arial" w:cs="Arial"/>
          <w:sz w:val="22"/>
          <w:szCs w:val="22"/>
        </w:rPr>
        <w:lastRenderedPageBreak/>
        <w:t>worldwide as a global supplier of a comprehensive range of tools for creating comfortable homes and living environments” (Makita, 2023, p. 1). By “maintaining production sites and sales offices with inventories at locations around the world,” the company also ensures “swift and stable supply” of its products (Makita, 2023, p. 4). Posting $6.4 billion in revenue in 2023, Makita attributes much of its success to a localized approach that fosters strong community ties. In China, Makita collaborates with government initiatives to bolster local workforce skills, emphasizing technology transfer and factory upskilling programs (Levy &amp; Powell, 2005). Meanwhile, in the UK, the company partners with technical colleges and local development boards, generating community goodwill and streamlining market entry (UK Department for Business and Trade, 2023). By embedding CSR programs in both settings, Makita reduces the cultural and operational gaps that often hinder cross-border collaborations and increases customer loyalty through reliable service networks (Hamilton &amp; Webster, 2019).</w:t>
      </w:r>
    </w:p>
    <w:p w14:paraId="37CA8B6E" w14:textId="77777777" w:rsidR="00E64B0B" w:rsidRDefault="00B955E1" w:rsidP="00B955E1">
      <w:pPr>
        <w:pStyle w:val="NormalWeb"/>
        <w:ind w:left="360"/>
        <w:rPr>
          <w:rFonts w:ascii="Arial" w:hAnsi="Arial" w:cs="Arial"/>
          <w:sz w:val="22"/>
          <w:szCs w:val="22"/>
        </w:rPr>
      </w:pPr>
      <w:r w:rsidRPr="00E10643">
        <w:rPr>
          <w:rStyle w:val="Strong"/>
          <w:rFonts w:ascii="Arial" w:hAnsi="Arial" w:cs="Arial"/>
          <w:sz w:val="22"/>
          <w:szCs w:val="22"/>
        </w:rPr>
        <w:t>Denso</w:t>
      </w:r>
      <w:r w:rsidR="00E64B0B" w:rsidRPr="00E64B0B">
        <w:rPr>
          <w:b/>
          <w:bCs/>
        </w:rPr>
        <w:t xml:space="preserve">: </w:t>
      </w:r>
      <w:r w:rsidR="00E64B0B" w:rsidRPr="00E64B0B">
        <w:rPr>
          <w:rFonts w:ascii="Arial" w:hAnsi="Arial" w:cs="Arial"/>
          <w:sz w:val="22"/>
          <w:szCs w:val="22"/>
        </w:rPr>
        <w:t>Reflecting its commitment to transparency, “DENSO publishes an integrated report every year in order to foster a deeper understanding among investors and all of its stakeholders regarding the Company’s initiatives toward sustainable corporate value enhancement” (Denso, 2024, p. 1). Moreover, the company highlights that “by analysing how these firms engage with their respective communities, this research aims to identify best practices, strategic motivations, and key challenges associated with community-oriented CSR initiatives” (Denso, 2024, p. 1). In the automotive industry, Denso focuses on community-</w:t>
      </w:r>
      <w:proofErr w:type="spellStart"/>
      <w:r w:rsidR="00E64B0B" w:rsidRPr="00E64B0B">
        <w:rPr>
          <w:rFonts w:ascii="Arial" w:hAnsi="Arial" w:cs="Arial"/>
          <w:sz w:val="22"/>
          <w:szCs w:val="22"/>
        </w:rPr>
        <w:t>centered</w:t>
      </w:r>
      <w:proofErr w:type="spellEnd"/>
      <w:r w:rsidR="00E64B0B" w:rsidRPr="00E64B0B">
        <w:rPr>
          <w:rFonts w:ascii="Arial" w:hAnsi="Arial" w:cs="Arial"/>
          <w:sz w:val="22"/>
          <w:szCs w:val="22"/>
        </w:rPr>
        <w:t xml:space="preserve"> R&amp;D initiatives and environmental sustainability to maintain mutually beneficial trade relationships between its Chinese and UK markets. Generating $47 billion in revenue in 2023, Denso’s strategic emphasis on low-carbon technologies resonates with China’s green development priorities, while also responding to UK consumer demand for more eco-friendly automotive components (Smith, 2020). By aligning with local ESG (Environmental, Social, and Governance) expectations and collaborating with domestic research institutes, Denso solidifies both commercial and community-driven success, ultimately fostering trade longevity across regions (Kumar &amp; Zhao, 2020).</w:t>
      </w:r>
    </w:p>
    <w:p w14:paraId="694D1BDE" w14:textId="77777777" w:rsidR="00E64B0B" w:rsidRDefault="00B955E1" w:rsidP="002D6B55">
      <w:pPr>
        <w:pStyle w:val="NormalWeb"/>
        <w:ind w:left="360"/>
        <w:rPr>
          <w:rFonts w:ascii="Arial" w:hAnsi="Arial" w:cs="Arial"/>
          <w:sz w:val="22"/>
          <w:szCs w:val="22"/>
        </w:rPr>
      </w:pPr>
      <w:r w:rsidRPr="00E10643">
        <w:rPr>
          <w:rStyle w:val="Strong"/>
          <w:rFonts w:ascii="Arial" w:hAnsi="Arial" w:cs="Arial"/>
          <w:sz w:val="22"/>
          <w:szCs w:val="22"/>
        </w:rPr>
        <w:t xml:space="preserve">Stanley Black &amp; </w:t>
      </w:r>
      <w:r w:rsidR="00E64B0B" w:rsidRPr="00E10643">
        <w:rPr>
          <w:rStyle w:val="Strong"/>
          <w:rFonts w:ascii="Arial" w:hAnsi="Arial" w:cs="Arial"/>
          <w:sz w:val="22"/>
          <w:szCs w:val="22"/>
        </w:rPr>
        <w:t>Decker</w:t>
      </w:r>
      <w:r w:rsidR="00E64B0B">
        <w:rPr>
          <w:rStyle w:val="Strong"/>
          <w:rFonts w:ascii="Arial" w:hAnsi="Arial" w:cs="Arial"/>
          <w:sz w:val="22"/>
          <w:szCs w:val="22"/>
        </w:rPr>
        <w:t xml:space="preserve">: </w:t>
      </w:r>
      <w:r w:rsidR="00E64B0B" w:rsidRPr="00E64B0B">
        <w:rPr>
          <w:rFonts w:ascii="Arial" w:hAnsi="Arial" w:cs="Arial"/>
          <w:sz w:val="22"/>
          <w:szCs w:val="22"/>
        </w:rPr>
        <w:t>The business recorded $16.9 billion in revenue (Stanley Black &amp; Decker, 2023) by implementing adaptive CSR policies that cater to distinct community needs in China and the UK. Reflecting its broader strategic outlook, the company emphasizes that it has “powerful brands and a strong innovation engine that will position [it] to win even more with [its] customers and outperform in the markets [it] serve[s]” (Stanley Black &amp; Decker, 2023, p. 3). While its Chinese presence stresses collaborative manufacturing agreements and energy-efficient production, its UK strategy spotlights workforce training and local supplier support—an approach consistent with the company’s view that “footprint actions and product changes, such as [its] platforming initiatives, will become more important drivers of savings” (Stanley Black &amp; Decker, 2023, p. 5). This dual focus enhances brand integrity, secures regulatory compliance, and cultivates trust among stakeholders in both regions (World Trade Organization, 2023). By weaving community-oriented values—such as employee development and sustainability—into daily operations, Stanley Black &amp; Decker not only meets corporate responsibility goals but also reinforces trade partnerships grounded in ethical practice and mutual gain (Norton &amp; Hughes, 2022).</w:t>
      </w:r>
    </w:p>
    <w:p w14:paraId="794493CF" w14:textId="46EF66F2" w:rsidR="002737C6" w:rsidRPr="002D6B55" w:rsidRDefault="00B955E1" w:rsidP="002D6B55">
      <w:pPr>
        <w:pStyle w:val="NormalWeb"/>
        <w:ind w:left="360"/>
        <w:rPr>
          <w:rFonts w:ascii="Arial" w:hAnsi="Arial" w:cs="Arial"/>
          <w:sz w:val="22"/>
          <w:szCs w:val="22"/>
        </w:rPr>
      </w:pPr>
      <w:r w:rsidRPr="00E10643">
        <w:rPr>
          <w:rFonts w:ascii="Arial" w:hAnsi="Arial" w:cs="Arial"/>
          <w:sz w:val="22"/>
          <w:szCs w:val="22"/>
        </w:rPr>
        <w:t xml:space="preserve">Overall, these examples illustrate how assembly companies that balance profitability with robust community integration—through tailored CSR initiatives, local workforce engagement, and cultural adaptation—achieve smoother market entries, stronger cross-border relationships, and enhanced reputations in both the UK and China. The synergy between community orientation and operational efficiency stands out as a vital success </w:t>
      </w:r>
      <w:r w:rsidRPr="00E10643">
        <w:rPr>
          <w:rFonts w:ascii="Arial" w:hAnsi="Arial" w:cs="Arial"/>
          <w:sz w:val="22"/>
          <w:szCs w:val="22"/>
        </w:rPr>
        <w:lastRenderedPageBreak/>
        <w:t>factor in a global market reshaped by sustainability demands, regulatory shifts, and evolving consumer values (Porter &amp; Kramer, 2011; Taylor &amp; Wang, 2021).</w:t>
      </w:r>
    </w:p>
    <w:p w14:paraId="4E702746" w14:textId="3F1C9377" w:rsidR="002D6B55" w:rsidRDefault="002D6B55" w:rsidP="00254664">
      <w:pPr>
        <w:pStyle w:val="NormalWeb"/>
        <w:jc w:val="center"/>
        <w:rPr>
          <w:b/>
          <w:bCs/>
        </w:rPr>
      </w:pPr>
    </w:p>
    <w:p w14:paraId="2EB575D0" w14:textId="77777777" w:rsidR="004F2D4D" w:rsidRDefault="004F2D4D" w:rsidP="003C5BC7">
      <w:pPr>
        <w:pStyle w:val="NormalWeb"/>
      </w:pPr>
    </w:p>
    <w:p w14:paraId="3036FC20" w14:textId="02F342E3" w:rsidR="00BF17EA" w:rsidRPr="004F2D4D" w:rsidRDefault="00AE4BD9" w:rsidP="00AE4BD9">
      <w:pPr>
        <w:pStyle w:val="Heading3"/>
        <w:numPr>
          <w:ilvl w:val="0"/>
          <w:numId w:val="0"/>
        </w:numPr>
      </w:pPr>
      <w:bookmarkStart w:id="25" w:name="_Toc194248488"/>
      <w:r>
        <w:t>3.6</w:t>
      </w:r>
      <w:r w:rsidR="00D255A5" w:rsidRPr="004F2D4D">
        <w:t xml:space="preserve"> </w:t>
      </w:r>
      <w:r w:rsidR="00BF17EA" w:rsidRPr="004F2D4D">
        <w:t>Justification for Secondary Data Use</w:t>
      </w:r>
      <w:bookmarkEnd w:id="25"/>
    </w:p>
    <w:p w14:paraId="48731AC3" w14:textId="77777777" w:rsidR="00BF17EA" w:rsidRPr="004F2D4D" w:rsidRDefault="00BF17EA" w:rsidP="00BF17EA">
      <w:pPr>
        <w:pStyle w:val="NormalWeb"/>
        <w:rPr>
          <w:rFonts w:ascii="Arial" w:hAnsi="Arial" w:cs="Arial"/>
          <w:sz w:val="22"/>
          <w:szCs w:val="22"/>
        </w:rPr>
      </w:pPr>
      <w:r w:rsidRPr="004F2D4D">
        <w:rPr>
          <w:rFonts w:ascii="Arial" w:hAnsi="Arial" w:cs="Arial"/>
          <w:sz w:val="22"/>
          <w:szCs w:val="22"/>
        </w:rPr>
        <w:t>This study employs secondary data analysis due to several advantages:</w:t>
      </w:r>
    </w:p>
    <w:p w14:paraId="02D67B18" w14:textId="77777777" w:rsidR="00BF17EA" w:rsidRPr="004F2D4D" w:rsidRDefault="00BF17EA" w:rsidP="00BF17EA">
      <w:pPr>
        <w:pStyle w:val="NormalWeb"/>
        <w:numPr>
          <w:ilvl w:val="0"/>
          <w:numId w:val="9"/>
        </w:numPr>
        <w:rPr>
          <w:rFonts w:ascii="Arial" w:hAnsi="Arial" w:cs="Arial"/>
          <w:sz w:val="22"/>
          <w:szCs w:val="22"/>
        </w:rPr>
      </w:pPr>
      <w:r w:rsidRPr="004F2D4D">
        <w:rPr>
          <w:rStyle w:val="Strong"/>
          <w:rFonts w:ascii="Arial" w:hAnsi="Arial" w:cs="Arial"/>
          <w:b w:val="0"/>
          <w:bCs w:val="0"/>
          <w:sz w:val="22"/>
          <w:szCs w:val="22"/>
        </w:rPr>
        <w:t>Availability and Reliability</w:t>
      </w:r>
      <w:r w:rsidRPr="004F2D4D">
        <w:rPr>
          <w:rFonts w:ascii="Arial" w:hAnsi="Arial" w:cs="Arial"/>
          <w:sz w:val="22"/>
          <w:szCs w:val="22"/>
        </w:rPr>
        <w:t>: High-quality CSR reports and academic studies provide robust data without the need for new primary data collection (Chen, 2021b; Zhang &amp; Li, 2020).</w:t>
      </w:r>
    </w:p>
    <w:p w14:paraId="793CE96F" w14:textId="77777777" w:rsidR="00BF17EA" w:rsidRPr="004F2D4D" w:rsidRDefault="00BF17EA" w:rsidP="00BF17EA">
      <w:pPr>
        <w:pStyle w:val="NormalWeb"/>
        <w:numPr>
          <w:ilvl w:val="0"/>
          <w:numId w:val="9"/>
        </w:numPr>
        <w:rPr>
          <w:rFonts w:ascii="Arial" w:hAnsi="Arial" w:cs="Arial"/>
          <w:sz w:val="22"/>
          <w:szCs w:val="22"/>
        </w:rPr>
      </w:pPr>
      <w:r w:rsidRPr="004F2D4D">
        <w:rPr>
          <w:rStyle w:val="Strong"/>
          <w:rFonts w:ascii="Arial" w:hAnsi="Arial" w:cs="Arial"/>
          <w:b w:val="0"/>
          <w:bCs w:val="0"/>
          <w:sz w:val="22"/>
          <w:szCs w:val="22"/>
        </w:rPr>
        <w:t>Cost and Time Efficiency</w:t>
      </w:r>
      <w:r w:rsidRPr="004F2D4D">
        <w:rPr>
          <w:rFonts w:ascii="Arial" w:hAnsi="Arial" w:cs="Arial"/>
          <w:sz w:val="22"/>
          <w:szCs w:val="22"/>
        </w:rPr>
        <w:t>: Conducting surveys or interviews across two countries would be resource-intensive, making secondary research more feasible (Smith, 2018).</w:t>
      </w:r>
    </w:p>
    <w:p w14:paraId="30D43D7D" w14:textId="77777777" w:rsidR="00BF17EA" w:rsidRDefault="00BF17EA" w:rsidP="00BF17EA">
      <w:pPr>
        <w:pStyle w:val="NormalWeb"/>
        <w:numPr>
          <w:ilvl w:val="0"/>
          <w:numId w:val="9"/>
        </w:numPr>
        <w:rPr>
          <w:rFonts w:ascii="Arial" w:hAnsi="Arial" w:cs="Arial"/>
          <w:sz w:val="22"/>
          <w:szCs w:val="22"/>
        </w:rPr>
      </w:pPr>
      <w:r w:rsidRPr="004F2D4D">
        <w:rPr>
          <w:rStyle w:val="Strong"/>
          <w:rFonts w:ascii="Arial" w:hAnsi="Arial" w:cs="Arial"/>
          <w:b w:val="0"/>
          <w:bCs w:val="0"/>
          <w:sz w:val="22"/>
          <w:szCs w:val="22"/>
        </w:rPr>
        <w:t>Longitudinal Insights</w:t>
      </w:r>
      <w:r w:rsidRPr="004F2D4D">
        <w:rPr>
          <w:rFonts w:ascii="Arial" w:hAnsi="Arial" w:cs="Arial"/>
          <w:sz w:val="22"/>
          <w:szCs w:val="22"/>
        </w:rPr>
        <w:t>: Secondary data allows for the examination of CSR trends over time, offering a more dynamic perspective compared to primary data (Kumar &amp; Zhao, 2020).</w:t>
      </w:r>
    </w:p>
    <w:p w14:paraId="0BD3B318" w14:textId="77777777" w:rsidR="006A23B0" w:rsidRPr="004F2D4D" w:rsidRDefault="006A23B0" w:rsidP="006A23B0">
      <w:pPr>
        <w:pStyle w:val="NormalWeb"/>
        <w:ind w:left="720"/>
        <w:rPr>
          <w:rFonts w:ascii="Arial" w:hAnsi="Arial" w:cs="Arial"/>
          <w:sz w:val="22"/>
          <w:szCs w:val="22"/>
        </w:rPr>
      </w:pPr>
    </w:p>
    <w:p w14:paraId="5947C00C" w14:textId="5D4CF3E8" w:rsidR="00BF17EA" w:rsidRDefault="00AE4BD9" w:rsidP="00AE4BD9">
      <w:pPr>
        <w:pStyle w:val="Heading3"/>
        <w:numPr>
          <w:ilvl w:val="0"/>
          <w:numId w:val="0"/>
        </w:numPr>
        <w:ind w:left="720" w:hanging="720"/>
      </w:pPr>
      <w:bookmarkStart w:id="26" w:name="_Toc194248489"/>
      <w:r>
        <w:t>3.7</w:t>
      </w:r>
      <w:r w:rsidR="00D255A5">
        <w:t xml:space="preserve"> </w:t>
      </w:r>
      <w:r w:rsidR="00BF17EA">
        <w:t>Limitations</w:t>
      </w:r>
      <w:bookmarkEnd w:id="26"/>
    </w:p>
    <w:p w14:paraId="309F6BD2" w14:textId="77777777" w:rsidR="00BF17EA" w:rsidRPr="004F2D4D" w:rsidRDefault="00BF17EA" w:rsidP="00BF17EA">
      <w:pPr>
        <w:pStyle w:val="NormalWeb"/>
        <w:rPr>
          <w:rFonts w:ascii="Arial" w:hAnsi="Arial" w:cs="Arial"/>
          <w:sz w:val="22"/>
          <w:szCs w:val="22"/>
        </w:rPr>
      </w:pPr>
      <w:r w:rsidRPr="004F2D4D">
        <w:rPr>
          <w:rFonts w:ascii="Arial" w:hAnsi="Arial" w:cs="Arial"/>
          <w:sz w:val="22"/>
          <w:szCs w:val="22"/>
        </w:rPr>
        <w:t>While secondary data analysis offers valuable insights, it has certain limitations:</w:t>
      </w:r>
    </w:p>
    <w:p w14:paraId="6EF81A7F" w14:textId="77777777" w:rsidR="00BF17EA" w:rsidRPr="004F2D4D" w:rsidRDefault="00BF17EA" w:rsidP="004F2D4D">
      <w:pPr>
        <w:pStyle w:val="NormalWeb"/>
        <w:numPr>
          <w:ilvl w:val="0"/>
          <w:numId w:val="35"/>
        </w:numPr>
        <w:rPr>
          <w:rFonts w:ascii="Arial" w:hAnsi="Arial" w:cs="Arial"/>
          <w:sz w:val="22"/>
          <w:szCs w:val="22"/>
        </w:rPr>
      </w:pPr>
      <w:r w:rsidRPr="004F2D4D">
        <w:rPr>
          <w:rFonts w:ascii="Arial" w:hAnsi="Arial" w:cs="Arial"/>
          <w:sz w:val="22"/>
          <w:szCs w:val="22"/>
        </w:rPr>
        <w:t>Relevance and Consistency: Some sources may not fully align with the research focus, requiring careful selection and cross-validation (Smith, 2018).</w:t>
      </w:r>
    </w:p>
    <w:p w14:paraId="3F1D77B8" w14:textId="77777777" w:rsidR="00BF17EA" w:rsidRPr="004F2D4D" w:rsidRDefault="00BF17EA" w:rsidP="004F2D4D">
      <w:pPr>
        <w:pStyle w:val="NormalWeb"/>
        <w:numPr>
          <w:ilvl w:val="0"/>
          <w:numId w:val="35"/>
        </w:numPr>
        <w:rPr>
          <w:rFonts w:ascii="Arial" w:hAnsi="Arial" w:cs="Arial"/>
          <w:sz w:val="22"/>
          <w:szCs w:val="22"/>
        </w:rPr>
      </w:pPr>
      <w:r w:rsidRPr="004F2D4D">
        <w:rPr>
          <w:rFonts w:ascii="Arial" w:hAnsi="Arial" w:cs="Arial"/>
          <w:sz w:val="22"/>
          <w:szCs w:val="22"/>
        </w:rPr>
        <w:t>Lack of Control over Data Collection: Since data is collected by external sources, potential biases in reporting and methodology must be considered (Chen, 2021a).</w:t>
      </w:r>
    </w:p>
    <w:p w14:paraId="688691CD" w14:textId="77777777" w:rsidR="00BF17EA" w:rsidRPr="004F2D4D" w:rsidRDefault="00BF17EA" w:rsidP="004F2D4D">
      <w:pPr>
        <w:pStyle w:val="NormalWeb"/>
        <w:numPr>
          <w:ilvl w:val="0"/>
          <w:numId w:val="35"/>
        </w:numPr>
        <w:rPr>
          <w:rFonts w:ascii="Arial" w:hAnsi="Arial" w:cs="Arial"/>
          <w:sz w:val="22"/>
          <w:szCs w:val="22"/>
        </w:rPr>
      </w:pPr>
      <w:r w:rsidRPr="004F2D4D">
        <w:rPr>
          <w:rFonts w:ascii="Arial" w:hAnsi="Arial" w:cs="Arial"/>
          <w:sz w:val="22"/>
          <w:szCs w:val="22"/>
        </w:rPr>
        <w:t>Comparability Challenges: Variations in CSR reporting standards between the UK and China may present challenges in direct comparisons (Hofstede Insights, 2021).</w:t>
      </w:r>
    </w:p>
    <w:p w14:paraId="0D945C03" w14:textId="77777777" w:rsidR="00BF17EA" w:rsidRDefault="00BF17EA" w:rsidP="004F2D4D">
      <w:pPr>
        <w:pStyle w:val="NormalWeb"/>
        <w:numPr>
          <w:ilvl w:val="0"/>
          <w:numId w:val="35"/>
        </w:numPr>
        <w:rPr>
          <w:rFonts w:ascii="Arial" w:hAnsi="Arial" w:cs="Arial"/>
          <w:sz w:val="22"/>
          <w:szCs w:val="22"/>
        </w:rPr>
      </w:pPr>
      <w:r w:rsidRPr="004F2D4D">
        <w:rPr>
          <w:rFonts w:ascii="Arial" w:hAnsi="Arial" w:cs="Arial"/>
          <w:sz w:val="22"/>
          <w:szCs w:val="22"/>
        </w:rPr>
        <w:t>To address these limitations, only credible sources such as peer-reviewed journals, corporate reports, and government publications are used (Norton &amp; Hughes, 2022).</w:t>
      </w:r>
    </w:p>
    <w:p w14:paraId="311814E1" w14:textId="77777777" w:rsidR="006A23B0" w:rsidRDefault="006A23B0" w:rsidP="006A23B0">
      <w:pPr>
        <w:pStyle w:val="NormalWeb"/>
        <w:rPr>
          <w:rFonts w:ascii="Arial" w:hAnsi="Arial" w:cs="Arial"/>
          <w:sz w:val="22"/>
          <w:szCs w:val="22"/>
        </w:rPr>
      </w:pPr>
    </w:p>
    <w:p w14:paraId="1FEC86B8" w14:textId="77777777" w:rsidR="006A23B0" w:rsidRDefault="006A23B0" w:rsidP="006A23B0">
      <w:pPr>
        <w:pStyle w:val="NormalWeb"/>
        <w:rPr>
          <w:rFonts w:ascii="Arial" w:hAnsi="Arial" w:cs="Arial"/>
          <w:sz w:val="22"/>
          <w:szCs w:val="22"/>
        </w:rPr>
      </w:pPr>
    </w:p>
    <w:p w14:paraId="21454B79" w14:textId="77777777" w:rsidR="006A23B0" w:rsidRDefault="006A23B0" w:rsidP="006A23B0">
      <w:pPr>
        <w:pStyle w:val="NormalWeb"/>
        <w:rPr>
          <w:rFonts w:ascii="Arial" w:hAnsi="Arial" w:cs="Arial"/>
          <w:sz w:val="22"/>
          <w:szCs w:val="22"/>
        </w:rPr>
      </w:pPr>
    </w:p>
    <w:p w14:paraId="4A5602B7" w14:textId="77777777" w:rsidR="006A23B0" w:rsidRDefault="006A23B0" w:rsidP="006A23B0">
      <w:pPr>
        <w:pStyle w:val="NormalWeb"/>
        <w:rPr>
          <w:rFonts w:ascii="Arial" w:hAnsi="Arial" w:cs="Arial"/>
          <w:sz w:val="22"/>
          <w:szCs w:val="22"/>
        </w:rPr>
      </w:pPr>
    </w:p>
    <w:p w14:paraId="4C992D0C" w14:textId="77777777" w:rsidR="006A23B0" w:rsidRDefault="006A23B0" w:rsidP="006A23B0">
      <w:pPr>
        <w:pStyle w:val="NormalWeb"/>
        <w:rPr>
          <w:rFonts w:ascii="Arial" w:hAnsi="Arial" w:cs="Arial"/>
          <w:sz w:val="22"/>
          <w:szCs w:val="22"/>
        </w:rPr>
      </w:pPr>
    </w:p>
    <w:p w14:paraId="6CF7B1A0" w14:textId="77777777" w:rsidR="006A23B0" w:rsidRDefault="006A23B0" w:rsidP="006A23B0">
      <w:pPr>
        <w:pStyle w:val="NormalWeb"/>
        <w:rPr>
          <w:rFonts w:ascii="Arial" w:hAnsi="Arial" w:cs="Arial"/>
          <w:sz w:val="22"/>
          <w:szCs w:val="22"/>
        </w:rPr>
      </w:pPr>
    </w:p>
    <w:p w14:paraId="6AB7EDB7" w14:textId="77777777" w:rsidR="006A23B0" w:rsidRDefault="006A23B0" w:rsidP="006A23B0">
      <w:pPr>
        <w:pStyle w:val="NormalWeb"/>
        <w:rPr>
          <w:rFonts w:ascii="Arial" w:hAnsi="Arial" w:cs="Arial"/>
          <w:sz w:val="22"/>
          <w:szCs w:val="22"/>
        </w:rPr>
      </w:pPr>
    </w:p>
    <w:p w14:paraId="5EADEE5A" w14:textId="77777777" w:rsidR="006A23B0" w:rsidRDefault="006A23B0" w:rsidP="006A23B0">
      <w:pPr>
        <w:pStyle w:val="NormalWeb"/>
        <w:rPr>
          <w:rFonts w:ascii="Arial" w:hAnsi="Arial" w:cs="Arial"/>
          <w:sz w:val="22"/>
          <w:szCs w:val="22"/>
        </w:rPr>
      </w:pPr>
    </w:p>
    <w:p w14:paraId="2DE4B3A2" w14:textId="77777777" w:rsidR="006A23B0" w:rsidRDefault="006A23B0" w:rsidP="006A23B0">
      <w:pPr>
        <w:pStyle w:val="NormalWeb"/>
        <w:rPr>
          <w:rFonts w:ascii="Arial" w:hAnsi="Arial" w:cs="Arial"/>
          <w:sz w:val="22"/>
          <w:szCs w:val="22"/>
        </w:rPr>
      </w:pPr>
    </w:p>
    <w:p w14:paraId="6524A51D" w14:textId="77777777" w:rsidR="006A23B0" w:rsidRDefault="006A23B0" w:rsidP="006A23B0">
      <w:pPr>
        <w:pStyle w:val="NormalWeb"/>
        <w:rPr>
          <w:rFonts w:ascii="Arial" w:hAnsi="Arial" w:cs="Arial"/>
          <w:sz w:val="22"/>
          <w:szCs w:val="22"/>
        </w:rPr>
      </w:pPr>
    </w:p>
    <w:p w14:paraId="125C9488" w14:textId="77777777" w:rsidR="006A23B0" w:rsidRDefault="006A23B0" w:rsidP="006A23B0">
      <w:pPr>
        <w:pStyle w:val="NormalWeb"/>
        <w:rPr>
          <w:rFonts w:ascii="Arial" w:hAnsi="Arial" w:cs="Arial"/>
          <w:sz w:val="22"/>
          <w:szCs w:val="22"/>
        </w:rPr>
      </w:pPr>
    </w:p>
    <w:p w14:paraId="0E5BB092" w14:textId="77777777" w:rsidR="006A23B0" w:rsidRDefault="006A23B0" w:rsidP="006A23B0">
      <w:pPr>
        <w:pStyle w:val="NormalWeb"/>
        <w:rPr>
          <w:rFonts w:ascii="Arial" w:hAnsi="Arial" w:cs="Arial"/>
          <w:sz w:val="22"/>
          <w:szCs w:val="22"/>
        </w:rPr>
      </w:pPr>
    </w:p>
    <w:p w14:paraId="6144BA39" w14:textId="77777777" w:rsidR="006A23B0" w:rsidRPr="004F2D4D" w:rsidRDefault="006A23B0" w:rsidP="006A23B0">
      <w:pPr>
        <w:pStyle w:val="NormalWeb"/>
        <w:rPr>
          <w:rFonts w:ascii="Arial" w:hAnsi="Arial" w:cs="Arial"/>
          <w:sz w:val="22"/>
          <w:szCs w:val="22"/>
        </w:rPr>
      </w:pPr>
    </w:p>
    <w:p w14:paraId="238BE4D2" w14:textId="77777777" w:rsidR="0006671E" w:rsidRDefault="0006671E" w:rsidP="003C5BC7">
      <w:pPr>
        <w:pStyle w:val="NormalWeb"/>
      </w:pPr>
    </w:p>
    <w:p w14:paraId="565174E1" w14:textId="77777777" w:rsidR="00120CE3" w:rsidRDefault="00120CE3" w:rsidP="00120CE3">
      <w:pPr>
        <w:pStyle w:val="NormalWeb"/>
        <w:rPr>
          <w:rStyle w:val="Strong"/>
        </w:rPr>
      </w:pPr>
    </w:p>
    <w:p w14:paraId="5C33DD85" w14:textId="77777777" w:rsidR="00120CE3" w:rsidRDefault="00120CE3" w:rsidP="00120CE3">
      <w:pPr>
        <w:pStyle w:val="NormalWeb"/>
        <w:rPr>
          <w:rStyle w:val="Strong"/>
        </w:rPr>
      </w:pPr>
    </w:p>
    <w:p w14:paraId="625214CF" w14:textId="77777777" w:rsidR="001D1D8C" w:rsidRDefault="001D1D8C" w:rsidP="00120CE3">
      <w:pPr>
        <w:pStyle w:val="NormalWeb"/>
        <w:rPr>
          <w:rStyle w:val="Strong"/>
        </w:rPr>
      </w:pPr>
    </w:p>
    <w:p w14:paraId="6575FE3C" w14:textId="77777777" w:rsidR="00120CE3" w:rsidRDefault="00120CE3" w:rsidP="00120CE3">
      <w:pPr>
        <w:pStyle w:val="NormalWeb"/>
        <w:rPr>
          <w:rStyle w:val="Strong"/>
        </w:rPr>
      </w:pPr>
    </w:p>
    <w:p w14:paraId="54D1E2B6" w14:textId="77777777" w:rsidR="00D3479A" w:rsidRDefault="00D3479A" w:rsidP="00120CE3">
      <w:pPr>
        <w:pStyle w:val="NormalWeb"/>
        <w:rPr>
          <w:rStyle w:val="Strong"/>
        </w:rPr>
      </w:pPr>
    </w:p>
    <w:p w14:paraId="16E0EABE" w14:textId="77777777" w:rsidR="00D3479A" w:rsidRDefault="00D3479A" w:rsidP="00120CE3">
      <w:pPr>
        <w:pStyle w:val="NormalWeb"/>
        <w:rPr>
          <w:rStyle w:val="Strong"/>
        </w:rPr>
      </w:pPr>
    </w:p>
    <w:p w14:paraId="46F7C6D3" w14:textId="77777777" w:rsidR="00083F5A" w:rsidRDefault="00083F5A" w:rsidP="00120CE3">
      <w:pPr>
        <w:pStyle w:val="NormalWeb"/>
        <w:rPr>
          <w:rStyle w:val="Strong"/>
        </w:rPr>
      </w:pPr>
    </w:p>
    <w:p w14:paraId="73F23FE4" w14:textId="77777777" w:rsidR="00083F5A" w:rsidRDefault="00083F5A" w:rsidP="00120CE3">
      <w:pPr>
        <w:pStyle w:val="NormalWeb"/>
        <w:rPr>
          <w:rStyle w:val="Strong"/>
        </w:rPr>
      </w:pPr>
    </w:p>
    <w:p w14:paraId="5C8E6E91" w14:textId="77777777" w:rsidR="00083F5A" w:rsidRDefault="00083F5A" w:rsidP="00120CE3">
      <w:pPr>
        <w:pStyle w:val="NormalWeb"/>
        <w:rPr>
          <w:rStyle w:val="Strong"/>
        </w:rPr>
      </w:pPr>
    </w:p>
    <w:p w14:paraId="01CBEC6D" w14:textId="77777777" w:rsidR="00083F5A" w:rsidRDefault="00083F5A" w:rsidP="00120CE3">
      <w:pPr>
        <w:pStyle w:val="NormalWeb"/>
        <w:rPr>
          <w:rStyle w:val="Strong"/>
        </w:rPr>
      </w:pPr>
    </w:p>
    <w:p w14:paraId="4D056A31" w14:textId="77777777" w:rsidR="00083F5A" w:rsidRDefault="00083F5A" w:rsidP="00120CE3">
      <w:pPr>
        <w:pStyle w:val="NormalWeb"/>
        <w:rPr>
          <w:rStyle w:val="Strong"/>
        </w:rPr>
      </w:pPr>
    </w:p>
    <w:p w14:paraId="7DB0A257" w14:textId="77777777" w:rsidR="00083F5A" w:rsidRDefault="00083F5A" w:rsidP="00120CE3">
      <w:pPr>
        <w:pStyle w:val="NormalWeb"/>
        <w:rPr>
          <w:rStyle w:val="Strong"/>
        </w:rPr>
      </w:pPr>
    </w:p>
    <w:p w14:paraId="46180FC2" w14:textId="77777777" w:rsidR="00083F5A" w:rsidRDefault="00083F5A" w:rsidP="00120CE3">
      <w:pPr>
        <w:pStyle w:val="NormalWeb"/>
        <w:rPr>
          <w:rStyle w:val="Strong"/>
        </w:rPr>
      </w:pPr>
    </w:p>
    <w:p w14:paraId="2D754D91" w14:textId="77777777" w:rsidR="00083F5A" w:rsidRDefault="00083F5A" w:rsidP="00120CE3">
      <w:pPr>
        <w:pStyle w:val="NormalWeb"/>
        <w:rPr>
          <w:rStyle w:val="Strong"/>
        </w:rPr>
      </w:pPr>
    </w:p>
    <w:p w14:paraId="55925E86" w14:textId="77777777" w:rsidR="00083F5A" w:rsidRDefault="00083F5A" w:rsidP="00120CE3">
      <w:pPr>
        <w:pStyle w:val="NormalWeb"/>
        <w:rPr>
          <w:rStyle w:val="Strong"/>
        </w:rPr>
      </w:pPr>
    </w:p>
    <w:p w14:paraId="39FF4C86" w14:textId="77777777" w:rsidR="00083F5A" w:rsidRDefault="00083F5A" w:rsidP="00120CE3">
      <w:pPr>
        <w:pStyle w:val="NormalWeb"/>
        <w:rPr>
          <w:rStyle w:val="Strong"/>
        </w:rPr>
      </w:pPr>
    </w:p>
    <w:p w14:paraId="126CDCD1" w14:textId="77777777" w:rsidR="00083F5A" w:rsidRDefault="00083F5A" w:rsidP="00120CE3">
      <w:pPr>
        <w:pStyle w:val="NormalWeb"/>
        <w:rPr>
          <w:rStyle w:val="Strong"/>
        </w:rPr>
      </w:pPr>
    </w:p>
    <w:p w14:paraId="00B66050" w14:textId="77777777" w:rsidR="00083F5A" w:rsidRDefault="00083F5A" w:rsidP="00120CE3">
      <w:pPr>
        <w:pStyle w:val="NormalWeb"/>
        <w:rPr>
          <w:rStyle w:val="Strong"/>
        </w:rPr>
      </w:pPr>
    </w:p>
    <w:p w14:paraId="7D084FC1" w14:textId="77777777" w:rsidR="00120CE3" w:rsidRDefault="00120CE3" w:rsidP="00120CE3">
      <w:pPr>
        <w:pStyle w:val="NormalWeb"/>
        <w:rPr>
          <w:rStyle w:val="Strong"/>
        </w:rPr>
      </w:pPr>
    </w:p>
    <w:p w14:paraId="7CA1BA0D" w14:textId="2E132452" w:rsidR="00120CE3" w:rsidRDefault="00120CE3" w:rsidP="00120CE3">
      <w:pPr>
        <w:pStyle w:val="Heading1"/>
      </w:pPr>
      <w:bookmarkStart w:id="27" w:name="_Toc194248490"/>
      <w:r w:rsidRPr="00120CE3">
        <w:lastRenderedPageBreak/>
        <w:t>Conclusion</w:t>
      </w:r>
      <w:bookmarkEnd w:id="27"/>
    </w:p>
    <w:p w14:paraId="4E070044" w14:textId="77777777" w:rsidR="001D1D8C" w:rsidRPr="001D1D8C" w:rsidRDefault="001D1D8C" w:rsidP="001D1D8C"/>
    <w:p w14:paraId="210776CC" w14:textId="1D47B9CB" w:rsidR="001D1D8C" w:rsidRPr="000229D1" w:rsidRDefault="001D1D8C" w:rsidP="00AE4BD9">
      <w:pPr>
        <w:pStyle w:val="Heading3"/>
        <w:numPr>
          <w:ilvl w:val="1"/>
          <w:numId w:val="61"/>
        </w:numPr>
      </w:pPr>
      <w:bookmarkStart w:id="28" w:name="_Toc194248491"/>
      <w:r w:rsidRPr="000229D1">
        <w:t>Overview of the Study</w:t>
      </w:r>
      <w:bookmarkEnd w:id="28"/>
    </w:p>
    <w:p w14:paraId="791DECC5" w14:textId="0C00A855" w:rsidR="00D745EE" w:rsidRPr="002F4344" w:rsidRDefault="00D745EE" w:rsidP="002F4344">
      <w:pPr>
        <w:pStyle w:val="NormalWeb"/>
        <w:rPr>
          <w:rFonts w:ascii="Arial" w:hAnsi="Arial" w:cs="Arial"/>
          <w:sz w:val="22"/>
          <w:szCs w:val="22"/>
        </w:rPr>
      </w:pPr>
      <w:r w:rsidRPr="002F4344">
        <w:rPr>
          <w:rFonts w:ascii="Arial" w:hAnsi="Arial" w:cs="Arial"/>
          <w:sz w:val="22"/>
          <w:szCs w:val="22"/>
        </w:rPr>
        <w:t>This study has examined how community involvement affects trade relationships between assembly companies in the UK and China. It focused on how corporate social responsibility (CSR) and cultural awareness influence international business success. By analysing existing reports, academic research, and industry data, this study has highlighted how businesses in both countries use community-focused strategies to stay competitive, build resilience, and promote sustainable growth (Carroll, 2015; Taylor &amp; Wang, 2021).</w:t>
      </w:r>
    </w:p>
    <w:p w14:paraId="0C31DE75" w14:textId="174EBA3B" w:rsidR="00D745EE" w:rsidRPr="002F4344" w:rsidRDefault="00D745EE" w:rsidP="002F4344">
      <w:pPr>
        <w:pStyle w:val="NormalWeb"/>
        <w:rPr>
          <w:rFonts w:ascii="Arial" w:hAnsi="Arial" w:cs="Arial"/>
          <w:sz w:val="22"/>
          <w:szCs w:val="22"/>
        </w:rPr>
      </w:pPr>
      <w:r w:rsidRPr="002F4344">
        <w:rPr>
          <w:rFonts w:ascii="Arial" w:hAnsi="Arial" w:cs="Arial"/>
          <w:sz w:val="22"/>
          <w:szCs w:val="22"/>
        </w:rPr>
        <w:t>A key takeaway from this research is that companies that actively engage with local communities tend to benefit in the long run. These benefits include a stronger brand reputation, loyal customers, and improved efficiency. Businesses like Samsung, Makita, Denso, and Stanley Black &amp; Decker show how incorporating CSR into their operations helps them align with societal values and legal requirements, strengthening trade relationships (Denso, 2024; Samsung, 2023). In the UK, businesses focus on transparency, ethical governance, and direct engagement with stakeholders. In contrast, Chinese companies typically align their CSR efforts with government policies and regulations (Chen, 2021; Zhang &amp; Li, 2020). These different approaches highlight the need for cultural flexibility when implementing community-focused business strategies.</w:t>
      </w:r>
    </w:p>
    <w:p w14:paraId="702FF42F"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The research confirms that community engagement has a significant effect on business success, influencing financial stability, brand loyalty, and employee satisfaction. Norton and Hughes (2022) suggest that companies with strong ties to local communities experience lower employee turnover, greater productivity, and increased customer trust. When businesses align their operations with community values, they not only meet social expectations but also gain a competitive advantage (Smith, 2020).</w:t>
      </w:r>
    </w:p>
    <w:p w14:paraId="7AB7AC6D"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Samsung’s CSR approach shows how integrating social responsibility into supply chain management improves trade relationships. By focusing on supplier partnerships and workforce development, Samsung strengthens its operations and brand reputation in both the UK and China (Samsung, 2023). Similarly, Makita invests in training programs and local community initiatives, which help build customer trust and market presence (Makita, 2023). These examples confirm that community engagement is not just about ethics—it is also a smart business strategy (Lee, 2022; Porter &amp; Kramer, 2011).</w:t>
      </w:r>
    </w:p>
    <w:p w14:paraId="16FCBEB9"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Despite the benefits, applying community-focused strategies can be challenging, especially when dealing with cultural, regulatory, and operational differences between the UK and China. Olsen and Zhao (2021) explain that companies often struggle to balance global CSR policies with local execution because of varying social expectations. UK firms tend to emphasize voluntary CSR efforts and corporate transparency, while Chinese companies operate within a government-led framework that prioritizes national economic goals (Hamilton &amp; Webster, 2019).</w:t>
      </w:r>
    </w:p>
    <w:p w14:paraId="792D821D"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These differences can complicate international business relationships. For instance, Chinese firms that focus primarily on government-aligned CSR may find it difficult to implement direct community engagement practices, which are common in the UK (Chen, 2021). Likewise, UK businesses operating in China may face regulatory barriers and cultural misunderstandings that limit their ability to engage with local communities (Hofstede Insights, 2021). To address these challenges, companies must develop flexible CSR models that suit both local and global expectations.</w:t>
      </w:r>
    </w:p>
    <w:p w14:paraId="406900C1"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lastRenderedPageBreak/>
        <w:t>As global business trends continue to emphasize sustainability, there are growing opportunities for companies to improve and expand their community-focused strategies. With evolving regulations around ethical trade and environmental responsibility, businesses that proactively integrate CSR into their operations will have a competitive edge (Carroll, 2015). Future business opportunities may include cross-border partnerships where UK and Chinese companies share knowledge and best practices related to sustainability and community engagement.</w:t>
      </w:r>
    </w:p>
    <w:p w14:paraId="174EBACA" w14:textId="77777777" w:rsidR="00D745EE" w:rsidRDefault="00D745EE" w:rsidP="002F4344">
      <w:pPr>
        <w:pStyle w:val="NormalWeb"/>
        <w:rPr>
          <w:rFonts w:ascii="Arial" w:hAnsi="Arial" w:cs="Arial"/>
          <w:sz w:val="22"/>
          <w:szCs w:val="22"/>
        </w:rPr>
      </w:pPr>
      <w:r w:rsidRPr="002F4344">
        <w:rPr>
          <w:rFonts w:ascii="Arial" w:hAnsi="Arial" w:cs="Arial"/>
          <w:sz w:val="22"/>
          <w:szCs w:val="22"/>
        </w:rPr>
        <w:t>For example, adopting environmental, social, and governance (ESG) principles within CSR can boost a company’s reputation and attract socially responsible investors (Kumar &amp; Zhao, 2020). Businesses that focus on green innovation, ethical supply chains, and workforce development will be in a better position to adapt to changing regulations and consumer expectations (OECD, 2023). Rather than seeing CSR as a compliance requirement, companies should view it as a strategic tool for improving trade relationships and achieving long-term success (Porter &amp; Kramer, 2011).</w:t>
      </w:r>
    </w:p>
    <w:p w14:paraId="0E19E53A" w14:textId="383E4CC1" w:rsidR="00AC013D" w:rsidRDefault="00AC013D" w:rsidP="002F4344">
      <w:pPr>
        <w:pStyle w:val="NormalWeb"/>
        <w:rPr>
          <w:rFonts w:ascii="Arial" w:hAnsi="Arial" w:cs="Arial"/>
          <w:sz w:val="22"/>
          <w:szCs w:val="22"/>
        </w:rPr>
      </w:pPr>
      <w:r w:rsidRPr="00AC013D">
        <w:rPr>
          <w:rFonts w:ascii="Arial" w:hAnsi="Arial" w:cs="Arial"/>
          <w:noProof/>
          <w:sz w:val="22"/>
          <w:szCs w:val="22"/>
        </w:rPr>
        <w:drawing>
          <wp:inline distT="0" distB="0" distL="0" distR="0" wp14:anchorId="49134987" wp14:editId="7FF73DE2">
            <wp:extent cx="5448300" cy="4388942"/>
            <wp:effectExtent l="0" t="0" r="0" b="0"/>
            <wp:docPr id="28269774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697742" name="Picture 1" descr="A diagram of a company&#10;&#10;Description automatically generated"/>
                    <pic:cNvPicPr/>
                  </pic:nvPicPr>
                  <pic:blipFill>
                    <a:blip r:embed="rId9"/>
                    <a:stretch>
                      <a:fillRect/>
                    </a:stretch>
                  </pic:blipFill>
                  <pic:spPr>
                    <a:xfrm>
                      <a:off x="0" y="0"/>
                      <a:ext cx="5455427" cy="4394684"/>
                    </a:xfrm>
                    <a:prstGeom prst="rect">
                      <a:avLst/>
                    </a:prstGeom>
                  </pic:spPr>
                </pic:pic>
              </a:graphicData>
            </a:graphic>
          </wp:inline>
        </w:drawing>
      </w:r>
    </w:p>
    <w:p w14:paraId="75660B2B" w14:textId="4C603A89" w:rsidR="00AC013D" w:rsidRDefault="00AC013D" w:rsidP="002F4344">
      <w:pPr>
        <w:pStyle w:val="NormalWeb"/>
        <w:rPr>
          <w:rFonts w:ascii="Arial" w:hAnsi="Arial" w:cs="Arial"/>
          <w:sz w:val="22"/>
          <w:szCs w:val="22"/>
        </w:rPr>
      </w:pPr>
      <w:r>
        <w:rPr>
          <w:rFonts w:ascii="Arial" w:hAnsi="Arial" w:cs="Arial"/>
          <w:sz w:val="22"/>
          <w:szCs w:val="22"/>
        </w:rPr>
        <w:t>Fig.2</w:t>
      </w:r>
    </w:p>
    <w:p w14:paraId="2D5FCF90" w14:textId="087CDF01" w:rsidR="001D1D8C" w:rsidRPr="000229D1" w:rsidRDefault="00AE4BD9" w:rsidP="00AE4BD9">
      <w:pPr>
        <w:pStyle w:val="Heading3"/>
        <w:numPr>
          <w:ilvl w:val="1"/>
          <w:numId w:val="61"/>
        </w:numPr>
      </w:pPr>
      <w:r>
        <w:t xml:space="preserve"> </w:t>
      </w:r>
      <w:bookmarkStart w:id="29" w:name="_Toc194248492"/>
      <w:r w:rsidR="001D1D8C" w:rsidRPr="000229D1">
        <w:t>Contribution of the research</w:t>
      </w:r>
      <w:bookmarkEnd w:id="29"/>
    </w:p>
    <w:p w14:paraId="10E37BBF" w14:textId="77777777" w:rsidR="00D745EE" w:rsidRDefault="00D745EE" w:rsidP="002F4344">
      <w:pPr>
        <w:pStyle w:val="NormalWeb"/>
        <w:rPr>
          <w:rFonts w:ascii="Arial" w:hAnsi="Arial" w:cs="Arial"/>
          <w:sz w:val="22"/>
          <w:szCs w:val="22"/>
        </w:rPr>
      </w:pPr>
      <w:r w:rsidRPr="002F4344">
        <w:rPr>
          <w:rFonts w:ascii="Arial" w:hAnsi="Arial" w:cs="Arial"/>
          <w:sz w:val="22"/>
          <w:szCs w:val="22"/>
        </w:rPr>
        <w:t xml:space="preserve">This dissertation contributes to the growing research on the role of community engagement in international business, particularly in the assembly sector in the UK and China. By examining how CSR and cultural adaptation shape trade relationships, this study highlights the importance of aligning corporate strategies with local social values. The comparison of UK and Chinese assembly firms reinforces the need for adaptable CSR strategies that </w:t>
      </w:r>
      <w:r w:rsidRPr="002F4344">
        <w:rPr>
          <w:rFonts w:ascii="Arial" w:hAnsi="Arial" w:cs="Arial"/>
          <w:sz w:val="22"/>
          <w:szCs w:val="22"/>
        </w:rPr>
        <w:lastRenderedPageBreak/>
        <w:t>support sustainable business growth and international cooperation (Smith, 2020; Hamilton &amp; Webster, 2019).</w:t>
      </w:r>
    </w:p>
    <w:p w14:paraId="296EE5BF" w14:textId="3983F0D8" w:rsidR="001D1D8C" w:rsidRPr="000229D1" w:rsidRDefault="00AE4BD9" w:rsidP="00AE4BD9">
      <w:pPr>
        <w:pStyle w:val="Heading3"/>
        <w:numPr>
          <w:ilvl w:val="1"/>
          <w:numId w:val="61"/>
        </w:numPr>
      </w:pPr>
      <w:r>
        <w:t xml:space="preserve"> </w:t>
      </w:r>
      <w:bookmarkStart w:id="30" w:name="_Toc194248493"/>
      <w:r w:rsidR="001D1D8C" w:rsidRPr="000229D1">
        <w:t>Limitations and Future Research</w:t>
      </w:r>
      <w:bookmarkEnd w:id="30"/>
    </w:p>
    <w:p w14:paraId="020F0B28"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While this study provides valuable insights, it is important to acknowledge the limitations of using secondary data. Future research could benefit from primary data collection, such as interviews with business leaders and policymakers, to better understand the real-world challenges and benefits of community-oriented business strategies. Additionally, expanding the research to include other industries and countries could provide a broader perspective on the role of CSR in global trade.</w:t>
      </w:r>
    </w:p>
    <w:p w14:paraId="162BBCEC" w14:textId="77777777" w:rsidR="00D745EE" w:rsidRPr="002F4344" w:rsidRDefault="00D745EE" w:rsidP="002F4344">
      <w:pPr>
        <w:pStyle w:val="NormalWeb"/>
        <w:rPr>
          <w:rFonts w:ascii="Arial" w:hAnsi="Arial" w:cs="Arial"/>
          <w:sz w:val="22"/>
          <w:szCs w:val="22"/>
        </w:rPr>
      </w:pPr>
      <w:r w:rsidRPr="002F4344">
        <w:rPr>
          <w:rFonts w:ascii="Arial" w:hAnsi="Arial" w:cs="Arial"/>
          <w:sz w:val="22"/>
          <w:szCs w:val="22"/>
        </w:rPr>
        <w:t>In conclusion, integrating community engagement into business strategies is a key factor for long-term success in international markets. Companies that successfully engage with local communities, align their CSR strategies with cultural expectations, and navigate regulatory challenges will build stronger trade relationships and improve business sustainability. As businesses continue to adapt to global changes, fostering community-oriented practices will remain essential for ethical and sustainable growth in the UK-China trade landscape (Lee, 2022; Norton &amp; Hughes, 2022).</w:t>
      </w:r>
    </w:p>
    <w:p w14:paraId="7F5577EC" w14:textId="77777777" w:rsidR="006A23B0" w:rsidRPr="002F4344" w:rsidRDefault="006A23B0" w:rsidP="002F4344">
      <w:pPr>
        <w:pStyle w:val="NormalWeb"/>
        <w:ind w:left="680"/>
        <w:rPr>
          <w:rFonts w:ascii="Arial" w:hAnsi="Arial" w:cs="Arial"/>
          <w:sz w:val="22"/>
          <w:szCs w:val="22"/>
        </w:rPr>
      </w:pPr>
    </w:p>
    <w:p w14:paraId="0754CC0B" w14:textId="77777777" w:rsidR="006A23B0" w:rsidRDefault="006A23B0" w:rsidP="00D745EE">
      <w:pPr>
        <w:pStyle w:val="NormalWeb"/>
      </w:pPr>
    </w:p>
    <w:p w14:paraId="1EF828EF" w14:textId="77777777" w:rsidR="006A23B0" w:rsidRDefault="006A23B0" w:rsidP="00D745EE">
      <w:pPr>
        <w:pStyle w:val="NormalWeb"/>
      </w:pPr>
    </w:p>
    <w:p w14:paraId="1E3C284B" w14:textId="77777777" w:rsidR="006A23B0" w:rsidRDefault="006A23B0" w:rsidP="003C5BC7">
      <w:pPr>
        <w:pStyle w:val="NormalWeb"/>
      </w:pPr>
    </w:p>
    <w:p w14:paraId="112D757B" w14:textId="77777777" w:rsidR="0006671E" w:rsidRDefault="0006671E" w:rsidP="003C5BC7">
      <w:pPr>
        <w:pStyle w:val="NormalWeb"/>
      </w:pPr>
    </w:p>
    <w:p w14:paraId="51A7878A" w14:textId="77777777" w:rsidR="002F4344" w:rsidRDefault="002F4344" w:rsidP="003C5BC7">
      <w:pPr>
        <w:pStyle w:val="NormalWeb"/>
      </w:pPr>
    </w:p>
    <w:p w14:paraId="77C307EA" w14:textId="77777777" w:rsidR="002F4344" w:rsidRDefault="002F4344" w:rsidP="003C5BC7">
      <w:pPr>
        <w:pStyle w:val="NormalWeb"/>
      </w:pPr>
    </w:p>
    <w:p w14:paraId="319A09E6" w14:textId="77777777" w:rsidR="00AC013D" w:rsidRDefault="00AC013D" w:rsidP="003C5BC7">
      <w:pPr>
        <w:pStyle w:val="NormalWeb"/>
      </w:pPr>
    </w:p>
    <w:p w14:paraId="065E1868" w14:textId="77777777" w:rsidR="00AC013D" w:rsidRDefault="00AC013D" w:rsidP="003C5BC7">
      <w:pPr>
        <w:pStyle w:val="NormalWeb"/>
      </w:pPr>
    </w:p>
    <w:p w14:paraId="066A570D" w14:textId="77777777" w:rsidR="00AC013D" w:rsidRDefault="00AC013D" w:rsidP="003C5BC7">
      <w:pPr>
        <w:pStyle w:val="NormalWeb"/>
      </w:pPr>
    </w:p>
    <w:p w14:paraId="78199732" w14:textId="77777777" w:rsidR="00083F5A" w:rsidRDefault="00083F5A" w:rsidP="003C5BC7">
      <w:pPr>
        <w:pStyle w:val="NormalWeb"/>
      </w:pPr>
    </w:p>
    <w:p w14:paraId="54B6A99F" w14:textId="77777777" w:rsidR="00083F5A" w:rsidRDefault="00083F5A" w:rsidP="003C5BC7">
      <w:pPr>
        <w:pStyle w:val="NormalWeb"/>
      </w:pPr>
    </w:p>
    <w:p w14:paraId="61E9665C" w14:textId="77777777" w:rsidR="00083F5A" w:rsidRDefault="00083F5A" w:rsidP="003C5BC7">
      <w:pPr>
        <w:pStyle w:val="NormalWeb"/>
      </w:pPr>
    </w:p>
    <w:p w14:paraId="36ACB929" w14:textId="77777777" w:rsidR="00083F5A" w:rsidRDefault="00083F5A" w:rsidP="003C5BC7">
      <w:pPr>
        <w:pStyle w:val="NormalWeb"/>
      </w:pPr>
    </w:p>
    <w:p w14:paraId="3D59F4EF" w14:textId="77777777" w:rsidR="00083F5A" w:rsidRDefault="00083F5A" w:rsidP="003C5BC7">
      <w:pPr>
        <w:pStyle w:val="NormalWeb"/>
      </w:pPr>
    </w:p>
    <w:p w14:paraId="0EB32B00" w14:textId="77777777" w:rsidR="00AC013D" w:rsidRDefault="00AC013D" w:rsidP="003C5BC7">
      <w:pPr>
        <w:pStyle w:val="NormalWeb"/>
      </w:pPr>
    </w:p>
    <w:p w14:paraId="6CC4FEF3" w14:textId="77777777" w:rsidR="0006671E" w:rsidRDefault="0006671E" w:rsidP="003C5BC7">
      <w:pPr>
        <w:pStyle w:val="NormalWeb"/>
      </w:pPr>
    </w:p>
    <w:p w14:paraId="2922DA77" w14:textId="78FA63FA" w:rsidR="0006671E" w:rsidRDefault="00E15F5E" w:rsidP="00E15F5E">
      <w:pPr>
        <w:pStyle w:val="Heading1"/>
      </w:pPr>
      <w:bookmarkStart w:id="31" w:name="_Toc194248494"/>
      <w:r>
        <w:t>References</w:t>
      </w:r>
      <w:bookmarkEnd w:id="31"/>
    </w:p>
    <w:p w14:paraId="7AADD702" w14:textId="77777777" w:rsidR="00776A82" w:rsidRDefault="00776A82" w:rsidP="00154B94">
      <w:pPr>
        <w:rPr>
          <w:rFonts w:ascii="Times New Roman" w:eastAsia="Times New Roman" w:hAnsi="Times New Roman" w:cs="Times New Roman"/>
          <w:kern w:val="0"/>
          <w:sz w:val="24"/>
          <w:szCs w:val="24"/>
          <w:lang w:eastAsia="en-GB"/>
          <w14:ligatures w14:val="none"/>
        </w:rPr>
      </w:pPr>
    </w:p>
    <w:p w14:paraId="0556D583" w14:textId="59AAEFA7" w:rsidR="00D745EE" w:rsidRDefault="007A702F" w:rsidP="00D745EE">
      <w:r>
        <w:rPr>
          <w:rFonts w:hAnsi="Symbol"/>
        </w:rPr>
        <w:t></w:t>
      </w:r>
      <w:r>
        <w:t xml:space="preserve"> Carroll</w:t>
      </w:r>
      <w:r w:rsidR="00D745EE">
        <w:t xml:space="preserve">, A. B. (2015). Corporate Social Responsibility: The </w:t>
      </w:r>
      <w:r w:rsidR="00010460">
        <w:t>Centrepiece</w:t>
      </w:r>
      <w:r w:rsidR="00D745EE">
        <w:t xml:space="preserve"> of Competing and Complementary Frameworks. </w:t>
      </w:r>
      <w:r w:rsidR="00D745EE">
        <w:rPr>
          <w:rStyle w:val="Emphasis"/>
        </w:rPr>
        <w:t>Organizational Dynamics</w:t>
      </w:r>
      <w:r w:rsidR="00D745EE">
        <w:t xml:space="preserve">, 44(2), 87–96. </w:t>
      </w:r>
    </w:p>
    <w:p w14:paraId="6F49C0A1" w14:textId="65A0A562" w:rsidR="00D745EE" w:rsidRDefault="007A702F" w:rsidP="00D745EE">
      <w:r>
        <w:rPr>
          <w:rFonts w:hAnsi="Symbol"/>
        </w:rPr>
        <w:t></w:t>
      </w:r>
      <w:r>
        <w:t xml:space="preserve"> Chen</w:t>
      </w:r>
      <w:r w:rsidR="00D745EE">
        <w:t xml:space="preserve">, L. (2021). Integrating Hofstede's Cultural Dimensions and CSR Practices: An Insight into UK and Chinese Businesses. </w:t>
      </w:r>
      <w:r w:rsidR="00D745EE">
        <w:rPr>
          <w:rStyle w:val="Emphasis"/>
        </w:rPr>
        <w:t>Cross Cultural &amp; Strategic Management</w:t>
      </w:r>
      <w:r w:rsidR="00D745EE">
        <w:t xml:space="preserve">, 28(1), 112–130. </w:t>
      </w:r>
    </w:p>
    <w:p w14:paraId="7B6FC99C" w14:textId="65DD4E8F" w:rsidR="00D745EE" w:rsidRDefault="007A702F" w:rsidP="00D745EE">
      <w:r>
        <w:rPr>
          <w:rFonts w:hAnsi="Symbol"/>
        </w:rPr>
        <w:t></w:t>
      </w:r>
      <w:r>
        <w:t xml:space="preserve"> Chen</w:t>
      </w:r>
      <w:r w:rsidR="00D745EE">
        <w:t xml:space="preserve">, M. (2021). The Role of Community-Oriented Corporate Strategies in Asian Markets. </w:t>
      </w:r>
      <w:r w:rsidR="00D745EE">
        <w:rPr>
          <w:rStyle w:val="Emphasis"/>
        </w:rPr>
        <w:t>Asia Business Development Journal</w:t>
      </w:r>
      <w:r w:rsidR="00D745EE">
        <w:t xml:space="preserve">, 15(3), 134–150. </w:t>
      </w:r>
    </w:p>
    <w:p w14:paraId="0A965FE2" w14:textId="4A4855F2" w:rsidR="00D745EE" w:rsidRDefault="007A702F" w:rsidP="00D745EE">
      <w:r>
        <w:rPr>
          <w:rFonts w:hAnsi="Symbol"/>
        </w:rPr>
        <w:t></w:t>
      </w:r>
      <w:r>
        <w:t xml:space="preserve"> Denso</w:t>
      </w:r>
      <w:r w:rsidR="00D745EE">
        <w:t xml:space="preserve">. (2024). </w:t>
      </w:r>
      <w:r w:rsidR="00D745EE">
        <w:rPr>
          <w:rStyle w:val="Emphasis"/>
        </w:rPr>
        <w:t>Annual Report 2024</w:t>
      </w:r>
      <w:r w:rsidR="00D745EE">
        <w:t>. Available at:</w:t>
      </w:r>
      <w:r w:rsidR="00F84B99" w:rsidRPr="00F84B99">
        <w:t xml:space="preserve"> </w:t>
      </w:r>
      <w:hyperlink r:id="rId10" w:history="1">
        <w:r w:rsidR="00F84B99" w:rsidRPr="002A3114">
          <w:rPr>
            <w:rStyle w:val="Hyperlink"/>
          </w:rPr>
          <w:t>https://www.denso.com/global/home/about-us/investors/annual-report/</w:t>
        </w:r>
      </w:hyperlink>
      <w:r w:rsidR="00F84B99">
        <w:t xml:space="preserve"> </w:t>
      </w:r>
      <w:r w:rsidR="00F84B99" w:rsidRPr="00F84B99">
        <w:t xml:space="preserve"> </w:t>
      </w:r>
      <w:r w:rsidR="00D745EE">
        <w:t xml:space="preserve">(Accessed: 9 March 2025). </w:t>
      </w:r>
    </w:p>
    <w:p w14:paraId="45E91E78" w14:textId="68582054" w:rsidR="00D745EE" w:rsidRDefault="007A702F" w:rsidP="00D745EE">
      <w:r>
        <w:rPr>
          <w:rFonts w:hAnsi="Symbol"/>
        </w:rPr>
        <w:t></w:t>
      </w:r>
      <w:r>
        <w:t xml:space="preserve"> Hamilton</w:t>
      </w:r>
      <w:r w:rsidR="00D745EE">
        <w:t xml:space="preserve">, F., &amp; Webster, B. (2019). Corporate Social Responsibility and Global Trade Dynamics. </w:t>
      </w:r>
      <w:r w:rsidR="00D745EE">
        <w:rPr>
          <w:rStyle w:val="Emphasis"/>
        </w:rPr>
        <w:t>Journal of Global Ethics</w:t>
      </w:r>
      <w:r w:rsidR="00D745EE">
        <w:t xml:space="preserve">, 17(1), 76–92. </w:t>
      </w:r>
    </w:p>
    <w:p w14:paraId="1B42B25E" w14:textId="0EDA7AD9" w:rsidR="00D745EE" w:rsidRDefault="007A702F" w:rsidP="00D745EE">
      <w:r>
        <w:rPr>
          <w:rFonts w:hAnsi="Symbol"/>
        </w:rPr>
        <w:t></w:t>
      </w:r>
      <w:r>
        <w:t xml:space="preserve"> Hamilton</w:t>
      </w:r>
      <w:r w:rsidR="00D745EE">
        <w:t xml:space="preserve">, J., &amp; Webster, P. (2019). Adjusting to Cultural Differences: The Study of UK and Chinese Joint Ventures in the Automotive Sector. </w:t>
      </w:r>
      <w:r w:rsidR="00D745EE">
        <w:rPr>
          <w:rStyle w:val="Emphasis"/>
        </w:rPr>
        <w:t>International Business Review</w:t>
      </w:r>
      <w:r w:rsidR="00D745EE">
        <w:t xml:space="preserve">, 28(3), 418–428. </w:t>
      </w:r>
    </w:p>
    <w:p w14:paraId="68C192A4" w14:textId="51631870" w:rsidR="00D745EE" w:rsidRDefault="007A702F" w:rsidP="00D745EE">
      <w:r>
        <w:rPr>
          <w:rFonts w:hAnsi="Symbol"/>
        </w:rPr>
        <w:t></w:t>
      </w:r>
      <w:r>
        <w:t xml:space="preserve"> Hofstede</w:t>
      </w:r>
      <w:r w:rsidR="00D745EE">
        <w:t xml:space="preserve"> Insights (2021). </w:t>
      </w:r>
      <w:r w:rsidR="00D745EE">
        <w:rPr>
          <w:rStyle w:val="Emphasis"/>
        </w:rPr>
        <w:t>Country Comparison Tool.</w:t>
      </w:r>
      <w:r w:rsidR="00D745EE">
        <w:t xml:space="preserve"> Retrieved from Hofstede Insights. </w:t>
      </w:r>
    </w:p>
    <w:p w14:paraId="65239D41" w14:textId="08583391" w:rsidR="00D745EE" w:rsidRDefault="007A702F" w:rsidP="00D745EE">
      <w:r>
        <w:rPr>
          <w:rFonts w:hAnsi="Symbol"/>
        </w:rPr>
        <w:t></w:t>
      </w:r>
      <w:r>
        <w:t xml:space="preserve"> Hofstede</w:t>
      </w:r>
      <w:r w:rsidR="00D745EE">
        <w:t xml:space="preserve"> Insights. (2021). </w:t>
      </w:r>
      <w:r w:rsidR="00D745EE">
        <w:rPr>
          <w:rStyle w:val="Emphasis"/>
        </w:rPr>
        <w:t>Country Comparison: UK vs China</w:t>
      </w:r>
      <w:r w:rsidR="00D745EE">
        <w:t xml:space="preserve">. Available at: </w:t>
      </w:r>
      <w:hyperlink r:id="rId11" w:tgtFrame="_new" w:history="1">
        <w:r w:rsidR="00D745EE">
          <w:rPr>
            <w:rStyle w:val="Hyperlink"/>
          </w:rPr>
          <w:t>https://www.hofstede-insights.com</w:t>
        </w:r>
      </w:hyperlink>
      <w:r w:rsidR="00D745EE">
        <w:t xml:space="preserve"> (Accessed: [</w:t>
      </w:r>
      <w:r w:rsidR="00471200">
        <w:t>9 March 2025</w:t>
      </w:r>
      <w:r w:rsidR="00D745EE">
        <w:t xml:space="preserve">). </w:t>
      </w:r>
    </w:p>
    <w:p w14:paraId="2254B43C" w14:textId="4B87A290" w:rsidR="00D745EE" w:rsidRDefault="007A702F" w:rsidP="00D745EE">
      <w:r>
        <w:rPr>
          <w:rFonts w:hAnsi="Symbol"/>
        </w:rPr>
        <w:t></w:t>
      </w:r>
      <w:r>
        <w:t xml:space="preserve"> Hofstede</w:t>
      </w:r>
      <w:r w:rsidR="00D745EE">
        <w:t xml:space="preserve">, G. (2011a). </w:t>
      </w:r>
      <w:r w:rsidR="00D745EE">
        <w:rPr>
          <w:rStyle w:val="Emphasis"/>
        </w:rPr>
        <w:t xml:space="preserve">Culture’s Consequences: Comparing Values, </w:t>
      </w:r>
      <w:proofErr w:type="spellStart"/>
      <w:r w:rsidR="00D745EE">
        <w:rPr>
          <w:rStyle w:val="Emphasis"/>
        </w:rPr>
        <w:t>Behaviors</w:t>
      </w:r>
      <w:proofErr w:type="spellEnd"/>
      <w:r w:rsidR="00D745EE">
        <w:rPr>
          <w:rStyle w:val="Emphasis"/>
        </w:rPr>
        <w:t>, Institutions, and Organizations Across Nations.</w:t>
      </w:r>
      <w:r w:rsidR="00D745EE">
        <w:t xml:space="preserve"> 2nd </w:t>
      </w:r>
      <w:r w:rsidR="00471200">
        <w:t>end</w:t>
      </w:r>
      <w:r w:rsidR="00D745EE">
        <w:t xml:space="preserve">. Thousand Oaks, CA: Sage. </w:t>
      </w:r>
    </w:p>
    <w:p w14:paraId="269331AC" w14:textId="31EC2864" w:rsidR="00D745EE" w:rsidRDefault="007A702F" w:rsidP="00D745EE">
      <w:r>
        <w:rPr>
          <w:rFonts w:hAnsi="Symbol"/>
        </w:rPr>
        <w:t></w:t>
      </w:r>
      <w:r>
        <w:t xml:space="preserve"> Hofstede</w:t>
      </w:r>
      <w:r w:rsidR="00D745EE">
        <w:t xml:space="preserve">, G. (2011b). </w:t>
      </w:r>
      <w:proofErr w:type="spellStart"/>
      <w:r w:rsidR="00D745EE">
        <w:t>Dimensionalizing</w:t>
      </w:r>
      <w:proofErr w:type="spellEnd"/>
      <w:r w:rsidR="00D745EE">
        <w:t xml:space="preserve"> Cultures: The Hofstede Model in Context. </w:t>
      </w:r>
      <w:r w:rsidR="00D745EE">
        <w:rPr>
          <w:rStyle w:val="Emphasis"/>
        </w:rPr>
        <w:t>Online Readings in Psychology and Culture</w:t>
      </w:r>
      <w:r w:rsidR="00D745EE">
        <w:t xml:space="preserve">, 2(1). </w:t>
      </w:r>
    </w:p>
    <w:p w14:paraId="77E55F15" w14:textId="26701672" w:rsidR="00D745EE" w:rsidRDefault="007A702F" w:rsidP="00D745EE">
      <w:r>
        <w:rPr>
          <w:rFonts w:hAnsi="Symbol"/>
        </w:rPr>
        <w:t></w:t>
      </w:r>
      <w:r>
        <w:t xml:space="preserve"> Jones</w:t>
      </w:r>
      <w:r w:rsidR="00D745EE">
        <w:t xml:space="preserve">, P., &amp; Comfort, D. (2014a). Case studies in CSR: Focus on UK and Chinese companies. </w:t>
      </w:r>
      <w:r w:rsidR="00D745EE">
        <w:rPr>
          <w:rStyle w:val="Emphasis"/>
        </w:rPr>
        <w:t>Marketing Intelligence &amp; Planning</w:t>
      </w:r>
      <w:r w:rsidR="00D745EE">
        <w:t xml:space="preserve">, 32(5), 541–555. </w:t>
      </w:r>
    </w:p>
    <w:p w14:paraId="357DB366" w14:textId="35C42CCC" w:rsidR="00D745EE" w:rsidRDefault="007A702F" w:rsidP="00D745EE">
      <w:r>
        <w:rPr>
          <w:rFonts w:hAnsi="Symbol"/>
        </w:rPr>
        <w:t></w:t>
      </w:r>
      <w:r>
        <w:t xml:space="preserve"> Kumar</w:t>
      </w:r>
      <w:r w:rsidR="00D745EE">
        <w:t xml:space="preserve">, R., &amp; Zhao, L. (2020). Cultural and CSR Impact on Financial Performance: A Sector Analysis. </w:t>
      </w:r>
      <w:r w:rsidR="00D745EE">
        <w:rPr>
          <w:rStyle w:val="Emphasis"/>
        </w:rPr>
        <w:t>Journal of Business Ethics</w:t>
      </w:r>
      <w:r w:rsidR="00D745EE">
        <w:t xml:space="preserve">, 162(2), 323–340. </w:t>
      </w:r>
    </w:p>
    <w:p w14:paraId="325812D1" w14:textId="5B3F2325" w:rsidR="00D745EE" w:rsidRDefault="007A702F" w:rsidP="00D745EE">
      <w:r>
        <w:rPr>
          <w:rFonts w:hAnsi="Symbol"/>
        </w:rPr>
        <w:t></w:t>
      </w:r>
      <w:r>
        <w:t xml:space="preserve"> Kumar</w:t>
      </w:r>
      <w:r w:rsidR="00D745EE">
        <w:t xml:space="preserve">, S., &amp; Zhao, X. (2020). Corporate Social Responsibility and International Business: Examining Global Interdependencies. </w:t>
      </w:r>
      <w:r w:rsidR="00D745EE">
        <w:rPr>
          <w:rStyle w:val="Emphasis"/>
        </w:rPr>
        <w:t>Journal of International Business Ethics</w:t>
      </w:r>
      <w:r w:rsidR="00D745EE">
        <w:t xml:space="preserve">, 18(2), 123–136. </w:t>
      </w:r>
    </w:p>
    <w:p w14:paraId="77D6AFB1" w14:textId="47F633CB" w:rsidR="00D745EE" w:rsidRDefault="007A702F" w:rsidP="00D745EE">
      <w:r>
        <w:rPr>
          <w:rFonts w:hAnsi="Symbol"/>
        </w:rPr>
        <w:t></w:t>
      </w:r>
      <w:r>
        <w:t xml:space="preserve"> Lee</w:t>
      </w:r>
      <w:r w:rsidR="00D745EE">
        <w:t xml:space="preserve">, K. (2022). The Influence of Cultural Dimensions on CSR Practices in the UK and China. </w:t>
      </w:r>
      <w:r w:rsidR="00D745EE">
        <w:rPr>
          <w:rStyle w:val="Emphasis"/>
        </w:rPr>
        <w:t>International Journal of Corporate Social Responsibility</w:t>
      </w:r>
      <w:r w:rsidR="00D745EE">
        <w:t xml:space="preserve">, 7(1), 12–29. </w:t>
      </w:r>
    </w:p>
    <w:p w14:paraId="021F1C5B" w14:textId="3CB8EB7A" w:rsidR="00D745EE" w:rsidRDefault="007A702F" w:rsidP="00D745EE">
      <w:r>
        <w:rPr>
          <w:rFonts w:hAnsi="Symbol"/>
        </w:rPr>
        <w:t></w:t>
      </w:r>
      <w:r>
        <w:t xml:space="preserve"> Lee</w:t>
      </w:r>
      <w:r w:rsidR="00D745EE">
        <w:t xml:space="preserve">, S. (2022). Environmental Challenges and Corporate Responses in the 21st Century. </w:t>
      </w:r>
      <w:r w:rsidR="00D745EE">
        <w:rPr>
          <w:rStyle w:val="Emphasis"/>
        </w:rPr>
        <w:t>Environmental Economics and Policy Studies</w:t>
      </w:r>
      <w:r w:rsidR="00D745EE">
        <w:t xml:space="preserve">, 24(1), 45–65. </w:t>
      </w:r>
    </w:p>
    <w:p w14:paraId="7E8F76B1" w14:textId="334A23B6" w:rsidR="00D745EE" w:rsidRDefault="007A702F" w:rsidP="00D745EE">
      <w:r>
        <w:rPr>
          <w:rFonts w:hAnsi="Symbol"/>
        </w:rPr>
        <w:t></w:t>
      </w:r>
      <w:r>
        <w:t xml:space="preserve"> Makita</w:t>
      </w:r>
      <w:r w:rsidR="00D745EE">
        <w:t xml:space="preserve">. (2023). </w:t>
      </w:r>
      <w:r w:rsidR="00D745EE">
        <w:rPr>
          <w:rStyle w:val="Emphasis"/>
        </w:rPr>
        <w:t>Annual Report 2023</w:t>
      </w:r>
      <w:r w:rsidR="00D745EE">
        <w:t>. Available at:</w:t>
      </w:r>
      <w:r w:rsidR="00471200">
        <w:t xml:space="preserve"> </w:t>
      </w:r>
      <w:hyperlink r:id="rId12" w:history="1">
        <w:r w:rsidR="00471200" w:rsidRPr="002A3114">
          <w:rPr>
            <w:rStyle w:val="Hyperlink"/>
          </w:rPr>
          <w:t>https://www.makita.biz/ir/library/library_05.html</w:t>
        </w:r>
      </w:hyperlink>
      <w:r w:rsidR="00471200">
        <w:t xml:space="preserve"> </w:t>
      </w:r>
      <w:r w:rsidR="00D745EE">
        <w:t xml:space="preserve">(Accessed: 9 March 2025). </w:t>
      </w:r>
    </w:p>
    <w:p w14:paraId="60C967E0" w14:textId="6728C6B6" w:rsidR="00D745EE" w:rsidRDefault="007A702F" w:rsidP="00D745EE">
      <w:r>
        <w:rPr>
          <w:rFonts w:hAnsi="Symbol"/>
        </w:rPr>
        <w:t></w:t>
      </w:r>
      <w:r>
        <w:t xml:space="preserve"> Norton</w:t>
      </w:r>
      <w:r w:rsidR="00D745EE">
        <w:t xml:space="preserve">, S., &amp; Hughes, C. (2022). Evaluating the Impact of Community Orientation on Corporate Performance. </w:t>
      </w:r>
      <w:r w:rsidR="00D745EE">
        <w:rPr>
          <w:rStyle w:val="Emphasis"/>
        </w:rPr>
        <w:t>Journal of Business Ethics</w:t>
      </w:r>
      <w:r w:rsidR="00D745EE">
        <w:t xml:space="preserve">, 160(2), 457–473. </w:t>
      </w:r>
    </w:p>
    <w:p w14:paraId="29A2EBCC" w14:textId="6EB9060F" w:rsidR="00D745EE" w:rsidRDefault="007A702F" w:rsidP="00D745EE">
      <w:r>
        <w:rPr>
          <w:rFonts w:hAnsi="Symbol"/>
        </w:rPr>
        <w:lastRenderedPageBreak/>
        <w:t></w:t>
      </w:r>
      <w:r>
        <w:t xml:space="preserve"> OECD</w:t>
      </w:r>
      <w:r w:rsidR="00D745EE">
        <w:t xml:space="preserve"> (2023). </w:t>
      </w:r>
      <w:r w:rsidR="00D745EE">
        <w:rPr>
          <w:rStyle w:val="Emphasis"/>
        </w:rPr>
        <w:t>Trade and Global Supply Chains.</w:t>
      </w:r>
      <w:r w:rsidR="00D745EE">
        <w:t xml:space="preserve"> Available at: </w:t>
      </w:r>
      <w:hyperlink r:id="rId13" w:tgtFrame="_new" w:history="1">
        <w:r w:rsidR="00D745EE">
          <w:rPr>
            <w:rStyle w:val="Hyperlink"/>
          </w:rPr>
          <w:t>https://www.oecd.org</w:t>
        </w:r>
      </w:hyperlink>
      <w:r w:rsidR="00D745EE">
        <w:t xml:space="preserve"> (Accessed: 9 March 2025). </w:t>
      </w:r>
    </w:p>
    <w:p w14:paraId="6A3CA867" w14:textId="202BA903" w:rsidR="00D745EE" w:rsidRDefault="007A702F" w:rsidP="00D745EE">
      <w:r>
        <w:rPr>
          <w:rFonts w:hAnsi="Symbol"/>
        </w:rPr>
        <w:t></w:t>
      </w:r>
      <w:r>
        <w:t xml:space="preserve"> Olsen</w:t>
      </w:r>
      <w:r w:rsidR="00D745EE">
        <w:t xml:space="preserve">, E., &amp; Zhao, L. (2021). Trade Practices and Community Engagement: Insights from the British-Chinese Business Corridor. </w:t>
      </w:r>
      <w:r w:rsidR="00D745EE">
        <w:rPr>
          <w:rStyle w:val="Emphasis"/>
        </w:rPr>
        <w:t>International Business Review</w:t>
      </w:r>
      <w:r w:rsidR="00D745EE">
        <w:t xml:space="preserve">, 33(5), 1095–1110. </w:t>
      </w:r>
    </w:p>
    <w:p w14:paraId="34157992" w14:textId="164476C5" w:rsidR="00D745EE" w:rsidRDefault="007A702F" w:rsidP="00D745EE">
      <w:r>
        <w:rPr>
          <w:rFonts w:hAnsi="Symbol"/>
        </w:rPr>
        <w:t></w:t>
      </w:r>
      <w:r>
        <w:t xml:space="preserve"> Porter</w:t>
      </w:r>
      <w:r w:rsidR="00D745EE">
        <w:t xml:space="preserve">, M. E., &amp; Kramer, M. R. (2011). Creating shared value. </w:t>
      </w:r>
      <w:r w:rsidR="00D745EE">
        <w:rPr>
          <w:rStyle w:val="Emphasis"/>
        </w:rPr>
        <w:t>Harvard Business Review</w:t>
      </w:r>
      <w:r w:rsidR="00D745EE">
        <w:t xml:space="preserve">, 89(1/2), 62–77. </w:t>
      </w:r>
    </w:p>
    <w:p w14:paraId="6CDF2326" w14:textId="54040374" w:rsidR="00073BAD" w:rsidRDefault="007A702F" w:rsidP="00D745EE">
      <w:r>
        <w:rPr>
          <w:rFonts w:hAnsi="Symbol"/>
        </w:rPr>
        <w:t></w:t>
      </w:r>
      <w:r>
        <w:t xml:space="preserve"> Samsung</w:t>
      </w:r>
      <w:r w:rsidR="00D745EE">
        <w:t xml:space="preserve">. (2023). </w:t>
      </w:r>
      <w:r w:rsidR="00D745EE">
        <w:rPr>
          <w:rStyle w:val="Emphasis"/>
        </w:rPr>
        <w:t>Annual Report 2023</w:t>
      </w:r>
      <w:r w:rsidR="00D745EE">
        <w:t>. Available at:</w:t>
      </w:r>
      <w:r w:rsidR="00073BAD">
        <w:t xml:space="preserve"> </w:t>
      </w:r>
      <w:hyperlink r:id="rId14" w:history="1">
        <w:r w:rsidR="00073BAD" w:rsidRPr="002A3114">
          <w:rPr>
            <w:rStyle w:val="Hyperlink"/>
          </w:rPr>
          <w:t>https://images.samsung.com/is/content/samsung/assets/global/ir/docs/2023_4Q_Interim_Report.pdf</w:t>
        </w:r>
      </w:hyperlink>
    </w:p>
    <w:p w14:paraId="36E59D12" w14:textId="260A1BF4" w:rsidR="00D745EE" w:rsidRDefault="00073BAD" w:rsidP="00D745EE">
      <w:r>
        <w:t>(</w:t>
      </w:r>
      <w:r w:rsidR="00D745EE">
        <w:t xml:space="preserve">Accessed: 9 March 2025). </w:t>
      </w:r>
    </w:p>
    <w:p w14:paraId="21C79CE0" w14:textId="30340053" w:rsidR="00D745EE" w:rsidRDefault="007A702F" w:rsidP="00D745EE">
      <w:r>
        <w:rPr>
          <w:rFonts w:hAnsi="Symbol"/>
        </w:rPr>
        <w:t></w:t>
      </w:r>
      <w:r>
        <w:t xml:space="preserve"> Smith</w:t>
      </w:r>
      <w:r w:rsidR="00D745EE">
        <w:t xml:space="preserve">, A. (2018a). Cultural Dimensions in Business Life: Hofstede's Indexes for Latvia and Lithuania. </w:t>
      </w:r>
      <w:r w:rsidR="00D745EE">
        <w:rPr>
          <w:rStyle w:val="Emphasis"/>
        </w:rPr>
        <w:t>Baltic Journal of Management</w:t>
      </w:r>
      <w:r w:rsidR="00D745EE">
        <w:t xml:space="preserve">, 13(3), 350–365. </w:t>
      </w:r>
    </w:p>
    <w:p w14:paraId="01D9EEFB" w14:textId="5C7619D9" w:rsidR="00D745EE" w:rsidRDefault="007A702F" w:rsidP="00D745EE">
      <w:r>
        <w:rPr>
          <w:rFonts w:hAnsi="Symbol"/>
        </w:rPr>
        <w:t></w:t>
      </w:r>
      <w:r>
        <w:t xml:space="preserve"> Smith</w:t>
      </w:r>
      <w:r w:rsidR="00D745EE">
        <w:t xml:space="preserve">, A. (2018b). UK-China Trade Relations post-Brexit: Opportunities and Challenges. </w:t>
      </w:r>
      <w:r w:rsidR="00D745EE">
        <w:rPr>
          <w:rStyle w:val="Emphasis"/>
        </w:rPr>
        <w:t>International Trade Journal</w:t>
      </w:r>
      <w:r w:rsidR="00D745EE">
        <w:t xml:space="preserve">, 32(3), 150–172. </w:t>
      </w:r>
    </w:p>
    <w:p w14:paraId="20B1D01A" w14:textId="59D4AE9F" w:rsidR="00D745EE" w:rsidRDefault="007A702F" w:rsidP="00D745EE">
      <w:r>
        <w:rPr>
          <w:rFonts w:hAnsi="Symbol"/>
        </w:rPr>
        <w:t></w:t>
      </w:r>
      <w:r>
        <w:t xml:space="preserve"> Smith</w:t>
      </w:r>
      <w:r w:rsidR="00D745EE">
        <w:t xml:space="preserve">, J. (2020). Community Strategies in International Business: Lessons from the UK. </w:t>
      </w:r>
      <w:r w:rsidR="00D745EE">
        <w:rPr>
          <w:rStyle w:val="Emphasis"/>
        </w:rPr>
        <w:t>British Journal of Management</w:t>
      </w:r>
      <w:r w:rsidR="00D745EE">
        <w:t xml:space="preserve">, 31(4), 790–806. </w:t>
      </w:r>
    </w:p>
    <w:p w14:paraId="079E2841" w14:textId="1820B677" w:rsidR="00073BAD" w:rsidRDefault="007A702F" w:rsidP="00D745EE">
      <w:r>
        <w:rPr>
          <w:rFonts w:hAnsi="Symbol"/>
        </w:rPr>
        <w:t></w:t>
      </w:r>
      <w:r>
        <w:t xml:space="preserve"> Stanley</w:t>
      </w:r>
      <w:r w:rsidR="00D745EE">
        <w:t xml:space="preserve"> Black &amp; Decker. (2023). </w:t>
      </w:r>
      <w:r w:rsidR="00D745EE">
        <w:rPr>
          <w:rStyle w:val="Emphasis"/>
        </w:rPr>
        <w:t>Annual Report 2023</w:t>
      </w:r>
      <w:r w:rsidR="00D745EE">
        <w:t xml:space="preserve">. Available at: </w:t>
      </w:r>
      <w:hyperlink r:id="rId15" w:history="1">
        <w:r w:rsidR="00073BAD" w:rsidRPr="002A3114">
          <w:rPr>
            <w:rStyle w:val="Hyperlink"/>
          </w:rPr>
          <w:t>https://s29.q4cdn.com/245094436/files/doc_financials/2023/AR/aaa99a5a-c7c8-4a5f-babe-3da3f6184a2b.pdf</w:t>
        </w:r>
      </w:hyperlink>
    </w:p>
    <w:p w14:paraId="608942C6" w14:textId="1FD69EFE" w:rsidR="00D745EE" w:rsidRDefault="00073BAD" w:rsidP="00D745EE">
      <w:r>
        <w:t xml:space="preserve"> </w:t>
      </w:r>
      <w:r w:rsidR="00D745EE">
        <w:t xml:space="preserve">(Accessed: 9 March 2025). </w:t>
      </w:r>
    </w:p>
    <w:p w14:paraId="0CD381CC" w14:textId="3B3CA87A" w:rsidR="00D745EE" w:rsidRDefault="007A702F" w:rsidP="00D745EE">
      <w:r>
        <w:rPr>
          <w:rFonts w:hAnsi="Symbol"/>
        </w:rPr>
        <w:t></w:t>
      </w:r>
      <w:r>
        <w:t xml:space="preserve"> Taylor</w:t>
      </w:r>
      <w:r w:rsidR="00D745EE">
        <w:t xml:space="preserve">, M., &amp; Wang, L. (2021). Community Engagement in Multinational Corporations: Strategic Implications for Global Operations. </w:t>
      </w:r>
      <w:r w:rsidR="00D745EE">
        <w:rPr>
          <w:rStyle w:val="Emphasis"/>
        </w:rPr>
        <w:t>Global Trade and Business Journal</w:t>
      </w:r>
      <w:r w:rsidR="00D745EE">
        <w:t xml:space="preserve">, 22(4), 201–219. </w:t>
      </w:r>
    </w:p>
    <w:p w14:paraId="292716C0" w14:textId="1E09048C" w:rsidR="00D745EE" w:rsidRDefault="007A702F" w:rsidP="00D745EE">
      <w:r>
        <w:rPr>
          <w:rFonts w:hAnsi="Symbol"/>
        </w:rPr>
        <w:t></w:t>
      </w:r>
      <w:r>
        <w:t xml:space="preserve"> Zhang</w:t>
      </w:r>
      <w:r w:rsidR="00D745EE">
        <w:t xml:space="preserve">, W., &amp; Li, H. (2020a). Corporate Social Responsibility Practices in China: Trends, Context, and Impact on Company Performance. </w:t>
      </w:r>
      <w:r w:rsidR="00D745EE">
        <w:rPr>
          <w:rStyle w:val="Emphasis"/>
        </w:rPr>
        <w:t>China Journal of Accounting Research</w:t>
      </w:r>
      <w:r w:rsidR="00D745EE">
        <w:t xml:space="preserve">, 13(1), 53–79. </w:t>
      </w:r>
    </w:p>
    <w:p w14:paraId="35AC2CB9" w14:textId="050CEDC7" w:rsidR="00D745EE" w:rsidRDefault="007A702F" w:rsidP="00D745EE">
      <w:r>
        <w:rPr>
          <w:rFonts w:hAnsi="Symbol"/>
        </w:rPr>
        <w:t></w:t>
      </w:r>
      <w:r>
        <w:t xml:space="preserve"> Zhang</w:t>
      </w:r>
      <w:r w:rsidR="00D745EE">
        <w:t xml:space="preserve">, W., &amp; Li, H. (2020b). Global Trade Dynamics and Practices: A UK-China Perspective. </w:t>
      </w:r>
      <w:r w:rsidR="00D745EE">
        <w:rPr>
          <w:rStyle w:val="Emphasis"/>
        </w:rPr>
        <w:t>Journal of Global Economics</w:t>
      </w:r>
      <w:r w:rsidR="00D745EE">
        <w:t>, 8(2), 89–104.</w:t>
      </w:r>
    </w:p>
    <w:sectPr w:rsidR="00D745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DB2A6" w14:textId="77777777" w:rsidR="00B971B1" w:rsidRDefault="00B971B1" w:rsidP="0006671E">
      <w:pPr>
        <w:spacing w:after="0" w:line="240" w:lineRule="auto"/>
      </w:pPr>
      <w:r>
        <w:separator/>
      </w:r>
    </w:p>
  </w:endnote>
  <w:endnote w:type="continuationSeparator" w:id="0">
    <w:p w14:paraId="1F3C0A51" w14:textId="77777777" w:rsidR="00B971B1" w:rsidRDefault="00B971B1" w:rsidP="0006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AA8EB" w14:textId="77777777" w:rsidR="00B971B1" w:rsidRDefault="00B971B1" w:rsidP="0006671E">
      <w:pPr>
        <w:spacing w:after="0" w:line="240" w:lineRule="auto"/>
      </w:pPr>
      <w:r>
        <w:separator/>
      </w:r>
    </w:p>
  </w:footnote>
  <w:footnote w:type="continuationSeparator" w:id="0">
    <w:p w14:paraId="2131CFBC" w14:textId="77777777" w:rsidR="00B971B1" w:rsidRDefault="00B971B1" w:rsidP="00066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3144F"/>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 w15:restartNumberingAfterBreak="0">
    <w:nsid w:val="0EF45E98"/>
    <w:multiLevelType w:val="multilevel"/>
    <w:tmpl w:val="6046B48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B52C3D"/>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3" w15:restartNumberingAfterBreak="0">
    <w:nsid w:val="12F6103A"/>
    <w:multiLevelType w:val="hybridMultilevel"/>
    <w:tmpl w:val="E5CA3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85F4F"/>
    <w:multiLevelType w:val="multilevel"/>
    <w:tmpl w:val="F7FAB49A"/>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5" w15:restartNumberingAfterBreak="0">
    <w:nsid w:val="181512C9"/>
    <w:multiLevelType w:val="multilevel"/>
    <w:tmpl w:val="9D766082"/>
    <w:lvl w:ilvl="0">
      <w:start w:val="1"/>
      <w:numFmt w:val="decimal"/>
      <w:lvlText w:val="%1."/>
      <w:lvlJc w:val="left"/>
      <w:pPr>
        <w:tabs>
          <w:tab w:val="num" w:pos="720"/>
        </w:tabs>
        <w:ind w:left="720" w:hanging="360"/>
      </w:pPr>
    </w:lvl>
    <w:lvl w:ilvl="1">
      <w:numFmt w:val="bullet"/>
      <w:lvlText w:val=""/>
      <w:lvlJc w:val="left"/>
      <w:pPr>
        <w:ind w:left="1440" w:hanging="360"/>
      </w:pPr>
      <w:rPr>
        <w:rFonts w:ascii="Symbol" w:eastAsia="Times New Roman" w:hAnsi="Symbol"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6F0BA2"/>
    <w:multiLevelType w:val="hybridMultilevel"/>
    <w:tmpl w:val="0790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984D71"/>
    <w:multiLevelType w:val="multilevel"/>
    <w:tmpl w:val="689ED59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BD31F3"/>
    <w:multiLevelType w:val="multilevel"/>
    <w:tmpl w:val="FF04CD3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EC86984"/>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0" w15:restartNumberingAfterBreak="0">
    <w:nsid w:val="33591D13"/>
    <w:multiLevelType w:val="multilevel"/>
    <w:tmpl w:val="5738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AE6749"/>
    <w:multiLevelType w:val="multilevel"/>
    <w:tmpl w:val="1CE4A31A"/>
    <w:lvl w:ilvl="0">
      <w:start w:val="1"/>
      <w:numFmt w:val="decimal"/>
      <w:lvlText w:val="%1."/>
      <w:lvlJc w:val="left"/>
      <w:pPr>
        <w:ind w:left="680" w:hanging="680"/>
      </w:pPr>
      <w:rPr>
        <w:rFonts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2" w15:restartNumberingAfterBreak="0">
    <w:nsid w:val="33C602E8"/>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3" w15:restartNumberingAfterBreak="0">
    <w:nsid w:val="3C3D1DE5"/>
    <w:multiLevelType w:val="multilevel"/>
    <w:tmpl w:val="3C6EA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B61332"/>
    <w:multiLevelType w:val="multilevel"/>
    <w:tmpl w:val="40CC3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E557D3"/>
    <w:multiLevelType w:val="multilevel"/>
    <w:tmpl w:val="1CE4A31A"/>
    <w:lvl w:ilvl="0">
      <w:start w:val="1"/>
      <w:numFmt w:val="decimal"/>
      <w:lvlText w:val="%1."/>
      <w:lvlJc w:val="left"/>
      <w:pPr>
        <w:ind w:left="680" w:hanging="680"/>
      </w:pPr>
      <w:rPr>
        <w:rFonts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pStyle w:val="Heading3"/>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16" w15:restartNumberingAfterBreak="0">
    <w:nsid w:val="56E42B98"/>
    <w:multiLevelType w:val="multilevel"/>
    <w:tmpl w:val="567AEEA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DE15AC9"/>
    <w:multiLevelType w:val="multilevel"/>
    <w:tmpl w:val="3EBC4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9702E6"/>
    <w:multiLevelType w:val="multilevel"/>
    <w:tmpl w:val="A73E86A2"/>
    <w:lvl w:ilvl="0">
      <w:start w:val="1"/>
      <w:numFmt w:val="decimal"/>
      <w:pStyle w:val="Heading1"/>
      <w:lvlText w:val="%1."/>
      <w:lvlJc w:val="left"/>
      <w:pPr>
        <w:ind w:left="680" w:hanging="680"/>
      </w:pPr>
      <w:rPr>
        <w:rFonts w:hint="default"/>
      </w:rPr>
    </w:lvl>
    <w:lvl w:ilvl="1">
      <w:start w:val="1"/>
      <w:numFmt w:val="none"/>
      <w:pStyle w:val="Heading2"/>
      <w:lvlText w:val="1.%1"/>
      <w:lvlJc w:val="left"/>
      <w:pPr>
        <w:ind w:left="720" w:hanging="720"/>
      </w:pPr>
      <w:rPr>
        <w:rFonts w:hint="default"/>
      </w:rPr>
    </w:lvl>
    <w:lvl w:ilvl="2">
      <w:start w:val="1"/>
      <w:numFmt w:val="none"/>
      <w:lvlText w:val="2.1"/>
      <w:lvlJc w:val="left"/>
      <w:pPr>
        <w:ind w:left="1440" w:hanging="1440"/>
      </w:pPr>
      <w:rPr>
        <w:rFonts w:hint="default"/>
      </w:rPr>
    </w:lvl>
    <w:lvl w:ilvl="3">
      <w:start w:val="1"/>
      <w:numFmt w:val="lowerLetter"/>
      <w:pStyle w:val="Heading4"/>
      <w:lvlText w:val="%4)"/>
      <w:lvlJc w:val="left"/>
      <w:pPr>
        <w:ind w:left="2160" w:firstLine="0"/>
      </w:pPr>
      <w:rPr>
        <w:rFonts w:hint="default"/>
      </w:rPr>
    </w:lvl>
    <w:lvl w:ilvl="4">
      <w:start w:val="1"/>
      <w:numFmt w:val="decimal"/>
      <w:pStyle w:val="Heading5"/>
      <w:lvlText w:val="(%5)"/>
      <w:lvlJc w:val="left"/>
      <w:pPr>
        <w:ind w:left="2880" w:firstLine="0"/>
      </w:pPr>
      <w:rPr>
        <w:rFonts w:hint="default"/>
      </w:rPr>
    </w:lvl>
    <w:lvl w:ilvl="5">
      <w:start w:val="1"/>
      <w:numFmt w:val="lowerLetter"/>
      <w:pStyle w:val="Heading6"/>
      <w:lvlText w:val="(%6)"/>
      <w:lvlJc w:val="left"/>
      <w:pPr>
        <w:ind w:left="3600" w:firstLine="0"/>
      </w:pPr>
      <w:rPr>
        <w:rFonts w:hint="default"/>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rPr>
    </w:lvl>
    <w:lvl w:ilvl="8">
      <w:start w:val="1"/>
      <w:numFmt w:val="lowerRoman"/>
      <w:pStyle w:val="Heading9"/>
      <w:lvlText w:val="(%9)"/>
      <w:lvlJc w:val="left"/>
      <w:pPr>
        <w:ind w:left="5760" w:firstLine="0"/>
      </w:pPr>
      <w:rPr>
        <w:rFonts w:hint="default"/>
      </w:rPr>
    </w:lvl>
  </w:abstractNum>
  <w:abstractNum w:abstractNumId="19" w15:restartNumberingAfterBreak="0">
    <w:nsid w:val="5FCA0BDE"/>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0" w15:restartNumberingAfterBreak="0">
    <w:nsid w:val="607E17A6"/>
    <w:multiLevelType w:val="hybridMultilevel"/>
    <w:tmpl w:val="D132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F86166"/>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2" w15:restartNumberingAfterBreak="0">
    <w:nsid w:val="68973E2A"/>
    <w:multiLevelType w:val="multilevel"/>
    <w:tmpl w:val="013E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854AFF"/>
    <w:multiLevelType w:val="multilevel"/>
    <w:tmpl w:val="C596A1E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C07088C"/>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5" w15:restartNumberingAfterBreak="0">
    <w:nsid w:val="6C720D30"/>
    <w:multiLevelType w:val="multilevel"/>
    <w:tmpl w:val="FDBA7838"/>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6" w15:restartNumberingAfterBreak="0">
    <w:nsid w:val="6E4E6863"/>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7" w15:restartNumberingAfterBreak="0">
    <w:nsid w:val="72DE071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736368FC"/>
    <w:multiLevelType w:val="multilevel"/>
    <w:tmpl w:val="BE7A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BB00E5"/>
    <w:multiLevelType w:val="multilevel"/>
    <w:tmpl w:val="4BE4BEC4"/>
    <w:lvl w:ilvl="0">
      <w:start w:val="1"/>
      <w:numFmt w:val="bullet"/>
      <w:lvlText w:val=""/>
      <w:lvlJc w:val="left"/>
      <w:pPr>
        <w:ind w:left="680" w:hanging="680"/>
      </w:pPr>
      <w:rPr>
        <w:rFonts w:ascii="Symbol" w:hAnsi="Symbol" w:hint="default"/>
      </w:rPr>
    </w:lvl>
    <w:lvl w:ilvl="1">
      <w:start w:val="1"/>
      <w:numFmt w:val="none"/>
      <w:lvlText w:val="1.%1"/>
      <w:lvlJc w:val="left"/>
      <w:pPr>
        <w:ind w:left="720" w:hanging="720"/>
      </w:pPr>
      <w:rPr>
        <w:rFonts w:hint="default"/>
      </w:rPr>
    </w:lvl>
    <w:lvl w:ilvl="2">
      <w:start w:val="1"/>
      <w:numFmt w:val="none"/>
      <w:lvlText w:val="2.1"/>
      <w:lvlJc w:val="left"/>
      <w:pPr>
        <w:ind w:left="720" w:hanging="720"/>
      </w:pPr>
      <w:rPr>
        <w:rFonts w:hint="default"/>
      </w:rPr>
    </w:lvl>
    <w:lvl w:ilvl="3">
      <w:start w:val="1"/>
      <w:numFmt w:val="none"/>
      <w:lvlText w:val="3"/>
      <w:lvlJc w:val="left"/>
      <w:pPr>
        <w:ind w:left="720" w:hanging="720"/>
      </w:pPr>
      <w:rPr>
        <w:rFonts w:hint="default"/>
      </w:rPr>
    </w:lvl>
    <w:lvl w:ilvl="4">
      <w:start w:val="1"/>
      <w:numFmt w:val="decimal"/>
      <w:lvlText w:val="(%5)"/>
      <w:lvlJc w:val="left"/>
      <w:pPr>
        <w:ind w:left="2880" w:firstLine="0"/>
      </w:pPr>
      <w:rPr>
        <w:rFonts w:hint="default"/>
      </w:rPr>
    </w:lvl>
    <w:lvl w:ilvl="5">
      <w:start w:val="1"/>
      <w:numFmt w:val="none"/>
      <w:lvlRestart w:val="4"/>
      <w:lvlText w:val="4"/>
      <w:lvlJc w:val="left"/>
      <w:pPr>
        <w:ind w:left="720" w:hanging="72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30" w15:restartNumberingAfterBreak="0">
    <w:nsid w:val="7EB5427A"/>
    <w:multiLevelType w:val="multilevel"/>
    <w:tmpl w:val="EDB497C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EDD3076"/>
    <w:multiLevelType w:val="multilevel"/>
    <w:tmpl w:val="D2EC591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F843D9A"/>
    <w:multiLevelType w:val="multilevel"/>
    <w:tmpl w:val="2170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209542">
    <w:abstractNumId w:val="28"/>
  </w:num>
  <w:num w:numId="2" w16cid:durableId="1791705288">
    <w:abstractNumId w:val="5"/>
  </w:num>
  <w:num w:numId="3" w16cid:durableId="107093699">
    <w:abstractNumId w:val="17"/>
  </w:num>
  <w:num w:numId="4" w16cid:durableId="1468014345">
    <w:abstractNumId w:val="20"/>
  </w:num>
  <w:num w:numId="5" w16cid:durableId="1061294638">
    <w:abstractNumId w:val="6"/>
  </w:num>
  <w:num w:numId="6" w16cid:durableId="1899003252">
    <w:abstractNumId w:val="3"/>
  </w:num>
  <w:num w:numId="7" w16cid:durableId="562252438">
    <w:abstractNumId w:val="14"/>
  </w:num>
  <w:num w:numId="8" w16cid:durableId="1914119532">
    <w:abstractNumId w:val="0"/>
  </w:num>
  <w:num w:numId="9" w16cid:durableId="1217860164">
    <w:abstractNumId w:val="10"/>
  </w:num>
  <w:num w:numId="10" w16cid:durableId="2131436303">
    <w:abstractNumId w:val="22"/>
  </w:num>
  <w:num w:numId="11" w16cid:durableId="1866483220">
    <w:abstractNumId w:val="32"/>
  </w:num>
  <w:num w:numId="12" w16cid:durableId="1017198657">
    <w:abstractNumId w:val="21"/>
  </w:num>
  <w:num w:numId="13" w16cid:durableId="1964926017">
    <w:abstractNumId w:val="11"/>
  </w:num>
  <w:num w:numId="14" w16cid:durableId="287515752">
    <w:abstractNumId w:val="25"/>
  </w:num>
  <w:num w:numId="15" w16cid:durableId="1782990031">
    <w:abstractNumId w:val="27"/>
  </w:num>
  <w:num w:numId="16" w16cid:durableId="1802770959">
    <w:abstractNumId w:val="18"/>
  </w:num>
  <w:num w:numId="17" w16cid:durableId="1214535298">
    <w:abstractNumId w:val="18"/>
    <w:lvlOverride w:ilvl="0">
      <w:lvl w:ilvl="0">
        <w:start w:val="1"/>
        <w:numFmt w:val="decimal"/>
        <w:pStyle w:val="Heading1"/>
        <w:lvlText w:val="%1."/>
        <w:lvlJc w:val="left"/>
        <w:pPr>
          <w:ind w:left="680" w:hanging="680"/>
        </w:pPr>
        <w:rPr>
          <w:rFonts w:hint="default"/>
        </w:rPr>
      </w:lvl>
    </w:lvlOverride>
    <w:lvlOverride w:ilvl="1">
      <w:lvl w:ilvl="1">
        <w:start w:val="1"/>
        <w:numFmt w:val="none"/>
        <w:pStyle w:val="Heading2"/>
        <w:lvlText w:val="1.%1"/>
        <w:lvlJc w:val="left"/>
        <w:pPr>
          <w:ind w:left="720" w:hanging="720"/>
        </w:pPr>
        <w:rPr>
          <w:rFonts w:hint="default"/>
        </w:rPr>
      </w:lvl>
    </w:lvlOverride>
    <w:lvlOverride w:ilvl="2">
      <w:lvl w:ilvl="2">
        <w:start w:val="1"/>
        <w:numFmt w:val="none"/>
        <w:lvlText w:val="2.1"/>
        <w:lvlJc w:val="left"/>
        <w:pPr>
          <w:ind w:left="720" w:hanging="720"/>
        </w:pPr>
        <w:rPr>
          <w:rFonts w:hint="default"/>
        </w:rPr>
      </w:lvl>
    </w:lvlOverride>
    <w:lvlOverride w:ilvl="3">
      <w:lvl w:ilvl="3">
        <w:start w:val="1"/>
        <w:numFmt w:val="lowerLetter"/>
        <w:pStyle w:val="Heading4"/>
        <w:lvlText w:val="%4)"/>
        <w:lvlJc w:val="left"/>
        <w:pPr>
          <w:ind w:left="2160" w:firstLine="0"/>
        </w:pPr>
        <w:rPr>
          <w:rFonts w:hint="default"/>
        </w:rPr>
      </w:lvl>
    </w:lvlOverride>
    <w:lvlOverride w:ilvl="4">
      <w:lvl w:ilvl="4">
        <w:start w:val="1"/>
        <w:numFmt w:val="decimal"/>
        <w:pStyle w:val="Heading5"/>
        <w:lvlText w:val="(%5)"/>
        <w:lvlJc w:val="left"/>
        <w:pPr>
          <w:ind w:left="2880" w:firstLine="0"/>
        </w:pPr>
        <w:rPr>
          <w:rFonts w:hint="default"/>
        </w:rPr>
      </w:lvl>
    </w:lvlOverride>
    <w:lvlOverride w:ilvl="5">
      <w:lvl w:ilvl="5">
        <w:start w:val="1"/>
        <w:numFmt w:val="lowerLetter"/>
        <w:pStyle w:val="Heading6"/>
        <w:lvlText w:val="(%6)"/>
        <w:lvlJc w:val="left"/>
        <w:pPr>
          <w:ind w:left="3600" w:firstLine="0"/>
        </w:pPr>
        <w:rPr>
          <w:rFonts w:hint="default"/>
        </w:rPr>
      </w:lvl>
    </w:lvlOverride>
    <w:lvlOverride w:ilvl="6">
      <w:lvl w:ilvl="6">
        <w:start w:val="1"/>
        <w:numFmt w:val="lowerRoman"/>
        <w:pStyle w:val="Heading7"/>
        <w:lvlText w:val="(%7)"/>
        <w:lvlJc w:val="left"/>
        <w:pPr>
          <w:ind w:left="4320" w:firstLine="0"/>
        </w:pPr>
        <w:rPr>
          <w:rFonts w:hint="default"/>
        </w:rPr>
      </w:lvl>
    </w:lvlOverride>
    <w:lvlOverride w:ilvl="7">
      <w:lvl w:ilvl="7">
        <w:start w:val="1"/>
        <w:numFmt w:val="lowerLetter"/>
        <w:pStyle w:val="Heading8"/>
        <w:lvlText w:val="(%8)"/>
        <w:lvlJc w:val="left"/>
        <w:pPr>
          <w:ind w:left="5040" w:firstLine="0"/>
        </w:pPr>
        <w:rPr>
          <w:rFonts w:hint="default"/>
        </w:rPr>
      </w:lvl>
    </w:lvlOverride>
    <w:lvlOverride w:ilvl="8">
      <w:lvl w:ilvl="8">
        <w:start w:val="1"/>
        <w:numFmt w:val="lowerRoman"/>
        <w:pStyle w:val="Heading9"/>
        <w:lvlText w:val="(%9)"/>
        <w:lvlJc w:val="left"/>
        <w:pPr>
          <w:ind w:left="5760" w:firstLine="0"/>
        </w:pPr>
        <w:rPr>
          <w:rFonts w:hint="default"/>
        </w:rPr>
      </w:lvl>
    </w:lvlOverride>
  </w:num>
  <w:num w:numId="18" w16cid:durableId="2011636182">
    <w:abstractNumId w:val="30"/>
  </w:num>
  <w:num w:numId="19" w16cid:durableId="1234193841">
    <w:abstractNumId w:val="15"/>
  </w:num>
  <w:num w:numId="20" w16cid:durableId="143913386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06002378">
    <w:abstractNumId w:val="31"/>
  </w:num>
  <w:num w:numId="22" w16cid:durableId="1071856417">
    <w:abstractNumId w:val="15"/>
  </w:num>
  <w:num w:numId="23" w16cid:durableId="1453477738">
    <w:abstractNumId w:val="15"/>
  </w:num>
  <w:num w:numId="24" w16cid:durableId="93948870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41252039">
    <w:abstractNumId w:val="15"/>
  </w:num>
  <w:num w:numId="26" w16cid:durableId="1540706693">
    <w:abstractNumId w:val="15"/>
  </w:num>
  <w:num w:numId="27" w16cid:durableId="1633175787">
    <w:abstractNumId w:val="15"/>
  </w:num>
  <w:num w:numId="28" w16cid:durableId="704603778">
    <w:abstractNumId w:val="15"/>
  </w:num>
  <w:num w:numId="29" w16cid:durableId="69039462">
    <w:abstractNumId w:val="15"/>
  </w:num>
  <w:num w:numId="30" w16cid:durableId="1777405464">
    <w:abstractNumId w:val="15"/>
    <w:lvlOverride w:ilvl="0">
      <w:lvl w:ilvl="0">
        <w:start w:val="1"/>
        <w:numFmt w:val="decimal"/>
        <w:lvlText w:val="%1."/>
        <w:lvlJc w:val="left"/>
        <w:pPr>
          <w:ind w:left="680" w:hanging="680"/>
        </w:pPr>
        <w:rPr>
          <w:rFonts w:hint="default"/>
        </w:rPr>
      </w:lvl>
    </w:lvlOverride>
    <w:lvlOverride w:ilvl="1">
      <w:lvl w:ilvl="1">
        <w:start w:val="1"/>
        <w:numFmt w:val="none"/>
        <w:lvlText w:val="1.%1"/>
        <w:lvlJc w:val="left"/>
        <w:pPr>
          <w:ind w:left="720" w:hanging="720"/>
        </w:pPr>
        <w:rPr>
          <w:rFonts w:hint="default"/>
        </w:rPr>
      </w:lvl>
    </w:lvlOverride>
    <w:lvlOverride w:ilvl="2">
      <w:lvl w:ilvl="2">
        <w:start w:val="1"/>
        <w:numFmt w:val="none"/>
        <w:lvlText w:val="2.1"/>
        <w:lvlJc w:val="left"/>
        <w:pPr>
          <w:ind w:left="720" w:hanging="720"/>
        </w:pPr>
        <w:rPr>
          <w:rFonts w:hint="default"/>
        </w:rPr>
      </w:lvl>
    </w:lvlOverride>
    <w:lvlOverride w:ilvl="3">
      <w:lvl w:ilvl="3">
        <w:start w:val="1"/>
        <w:numFmt w:val="none"/>
        <w:pStyle w:val="Heading3"/>
        <w:lvlText w:val="3"/>
        <w:lvlJc w:val="left"/>
        <w:pPr>
          <w:ind w:left="720" w:hanging="720"/>
        </w:pPr>
        <w:rPr>
          <w:rFonts w:hint="default"/>
        </w:rPr>
      </w:lvl>
    </w:lvlOverride>
    <w:lvlOverride w:ilvl="4">
      <w:lvl w:ilvl="4">
        <w:start w:val="1"/>
        <w:numFmt w:val="decimal"/>
        <w:lvlText w:val="(%5)"/>
        <w:lvlJc w:val="left"/>
        <w:pPr>
          <w:ind w:left="2880" w:firstLine="0"/>
        </w:pPr>
        <w:rPr>
          <w:rFonts w:hint="default"/>
        </w:rPr>
      </w:lvl>
    </w:lvlOverride>
    <w:lvlOverride w:ilvl="5">
      <w:lvl w:ilvl="5">
        <w:start w:val="1"/>
        <w:numFmt w:val="none"/>
        <w:lvlRestart w:val="4"/>
        <w:lvlText w:val="4"/>
        <w:lvlJc w:val="left"/>
        <w:pPr>
          <w:ind w:left="720" w:hanging="720"/>
        </w:pPr>
        <w:rPr>
          <w:rFonts w:hint="default"/>
        </w:rPr>
      </w:lvl>
    </w:lvlOverride>
    <w:lvlOverride w:ilvl="6">
      <w:lvl w:ilvl="6">
        <w:start w:val="1"/>
        <w:numFmt w:val="lowerRoman"/>
        <w:lvlText w:val="(%7)"/>
        <w:lvlJc w:val="left"/>
        <w:pPr>
          <w:ind w:left="4320" w:firstLine="0"/>
        </w:pPr>
        <w:rPr>
          <w:rFonts w:hint="default"/>
        </w:rPr>
      </w:lvl>
    </w:lvlOverride>
    <w:lvlOverride w:ilvl="7">
      <w:lvl w:ilvl="7">
        <w:start w:val="1"/>
        <w:numFmt w:val="lowerLetter"/>
        <w:lvlText w:val="(%8)"/>
        <w:lvlJc w:val="left"/>
        <w:pPr>
          <w:ind w:left="5040" w:firstLine="0"/>
        </w:pPr>
        <w:rPr>
          <w:rFonts w:hint="default"/>
        </w:rPr>
      </w:lvl>
    </w:lvlOverride>
    <w:lvlOverride w:ilvl="8">
      <w:lvl w:ilvl="8">
        <w:start w:val="1"/>
        <w:numFmt w:val="lowerRoman"/>
        <w:lvlText w:val="(%9)"/>
        <w:lvlJc w:val="left"/>
        <w:pPr>
          <w:ind w:left="5760" w:firstLine="0"/>
        </w:pPr>
        <w:rPr>
          <w:rFonts w:hint="default"/>
        </w:rPr>
      </w:lvl>
    </w:lvlOverride>
  </w:num>
  <w:num w:numId="31" w16cid:durableId="331955928">
    <w:abstractNumId w:val="1"/>
  </w:num>
  <w:num w:numId="32" w16cid:durableId="1373534100">
    <w:abstractNumId w:val="15"/>
  </w:num>
  <w:num w:numId="33" w16cid:durableId="181751099">
    <w:abstractNumId w:val="7"/>
  </w:num>
  <w:num w:numId="34" w16cid:durableId="59865163">
    <w:abstractNumId w:val="19"/>
  </w:num>
  <w:num w:numId="35" w16cid:durableId="1917014971">
    <w:abstractNumId w:val="29"/>
  </w:num>
  <w:num w:numId="36" w16cid:durableId="327027831">
    <w:abstractNumId w:val="15"/>
  </w:num>
  <w:num w:numId="37" w16cid:durableId="1644584318">
    <w:abstractNumId w:val="15"/>
  </w:num>
  <w:num w:numId="38" w16cid:durableId="44063672">
    <w:abstractNumId w:val="13"/>
  </w:num>
  <w:num w:numId="39" w16cid:durableId="1396977536">
    <w:abstractNumId w:val="24"/>
  </w:num>
  <w:num w:numId="40" w16cid:durableId="1304584613">
    <w:abstractNumId w:val="12"/>
  </w:num>
  <w:num w:numId="41" w16cid:durableId="1598979444">
    <w:abstractNumId w:val="9"/>
  </w:num>
  <w:num w:numId="42" w16cid:durableId="1392073963">
    <w:abstractNumId w:val="26"/>
  </w:num>
  <w:num w:numId="43" w16cid:durableId="1006206128">
    <w:abstractNumId w:val="15"/>
  </w:num>
  <w:num w:numId="44" w16cid:durableId="1498618367">
    <w:abstractNumId w:val="2"/>
  </w:num>
  <w:num w:numId="45" w16cid:durableId="480735639">
    <w:abstractNumId w:val="4"/>
  </w:num>
  <w:num w:numId="46" w16cid:durableId="534385556">
    <w:abstractNumId w:val="15"/>
  </w:num>
  <w:num w:numId="47" w16cid:durableId="592277572">
    <w:abstractNumId w:val="15"/>
  </w:num>
  <w:num w:numId="48" w16cid:durableId="279533970">
    <w:abstractNumId w:val="15"/>
  </w:num>
  <w:num w:numId="49" w16cid:durableId="210458663">
    <w:abstractNumId w:val="15"/>
  </w:num>
  <w:num w:numId="50" w16cid:durableId="2085755883">
    <w:abstractNumId w:val="15"/>
  </w:num>
  <w:num w:numId="51" w16cid:durableId="1623733436">
    <w:abstractNumId w:val="15"/>
  </w:num>
  <w:num w:numId="52" w16cid:durableId="690452364">
    <w:abstractNumId w:val="15"/>
  </w:num>
  <w:num w:numId="53" w16cid:durableId="16469218">
    <w:abstractNumId w:val="15"/>
  </w:num>
  <w:num w:numId="54" w16cid:durableId="71006355">
    <w:abstractNumId w:val="15"/>
  </w:num>
  <w:num w:numId="55" w16cid:durableId="859272459">
    <w:abstractNumId w:val="15"/>
  </w:num>
  <w:num w:numId="56" w16cid:durableId="1845824779">
    <w:abstractNumId w:val="15"/>
  </w:num>
  <w:num w:numId="57" w16cid:durableId="1666664442">
    <w:abstractNumId w:val="8"/>
  </w:num>
  <w:num w:numId="58" w16cid:durableId="1816529905">
    <w:abstractNumId w:val="15"/>
  </w:num>
  <w:num w:numId="59" w16cid:durableId="2011759695">
    <w:abstractNumId w:val="15"/>
  </w:num>
  <w:num w:numId="60" w16cid:durableId="1295257275">
    <w:abstractNumId w:val="23"/>
  </w:num>
  <w:num w:numId="61" w16cid:durableId="5118384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B94"/>
    <w:rsid w:val="00010460"/>
    <w:rsid w:val="000229D1"/>
    <w:rsid w:val="00027653"/>
    <w:rsid w:val="00041DFB"/>
    <w:rsid w:val="000428C2"/>
    <w:rsid w:val="00045E07"/>
    <w:rsid w:val="00046EFC"/>
    <w:rsid w:val="0006671E"/>
    <w:rsid w:val="00072935"/>
    <w:rsid w:val="00073BAD"/>
    <w:rsid w:val="00083F5A"/>
    <w:rsid w:val="000E7478"/>
    <w:rsid w:val="00120CE3"/>
    <w:rsid w:val="001363D8"/>
    <w:rsid w:val="00154B94"/>
    <w:rsid w:val="001A64FA"/>
    <w:rsid w:val="001B7D03"/>
    <w:rsid w:val="001D1D8C"/>
    <w:rsid w:val="002333FD"/>
    <w:rsid w:val="00247E54"/>
    <w:rsid w:val="00254664"/>
    <w:rsid w:val="002700C9"/>
    <w:rsid w:val="002737C6"/>
    <w:rsid w:val="002D6B55"/>
    <w:rsid w:val="002E2DBE"/>
    <w:rsid w:val="002F4344"/>
    <w:rsid w:val="002F4448"/>
    <w:rsid w:val="00301796"/>
    <w:rsid w:val="003031DE"/>
    <w:rsid w:val="00354E95"/>
    <w:rsid w:val="00380825"/>
    <w:rsid w:val="003B7A83"/>
    <w:rsid w:val="003C5BC7"/>
    <w:rsid w:val="003D0695"/>
    <w:rsid w:val="00421426"/>
    <w:rsid w:val="00431452"/>
    <w:rsid w:val="00471200"/>
    <w:rsid w:val="00490752"/>
    <w:rsid w:val="00490983"/>
    <w:rsid w:val="00490B1C"/>
    <w:rsid w:val="004B758D"/>
    <w:rsid w:val="004C4AFA"/>
    <w:rsid w:val="004D4E7F"/>
    <w:rsid w:val="004D61DD"/>
    <w:rsid w:val="004D6A57"/>
    <w:rsid w:val="004F2D4D"/>
    <w:rsid w:val="004F7F95"/>
    <w:rsid w:val="005B23FD"/>
    <w:rsid w:val="005B29A0"/>
    <w:rsid w:val="00610E98"/>
    <w:rsid w:val="006A23B0"/>
    <w:rsid w:val="006C21DE"/>
    <w:rsid w:val="006D45DA"/>
    <w:rsid w:val="006E291B"/>
    <w:rsid w:val="007309B8"/>
    <w:rsid w:val="00731F31"/>
    <w:rsid w:val="00772B03"/>
    <w:rsid w:val="00775D89"/>
    <w:rsid w:val="00776A82"/>
    <w:rsid w:val="007A702F"/>
    <w:rsid w:val="007D76AE"/>
    <w:rsid w:val="00815DBE"/>
    <w:rsid w:val="00834E17"/>
    <w:rsid w:val="00846BE2"/>
    <w:rsid w:val="0087186F"/>
    <w:rsid w:val="008B0081"/>
    <w:rsid w:val="008D4F6C"/>
    <w:rsid w:val="00913636"/>
    <w:rsid w:val="00971C39"/>
    <w:rsid w:val="00974AAE"/>
    <w:rsid w:val="009B0DA4"/>
    <w:rsid w:val="009C63E9"/>
    <w:rsid w:val="00A0462C"/>
    <w:rsid w:val="00A936AF"/>
    <w:rsid w:val="00AB30E6"/>
    <w:rsid w:val="00AC013D"/>
    <w:rsid w:val="00AC14DC"/>
    <w:rsid w:val="00AD262E"/>
    <w:rsid w:val="00AE4BD9"/>
    <w:rsid w:val="00B6485B"/>
    <w:rsid w:val="00B955E1"/>
    <w:rsid w:val="00B95A42"/>
    <w:rsid w:val="00B971B1"/>
    <w:rsid w:val="00BC724D"/>
    <w:rsid w:val="00BE0329"/>
    <w:rsid w:val="00BF17EA"/>
    <w:rsid w:val="00C1520C"/>
    <w:rsid w:val="00C24C9E"/>
    <w:rsid w:val="00C32A15"/>
    <w:rsid w:val="00C34116"/>
    <w:rsid w:val="00CF3F2E"/>
    <w:rsid w:val="00CF5B97"/>
    <w:rsid w:val="00CF62CB"/>
    <w:rsid w:val="00D06A96"/>
    <w:rsid w:val="00D255A5"/>
    <w:rsid w:val="00D3479A"/>
    <w:rsid w:val="00D53D74"/>
    <w:rsid w:val="00D745EE"/>
    <w:rsid w:val="00DB3941"/>
    <w:rsid w:val="00DB767E"/>
    <w:rsid w:val="00E10643"/>
    <w:rsid w:val="00E15F5E"/>
    <w:rsid w:val="00E64B0B"/>
    <w:rsid w:val="00E8180A"/>
    <w:rsid w:val="00EB092C"/>
    <w:rsid w:val="00ED0619"/>
    <w:rsid w:val="00ED6086"/>
    <w:rsid w:val="00F227AB"/>
    <w:rsid w:val="00F47DDF"/>
    <w:rsid w:val="00F66DBC"/>
    <w:rsid w:val="00F84B99"/>
    <w:rsid w:val="00FC4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2A07B"/>
  <w15:chartTrackingRefBased/>
  <w15:docId w15:val="{2F580648-0BCE-4E23-8935-8A5FEE545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91B"/>
    <w:pPr>
      <w:keepNext/>
      <w:keepLines/>
      <w:numPr>
        <w:numId w:val="1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291B"/>
    <w:pPr>
      <w:keepNext/>
      <w:keepLines/>
      <w:numPr>
        <w:ilvl w:val="1"/>
        <w:numId w:val="1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34E17"/>
    <w:pPr>
      <w:numPr>
        <w:ilvl w:val="3"/>
        <w:numId w:val="19"/>
      </w:num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834E17"/>
    <w:pPr>
      <w:numPr>
        <w:ilvl w:val="3"/>
        <w:numId w:val="16"/>
      </w:num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paragraph" w:styleId="Heading5">
    <w:name w:val="heading 5"/>
    <w:basedOn w:val="Normal"/>
    <w:next w:val="Normal"/>
    <w:link w:val="Heading5Char"/>
    <w:uiPriority w:val="9"/>
    <w:semiHidden/>
    <w:unhideWhenUsed/>
    <w:qFormat/>
    <w:rsid w:val="006E291B"/>
    <w:pPr>
      <w:keepNext/>
      <w:keepLines/>
      <w:numPr>
        <w:ilvl w:val="4"/>
        <w:numId w:val="1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E291B"/>
    <w:pPr>
      <w:keepNext/>
      <w:keepLines/>
      <w:numPr>
        <w:ilvl w:val="5"/>
        <w:numId w:val="1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E291B"/>
    <w:pPr>
      <w:keepNext/>
      <w:keepLines/>
      <w:numPr>
        <w:ilvl w:val="6"/>
        <w:numId w:val="1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E291B"/>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E291B"/>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4B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76A82"/>
    <w:rPr>
      <w:i/>
      <w:iCs/>
    </w:rPr>
  </w:style>
  <w:style w:type="character" w:styleId="Strong">
    <w:name w:val="Strong"/>
    <w:basedOn w:val="DefaultParagraphFont"/>
    <w:uiPriority w:val="22"/>
    <w:qFormat/>
    <w:rsid w:val="005B23FD"/>
    <w:rPr>
      <w:b/>
      <w:bCs/>
    </w:rPr>
  </w:style>
  <w:style w:type="character" w:customStyle="1" w:styleId="Heading3Char">
    <w:name w:val="Heading 3 Char"/>
    <w:basedOn w:val="DefaultParagraphFont"/>
    <w:link w:val="Heading3"/>
    <w:uiPriority w:val="9"/>
    <w:rsid w:val="00834E17"/>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834E17"/>
    <w:rPr>
      <w:rFonts w:ascii="Times New Roman" w:eastAsia="Times New Roman" w:hAnsi="Times New Roman" w:cs="Times New Roman"/>
      <w:b/>
      <w:bCs/>
      <w:kern w:val="0"/>
      <w:sz w:val="24"/>
      <w:szCs w:val="24"/>
      <w:lang w:eastAsia="en-GB"/>
      <w14:ligatures w14:val="none"/>
    </w:rPr>
  </w:style>
  <w:style w:type="paragraph" w:styleId="Header">
    <w:name w:val="header"/>
    <w:basedOn w:val="Normal"/>
    <w:link w:val="HeaderChar"/>
    <w:uiPriority w:val="99"/>
    <w:unhideWhenUsed/>
    <w:rsid w:val="00066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71E"/>
  </w:style>
  <w:style w:type="paragraph" w:styleId="Footer">
    <w:name w:val="footer"/>
    <w:basedOn w:val="Normal"/>
    <w:link w:val="FooterChar"/>
    <w:uiPriority w:val="99"/>
    <w:unhideWhenUsed/>
    <w:rsid w:val="00066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71E"/>
  </w:style>
  <w:style w:type="character" w:styleId="Hyperlink">
    <w:name w:val="Hyperlink"/>
    <w:basedOn w:val="DefaultParagraphFont"/>
    <w:uiPriority w:val="99"/>
    <w:unhideWhenUsed/>
    <w:rsid w:val="00772B03"/>
    <w:rPr>
      <w:color w:val="0000FF"/>
      <w:u w:val="single"/>
    </w:rPr>
  </w:style>
  <w:style w:type="paragraph" w:styleId="ListParagraph">
    <w:name w:val="List Paragraph"/>
    <w:basedOn w:val="Normal"/>
    <w:uiPriority w:val="34"/>
    <w:qFormat/>
    <w:rsid w:val="002333FD"/>
    <w:pPr>
      <w:ind w:left="720"/>
      <w:contextualSpacing/>
    </w:pPr>
  </w:style>
  <w:style w:type="character" w:customStyle="1" w:styleId="Heading1Char">
    <w:name w:val="Heading 1 Char"/>
    <w:basedOn w:val="DefaultParagraphFont"/>
    <w:link w:val="Heading1"/>
    <w:uiPriority w:val="9"/>
    <w:rsid w:val="006E29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291B"/>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6E291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E291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E291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E291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E291B"/>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F84B99"/>
    <w:rPr>
      <w:color w:val="605E5C"/>
      <w:shd w:val="clear" w:color="auto" w:fill="E1DFDD"/>
    </w:rPr>
  </w:style>
  <w:style w:type="character" w:styleId="FollowedHyperlink">
    <w:name w:val="FollowedHyperlink"/>
    <w:basedOn w:val="DefaultParagraphFont"/>
    <w:uiPriority w:val="99"/>
    <w:semiHidden/>
    <w:unhideWhenUsed/>
    <w:rsid w:val="00073BAD"/>
    <w:rPr>
      <w:color w:val="954F72" w:themeColor="followedHyperlink"/>
      <w:u w:val="single"/>
    </w:rPr>
  </w:style>
  <w:style w:type="paragraph" w:styleId="TOCHeading">
    <w:name w:val="TOC Heading"/>
    <w:basedOn w:val="Heading1"/>
    <w:next w:val="Normal"/>
    <w:uiPriority w:val="39"/>
    <w:unhideWhenUsed/>
    <w:qFormat/>
    <w:rsid w:val="00490752"/>
    <w:pPr>
      <w:numPr>
        <w:numId w:val="0"/>
      </w:numPr>
      <w:outlineLvl w:val="9"/>
    </w:pPr>
    <w:rPr>
      <w:kern w:val="0"/>
      <w:lang w:val="en-US"/>
      <w14:ligatures w14:val="none"/>
    </w:rPr>
  </w:style>
  <w:style w:type="paragraph" w:styleId="TOC1">
    <w:name w:val="toc 1"/>
    <w:basedOn w:val="Normal"/>
    <w:next w:val="Normal"/>
    <w:autoRedefine/>
    <w:uiPriority w:val="39"/>
    <w:unhideWhenUsed/>
    <w:rsid w:val="00490752"/>
    <w:pPr>
      <w:spacing w:after="100"/>
    </w:pPr>
  </w:style>
  <w:style w:type="paragraph" w:styleId="TOC3">
    <w:name w:val="toc 3"/>
    <w:basedOn w:val="Normal"/>
    <w:next w:val="Normal"/>
    <w:autoRedefine/>
    <w:uiPriority w:val="39"/>
    <w:unhideWhenUsed/>
    <w:rsid w:val="004907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1721">
      <w:bodyDiv w:val="1"/>
      <w:marLeft w:val="0"/>
      <w:marRight w:val="0"/>
      <w:marTop w:val="0"/>
      <w:marBottom w:val="0"/>
      <w:divBdr>
        <w:top w:val="none" w:sz="0" w:space="0" w:color="auto"/>
        <w:left w:val="none" w:sz="0" w:space="0" w:color="auto"/>
        <w:bottom w:val="none" w:sz="0" w:space="0" w:color="auto"/>
        <w:right w:val="none" w:sz="0" w:space="0" w:color="auto"/>
      </w:divBdr>
    </w:div>
    <w:div w:id="33043160">
      <w:bodyDiv w:val="1"/>
      <w:marLeft w:val="0"/>
      <w:marRight w:val="0"/>
      <w:marTop w:val="0"/>
      <w:marBottom w:val="0"/>
      <w:divBdr>
        <w:top w:val="none" w:sz="0" w:space="0" w:color="auto"/>
        <w:left w:val="none" w:sz="0" w:space="0" w:color="auto"/>
        <w:bottom w:val="none" w:sz="0" w:space="0" w:color="auto"/>
        <w:right w:val="none" w:sz="0" w:space="0" w:color="auto"/>
      </w:divBdr>
    </w:div>
    <w:div w:id="61371725">
      <w:bodyDiv w:val="1"/>
      <w:marLeft w:val="0"/>
      <w:marRight w:val="0"/>
      <w:marTop w:val="0"/>
      <w:marBottom w:val="0"/>
      <w:divBdr>
        <w:top w:val="none" w:sz="0" w:space="0" w:color="auto"/>
        <w:left w:val="none" w:sz="0" w:space="0" w:color="auto"/>
        <w:bottom w:val="none" w:sz="0" w:space="0" w:color="auto"/>
        <w:right w:val="none" w:sz="0" w:space="0" w:color="auto"/>
      </w:divBdr>
    </w:div>
    <w:div w:id="112023553">
      <w:bodyDiv w:val="1"/>
      <w:marLeft w:val="0"/>
      <w:marRight w:val="0"/>
      <w:marTop w:val="0"/>
      <w:marBottom w:val="0"/>
      <w:divBdr>
        <w:top w:val="none" w:sz="0" w:space="0" w:color="auto"/>
        <w:left w:val="none" w:sz="0" w:space="0" w:color="auto"/>
        <w:bottom w:val="none" w:sz="0" w:space="0" w:color="auto"/>
        <w:right w:val="none" w:sz="0" w:space="0" w:color="auto"/>
      </w:divBdr>
    </w:div>
    <w:div w:id="114638749">
      <w:bodyDiv w:val="1"/>
      <w:marLeft w:val="0"/>
      <w:marRight w:val="0"/>
      <w:marTop w:val="0"/>
      <w:marBottom w:val="0"/>
      <w:divBdr>
        <w:top w:val="none" w:sz="0" w:space="0" w:color="auto"/>
        <w:left w:val="none" w:sz="0" w:space="0" w:color="auto"/>
        <w:bottom w:val="none" w:sz="0" w:space="0" w:color="auto"/>
        <w:right w:val="none" w:sz="0" w:space="0" w:color="auto"/>
      </w:divBdr>
    </w:div>
    <w:div w:id="156116435">
      <w:bodyDiv w:val="1"/>
      <w:marLeft w:val="0"/>
      <w:marRight w:val="0"/>
      <w:marTop w:val="0"/>
      <w:marBottom w:val="0"/>
      <w:divBdr>
        <w:top w:val="none" w:sz="0" w:space="0" w:color="auto"/>
        <w:left w:val="none" w:sz="0" w:space="0" w:color="auto"/>
        <w:bottom w:val="none" w:sz="0" w:space="0" w:color="auto"/>
        <w:right w:val="none" w:sz="0" w:space="0" w:color="auto"/>
      </w:divBdr>
      <w:divsChild>
        <w:div w:id="46029457">
          <w:marLeft w:val="0"/>
          <w:marRight w:val="0"/>
          <w:marTop w:val="0"/>
          <w:marBottom w:val="0"/>
          <w:divBdr>
            <w:top w:val="none" w:sz="0" w:space="0" w:color="auto"/>
            <w:left w:val="none" w:sz="0" w:space="0" w:color="auto"/>
            <w:bottom w:val="none" w:sz="0" w:space="0" w:color="auto"/>
            <w:right w:val="none" w:sz="0" w:space="0" w:color="auto"/>
          </w:divBdr>
          <w:divsChild>
            <w:div w:id="1275015955">
              <w:marLeft w:val="0"/>
              <w:marRight w:val="0"/>
              <w:marTop w:val="0"/>
              <w:marBottom w:val="0"/>
              <w:divBdr>
                <w:top w:val="none" w:sz="0" w:space="0" w:color="auto"/>
                <w:left w:val="none" w:sz="0" w:space="0" w:color="auto"/>
                <w:bottom w:val="none" w:sz="0" w:space="0" w:color="auto"/>
                <w:right w:val="none" w:sz="0" w:space="0" w:color="auto"/>
              </w:divBdr>
              <w:divsChild>
                <w:div w:id="676270493">
                  <w:marLeft w:val="0"/>
                  <w:marRight w:val="0"/>
                  <w:marTop w:val="0"/>
                  <w:marBottom w:val="0"/>
                  <w:divBdr>
                    <w:top w:val="none" w:sz="0" w:space="0" w:color="auto"/>
                    <w:left w:val="none" w:sz="0" w:space="0" w:color="auto"/>
                    <w:bottom w:val="none" w:sz="0" w:space="0" w:color="auto"/>
                    <w:right w:val="none" w:sz="0" w:space="0" w:color="auto"/>
                  </w:divBdr>
                  <w:divsChild>
                    <w:div w:id="8310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71003">
      <w:bodyDiv w:val="1"/>
      <w:marLeft w:val="0"/>
      <w:marRight w:val="0"/>
      <w:marTop w:val="0"/>
      <w:marBottom w:val="0"/>
      <w:divBdr>
        <w:top w:val="none" w:sz="0" w:space="0" w:color="auto"/>
        <w:left w:val="none" w:sz="0" w:space="0" w:color="auto"/>
        <w:bottom w:val="none" w:sz="0" w:space="0" w:color="auto"/>
        <w:right w:val="none" w:sz="0" w:space="0" w:color="auto"/>
      </w:divBdr>
    </w:div>
    <w:div w:id="202719231">
      <w:bodyDiv w:val="1"/>
      <w:marLeft w:val="0"/>
      <w:marRight w:val="0"/>
      <w:marTop w:val="0"/>
      <w:marBottom w:val="0"/>
      <w:divBdr>
        <w:top w:val="none" w:sz="0" w:space="0" w:color="auto"/>
        <w:left w:val="none" w:sz="0" w:space="0" w:color="auto"/>
        <w:bottom w:val="none" w:sz="0" w:space="0" w:color="auto"/>
        <w:right w:val="none" w:sz="0" w:space="0" w:color="auto"/>
      </w:divBdr>
    </w:div>
    <w:div w:id="219021694">
      <w:bodyDiv w:val="1"/>
      <w:marLeft w:val="0"/>
      <w:marRight w:val="0"/>
      <w:marTop w:val="0"/>
      <w:marBottom w:val="0"/>
      <w:divBdr>
        <w:top w:val="none" w:sz="0" w:space="0" w:color="auto"/>
        <w:left w:val="none" w:sz="0" w:space="0" w:color="auto"/>
        <w:bottom w:val="none" w:sz="0" w:space="0" w:color="auto"/>
        <w:right w:val="none" w:sz="0" w:space="0" w:color="auto"/>
      </w:divBdr>
    </w:div>
    <w:div w:id="323703796">
      <w:bodyDiv w:val="1"/>
      <w:marLeft w:val="0"/>
      <w:marRight w:val="0"/>
      <w:marTop w:val="0"/>
      <w:marBottom w:val="0"/>
      <w:divBdr>
        <w:top w:val="none" w:sz="0" w:space="0" w:color="auto"/>
        <w:left w:val="none" w:sz="0" w:space="0" w:color="auto"/>
        <w:bottom w:val="none" w:sz="0" w:space="0" w:color="auto"/>
        <w:right w:val="none" w:sz="0" w:space="0" w:color="auto"/>
      </w:divBdr>
    </w:div>
    <w:div w:id="332805389">
      <w:bodyDiv w:val="1"/>
      <w:marLeft w:val="0"/>
      <w:marRight w:val="0"/>
      <w:marTop w:val="0"/>
      <w:marBottom w:val="0"/>
      <w:divBdr>
        <w:top w:val="none" w:sz="0" w:space="0" w:color="auto"/>
        <w:left w:val="none" w:sz="0" w:space="0" w:color="auto"/>
        <w:bottom w:val="none" w:sz="0" w:space="0" w:color="auto"/>
        <w:right w:val="none" w:sz="0" w:space="0" w:color="auto"/>
      </w:divBdr>
    </w:div>
    <w:div w:id="419910216">
      <w:bodyDiv w:val="1"/>
      <w:marLeft w:val="0"/>
      <w:marRight w:val="0"/>
      <w:marTop w:val="0"/>
      <w:marBottom w:val="0"/>
      <w:divBdr>
        <w:top w:val="none" w:sz="0" w:space="0" w:color="auto"/>
        <w:left w:val="none" w:sz="0" w:space="0" w:color="auto"/>
        <w:bottom w:val="none" w:sz="0" w:space="0" w:color="auto"/>
        <w:right w:val="none" w:sz="0" w:space="0" w:color="auto"/>
      </w:divBdr>
    </w:div>
    <w:div w:id="420177637">
      <w:bodyDiv w:val="1"/>
      <w:marLeft w:val="0"/>
      <w:marRight w:val="0"/>
      <w:marTop w:val="0"/>
      <w:marBottom w:val="0"/>
      <w:divBdr>
        <w:top w:val="none" w:sz="0" w:space="0" w:color="auto"/>
        <w:left w:val="none" w:sz="0" w:space="0" w:color="auto"/>
        <w:bottom w:val="none" w:sz="0" w:space="0" w:color="auto"/>
        <w:right w:val="none" w:sz="0" w:space="0" w:color="auto"/>
      </w:divBdr>
    </w:div>
    <w:div w:id="466976095">
      <w:bodyDiv w:val="1"/>
      <w:marLeft w:val="0"/>
      <w:marRight w:val="0"/>
      <w:marTop w:val="0"/>
      <w:marBottom w:val="0"/>
      <w:divBdr>
        <w:top w:val="none" w:sz="0" w:space="0" w:color="auto"/>
        <w:left w:val="none" w:sz="0" w:space="0" w:color="auto"/>
        <w:bottom w:val="none" w:sz="0" w:space="0" w:color="auto"/>
        <w:right w:val="none" w:sz="0" w:space="0" w:color="auto"/>
      </w:divBdr>
    </w:div>
    <w:div w:id="506140023">
      <w:bodyDiv w:val="1"/>
      <w:marLeft w:val="0"/>
      <w:marRight w:val="0"/>
      <w:marTop w:val="0"/>
      <w:marBottom w:val="0"/>
      <w:divBdr>
        <w:top w:val="none" w:sz="0" w:space="0" w:color="auto"/>
        <w:left w:val="none" w:sz="0" w:space="0" w:color="auto"/>
        <w:bottom w:val="none" w:sz="0" w:space="0" w:color="auto"/>
        <w:right w:val="none" w:sz="0" w:space="0" w:color="auto"/>
      </w:divBdr>
    </w:div>
    <w:div w:id="531966547">
      <w:bodyDiv w:val="1"/>
      <w:marLeft w:val="0"/>
      <w:marRight w:val="0"/>
      <w:marTop w:val="0"/>
      <w:marBottom w:val="0"/>
      <w:divBdr>
        <w:top w:val="none" w:sz="0" w:space="0" w:color="auto"/>
        <w:left w:val="none" w:sz="0" w:space="0" w:color="auto"/>
        <w:bottom w:val="none" w:sz="0" w:space="0" w:color="auto"/>
        <w:right w:val="none" w:sz="0" w:space="0" w:color="auto"/>
      </w:divBdr>
    </w:div>
    <w:div w:id="668292714">
      <w:bodyDiv w:val="1"/>
      <w:marLeft w:val="0"/>
      <w:marRight w:val="0"/>
      <w:marTop w:val="0"/>
      <w:marBottom w:val="0"/>
      <w:divBdr>
        <w:top w:val="none" w:sz="0" w:space="0" w:color="auto"/>
        <w:left w:val="none" w:sz="0" w:space="0" w:color="auto"/>
        <w:bottom w:val="none" w:sz="0" w:space="0" w:color="auto"/>
        <w:right w:val="none" w:sz="0" w:space="0" w:color="auto"/>
      </w:divBdr>
    </w:div>
    <w:div w:id="817648575">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50528898">
      <w:bodyDiv w:val="1"/>
      <w:marLeft w:val="0"/>
      <w:marRight w:val="0"/>
      <w:marTop w:val="0"/>
      <w:marBottom w:val="0"/>
      <w:divBdr>
        <w:top w:val="none" w:sz="0" w:space="0" w:color="auto"/>
        <w:left w:val="none" w:sz="0" w:space="0" w:color="auto"/>
        <w:bottom w:val="none" w:sz="0" w:space="0" w:color="auto"/>
        <w:right w:val="none" w:sz="0" w:space="0" w:color="auto"/>
      </w:divBdr>
    </w:div>
    <w:div w:id="873923917">
      <w:bodyDiv w:val="1"/>
      <w:marLeft w:val="0"/>
      <w:marRight w:val="0"/>
      <w:marTop w:val="0"/>
      <w:marBottom w:val="0"/>
      <w:divBdr>
        <w:top w:val="none" w:sz="0" w:space="0" w:color="auto"/>
        <w:left w:val="none" w:sz="0" w:space="0" w:color="auto"/>
        <w:bottom w:val="none" w:sz="0" w:space="0" w:color="auto"/>
        <w:right w:val="none" w:sz="0" w:space="0" w:color="auto"/>
      </w:divBdr>
    </w:div>
    <w:div w:id="884559495">
      <w:bodyDiv w:val="1"/>
      <w:marLeft w:val="0"/>
      <w:marRight w:val="0"/>
      <w:marTop w:val="0"/>
      <w:marBottom w:val="0"/>
      <w:divBdr>
        <w:top w:val="none" w:sz="0" w:space="0" w:color="auto"/>
        <w:left w:val="none" w:sz="0" w:space="0" w:color="auto"/>
        <w:bottom w:val="none" w:sz="0" w:space="0" w:color="auto"/>
        <w:right w:val="none" w:sz="0" w:space="0" w:color="auto"/>
      </w:divBdr>
    </w:div>
    <w:div w:id="904687624">
      <w:bodyDiv w:val="1"/>
      <w:marLeft w:val="0"/>
      <w:marRight w:val="0"/>
      <w:marTop w:val="0"/>
      <w:marBottom w:val="0"/>
      <w:divBdr>
        <w:top w:val="none" w:sz="0" w:space="0" w:color="auto"/>
        <w:left w:val="none" w:sz="0" w:space="0" w:color="auto"/>
        <w:bottom w:val="none" w:sz="0" w:space="0" w:color="auto"/>
        <w:right w:val="none" w:sz="0" w:space="0" w:color="auto"/>
      </w:divBdr>
    </w:div>
    <w:div w:id="930897070">
      <w:bodyDiv w:val="1"/>
      <w:marLeft w:val="0"/>
      <w:marRight w:val="0"/>
      <w:marTop w:val="0"/>
      <w:marBottom w:val="0"/>
      <w:divBdr>
        <w:top w:val="none" w:sz="0" w:space="0" w:color="auto"/>
        <w:left w:val="none" w:sz="0" w:space="0" w:color="auto"/>
        <w:bottom w:val="none" w:sz="0" w:space="0" w:color="auto"/>
        <w:right w:val="none" w:sz="0" w:space="0" w:color="auto"/>
      </w:divBdr>
    </w:div>
    <w:div w:id="941037372">
      <w:bodyDiv w:val="1"/>
      <w:marLeft w:val="0"/>
      <w:marRight w:val="0"/>
      <w:marTop w:val="0"/>
      <w:marBottom w:val="0"/>
      <w:divBdr>
        <w:top w:val="none" w:sz="0" w:space="0" w:color="auto"/>
        <w:left w:val="none" w:sz="0" w:space="0" w:color="auto"/>
        <w:bottom w:val="none" w:sz="0" w:space="0" w:color="auto"/>
        <w:right w:val="none" w:sz="0" w:space="0" w:color="auto"/>
      </w:divBdr>
    </w:div>
    <w:div w:id="955058907">
      <w:bodyDiv w:val="1"/>
      <w:marLeft w:val="0"/>
      <w:marRight w:val="0"/>
      <w:marTop w:val="0"/>
      <w:marBottom w:val="0"/>
      <w:divBdr>
        <w:top w:val="none" w:sz="0" w:space="0" w:color="auto"/>
        <w:left w:val="none" w:sz="0" w:space="0" w:color="auto"/>
        <w:bottom w:val="none" w:sz="0" w:space="0" w:color="auto"/>
        <w:right w:val="none" w:sz="0" w:space="0" w:color="auto"/>
      </w:divBdr>
    </w:div>
    <w:div w:id="971909473">
      <w:bodyDiv w:val="1"/>
      <w:marLeft w:val="0"/>
      <w:marRight w:val="0"/>
      <w:marTop w:val="0"/>
      <w:marBottom w:val="0"/>
      <w:divBdr>
        <w:top w:val="none" w:sz="0" w:space="0" w:color="auto"/>
        <w:left w:val="none" w:sz="0" w:space="0" w:color="auto"/>
        <w:bottom w:val="none" w:sz="0" w:space="0" w:color="auto"/>
        <w:right w:val="none" w:sz="0" w:space="0" w:color="auto"/>
      </w:divBdr>
    </w:div>
    <w:div w:id="1049256903">
      <w:bodyDiv w:val="1"/>
      <w:marLeft w:val="0"/>
      <w:marRight w:val="0"/>
      <w:marTop w:val="0"/>
      <w:marBottom w:val="0"/>
      <w:divBdr>
        <w:top w:val="none" w:sz="0" w:space="0" w:color="auto"/>
        <w:left w:val="none" w:sz="0" w:space="0" w:color="auto"/>
        <w:bottom w:val="none" w:sz="0" w:space="0" w:color="auto"/>
        <w:right w:val="none" w:sz="0" w:space="0" w:color="auto"/>
      </w:divBdr>
    </w:div>
    <w:div w:id="1063526752">
      <w:bodyDiv w:val="1"/>
      <w:marLeft w:val="0"/>
      <w:marRight w:val="0"/>
      <w:marTop w:val="0"/>
      <w:marBottom w:val="0"/>
      <w:divBdr>
        <w:top w:val="none" w:sz="0" w:space="0" w:color="auto"/>
        <w:left w:val="none" w:sz="0" w:space="0" w:color="auto"/>
        <w:bottom w:val="none" w:sz="0" w:space="0" w:color="auto"/>
        <w:right w:val="none" w:sz="0" w:space="0" w:color="auto"/>
      </w:divBdr>
    </w:div>
    <w:div w:id="1079130681">
      <w:bodyDiv w:val="1"/>
      <w:marLeft w:val="0"/>
      <w:marRight w:val="0"/>
      <w:marTop w:val="0"/>
      <w:marBottom w:val="0"/>
      <w:divBdr>
        <w:top w:val="none" w:sz="0" w:space="0" w:color="auto"/>
        <w:left w:val="none" w:sz="0" w:space="0" w:color="auto"/>
        <w:bottom w:val="none" w:sz="0" w:space="0" w:color="auto"/>
        <w:right w:val="none" w:sz="0" w:space="0" w:color="auto"/>
      </w:divBdr>
    </w:div>
    <w:div w:id="1090810503">
      <w:bodyDiv w:val="1"/>
      <w:marLeft w:val="0"/>
      <w:marRight w:val="0"/>
      <w:marTop w:val="0"/>
      <w:marBottom w:val="0"/>
      <w:divBdr>
        <w:top w:val="none" w:sz="0" w:space="0" w:color="auto"/>
        <w:left w:val="none" w:sz="0" w:space="0" w:color="auto"/>
        <w:bottom w:val="none" w:sz="0" w:space="0" w:color="auto"/>
        <w:right w:val="none" w:sz="0" w:space="0" w:color="auto"/>
      </w:divBdr>
    </w:div>
    <w:div w:id="1106389873">
      <w:bodyDiv w:val="1"/>
      <w:marLeft w:val="0"/>
      <w:marRight w:val="0"/>
      <w:marTop w:val="0"/>
      <w:marBottom w:val="0"/>
      <w:divBdr>
        <w:top w:val="none" w:sz="0" w:space="0" w:color="auto"/>
        <w:left w:val="none" w:sz="0" w:space="0" w:color="auto"/>
        <w:bottom w:val="none" w:sz="0" w:space="0" w:color="auto"/>
        <w:right w:val="none" w:sz="0" w:space="0" w:color="auto"/>
      </w:divBdr>
    </w:div>
    <w:div w:id="1107235399">
      <w:bodyDiv w:val="1"/>
      <w:marLeft w:val="0"/>
      <w:marRight w:val="0"/>
      <w:marTop w:val="0"/>
      <w:marBottom w:val="0"/>
      <w:divBdr>
        <w:top w:val="none" w:sz="0" w:space="0" w:color="auto"/>
        <w:left w:val="none" w:sz="0" w:space="0" w:color="auto"/>
        <w:bottom w:val="none" w:sz="0" w:space="0" w:color="auto"/>
        <w:right w:val="none" w:sz="0" w:space="0" w:color="auto"/>
      </w:divBdr>
    </w:div>
    <w:div w:id="1139301246">
      <w:bodyDiv w:val="1"/>
      <w:marLeft w:val="0"/>
      <w:marRight w:val="0"/>
      <w:marTop w:val="0"/>
      <w:marBottom w:val="0"/>
      <w:divBdr>
        <w:top w:val="none" w:sz="0" w:space="0" w:color="auto"/>
        <w:left w:val="none" w:sz="0" w:space="0" w:color="auto"/>
        <w:bottom w:val="none" w:sz="0" w:space="0" w:color="auto"/>
        <w:right w:val="none" w:sz="0" w:space="0" w:color="auto"/>
      </w:divBdr>
    </w:div>
    <w:div w:id="1142961514">
      <w:bodyDiv w:val="1"/>
      <w:marLeft w:val="0"/>
      <w:marRight w:val="0"/>
      <w:marTop w:val="0"/>
      <w:marBottom w:val="0"/>
      <w:divBdr>
        <w:top w:val="none" w:sz="0" w:space="0" w:color="auto"/>
        <w:left w:val="none" w:sz="0" w:space="0" w:color="auto"/>
        <w:bottom w:val="none" w:sz="0" w:space="0" w:color="auto"/>
        <w:right w:val="none" w:sz="0" w:space="0" w:color="auto"/>
      </w:divBdr>
    </w:div>
    <w:div w:id="1186483379">
      <w:bodyDiv w:val="1"/>
      <w:marLeft w:val="0"/>
      <w:marRight w:val="0"/>
      <w:marTop w:val="0"/>
      <w:marBottom w:val="0"/>
      <w:divBdr>
        <w:top w:val="none" w:sz="0" w:space="0" w:color="auto"/>
        <w:left w:val="none" w:sz="0" w:space="0" w:color="auto"/>
        <w:bottom w:val="none" w:sz="0" w:space="0" w:color="auto"/>
        <w:right w:val="none" w:sz="0" w:space="0" w:color="auto"/>
      </w:divBdr>
    </w:div>
    <w:div w:id="1204706581">
      <w:bodyDiv w:val="1"/>
      <w:marLeft w:val="0"/>
      <w:marRight w:val="0"/>
      <w:marTop w:val="0"/>
      <w:marBottom w:val="0"/>
      <w:divBdr>
        <w:top w:val="none" w:sz="0" w:space="0" w:color="auto"/>
        <w:left w:val="none" w:sz="0" w:space="0" w:color="auto"/>
        <w:bottom w:val="none" w:sz="0" w:space="0" w:color="auto"/>
        <w:right w:val="none" w:sz="0" w:space="0" w:color="auto"/>
      </w:divBdr>
    </w:div>
    <w:div w:id="1205799177">
      <w:bodyDiv w:val="1"/>
      <w:marLeft w:val="0"/>
      <w:marRight w:val="0"/>
      <w:marTop w:val="0"/>
      <w:marBottom w:val="0"/>
      <w:divBdr>
        <w:top w:val="none" w:sz="0" w:space="0" w:color="auto"/>
        <w:left w:val="none" w:sz="0" w:space="0" w:color="auto"/>
        <w:bottom w:val="none" w:sz="0" w:space="0" w:color="auto"/>
        <w:right w:val="none" w:sz="0" w:space="0" w:color="auto"/>
      </w:divBdr>
    </w:div>
    <w:div w:id="1213300456">
      <w:bodyDiv w:val="1"/>
      <w:marLeft w:val="0"/>
      <w:marRight w:val="0"/>
      <w:marTop w:val="0"/>
      <w:marBottom w:val="0"/>
      <w:divBdr>
        <w:top w:val="none" w:sz="0" w:space="0" w:color="auto"/>
        <w:left w:val="none" w:sz="0" w:space="0" w:color="auto"/>
        <w:bottom w:val="none" w:sz="0" w:space="0" w:color="auto"/>
        <w:right w:val="none" w:sz="0" w:space="0" w:color="auto"/>
      </w:divBdr>
    </w:div>
    <w:div w:id="1234852903">
      <w:bodyDiv w:val="1"/>
      <w:marLeft w:val="0"/>
      <w:marRight w:val="0"/>
      <w:marTop w:val="0"/>
      <w:marBottom w:val="0"/>
      <w:divBdr>
        <w:top w:val="none" w:sz="0" w:space="0" w:color="auto"/>
        <w:left w:val="none" w:sz="0" w:space="0" w:color="auto"/>
        <w:bottom w:val="none" w:sz="0" w:space="0" w:color="auto"/>
        <w:right w:val="none" w:sz="0" w:space="0" w:color="auto"/>
      </w:divBdr>
    </w:div>
    <w:div w:id="1256792591">
      <w:bodyDiv w:val="1"/>
      <w:marLeft w:val="0"/>
      <w:marRight w:val="0"/>
      <w:marTop w:val="0"/>
      <w:marBottom w:val="0"/>
      <w:divBdr>
        <w:top w:val="none" w:sz="0" w:space="0" w:color="auto"/>
        <w:left w:val="none" w:sz="0" w:space="0" w:color="auto"/>
        <w:bottom w:val="none" w:sz="0" w:space="0" w:color="auto"/>
        <w:right w:val="none" w:sz="0" w:space="0" w:color="auto"/>
      </w:divBdr>
    </w:div>
    <w:div w:id="1315792785">
      <w:bodyDiv w:val="1"/>
      <w:marLeft w:val="0"/>
      <w:marRight w:val="0"/>
      <w:marTop w:val="0"/>
      <w:marBottom w:val="0"/>
      <w:divBdr>
        <w:top w:val="none" w:sz="0" w:space="0" w:color="auto"/>
        <w:left w:val="none" w:sz="0" w:space="0" w:color="auto"/>
        <w:bottom w:val="none" w:sz="0" w:space="0" w:color="auto"/>
        <w:right w:val="none" w:sz="0" w:space="0" w:color="auto"/>
      </w:divBdr>
    </w:div>
    <w:div w:id="1328362042">
      <w:bodyDiv w:val="1"/>
      <w:marLeft w:val="0"/>
      <w:marRight w:val="0"/>
      <w:marTop w:val="0"/>
      <w:marBottom w:val="0"/>
      <w:divBdr>
        <w:top w:val="none" w:sz="0" w:space="0" w:color="auto"/>
        <w:left w:val="none" w:sz="0" w:space="0" w:color="auto"/>
        <w:bottom w:val="none" w:sz="0" w:space="0" w:color="auto"/>
        <w:right w:val="none" w:sz="0" w:space="0" w:color="auto"/>
      </w:divBdr>
    </w:div>
    <w:div w:id="1394281367">
      <w:bodyDiv w:val="1"/>
      <w:marLeft w:val="0"/>
      <w:marRight w:val="0"/>
      <w:marTop w:val="0"/>
      <w:marBottom w:val="0"/>
      <w:divBdr>
        <w:top w:val="none" w:sz="0" w:space="0" w:color="auto"/>
        <w:left w:val="none" w:sz="0" w:space="0" w:color="auto"/>
        <w:bottom w:val="none" w:sz="0" w:space="0" w:color="auto"/>
        <w:right w:val="none" w:sz="0" w:space="0" w:color="auto"/>
      </w:divBdr>
    </w:div>
    <w:div w:id="1459296650">
      <w:bodyDiv w:val="1"/>
      <w:marLeft w:val="0"/>
      <w:marRight w:val="0"/>
      <w:marTop w:val="0"/>
      <w:marBottom w:val="0"/>
      <w:divBdr>
        <w:top w:val="none" w:sz="0" w:space="0" w:color="auto"/>
        <w:left w:val="none" w:sz="0" w:space="0" w:color="auto"/>
        <w:bottom w:val="none" w:sz="0" w:space="0" w:color="auto"/>
        <w:right w:val="none" w:sz="0" w:space="0" w:color="auto"/>
      </w:divBdr>
    </w:div>
    <w:div w:id="1634215226">
      <w:bodyDiv w:val="1"/>
      <w:marLeft w:val="0"/>
      <w:marRight w:val="0"/>
      <w:marTop w:val="0"/>
      <w:marBottom w:val="0"/>
      <w:divBdr>
        <w:top w:val="none" w:sz="0" w:space="0" w:color="auto"/>
        <w:left w:val="none" w:sz="0" w:space="0" w:color="auto"/>
        <w:bottom w:val="none" w:sz="0" w:space="0" w:color="auto"/>
        <w:right w:val="none" w:sz="0" w:space="0" w:color="auto"/>
      </w:divBdr>
    </w:div>
    <w:div w:id="1729917979">
      <w:bodyDiv w:val="1"/>
      <w:marLeft w:val="0"/>
      <w:marRight w:val="0"/>
      <w:marTop w:val="0"/>
      <w:marBottom w:val="0"/>
      <w:divBdr>
        <w:top w:val="none" w:sz="0" w:space="0" w:color="auto"/>
        <w:left w:val="none" w:sz="0" w:space="0" w:color="auto"/>
        <w:bottom w:val="none" w:sz="0" w:space="0" w:color="auto"/>
        <w:right w:val="none" w:sz="0" w:space="0" w:color="auto"/>
      </w:divBdr>
    </w:div>
    <w:div w:id="1738821427">
      <w:bodyDiv w:val="1"/>
      <w:marLeft w:val="0"/>
      <w:marRight w:val="0"/>
      <w:marTop w:val="0"/>
      <w:marBottom w:val="0"/>
      <w:divBdr>
        <w:top w:val="none" w:sz="0" w:space="0" w:color="auto"/>
        <w:left w:val="none" w:sz="0" w:space="0" w:color="auto"/>
        <w:bottom w:val="none" w:sz="0" w:space="0" w:color="auto"/>
        <w:right w:val="none" w:sz="0" w:space="0" w:color="auto"/>
      </w:divBdr>
    </w:div>
    <w:div w:id="1774670509">
      <w:bodyDiv w:val="1"/>
      <w:marLeft w:val="0"/>
      <w:marRight w:val="0"/>
      <w:marTop w:val="0"/>
      <w:marBottom w:val="0"/>
      <w:divBdr>
        <w:top w:val="none" w:sz="0" w:space="0" w:color="auto"/>
        <w:left w:val="none" w:sz="0" w:space="0" w:color="auto"/>
        <w:bottom w:val="none" w:sz="0" w:space="0" w:color="auto"/>
        <w:right w:val="none" w:sz="0" w:space="0" w:color="auto"/>
      </w:divBdr>
    </w:div>
    <w:div w:id="1821383053">
      <w:bodyDiv w:val="1"/>
      <w:marLeft w:val="0"/>
      <w:marRight w:val="0"/>
      <w:marTop w:val="0"/>
      <w:marBottom w:val="0"/>
      <w:divBdr>
        <w:top w:val="none" w:sz="0" w:space="0" w:color="auto"/>
        <w:left w:val="none" w:sz="0" w:space="0" w:color="auto"/>
        <w:bottom w:val="none" w:sz="0" w:space="0" w:color="auto"/>
        <w:right w:val="none" w:sz="0" w:space="0" w:color="auto"/>
      </w:divBdr>
    </w:div>
    <w:div w:id="1875927140">
      <w:bodyDiv w:val="1"/>
      <w:marLeft w:val="0"/>
      <w:marRight w:val="0"/>
      <w:marTop w:val="0"/>
      <w:marBottom w:val="0"/>
      <w:divBdr>
        <w:top w:val="none" w:sz="0" w:space="0" w:color="auto"/>
        <w:left w:val="none" w:sz="0" w:space="0" w:color="auto"/>
        <w:bottom w:val="none" w:sz="0" w:space="0" w:color="auto"/>
        <w:right w:val="none" w:sz="0" w:space="0" w:color="auto"/>
      </w:divBdr>
    </w:div>
    <w:div w:id="1882934664">
      <w:bodyDiv w:val="1"/>
      <w:marLeft w:val="0"/>
      <w:marRight w:val="0"/>
      <w:marTop w:val="0"/>
      <w:marBottom w:val="0"/>
      <w:divBdr>
        <w:top w:val="none" w:sz="0" w:space="0" w:color="auto"/>
        <w:left w:val="none" w:sz="0" w:space="0" w:color="auto"/>
        <w:bottom w:val="none" w:sz="0" w:space="0" w:color="auto"/>
        <w:right w:val="none" w:sz="0" w:space="0" w:color="auto"/>
      </w:divBdr>
    </w:div>
    <w:div w:id="1893690163">
      <w:bodyDiv w:val="1"/>
      <w:marLeft w:val="0"/>
      <w:marRight w:val="0"/>
      <w:marTop w:val="0"/>
      <w:marBottom w:val="0"/>
      <w:divBdr>
        <w:top w:val="none" w:sz="0" w:space="0" w:color="auto"/>
        <w:left w:val="none" w:sz="0" w:space="0" w:color="auto"/>
        <w:bottom w:val="none" w:sz="0" w:space="0" w:color="auto"/>
        <w:right w:val="none" w:sz="0" w:space="0" w:color="auto"/>
      </w:divBdr>
    </w:div>
    <w:div w:id="1899824208">
      <w:bodyDiv w:val="1"/>
      <w:marLeft w:val="0"/>
      <w:marRight w:val="0"/>
      <w:marTop w:val="0"/>
      <w:marBottom w:val="0"/>
      <w:divBdr>
        <w:top w:val="none" w:sz="0" w:space="0" w:color="auto"/>
        <w:left w:val="none" w:sz="0" w:space="0" w:color="auto"/>
        <w:bottom w:val="none" w:sz="0" w:space="0" w:color="auto"/>
        <w:right w:val="none" w:sz="0" w:space="0" w:color="auto"/>
      </w:divBdr>
    </w:div>
    <w:div w:id="1911423863">
      <w:bodyDiv w:val="1"/>
      <w:marLeft w:val="0"/>
      <w:marRight w:val="0"/>
      <w:marTop w:val="0"/>
      <w:marBottom w:val="0"/>
      <w:divBdr>
        <w:top w:val="none" w:sz="0" w:space="0" w:color="auto"/>
        <w:left w:val="none" w:sz="0" w:space="0" w:color="auto"/>
        <w:bottom w:val="none" w:sz="0" w:space="0" w:color="auto"/>
        <w:right w:val="none" w:sz="0" w:space="0" w:color="auto"/>
      </w:divBdr>
    </w:div>
    <w:div w:id="1942714764">
      <w:bodyDiv w:val="1"/>
      <w:marLeft w:val="0"/>
      <w:marRight w:val="0"/>
      <w:marTop w:val="0"/>
      <w:marBottom w:val="0"/>
      <w:divBdr>
        <w:top w:val="none" w:sz="0" w:space="0" w:color="auto"/>
        <w:left w:val="none" w:sz="0" w:space="0" w:color="auto"/>
        <w:bottom w:val="none" w:sz="0" w:space="0" w:color="auto"/>
        <w:right w:val="none" w:sz="0" w:space="0" w:color="auto"/>
      </w:divBdr>
    </w:div>
    <w:div w:id="1943418410">
      <w:bodyDiv w:val="1"/>
      <w:marLeft w:val="0"/>
      <w:marRight w:val="0"/>
      <w:marTop w:val="0"/>
      <w:marBottom w:val="0"/>
      <w:divBdr>
        <w:top w:val="none" w:sz="0" w:space="0" w:color="auto"/>
        <w:left w:val="none" w:sz="0" w:space="0" w:color="auto"/>
        <w:bottom w:val="none" w:sz="0" w:space="0" w:color="auto"/>
        <w:right w:val="none" w:sz="0" w:space="0" w:color="auto"/>
      </w:divBdr>
    </w:div>
    <w:div w:id="2053730561">
      <w:bodyDiv w:val="1"/>
      <w:marLeft w:val="0"/>
      <w:marRight w:val="0"/>
      <w:marTop w:val="0"/>
      <w:marBottom w:val="0"/>
      <w:divBdr>
        <w:top w:val="none" w:sz="0" w:space="0" w:color="auto"/>
        <w:left w:val="none" w:sz="0" w:space="0" w:color="auto"/>
        <w:bottom w:val="none" w:sz="0" w:space="0" w:color="auto"/>
        <w:right w:val="none" w:sz="0" w:space="0" w:color="auto"/>
      </w:divBdr>
    </w:div>
    <w:div w:id="206728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kita.biz/ir/library/library_05.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 TargetMode="External"/><Relationship Id="rId5" Type="http://schemas.openxmlformats.org/officeDocument/2006/relationships/webSettings" Target="webSettings.xml"/><Relationship Id="rId15" Type="http://schemas.openxmlformats.org/officeDocument/2006/relationships/hyperlink" Target="https://s29.q4cdn.com/245094436/files/doc_financials/2023/AR/aaa99a5a-c7c8-4a5f-babe-3da3f6184a2b.pdf" TargetMode="External"/><Relationship Id="rId10" Type="http://schemas.openxmlformats.org/officeDocument/2006/relationships/hyperlink" Target="https://www.denso.com/global/home/about-us/investors/annual-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mages.samsung.com/is/content/samsung/assets/global/ir/docs/2023_4Q_Interim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5A7FE-2BA2-414C-BA59-048505CC7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22</Pages>
  <Words>7354</Words>
  <Characters>41924</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66</cp:revision>
  <dcterms:created xsi:type="dcterms:W3CDTF">2025-02-09T13:26:00Z</dcterms:created>
  <dcterms:modified xsi:type="dcterms:W3CDTF">2025-03-30T16:36:00Z</dcterms:modified>
</cp:coreProperties>
</file>