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52BE8" w:rsidRPr="00CC3B40" w:rsidRDefault="00952BE8" w:rsidP="00952BE8">
      <w:pPr>
        <w:rPr>
          <w:rFonts w:ascii="Arial" w:hAnsi="Arial"/>
          <w:b/>
          <w:bCs/>
          <w:noProof/>
          <w:sz w:val="24"/>
          <w14:ligatures w14:val="standardContextual"/>
        </w:rPr>
      </w:pPr>
      <w:r w:rsidRPr="00CC3B40">
        <w:rPr>
          <w:rFonts w:ascii="Arial" w:hAnsi="Arial"/>
          <w:b/>
          <w:bCs/>
          <w:noProof/>
          <w:sz w:val="24"/>
          <w14:ligatures w14:val="standardContextual"/>
        </w:rPr>
        <w:drawing>
          <wp:anchor distT="0" distB="0" distL="114300" distR="114300" simplePos="0" relativeHeight="251661312" behindDoc="1" locked="0" layoutInCell="1" allowOverlap="1" wp14:anchorId="775AC582" wp14:editId="7057FDBE">
            <wp:simplePos x="0" y="0"/>
            <wp:positionH relativeFrom="margin">
              <wp:align>center</wp:align>
            </wp:positionH>
            <wp:positionV relativeFrom="paragraph">
              <wp:posOffset>251460</wp:posOffset>
            </wp:positionV>
            <wp:extent cx="3528060" cy="1798320"/>
            <wp:effectExtent l="0" t="0" r="0" b="0"/>
            <wp:wrapTopAndBottom/>
            <wp:docPr id="76291011"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91011" name="Picture 1" descr="A black and yellow logo&#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28060" cy="1798320"/>
                    </a:xfrm>
                    <a:prstGeom prst="rect">
                      <a:avLst/>
                    </a:prstGeom>
                  </pic:spPr>
                </pic:pic>
              </a:graphicData>
            </a:graphic>
            <wp14:sizeRelH relativeFrom="margin">
              <wp14:pctWidth>0</wp14:pctWidth>
            </wp14:sizeRelH>
            <wp14:sizeRelV relativeFrom="margin">
              <wp14:pctHeight>0</wp14:pctHeight>
            </wp14:sizeRelV>
          </wp:anchor>
        </w:drawing>
      </w:r>
    </w:p>
    <w:p w:rsidR="00952BE8" w:rsidRPr="00CC3B40" w:rsidRDefault="00952BE8" w:rsidP="00952BE8">
      <w:pPr>
        <w:rPr>
          <w:rFonts w:ascii="Arial" w:hAnsi="Arial"/>
          <w:b/>
          <w:bCs/>
          <w:sz w:val="24"/>
        </w:rPr>
      </w:pPr>
    </w:p>
    <w:p w:rsidR="00952BE8" w:rsidRPr="00CC3B40" w:rsidRDefault="00952BE8" w:rsidP="00952BE8">
      <w:pPr>
        <w:rPr>
          <w:rFonts w:ascii="Arial" w:hAnsi="Arial"/>
          <w:b/>
          <w:bCs/>
          <w:sz w:val="24"/>
        </w:rPr>
      </w:pPr>
    </w:p>
    <w:p w:rsidR="00952BE8" w:rsidRPr="00CC3B40" w:rsidRDefault="00952BE8" w:rsidP="00952BE8">
      <w:pPr>
        <w:spacing w:line="360" w:lineRule="auto"/>
        <w:jc w:val="center"/>
        <w:rPr>
          <w:rFonts w:ascii="Arial" w:hAnsi="Arial"/>
          <w:sz w:val="24"/>
        </w:rPr>
      </w:pPr>
      <w:r w:rsidRPr="00CC3B40">
        <w:rPr>
          <w:rFonts w:ascii="Arial" w:hAnsi="Arial"/>
          <w:sz w:val="24"/>
        </w:rPr>
        <w:t xml:space="preserve">Student Name: </w:t>
      </w:r>
      <w:r w:rsidRPr="00CC3B40">
        <w:rPr>
          <w:rFonts w:ascii="Arial" w:hAnsi="Arial"/>
          <w:b/>
          <w:bCs/>
          <w:sz w:val="24"/>
        </w:rPr>
        <w:t>Imran Ahmed</w:t>
      </w:r>
    </w:p>
    <w:p w:rsidR="00952BE8" w:rsidRPr="00CC3B40" w:rsidRDefault="00952BE8" w:rsidP="00952BE8">
      <w:pPr>
        <w:spacing w:line="360" w:lineRule="auto"/>
        <w:jc w:val="center"/>
        <w:rPr>
          <w:rFonts w:ascii="Arial" w:hAnsi="Arial"/>
          <w:sz w:val="24"/>
        </w:rPr>
      </w:pPr>
      <w:r w:rsidRPr="00CC3B40">
        <w:rPr>
          <w:rFonts w:ascii="Arial" w:hAnsi="Arial"/>
          <w:sz w:val="24"/>
        </w:rPr>
        <w:t xml:space="preserve">Student ID: </w:t>
      </w:r>
      <w:r w:rsidRPr="00CC3B40">
        <w:rPr>
          <w:rFonts w:ascii="Arial" w:hAnsi="Arial"/>
          <w:b/>
          <w:bCs/>
          <w:sz w:val="24"/>
        </w:rPr>
        <w:t>2438392</w:t>
      </w:r>
    </w:p>
    <w:p w:rsidR="00952BE8" w:rsidRPr="00CC3B40" w:rsidRDefault="00952BE8" w:rsidP="00952BE8">
      <w:pPr>
        <w:spacing w:line="360" w:lineRule="auto"/>
        <w:jc w:val="center"/>
        <w:rPr>
          <w:rFonts w:ascii="Arial" w:hAnsi="Arial"/>
          <w:b/>
          <w:sz w:val="24"/>
        </w:rPr>
      </w:pPr>
      <w:r w:rsidRPr="00CC3B40">
        <w:rPr>
          <w:rFonts w:ascii="Arial" w:hAnsi="Arial"/>
          <w:sz w:val="24"/>
        </w:rPr>
        <w:t xml:space="preserve">Module Name: </w:t>
      </w:r>
      <w:r w:rsidRPr="00CC3B40">
        <w:rPr>
          <w:rFonts w:ascii="Arial" w:hAnsi="Arial"/>
          <w:b/>
          <w:sz w:val="24"/>
        </w:rPr>
        <w:t>International Business Concepts</w:t>
      </w:r>
    </w:p>
    <w:p w:rsidR="00952BE8" w:rsidRPr="00CC3B40" w:rsidRDefault="00952BE8" w:rsidP="00952BE8">
      <w:pPr>
        <w:spacing w:line="360" w:lineRule="auto"/>
        <w:jc w:val="center"/>
        <w:rPr>
          <w:rFonts w:ascii="Arial" w:hAnsi="Arial"/>
          <w:b/>
          <w:sz w:val="24"/>
        </w:rPr>
      </w:pPr>
    </w:p>
    <w:p w:rsidR="00952BE8" w:rsidRPr="00CC3B40" w:rsidRDefault="00952BE8" w:rsidP="00952BE8">
      <w:pPr>
        <w:spacing w:line="360" w:lineRule="auto"/>
        <w:jc w:val="center"/>
        <w:rPr>
          <w:rFonts w:ascii="Arial" w:hAnsi="Arial"/>
          <w:sz w:val="24"/>
        </w:rPr>
      </w:pPr>
    </w:p>
    <w:p w:rsidR="00952BE8" w:rsidRPr="00CC3B40" w:rsidRDefault="00952BE8" w:rsidP="00952BE8">
      <w:pPr>
        <w:spacing w:line="360" w:lineRule="auto"/>
        <w:jc w:val="center"/>
        <w:rPr>
          <w:rFonts w:ascii="Arial" w:hAnsi="Arial"/>
          <w:b/>
          <w:sz w:val="24"/>
        </w:rPr>
      </w:pPr>
      <w:r w:rsidRPr="00CC3B40">
        <w:rPr>
          <w:rFonts w:ascii="Arial" w:hAnsi="Arial"/>
          <w:sz w:val="24"/>
        </w:rPr>
        <w:t>Module Code:</w:t>
      </w:r>
      <w:r w:rsidRPr="00CC3B40">
        <w:rPr>
          <w:rFonts w:ascii="Arial" w:hAnsi="Arial"/>
          <w:b/>
          <w:sz w:val="24"/>
        </w:rPr>
        <w:t xml:space="preserve">  </w:t>
      </w:r>
      <w:r w:rsidRPr="00CC3B40">
        <w:rPr>
          <w:rFonts w:ascii="Arial" w:hAnsi="Arial"/>
          <w:sz w:val="24"/>
        </w:rPr>
        <w:t>LCMB7034</w:t>
      </w:r>
    </w:p>
    <w:p w:rsidR="00952BE8" w:rsidRPr="00CC3B40" w:rsidRDefault="00952BE8" w:rsidP="00952BE8">
      <w:pPr>
        <w:spacing w:line="360" w:lineRule="auto"/>
        <w:jc w:val="center"/>
        <w:rPr>
          <w:rFonts w:ascii="Arial" w:hAnsi="Arial"/>
          <w:sz w:val="24"/>
        </w:rPr>
      </w:pPr>
    </w:p>
    <w:p w:rsidR="00952BE8" w:rsidRPr="00CC3B40" w:rsidRDefault="00952BE8" w:rsidP="00952BE8">
      <w:pPr>
        <w:spacing w:line="360" w:lineRule="auto"/>
        <w:jc w:val="center"/>
        <w:rPr>
          <w:rFonts w:ascii="Arial" w:hAnsi="Arial"/>
          <w:b/>
          <w:sz w:val="24"/>
        </w:rPr>
      </w:pPr>
      <w:r w:rsidRPr="00CC3B40">
        <w:rPr>
          <w:rFonts w:ascii="Arial" w:hAnsi="Arial"/>
          <w:sz w:val="24"/>
        </w:rPr>
        <w:t xml:space="preserve">Lecturer name: </w:t>
      </w:r>
      <w:r w:rsidRPr="00CC3B40">
        <w:rPr>
          <w:rFonts w:ascii="Arial" w:hAnsi="Arial"/>
          <w:b/>
          <w:sz w:val="24"/>
        </w:rPr>
        <w:t>Jean Wang</w:t>
      </w:r>
    </w:p>
    <w:p w:rsidR="00952BE8" w:rsidRPr="00CC3B40" w:rsidRDefault="00952BE8" w:rsidP="00B55BAF">
      <w:pPr>
        <w:spacing w:line="360" w:lineRule="auto"/>
        <w:jc w:val="center"/>
        <w:rPr>
          <w:rFonts w:ascii="Arial" w:hAnsi="Arial"/>
          <w:b/>
          <w:sz w:val="24"/>
        </w:rPr>
      </w:pPr>
    </w:p>
    <w:p w:rsidR="00952BE8" w:rsidRPr="00CC3B40" w:rsidRDefault="00952BE8" w:rsidP="00B55BAF">
      <w:pPr>
        <w:spacing w:line="360" w:lineRule="auto"/>
        <w:jc w:val="center"/>
        <w:rPr>
          <w:rFonts w:ascii="Arial" w:hAnsi="Arial"/>
          <w:sz w:val="24"/>
        </w:rPr>
      </w:pPr>
      <w:r w:rsidRPr="00CC3B40">
        <w:rPr>
          <w:rFonts w:ascii="Arial" w:hAnsi="Arial"/>
          <w:sz w:val="24"/>
        </w:rPr>
        <w:t xml:space="preserve">Word Count: </w:t>
      </w:r>
      <w:r w:rsidR="007042FB">
        <w:rPr>
          <w:rFonts w:ascii="Arial" w:hAnsi="Arial"/>
          <w:b/>
          <w:bCs/>
          <w:sz w:val="24"/>
        </w:rPr>
        <w:t>5400</w:t>
      </w:r>
    </w:p>
    <w:p w:rsidR="00AE4818" w:rsidRPr="00CC3B40" w:rsidRDefault="00B55BAF" w:rsidP="00B55BAF">
      <w:pPr>
        <w:spacing w:after="160" w:line="259" w:lineRule="auto"/>
        <w:jc w:val="center"/>
        <w:rPr>
          <w:rFonts w:ascii="Arial" w:hAnsi="Arial"/>
          <w:b/>
          <w:sz w:val="24"/>
        </w:rPr>
      </w:pPr>
      <w:r w:rsidRPr="00CC3B40">
        <w:rPr>
          <w:rFonts w:ascii="Arial" w:hAnsi="Arial"/>
          <w:sz w:val="24"/>
        </w:rPr>
        <w:t xml:space="preserve">Submission Date: </w:t>
      </w:r>
      <w:r w:rsidRPr="00CC3B40">
        <w:rPr>
          <w:rFonts w:ascii="Arial" w:hAnsi="Arial"/>
          <w:b/>
          <w:sz w:val="24"/>
        </w:rPr>
        <w:t>27</w:t>
      </w:r>
      <w:r w:rsidRPr="00CC3B40">
        <w:rPr>
          <w:rFonts w:ascii="Arial" w:hAnsi="Arial"/>
          <w:b/>
          <w:sz w:val="24"/>
          <w:vertAlign w:val="superscript"/>
        </w:rPr>
        <w:t>th</w:t>
      </w:r>
      <w:r w:rsidRPr="00CC3B40">
        <w:rPr>
          <w:rFonts w:ascii="Arial" w:hAnsi="Arial"/>
          <w:b/>
          <w:sz w:val="24"/>
        </w:rPr>
        <w:t xml:space="preserve"> April, 2026</w:t>
      </w:r>
    </w:p>
    <w:p w:rsidR="00AE4818" w:rsidRPr="00CC3B40" w:rsidRDefault="00AE4818">
      <w:pPr>
        <w:spacing w:after="160" w:line="259" w:lineRule="auto"/>
        <w:jc w:val="left"/>
        <w:rPr>
          <w:rFonts w:ascii="Arial" w:hAnsi="Arial"/>
          <w:b/>
          <w:sz w:val="24"/>
        </w:rPr>
      </w:pPr>
      <w:r w:rsidRPr="00CC3B40">
        <w:rPr>
          <w:rFonts w:ascii="Arial" w:hAnsi="Arial"/>
          <w:b/>
          <w:sz w:val="24"/>
        </w:rPr>
        <w:br w:type="page"/>
      </w:r>
    </w:p>
    <w:p w:rsidR="00AE4818" w:rsidRPr="00CC3B40" w:rsidRDefault="00AE4818" w:rsidP="00AE4818">
      <w:pPr>
        <w:pStyle w:val="NormalWeb"/>
        <w:spacing w:line="360" w:lineRule="auto"/>
        <w:jc w:val="center"/>
        <w:rPr>
          <w:rFonts w:ascii="Arial" w:hAnsi="Arial" w:cs="Arial"/>
          <w:u w:val="single"/>
        </w:rPr>
      </w:pPr>
      <w:r w:rsidRPr="00CC3B40">
        <w:rPr>
          <w:rStyle w:val="Strong"/>
          <w:rFonts w:ascii="Arial" w:eastAsia="Arial" w:hAnsi="Arial" w:cs="Arial"/>
          <w:u w:val="single"/>
        </w:rPr>
        <w:lastRenderedPageBreak/>
        <w:t>AI Use Acknowledgement</w:t>
      </w:r>
    </w:p>
    <w:p w:rsidR="00AE4818" w:rsidRPr="00CC3B40" w:rsidRDefault="00AE4818" w:rsidP="00AE4818">
      <w:pPr>
        <w:pStyle w:val="NormalWeb"/>
        <w:numPr>
          <w:ilvl w:val="0"/>
          <w:numId w:val="6"/>
        </w:numPr>
        <w:spacing w:line="360" w:lineRule="auto"/>
        <w:jc w:val="both"/>
        <w:rPr>
          <w:rFonts w:ascii="Arial" w:hAnsi="Arial" w:cs="Arial"/>
        </w:rPr>
      </w:pPr>
      <w:r w:rsidRPr="00CC3B40">
        <w:rPr>
          <w:rFonts w:ascii="Arial" w:hAnsi="Arial" w:cs="Arial"/>
        </w:rPr>
        <w:t>I acknowledge the use of ChatGPT (</w:t>
      </w:r>
      <w:hyperlink r:id="rId9" w:tgtFrame="_new" w:history="1">
        <w:r w:rsidRPr="00CC3B40">
          <w:rPr>
            <w:rStyle w:val="Hyperlink"/>
            <w:rFonts w:ascii="Arial" w:eastAsia="Arial" w:hAnsi="Arial" w:cs="Arial"/>
          </w:rPr>
          <w:t>https://chatgpt.com/</w:t>
        </w:r>
      </w:hyperlink>
      <w:r w:rsidRPr="00CC3B40">
        <w:rPr>
          <w:rFonts w:ascii="Arial" w:hAnsi="Arial" w:cs="Arial"/>
        </w:rPr>
        <w:t xml:space="preserve">) on 22 April 2026 to support the creation of visual materials for my assignment. </w:t>
      </w:r>
    </w:p>
    <w:p w:rsidR="00AE4818" w:rsidRPr="00CC3B40" w:rsidRDefault="00AE4818" w:rsidP="00AE4818">
      <w:pPr>
        <w:pStyle w:val="NormalWeb"/>
        <w:spacing w:line="360" w:lineRule="auto"/>
        <w:jc w:val="both"/>
        <w:rPr>
          <w:rFonts w:ascii="Arial" w:hAnsi="Arial" w:cs="Arial"/>
        </w:rPr>
      </w:pPr>
      <w:r w:rsidRPr="00CC3B40">
        <w:rPr>
          <w:rFonts w:ascii="Arial" w:hAnsi="Arial" w:cs="Arial"/>
        </w:rPr>
        <w:t>I used the prompt(s):</w:t>
      </w:r>
    </w:p>
    <w:p w:rsidR="00AE4818" w:rsidRPr="00CC3B40" w:rsidRDefault="00AE4818" w:rsidP="00AE4818">
      <w:pPr>
        <w:numPr>
          <w:ilvl w:val="0"/>
          <w:numId w:val="4"/>
        </w:numPr>
        <w:spacing w:before="100" w:beforeAutospacing="1" w:after="100" w:afterAutospacing="1" w:line="360" w:lineRule="auto"/>
        <w:rPr>
          <w:rFonts w:ascii="Arial" w:hAnsi="Arial"/>
          <w:sz w:val="24"/>
        </w:rPr>
      </w:pPr>
      <w:r w:rsidRPr="00CC3B40">
        <w:rPr>
          <w:rFonts w:ascii="Arial" w:hAnsi="Arial"/>
          <w:sz w:val="24"/>
        </w:rPr>
        <w:t>Create an image concept for “Porter's Diamond Model”.</w:t>
      </w:r>
    </w:p>
    <w:p w:rsidR="00AE4818" w:rsidRPr="00CC3B40" w:rsidRDefault="00AE4818" w:rsidP="00AE4818">
      <w:pPr>
        <w:pStyle w:val="NormalWeb"/>
        <w:spacing w:line="360" w:lineRule="auto"/>
        <w:jc w:val="both"/>
        <w:rPr>
          <w:rFonts w:ascii="Arial" w:hAnsi="Arial" w:cs="Arial"/>
        </w:rPr>
      </w:pPr>
      <w:r w:rsidRPr="00CC3B40">
        <w:rPr>
          <w:rFonts w:ascii="Arial" w:hAnsi="Arial" w:cs="Arial"/>
        </w:rPr>
        <w:t>I confirm that I have not presented any AI-generated text as my own work. I confirm I have copies of my drafts, notes, and other resources I used before and after the use of AI tools, which I may be asked to provide as evidence.</w:t>
      </w:r>
    </w:p>
    <w:p w:rsidR="00AE4818" w:rsidRPr="00CC3B40" w:rsidRDefault="00AE4818" w:rsidP="00AE4818">
      <w:pPr>
        <w:spacing w:line="360" w:lineRule="auto"/>
        <w:rPr>
          <w:rFonts w:ascii="Arial" w:hAnsi="Arial"/>
          <w:sz w:val="24"/>
        </w:rPr>
      </w:pPr>
    </w:p>
    <w:p w:rsidR="00AE4818" w:rsidRPr="00CC3B40" w:rsidRDefault="00AE4818" w:rsidP="00AE4818">
      <w:pPr>
        <w:pStyle w:val="NormalWeb"/>
        <w:numPr>
          <w:ilvl w:val="0"/>
          <w:numId w:val="6"/>
        </w:numPr>
        <w:spacing w:line="360" w:lineRule="auto"/>
        <w:jc w:val="both"/>
        <w:rPr>
          <w:rFonts w:ascii="Arial" w:hAnsi="Arial" w:cs="Arial"/>
        </w:rPr>
      </w:pPr>
      <w:r w:rsidRPr="00CC3B40">
        <w:rPr>
          <w:rFonts w:ascii="Arial" w:hAnsi="Arial" w:cs="Arial"/>
        </w:rPr>
        <w:t>I acknowledge the use of Grammarly (</w:t>
      </w:r>
      <w:hyperlink r:id="rId10" w:tgtFrame="_new" w:history="1">
        <w:r w:rsidRPr="00CC3B40">
          <w:rPr>
            <w:rStyle w:val="Hyperlink"/>
            <w:rFonts w:ascii="Arial" w:eastAsia="Arial" w:hAnsi="Arial" w:cs="Arial"/>
          </w:rPr>
          <w:t>https://www.grammarly.com/</w:t>
        </w:r>
      </w:hyperlink>
      <w:r w:rsidRPr="00CC3B40">
        <w:rPr>
          <w:rFonts w:ascii="Arial" w:hAnsi="Arial" w:cs="Arial"/>
        </w:rPr>
        <w:t>) on 26 April 2026 to check my referencing, grammar, and citation formatting.</w:t>
      </w:r>
    </w:p>
    <w:p w:rsidR="00AE4818" w:rsidRPr="00CC3B40" w:rsidRDefault="00AE4818" w:rsidP="00AE4818">
      <w:pPr>
        <w:pStyle w:val="NormalWeb"/>
        <w:spacing w:line="360" w:lineRule="auto"/>
        <w:jc w:val="both"/>
        <w:rPr>
          <w:rFonts w:ascii="Arial" w:hAnsi="Arial" w:cs="Arial"/>
        </w:rPr>
      </w:pPr>
      <w:r w:rsidRPr="00CC3B40">
        <w:rPr>
          <w:rFonts w:ascii="Arial" w:hAnsi="Arial" w:cs="Arial"/>
        </w:rPr>
        <w:t>I used the prompt(s):</w:t>
      </w:r>
    </w:p>
    <w:p w:rsidR="00AE4818" w:rsidRPr="00CC3B40" w:rsidRDefault="00AE4818" w:rsidP="00AE4818">
      <w:pPr>
        <w:numPr>
          <w:ilvl w:val="0"/>
          <w:numId w:val="5"/>
        </w:numPr>
        <w:spacing w:before="100" w:beforeAutospacing="1" w:after="100" w:afterAutospacing="1" w:line="360" w:lineRule="auto"/>
        <w:rPr>
          <w:rFonts w:ascii="Arial" w:hAnsi="Arial"/>
          <w:sz w:val="24"/>
        </w:rPr>
      </w:pPr>
      <w:r w:rsidRPr="00CC3B40">
        <w:rPr>
          <w:rFonts w:ascii="Arial" w:hAnsi="Arial"/>
          <w:sz w:val="24"/>
        </w:rPr>
        <w:t>Check this text for grammar and clarity.</w:t>
      </w:r>
    </w:p>
    <w:p w:rsidR="00AE4818" w:rsidRPr="00CC3B40" w:rsidRDefault="00AE4818" w:rsidP="00AE4818">
      <w:pPr>
        <w:numPr>
          <w:ilvl w:val="0"/>
          <w:numId w:val="5"/>
        </w:numPr>
        <w:spacing w:before="100" w:beforeAutospacing="1" w:after="100" w:afterAutospacing="1" w:line="360" w:lineRule="auto"/>
        <w:rPr>
          <w:rFonts w:ascii="Arial" w:hAnsi="Arial"/>
          <w:sz w:val="24"/>
        </w:rPr>
      </w:pPr>
      <w:r w:rsidRPr="00CC3B40">
        <w:rPr>
          <w:rFonts w:ascii="Arial" w:hAnsi="Arial"/>
          <w:sz w:val="24"/>
        </w:rPr>
        <w:t>Review citation formatting and referencing consistency (Harvard style).</w:t>
      </w:r>
    </w:p>
    <w:p w:rsidR="00AE4818" w:rsidRPr="00CC3B40" w:rsidRDefault="00AE4818" w:rsidP="00AE4818">
      <w:pPr>
        <w:pStyle w:val="NormalWeb"/>
        <w:spacing w:line="360" w:lineRule="auto"/>
        <w:jc w:val="both"/>
        <w:rPr>
          <w:rFonts w:ascii="Arial" w:hAnsi="Arial" w:cs="Arial"/>
        </w:rPr>
      </w:pPr>
      <w:r w:rsidRPr="00CC3B40">
        <w:rPr>
          <w:rFonts w:ascii="Arial" w:hAnsi="Arial" w:cs="Arial"/>
        </w:rPr>
        <w:t>I confirm that I have not presented any AI-generated text as my own work. I confirm I have copies of my drafts, notes, and other resources I used before and after the use of AI tools, which I may be asked to provide as evidence.</w:t>
      </w:r>
    </w:p>
    <w:p w:rsidR="00660B4A" w:rsidRPr="00CC3B40" w:rsidRDefault="00660B4A" w:rsidP="00B55BAF">
      <w:pPr>
        <w:spacing w:after="160" w:line="259" w:lineRule="auto"/>
        <w:jc w:val="center"/>
        <w:rPr>
          <w:rFonts w:ascii="Arial" w:hAnsi="Arial"/>
          <w:sz w:val="24"/>
        </w:rPr>
      </w:pPr>
      <w:r w:rsidRPr="00CC3B40">
        <w:rPr>
          <w:rFonts w:ascii="Arial" w:hAnsi="Arial"/>
          <w:sz w:val="24"/>
        </w:rPr>
        <w:br w:type="page"/>
      </w:r>
    </w:p>
    <w:sdt>
      <w:sdtPr>
        <w:rPr>
          <w:rFonts w:ascii="Arial" w:eastAsia="Arial" w:hAnsi="Arial" w:cs="Arial"/>
          <w:color w:val="auto"/>
          <w:sz w:val="24"/>
          <w:szCs w:val="24"/>
        </w:rPr>
        <w:id w:val="577642730"/>
        <w:docPartObj>
          <w:docPartGallery w:val="Table of Contents"/>
          <w:docPartUnique/>
        </w:docPartObj>
      </w:sdtPr>
      <w:sdtEndPr>
        <w:rPr>
          <w:b/>
          <w:bCs/>
          <w:noProof/>
        </w:rPr>
      </w:sdtEndPr>
      <w:sdtContent>
        <w:p w:rsidR="00AF2CA1" w:rsidRPr="00CC3B40" w:rsidRDefault="004339E6" w:rsidP="004339E6">
          <w:pPr>
            <w:pStyle w:val="TOCHeading"/>
            <w:jc w:val="center"/>
            <w:rPr>
              <w:rFonts w:ascii="Arial" w:hAnsi="Arial" w:cs="Arial"/>
              <w:color w:val="000000" w:themeColor="text1"/>
              <w:sz w:val="24"/>
              <w:szCs w:val="24"/>
            </w:rPr>
          </w:pPr>
          <w:r w:rsidRPr="00CC3B40">
            <w:rPr>
              <w:rFonts w:ascii="Arial" w:hAnsi="Arial" w:cs="Arial"/>
              <w:color w:val="000000" w:themeColor="text1"/>
              <w:sz w:val="24"/>
              <w:szCs w:val="24"/>
            </w:rPr>
            <w:t>Table of Contents</w:t>
          </w:r>
        </w:p>
        <w:p w:rsidR="007042FB" w:rsidRPr="007042FB" w:rsidRDefault="00AF2CA1">
          <w:pPr>
            <w:pStyle w:val="TOC2"/>
            <w:tabs>
              <w:tab w:val="right" w:leader="dot" w:pos="9350"/>
            </w:tabs>
            <w:rPr>
              <w:rFonts w:ascii="Arial" w:eastAsiaTheme="minorEastAsia" w:hAnsi="Arial"/>
              <w:noProof/>
              <w:sz w:val="24"/>
            </w:rPr>
          </w:pPr>
          <w:r w:rsidRPr="007042FB">
            <w:rPr>
              <w:rFonts w:ascii="Arial" w:hAnsi="Arial"/>
              <w:sz w:val="24"/>
            </w:rPr>
            <w:fldChar w:fldCharType="begin"/>
          </w:r>
          <w:r w:rsidRPr="007042FB">
            <w:rPr>
              <w:rFonts w:ascii="Arial" w:hAnsi="Arial"/>
              <w:sz w:val="24"/>
            </w:rPr>
            <w:instrText xml:space="preserve"> TOC \o "1-3" \h \z \u </w:instrText>
          </w:r>
          <w:r w:rsidRPr="007042FB">
            <w:rPr>
              <w:rFonts w:ascii="Arial" w:hAnsi="Arial"/>
              <w:sz w:val="24"/>
            </w:rPr>
            <w:fldChar w:fldCharType="separate"/>
          </w:r>
          <w:hyperlink w:anchor="_Toc228156635" w:history="1">
            <w:r w:rsidR="007042FB" w:rsidRPr="007042FB">
              <w:rPr>
                <w:rStyle w:val="Hyperlink"/>
                <w:rFonts w:ascii="Arial" w:hAnsi="Arial"/>
                <w:noProof/>
                <w:sz w:val="24"/>
              </w:rPr>
              <w:t>1. Introduction</w:t>
            </w:r>
            <w:r w:rsidR="007042FB" w:rsidRPr="007042FB">
              <w:rPr>
                <w:rFonts w:ascii="Arial" w:hAnsi="Arial"/>
                <w:noProof/>
                <w:webHidden/>
                <w:sz w:val="24"/>
              </w:rPr>
              <w:tab/>
            </w:r>
            <w:r w:rsidR="007042FB" w:rsidRPr="007042FB">
              <w:rPr>
                <w:rFonts w:ascii="Arial" w:hAnsi="Arial"/>
                <w:noProof/>
                <w:webHidden/>
                <w:sz w:val="24"/>
              </w:rPr>
              <w:fldChar w:fldCharType="begin"/>
            </w:r>
            <w:r w:rsidR="007042FB" w:rsidRPr="007042FB">
              <w:rPr>
                <w:rFonts w:ascii="Arial" w:hAnsi="Arial"/>
                <w:noProof/>
                <w:webHidden/>
                <w:sz w:val="24"/>
              </w:rPr>
              <w:instrText xml:space="preserve"> PAGEREF _Toc228156635 \h </w:instrText>
            </w:r>
            <w:r w:rsidR="007042FB" w:rsidRPr="007042FB">
              <w:rPr>
                <w:rFonts w:ascii="Arial" w:hAnsi="Arial"/>
                <w:noProof/>
                <w:webHidden/>
                <w:sz w:val="24"/>
              </w:rPr>
            </w:r>
            <w:r w:rsidR="007042FB" w:rsidRPr="007042FB">
              <w:rPr>
                <w:rFonts w:ascii="Arial" w:hAnsi="Arial"/>
                <w:noProof/>
                <w:webHidden/>
                <w:sz w:val="24"/>
              </w:rPr>
              <w:fldChar w:fldCharType="separate"/>
            </w:r>
            <w:r w:rsidR="007042FB" w:rsidRPr="007042FB">
              <w:rPr>
                <w:rFonts w:ascii="Arial" w:hAnsi="Arial"/>
                <w:noProof/>
                <w:webHidden/>
                <w:sz w:val="24"/>
              </w:rPr>
              <w:t>4</w:t>
            </w:r>
            <w:r w:rsidR="007042FB" w:rsidRPr="007042FB">
              <w:rPr>
                <w:rFonts w:ascii="Arial" w:hAnsi="Arial"/>
                <w:noProof/>
                <w:webHidden/>
                <w:sz w:val="24"/>
              </w:rPr>
              <w:fldChar w:fldCharType="end"/>
            </w:r>
          </w:hyperlink>
        </w:p>
        <w:p w:rsidR="007042FB" w:rsidRPr="007042FB" w:rsidRDefault="007042FB">
          <w:pPr>
            <w:pStyle w:val="TOC2"/>
            <w:tabs>
              <w:tab w:val="right" w:leader="dot" w:pos="9350"/>
            </w:tabs>
            <w:rPr>
              <w:rFonts w:ascii="Arial" w:eastAsiaTheme="minorEastAsia" w:hAnsi="Arial"/>
              <w:noProof/>
              <w:sz w:val="24"/>
            </w:rPr>
          </w:pPr>
          <w:hyperlink w:anchor="_Toc228156636" w:history="1">
            <w:r w:rsidRPr="007042FB">
              <w:rPr>
                <w:rStyle w:val="Hyperlink"/>
                <w:rFonts w:ascii="Arial" w:hAnsi="Arial"/>
                <w:noProof/>
                <w:sz w:val="24"/>
              </w:rPr>
              <w:t>2. Industry and Country Overview</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_Toc228156636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4</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37" w:history="1">
            <w:r w:rsidRPr="007042FB">
              <w:rPr>
                <w:rStyle w:val="Hyperlink"/>
                <w:rFonts w:ascii="Arial" w:hAnsi="Arial"/>
                <w:noProof/>
                <w:sz w:val="24"/>
              </w:rPr>
              <w:t>2.1 The Electric Vehicle Industry in the UAE</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_Toc228156637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4</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38" w:history="1">
            <w:r w:rsidRPr="007042FB">
              <w:rPr>
                <w:rStyle w:val="Hyperlink"/>
                <w:rFonts w:ascii="Arial" w:hAnsi="Arial"/>
                <w:noProof/>
                <w:sz w:val="24"/>
              </w:rPr>
              <w:t>2.2 Size, Scope, and Economic Importance</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_Toc228156638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5</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39" w:history="1">
            <w:r w:rsidRPr="007042FB">
              <w:rPr>
                <w:rStyle w:val="Hyperlink"/>
                <w:rFonts w:ascii="Arial" w:hAnsi="Arial"/>
                <w:noProof/>
                <w:sz w:val="24"/>
              </w:rPr>
              <w:t>2.3 Major Firms: Domestic and Multinational Players</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_Toc228156639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6</w:t>
            </w:r>
            <w:r w:rsidRPr="007042FB">
              <w:rPr>
                <w:rFonts w:ascii="Arial" w:hAnsi="Arial"/>
                <w:noProof/>
                <w:webHidden/>
                <w:sz w:val="24"/>
              </w:rPr>
              <w:fldChar w:fldCharType="end"/>
            </w:r>
          </w:hyperlink>
        </w:p>
        <w:p w:rsidR="007042FB" w:rsidRPr="007042FB" w:rsidRDefault="007042FB">
          <w:pPr>
            <w:pStyle w:val="TOC2"/>
            <w:tabs>
              <w:tab w:val="right" w:leader="dot" w:pos="9350"/>
            </w:tabs>
            <w:rPr>
              <w:rFonts w:ascii="Arial" w:eastAsiaTheme="minorEastAsia" w:hAnsi="Arial"/>
              <w:noProof/>
              <w:sz w:val="24"/>
            </w:rPr>
          </w:pPr>
          <w:hyperlink w:anchor="_Toc228156640" w:history="1">
            <w:r w:rsidRPr="007042FB">
              <w:rPr>
                <w:rStyle w:val="Hyperlink"/>
                <w:rFonts w:ascii="Arial" w:hAnsi="Arial"/>
                <w:noProof/>
                <w:sz w:val="24"/>
              </w:rPr>
              <w:t>3. Porter's Diamond Model of National Advantage Applied to the UAE EV Industry</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_Toc228156640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7</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41" w:history="1">
            <w:r w:rsidRPr="007042FB">
              <w:rPr>
                <w:rStyle w:val="Hyperlink"/>
                <w:rFonts w:ascii="Arial" w:hAnsi="Arial"/>
                <w:noProof/>
                <w:sz w:val="24"/>
              </w:rPr>
              <w:t>3.1 Factor Conditions</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_Toc228156641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8</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42" w:history="1">
            <w:r w:rsidRPr="007042FB">
              <w:rPr>
                <w:rStyle w:val="Hyperlink"/>
                <w:rFonts w:ascii="Arial" w:hAnsi="Arial"/>
                <w:noProof/>
                <w:sz w:val="24"/>
              </w:rPr>
              <w:t>3.2 Demand Conditions</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_Toc228156642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9</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43" w:history="1">
            <w:r w:rsidRPr="007042FB">
              <w:rPr>
                <w:rStyle w:val="Hyperlink"/>
                <w:rFonts w:ascii="Arial" w:hAnsi="Arial"/>
                <w:noProof/>
                <w:sz w:val="24"/>
              </w:rPr>
              <w:t>3.3 Related and Supporting Industries</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_Toc228156643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9</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44" w:history="1">
            <w:r w:rsidRPr="007042FB">
              <w:rPr>
                <w:rStyle w:val="Hyperlink"/>
                <w:rFonts w:ascii="Arial" w:hAnsi="Arial"/>
                <w:noProof/>
                <w:sz w:val="24"/>
              </w:rPr>
              <w:t>3.4 Firm Strategy, Structure, and Rivalry</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_Toc228156644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10</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45" w:history="1">
            <w:r w:rsidRPr="007042FB">
              <w:rPr>
                <w:rStyle w:val="Hyperlink"/>
                <w:rFonts w:ascii="Arial" w:hAnsi="Arial"/>
                <w:noProof/>
                <w:sz w:val="24"/>
              </w:rPr>
              <w:t>3.5 Government and Chance</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_Toc228156645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11</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46" w:history="1">
            <w:r w:rsidRPr="007042FB">
              <w:rPr>
                <w:rStyle w:val="Hyperlink"/>
                <w:rFonts w:ascii="Arial" w:hAnsi="Arial"/>
                <w:noProof/>
                <w:sz w:val="24"/>
              </w:rPr>
              <w:t>3.6 Critical Evaluation of Porter’s Diamond for the UAE</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_Toc228156646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11</w:t>
            </w:r>
            <w:r w:rsidRPr="007042FB">
              <w:rPr>
                <w:rFonts w:ascii="Arial" w:hAnsi="Arial"/>
                <w:noProof/>
                <w:webHidden/>
                <w:sz w:val="24"/>
              </w:rPr>
              <w:fldChar w:fldCharType="end"/>
            </w:r>
          </w:hyperlink>
        </w:p>
        <w:p w:rsidR="007042FB" w:rsidRPr="007042FB" w:rsidRDefault="007042FB">
          <w:pPr>
            <w:pStyle w:val="TOC2"/>
            <w:tabs>
              <w:tab w:val="right" w:leader="dot" w:pos="9350"/>
            </w:tabs>
            <w:rPr>
              <w:rFonts w:ascii="Arial" w:eastAsiaTheme="minorEastAsia" w:hAnsi="Arial"/>
              <w:noProof/>
              <w:sz w:val="24"/>
            </w:rPr>
          </w:pPr>
          <w:hyperlink w:anchor="_Toc228156647" w:history="1">
            <w:r w:rsidRPr="007042FB">
              <w:rPr>
                <w:rStyle w:val="Hyperlink"/>
                <w:rFonts w:ascii="Arial" w:hAnsi="Arial"/>
                <w:noProof/>
                <w:sz w:val="24"/>
              </w:rPr>
              <w:t>4. Tesla Inc. in the UAE: Critical Evaluation of Operational</w:t>
            </w:r>
            <w:r w:rsidRPr="007042FB">
              <w:rPr>
                <w:rStyle w:val="Hyperlink"/>
                <w:rFonts w:ascii="Arial" w:eastAsia="Times New Roman" w:hAnsi="Arial"/>
                <w:noProof/>
                <w:sz w:val="24"/>
              </w:rPr>
              <w:t xml:space="preserve"> Factors</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_Toc228156647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12</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48" w:history="1">
            <w:r w:rsidRPr="007042FB">
              <w:rPr>
                <w:rStyle w:val="Hyperlink"/>
                <w:rFonts w:ascii="Arial" w:hAnsi="Arial"/>
                <w:noProof/>
                <w:sz w:val="24"/>
              </w:rPr>
              <w:t>4.1 Overview of Tesla Inc.</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_Toc228156648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12</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49" w:history="1">
            <w:r w:rsidRPr="007042FB">
              <w:rPr>
                <w:rStyle w:val="Hyperlink"/>
                <w:rFonts w:ascii="Arial" w:hAnsi="Arial"/>
                <w:noProof/>
                <w:sz w:val="24"/>
              </w:rPr>
              <w:t>4.2 Political Factors</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_Toc228156649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12</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50" w:history="1">
            <w:r w:rsidRPr="007042FB">
              <w:rPr>
                <w:rStyle w:val="Hyperlink"/>
                <w:rFonts w:ascii="Arial" w:hAnsi="Arial"/>
                <w:noProof/>
                <w:sz w:val="24"/>
              </w:rPr>
              <w:t>4.3 Economic Factors</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_Toc228156650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13</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51" w:history="1">
            <w:r w:rsidRPr="007042FB">
              <w:rPr>
                <w:rStyle w:val="Hyperlink"/>
                <w:rFonts w:ascii="Arial" w:hAnsi="Arial"/>
                <w:noProof/>
                <w:sz w:val="24"/>
              </w:rPr>
              <w:t>4.4 Legal Factors</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_Toc228156651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14</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52" w:history="1">
            <w:r w:rsidRPr="007042FB">
              <w:rPr>
                <w:rStyle w:val="Hyperlink"/>
                <w:rFonts w:ascii="Arial" w:hAnsi="Arial"/>
                <w:noProof/>
                <w:sz w:val="24"/>
              </w:rPr>
              <w:t>4.5 Cultural Factors</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_Toc228156652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15</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53" w:history="1">
            <w:r w:rsidRPr="007042FB">
              <w:rPr>
                <w:rStyle w:val="Hyperlink"/>
                <w:rFonts w:ascii="Arial" w:hAnsi="Arial"/>
                <w:noProof/>
                <w:sz w:val="24"/>
              </w:rPr>
              <w:t>4.6 Overall Market Attractiveness Assessment</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_Toc228156653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18</w:t>
            </w:r>
            <w:r w:rsidRPr="007042FB">
              <w:rPr>
                <w:rFonts w:ascii="Arial" w:hAnsi="Arial"/>
                <w:noProof/>
                <w:webHidden/>
                <w:sz w:val="24"/>
              </w:rPr>
              <w:fldChar w:fldCharType="end"/>
            </w:r>
          </w:hyperlink>
        </w:p>
        <w:p w:rsidR="007042FB" w:rsidRPr="007042FB" w:rsidRDefault="007042FB">
          <w:pPr>
            <w:pStyle w:val="TOC2"/>
            <w:tabs>
              <w:tab w:val="right" w:leader="dot" w:pos="9350"/>
            </w:tabs>
            <w:rPr>
              <w:rFonts w:ascii="Arial" w:eastAsiaTheme="minorEastAsia" w:hAnsi="Arial"/>
              <w:noProof/>
              <w:sz w:val="24"/>
            </w:rPr>
          </w:pPr>
          <w:hyperlink w:anchor="_Toc228156654" w:history="1">
            <w:r w:rsidRPr="007042FB">
              <w:rPr>
                <w:rStyle w:val="Hyperlink"/>
                <w:rFonts w:ascii="Arial" w:hAnsi="Arial"/>
                <w:noProof/>
                <w:sz w:val="24"/>
              </w:rPr>
              <w:t>5. Conclusion</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_Toc228156654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20</w:t>
            </w:r>
            <w:r w:rsidRPr="007042FB">
              <w:rPr>
                <w:rFonts w:ascii="Arial" w:hAnsi="Arial"/>
                <w:noProof/>
                <w:webHidden/>
                <w:sz w:val="24"/>
              </w:rPr>
              <w:fldChar w:fldCharType="end"/>
            </w:r>
          </w:hyperlink>
        </w:p>
        <w:p w:rsidR="007042FB" w:rsidRPr="007042FB" w:rsidRDefault="007042FB">
          <w:pPr>
            <w:pStyle w:val="TOC2"/>
            <w:tabs>
              <w:tab w:val="right" w:leader="dot" w:pos="9350"/>
            </w:tabs>
            <w:rPr>
              <w:rFonts w:ascii="Arial" w:eastAsiaTheme="minorEastAsia" w:hAnsi="Arial"/>
              <w:noProof/>
              <w:sz w:val="24"/>
            </w:rPr>
          </w:pPr>
          <w:hyperlink w:anchor="_Toc228156655" w:history="1">
            <w:r w:rsidRPr="007042FB">
              <w:rPr>
                <w:rStyle w:val="Hyperlink"/>
                <w:rFonts w:ascii="Arial" w:hAnsi="Arial"/>
                <w:noProof/>
                <w:sz w:val="24"/>
              </w:rPr>
              <w:t>Section 2: Reflective Account Using Gibbs' Reflective Cycle</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_Toc228156655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21</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56" w:history="1">
            <w:r w:rsidRPr="007042FB">
              <w:rPr>
                <w:rStyle w:val="Hyperlink"/>
                <w:rFonts w:ascii="Arial" w:hAnsi="Arial"/>
                <w:noProof/>
                <w:sz w:val="24"/>
              </w:rPr>
              <w:t>6. Introduction to Reflection</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_Toc228156656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21</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57" w:history="1">
            <w:r w:rsidRPr="007042FB">
              <w:rPr>
                <w:rStyle w:val="Hyperlink"/>
                <w:rFonts w:ascii="Arial" w:hAnsi="Arial"/>
                <w:noProof/>
                <w:sz w:val="24"/>
              </w:rPr>
              <w:t>7. Description</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_Toc228156657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21</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58" w:history="1">
            <w:r w:rsidRPr="007042FB">
              <w:rPr>
                <w:rStyle w:val="Hyperlink"/>
                <w:rFonts w:ascii="Arial" w:hAnsi="Arial"/>
                <w:noProof/>
                <w:sz w:val="24"/>
              </w:rPr>
              <w:t>8. Feelings</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_Toc228156658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21</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59" w:history="1">
            <w:r w:rsidRPr="007042FB">
              <w:rPr>
                <w:rStyle w:val="Hyperlink"/>
                <w:rFonts w:ascii="Arial" w:hAnsi="Arial"/>
                <w:noProof/>
                <w:sz w:val="24"/>
              </w:rPr>
              <w:t>9. Evaluation</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_Toc228156659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22</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60" w:history="1">
            <w:r w:rsidRPr="007042FB">
              <w:rPr>
                <w:rStyle w:val="Hyperlink"/>
                <w:rFonts w:ascii="Arial" w:hAnsi="Arial"/>
                <w:noProof/>
                <w:sz w:val="24"/>
              </w:rPr>
              <w:t>10. Analysis</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_Toc228156660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23</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61" w:history="1">
            <w:r w:rsidRPr="007042FB">
              <w:rPr>
                <w:rStyle w:val="Hyperlink"/>
                <w:rFonts w:ascii="Arial" w:hAnsi="Arial"/>
                <w:noProof/>
                <w:sz w:val="24"/>
              </w:rPr>
              <w:t>11. Conclusion</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_Toc228156661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23</w:t>
            </w:r>
            <w:r w:rsidRPr="007042FB">
              <w:rPr>
                <w:rFonts w:ascii="Arial" w:hAnsi="Arial"/>
                <w:noProof/>
                <w:webHidden/>
                <w:sz w:val="24"/>
              </w:rPr>
              <w:fldChar w:fldCharType="end"/>
            </w:r>
          </w:hyperlink>
        </w:p>
        <w:p w:rsidR="007042FB" w:rsidRPr="007042FB" w:rsidRDefault="007042FB">
          <w:pPr>
            <w:pStyle w:val="TOC3"/>
            <w:tabs>
              <w:tab w:val="right" w:leader="dot" w:pos="9350"/>
            </w:tabs>
            <w:rPr>
              <w:rFonts w:ascii="Arial" w:eastAsiaTheme="minorEastAsia" w:hAnsi="Arial"/>
              <w:noProof/>
              <w:sz w:val="24"/>
            </w:rPr>
          </w:pPr>
          <w:hyperlink w:anchor="_Toc228156662" w:history="1">
            <w:r w:rsidRPr="007042FB">
              <w:rPr>
                <w:rStyle w:val="Hyperlink"/>
                <w:rFonts w:ascii="Arial" w:hAnsi="Arial"/>
                <w:noProof/>
                <w:sz w:val="24"/>
              </w:rPr>
              <w:t>12. Action Plan</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_Toc228156662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24</w:t>
            </w:r>
            <w:r w:rsidRPr="007042FB">
              <w:rPr>
                <w:rFonts w:ascii="Arial" w:hAnsi="Arial"/>
                <w:noProof/>
                <w:webHidden/>
                <w:sz w:val="24"/>
              </w:rPr>
              <w:fldChar w:fldCharType="end"/>
            </w:r>
          </w:hyperlink>
        </w:p>
        <w:p w:rsidR="007042FB" w:rsidRPr="007042FB" w:rsidRDefault="007042FB">
          <w:pPr>
            <w:pStyle w:val="TOC2"/>
            <w:tabs>
              <w:tab w:val="right" w:leader="dot" w:pos="9350"/>
            </w:tabs>
            <w:rPr>
              <w:rFonts w:ascii="Arial" w:eastAsiaTheme="minorEastAsia" w:hAnsi="Arial"/>
              <w:noProof/>
              <w:sz w:val="24"/>
            </w:rPr>
          </w:pPr>
          <w:hyperlink w:anchor="_Toc228156663" w:history="1">
            <w:r w:rsidRPr="007042FB">
              <w:rPr>
                <w:rStyle w:val="Hyperlink"/>
                <w:rFonts w:ascii="Arial" w:hAnsi="Arial"/>
                <w:noProof/>
                <w:sz w:val="24"/>
              </w:rPr>
              <w:t>References</w:t>
            </w:r>
            <w:r w:rsidRPr="007042FB">
              <w:rPr>
                <w:rFonts w:ascii="Arial" w:hAnsi="Arial"/>
                <w:noProof/>
                <w:webHidden/>
                <w:sz w:val="24"/>
              </w:rPr>
              <w:tab/>
            </w:r>
            <w:r w:rsidRPr="007042FB">
              <w:rPr>
                <w:rFonts w:ascii="Arial" w:hAnsi="Arial"/>
                <w:noProof/>
                <w:webHidden/>
                <w:sz w:val="24"/>
              </w:rPr>
              <w:fldChar w:fldCharType="begin"/>
            </w:r>
            <w:r w:rsidRPr="007042FB">
              <w:rPr>
                <w:rFonts w:ascii="Arial" w:hAnsi="Arial"/>
                <w:noProof/>
                <w:webHidden/>
                <w:sz w:val="24"/>
              </w:rPr>
              <w:instrText xml:space="preserve"> PAGEREF _Toc228156663 \h </w:instrText>
            </w:r>
            <w:r w:rsidRPr="007042FB">
              <w:rPr>
                <w:rFonts w:ascii="Arial" w:hAnsi="Arial"/>
                <w:noProof/>
                <w:webHidden/>
                <w:sz w:val="24"/>
              </w:rPr>
            </w:r>
            <w:r w:rsidRPr="007042FB">
              <w:rPr>
                <w:rFonts w:ascii="Arial" w:hAnsi="Arial"/>
                <w:noProof/>
                <w:webHidden/>
                <w:sz w:val="24"/>
              </w:rPr>
              <w:fldChar w:fldCharType="separate"/>
            </w:r>
            <w:r w:rsidRPr="007042FB">
              <w:rPr>
                <w:rFonts w:ascii="Arial" w:hAnsi="Arial"/>
                <w:noProof/>
                <w:webHidden/>
                <w:sz w:val="24"/>
              </w:rPr>
              <w:t>25</w:t>
            </w:r>
            <w:r w:rsidRPr="007042FB">
              <w:rPr>
                <w:rFonts w:ascii="Arial" w:hAnsi="Arial"/>
                <w:noProof/>
                <w:webHidden/>
                <w:sz w:val="24"/>
              </w:rPr>
              <w:fldChar w:fldCharType="end"/>
            </w:r>
          </w:hyperlink>
        </w:p>
        <w:p w:rsidR="00AF2CA1" w:rsidRPr="007042FB" w:rsidRDefault="00AF2CA1">
          <w:pPr>
            <w:rPr>
              <w:rFonts w:ascii="Arial" w:hAnsi="Arial"/>
              <w:sz w:val="24"/>
            </w:rPr>
          </w:pPr>
          <w:r w:rsidRPr="007042FB">
            <w:rPr>
              <w:rFonts w:ascii="Arial" w:hAnsi="Arial"/>
              <w:b/>
              <w:bCs/>
              <w:noProof/>
              <w:sz w:val="24"/>
            </w:rPr>
            <w:fldChar w:fldCharType="end"/>
          </w:r>
        </w:p>
      </w:sdtContent>
    </w:sdt>
    <w:p w:rsidR="007042FB" w:rsidRDefault="007042FB" w:rsidP="007042FB">
      <w:pPr>
        <w:tabs>
          <w:tab w:val="left" w:pos="5772"/>
        </w:tabs>
        <w:spacing w:after="160" w:line="259" w:lineRule="auto"/>
        <w:jc w:val="left"/>
        <w:rPr>
          <w:rFonts w:ascii="Arial" w:hAnsi="Arial"/>
          <w:sz w:val="24"/>
        </w:rPr>
      </w:pPr>
      <w:r>
        <w:rPr>
          <w:rFonts w:ascii="Arial" w:hAnsi="Arial"/>
          <w:sz w:val="24"/>
        </w:rPr>
        <w:tab/>
      </w:r>
    </w:p>
    <w:p w:rsidR="007042FB" w:rsidRDefault="007042FB" w:rsidP="007042FB">
      <w:pPr>
        <w:tabs>
          <w:tab w:val="left" w:pos="5772"/>
        </w:tabs>
        <w:spacing w:after="160" w:line="259" w:lineRule="auto"/>
        <w:jc w:val="left"/>
        <w:rPr>
          <w:rFonts w:ascii="Arial" w:hAnsi="Arial"/>
          <w:sz w:val="24"/>
        </w:rPr>
      </w:pPr>
    </w:p>
    <w:p w:rsidR="00660B4A" w:rsidRPr="00CC3B40" w:rsidRDefault="007042FB" w:rsidP="007042FB">
      <w:pPr>
        <w:tabs>
          <w:tab w:val="left" w:pos="5772"/>
        </w:tabs>
        <w:spacing w:after="160" w:line="259" w:lineRule="auto"/>
        <w:jc w:val="left"/>
        <w:rPr>
          <w:rFonts w:ascii="Arial" w:hAnsi="Arial"/>
          <w:sz w:val="24"/>
        </w:rPr>
      </w:pPr>
      <w:bookmarkStart w:id="0" w:name="_GoBack"/>
      <w:bookmarkEnd w:id="0"/>
      <w:r>
        <w:rPr>
          <w:rFonts w:ascii="Arial" w:hAnsi="Arial"/>
          <w:sz w:val="24"/>
        </w:rPr>
        <w:tab/>
      </w:r>
    </w:p>
    <w:p w:rsidR="00660B4A" w:rsidRPr="00CC3B40" w:rsidRDefault="00660B4A" w:rsidP="00FA6480">
      <w:pPr>
        <w:pStyle w:val="Heading2"/>
      </w:pPr>
      <w:bookmarkStart w:id="1" w:name="_Toc228156635"/>
      <w:r w:rsidRPr="00CC3B40">
        <w:lastRenderedPageBreak/>
        <w:t>1. Introduction</w:t>
      </w:r>
      <w:bookmarkEnd w:id="1"/>
    </w:p>
    <w:p w:rsidR="002A706F" w:rsidRPr="00CC3B40" w:rsidRDefault="006F3CC3" w:rsidP="006F3CC3">
      <w:pPr>
        <w:spacing w:before="120" w:after="120" w:line="360" w:lineRule="auto"/>
        <w:rPr>
          <w:rFonts w:ascii="Arial" w:eastAsia="Times New Roman" w:hAnsi="Arial"/>
          <w:sz w:val="24"/>
        </w:rPr>
      </w:pPr>
      <w:r w:rsidRPr="00CC3B40">
        <w:rPr>
          <w:rFonts w:ascii="Arial" w:eastAsia="Times New Roman" w:hAnsi="Arial"/>
          <w:sz w:val="24"/>
        </w:rPr>
        <w:t xml:space="preserve">The global move to sustainable mobility has radically reformed the automotive sector, with the electric vehicle (EV) sector being one of the most strategically important and fast developing industries of the twenty-first century (International Energy Agency, 2025). The country of the United Arab Emirates (UAE) is one of the most interesting research settings to investigate this change, as the country has an ambitious vision of </w:t>
      </w:r>
      <w:r w:rsidR="005750FE" w:rsidRPr="00CC3B40">
        <w:rPr>
          <w:rFonts w:ascii="Arial" w:eastAsia="Times New Roman" w:hAnsi="Arial"/>
          <w:sz w:val="24"/>
        </w:rPr>
        <w:t>‘</w:t>
      </w:r>
      <w:r w:rsidRPr="00CC3B40">
        <w:rPr>
          <w:rFonts w:ascii="Arial" w:eastAsia="Times New Roman" w:hAnsi="Arial"/>
          <w:sz w:val="24"/>
        </w:rPr>
        <w:t>We the UAE 2031</w:t>
      </w:r>
      <w:r w:rsidR="005750FE" w:rsidRPr="00CC3B40">
        <w:rPr>
          <w:rFonts w:ascii="Arial" w:eastAsia="Times New Roman" w:hAnsi="Arial"/>
          <w:sz w:val="24"/>
        </w:rPr>
        <w:t>’</w:t>
      </w:r>
      <w:r w:rsidRPr="00CC3B40">
        <w:rPr>
          <w:rFonts w:ascii="Arial" w:eastAsia="Times New Roman" w:hAnsi="Arial"/>
          <w:sz w:val="24"/>
        </w:rPr>
        <w:t>, a strategy to diversify its economy beyond a hydrocarbon dependence, and a location on the global trad</w:t>
      </w:r>
      <w:r w:rsidR="002A706F" w:rsidRPr="00CC3B40">
        <w:rPr>
          <w:rFonts w:ascii="Arial" w:eastAsia="Times New Roman" w:hAnsi="Arial"/>
          <w:sz w:val="24"/>
        </w:rPr>
        <w:t xml:space="preserve">e routes (UAE Government, 2025). Although the UAE has neither the factor nor demand conditions for domestic EV production, its superior demand conditions, active government policies and tax breaks make it an ideal destination for foreign EV manufacturers, especially luxury brands such as Tesla that can capitalise on the UAE's status-seeking culture. </w:t>
      </w:r>
    </w:p>
    <w:p w:rsidR="00D10304" w:rsidRPr="00CC3B40" w:rsidRDefault="006F3CC3" w:rsidP="006F3CC3">
      <w:pPr>
        <w:spacing w:before="120" w:after="120" w:line="360" w:lineRule="auto"/>
        <w:rPr>
          <w:rFonts w:ascii="Arial" w:eastAsia="Times New Roman" w:hAnsi="Arial"/>
          <w:sz w:val="24"/>
        </w:rPr>
      </w:pPr>
      <w:r w:rsidRPr="00CC3B40">
        <w:rPr>
          <w:rFonts w:ascii="Arial" w:eastAsia="Times New Roman" w:hAnsi="Arial"/>
          <w:sz w:val="24"/>
        </w:rPr>
        <w:t>This report examines the UAE EV industry based on two complementary theoretical perspectives. The first one is that it employs the Diamond Model of National Advantage introduced by Porter (1990) to evaluate the structural competitiveness of the UAE as the host market of EV. Second, it critically assesses the political, economic, legal, and cultural (PELC) environment, which Tesla Inc. as a large foreign multinational corporation (MNC) has to operate in (within the framework of the specified environment). The analysis is based on a variety of peer-reviewed scholarly publications, institutional reports, and up-to-date empirical information to guarantee both theoretical soundness and practical applicability</w:t>
      </w:r>
      <w:r w:rsidR="00660B4A" w:rsidRPr="00CC3B40">
        <w:rPr>
          <w:rFonts w:ascii="Arial" w:eastAsia="Times New Roman" w:hAnsi="Arial"/>
          <w:sz w:val="24"/>
        </w:rPr>
        <w:t>.</w:t>
      </w:r>
      <w:r w:rsidR="00D6720D" w:rsidRPr="00CC3B40">
        <w:rPr>
          <w:rFonts w:ascii="Arial" w:eastAsia="Times New Roman" w:hAnsi="Arial"/>
          <w:sz w:val="24"/>
        </w:rPr>
        <w:t xml:space="preserve"> </w:t>
      </w:r>
    </w:p>
    <w:p w:rsidR="00660B4A" w:rsidRPr="00CC3B40" w:rsidRDefault="00660B4A" w:rsidP="00FA6480">
      <w:pPr>
        <w:pStyle w:val="Heading2"/>
      </w:pPr>
      <w:bookmarkStart w:id="2" w:name="_Toc228156636"/>
      <w:r w:rsidRPr="00CC3B40">
        <w:t>2. Industry and Country Overview</w:t>
      </w:r>
      <w:bookmarkEnd w:id="2"/>
    </w:p>
    <w:p w:rsidR="00660B4A" w:rsidRPr="00CC3B40" w:rsidRDefault="00AF2CA1" w:rsidP="00AF2CA1">
      <w:pPr>
        <w:pStyle w:val="Heading3"/>
      </w:pPr>
      <w:bookmarkStart w:id="3" w:name="_Toc228156637"/>
      <w:r w:rsidRPr="00CC3B40">
        <w:t xml:space="preserve">2.1 </w:t>
      </w:r>
      <w:r w:rsidR="00660B4A" w:rsidRPr="00CC3B40">
        <w:t>The Electric Vehicle Industry in the UAE</w:t>
      </w:r>
      <w:bookmarkEnd w:id="3"/>
    </w:p>
    <w:p w:rsidR="00E6448B" w:rsidRPr="00CC3B40" w:rsidRDefault="00D14B43" w:rsidP="00E6448B">
      <w:pPr>
        <w:spacing w:before="120" w:after="120" w:line="360" w:lineRule="auto"/>
        <w:rPr>
          <w:rFonts w:ascii="Arial" w:eastAsia="Times New Roman" w:hAnsi="Arial"/>
          <w:sz w:val="24"/>
        </w:rPr>
      </w:pPr>
      <w:r w:rsidRPr="00CC3B40">
        <w:rPr>
          <w:rFonts w:ascii="Arial" w:eastAsia="Times New Roman" w:hAnsi="Arial"/>
          <w:sz w:val="24"/>
        </w:rPr>
        <w:t>The UAE is occupied with a special place in the world's EV history. The transition to sustainable energy and transport is both an economic as well as an ideological move given the fact that UAE is an OPEC oil exporter country and used to heavily depend on oil revenues. The federal government is keen to achieve ne</w:t>
      </w:r>
      <w:r w:rsidR="005750FE" w:rsidRPr="00CC3B40">
        <w:rPr>
          <w:rFonts w:ascii="Arial" w:eastAsia="Times New Roman" w:hAnsi="Arial"/>
          <w:sz w:val="24"/>
        </w:rPr>
        <w:t xml:space="preserve">t zero carbon emission by 2050 </w:t>
      </w:r>
      <w:r w:rsidRPr="00CC3B40">
        <w:rPr>
          <w:rFonts w:ascii="Arial" w:eastAsia="Times New Roman" w:hAnsi="Arial"/>
          <w:sz w:val="24"/>
        </w:rPr>
        <w:t xml:space="preserve">(International Energy Agency, 2023). The National Climate Change Plan and the </w:t>
      </w:r>
      <w:r w:rsidRPr="00CC3B40">
        <w:rPr>
          <w:rFonts w:ascii="Arial" w:eastAsia="Times New Roman" w:hAnsi="Arial"/>
          <w:sz w:val="24"/>
        </w:rPr>
        <w:lastRenderedPageBreak/>
        <w:t>UAE Energy Strategy 2050 that expect the 44 per cent energy consumption reduction and the revolutionary increase in renewable energy production is the policy framework in which the EV market will operate (UAE Ministry of Energy and Infrastructure, 2022)</w:t>
      </w:r>
      <w:r w:rsidR="00E6448B" w:rsidRPr="00CC3B40">
        <w:rPr>
          <w:rFonts w:ascii="Arial" w:eastAsia="Times New Roman" w:hAnsi="Arial"/>
          <w:sz w:val="24"/>
        </w:rPr>
        <w:t>.</w:t>
      </w:r>
    </w:p>
    <w:p w:rsidR="00660B4A" w:rsidRPr="00CC3B40" w:rsidRDefault="00D14B43" w:rsidP="00E6448B">
      <w:pPr>
        <w:spacing w:before="120" w:after="120" w:line="360" w:lineRule="auto"/>
        <w:rPr>
          <w:rFonts w:ascii="Arial" w:hAnsi="Arial"/>
          <w:sz w:val="24"/>
        </w:rPr>
      </w:pPr>
      <w:r w:rsidRPr="00CC3B40">
        <w:rPr>
          <w:rFonts w:ascii="Arial" w:eastAsia="Times New Roman" w:hAnsi="Arial"/>
          <w:sz w:val="24"/>
        </w:rPr>
        <w:t>While the UAE EV market is still in its infancy compared to the mature markets, such as China, Germany or Norway, it has be</w:t>
      </w:r>
      <w:r w:rsidR="00FA6480" w:rsidRPr="00CC3B40">
        <w:rPr>
          <w:rFonts w:ascii="Arial" w:eastAsia="Times New Roman" w:hAnsi="Arial"/>
          <w:sz w:val="24"/>
        </w:rPr>
        <w:t>en growing in a positive manner</w:t>
      </w:r>
      <w:r w:rsidRPr="00CC3B40">
        <w:rPr>
          <w:rFonts w:ascii="Arial" w:eastAsia="Times New Roman" w:hAnsi="Arial"/>
          <w:sz w:val="24"/>
        </w:rPr>
        <w:t>. The Green Mobility Initiative of Dubai's Roads and Transport Authority (RTA) that aims to reach 42 per cent of clean and smart transport by 2030 is a direct driver of the EV market by providing the framework (Roads and Transport Authority, 2023). The UAE is a profitable and strategic market for EVs not only because of the combination of high per capita household income, large expatriate community with high purchasing power, as well as pro-policy attitude of the government</w:t>
      </w:r>
      <w:r w:rsidR="00660B4A" w:rsidRPr="00CC3B40">
        <w:rPr>
          <w:rFonts w:ascii="Arial" w:eastAsia="Times New Roman" w:hAnsi="Arial"/>
          <w:sz w:val="24"/>
        </w:rPr>
        <w:t>.</w:t>
      </w:r>
    </w:p>
    <w:p w:rsidR="00660B4A" w:rsidRPr="00CC3B40" w:rsidRDefault="00AF2CA1" w:rsidP="004339E6">
      <w:pPr>
        <w:pStyle w:val="Heading3"/>
      </w:pPr>
      <w:bookmarkStart w:id="4" w:name="_Toc228156638"/>
      <w:r w:rsidRPr="00CC3B40">
        <w:t xml:space="preserve">2.2 </w:t>
      </w:r>
      <w:r w:rsidR="00660B4A" w:rsidRPr="00CC3B40">
        <w:t>Size, Scope, and Economic Importance</w:t>
      </w:r>
      <w:bookmarkEnd w:id="4"/>
    </w:p>
    <w:p w:rsidR="00660B4A" w:rsidRPr="00CC3B40" w:rsidRDefault="00A93CDF" w:rsidP="00E6448B">
      <w:pPr>
        <w:spacing w:before="120" w:after="120" w:line="360" w:lineRule="auto"/>
        <w:rPr>
          <w:rFonts w:ascii="Arial" w:hAnsi="Arial"/>
          <w:sz w:val="24"/>
        </w:rPr>
      </w:pPr>
      <w:r w:rsidRPr="00CC3B40">
        <w:rPr>
          <w:rFonts w:ascii="Arial" w:eastAsia="Times New Roman" w:hAnsi="Arial"/>
          <w:sz w:val="24"/>
        </w:rPr>
        <w:t>The UAE car market, both conventional internal combustion engine (ICE) and electric cars are the biggest per-capita in the world. Segment of electric vehicles (EV) has been growing faster than the market. The actual UAE hybrid and electric vehicle market size in 2025 was USD 3.16 billion, and this growth is a compound annual growth rate (CAGR) much higher than the expected growth, according to Mordor Intelligence (2026). New market size 2021-2030 is outlined on Table 1</w:t>
      </w:r>
      <w:r w:rsidR="00660B4A" w:rsidRPr="00CC3B40">
        <w:rPr>
          <w:rFonts w:ascii="Arial" w:eastAsia="Times New Roman" w:hAnsi="Arial"/>
          <w:sz w:val="24"/>
        </w:rPr>
        <w:t>.</w:t>
      </w:r>
    </w:p>
    <w:tbl>
      <w:tblPr>
        <w:tblW w:w="9026"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0"/>
        <w:gridCol w:w="2000"/>
        <w:gridCol w:w="2200"/>
        <w:gridCol w:w="3426"/>
      </w:tblGrid>
      <w:tr w:rsidR="00660B4A" w:rsidRPr="00CC3B40" w:rsidTr="00B9139B">
        <w:tc>
          <w:tcPr>
            <w:tcW w:w="1400" w:type="dxa"/>
            <w:tcBorders>
              <w:top w:val="single" w:sz="4" w:space="0" w:color="AAAAAA"/>
              <w:left w:val="single" w:sz="4" w:space="0" w:color="AAAAAA"/>
              <w:bottom w:val="single" w:sz="4" w:space="0" w:color="AAAAAA"/>
              <w:right w:val="single" w:sz="4" w:space="0" w:color="AAAAAA"/>
            </w:tcBorders>
            <w:shd w:val="clear" w:color="auto" w:fill="404040" w:themeFill="text1" w:themeFillTint="B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Year</w:t>
            </w:r>
          </w:p>
        </w:tc>
        <w:tc>
          <w:tcPr>
            <w:tcW w:w="2000" w:type="dxa"/>
            <w:tcBorders>
              <w:top w:val="single" w:sz="4" w:space="0" w:color="AAAAAA"/>
              <w:left w:val="single" w:sz="4" w:space="0" w:color="AAAAAA"/>
              <w:bottom w:val="single" w:sz="4" w:space="0" w:color="AAAAAA"/>
              <w:right w:val="single" w:sz="4" w:space="0" w:color="AAAAAA"/>
            </w:tcBorders>
            <w:shd w:val="clear" w:color="auto" w:fill="404040" w:themeFill="text1" w:themeFillTint="B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Market Size (USD Mn)</w:t>
            </w:r>
          </w:p>
        </w:tc>
        <w:tc>
          <w:tcPr>
            <w:tcW w:w="2200" w:type="dxa"/>
            <w:tcBorders>
              <w:top w:val="single" w:sz="4" w:space="0" w:color="AAAAAA"/>
              <w:left w:val="single" w:sz="4" w:space="0" w:color="AAAAAA"/>
              <w:bottom w:val="single" w:sz="4" w:space="0" w:color="AAAAAA"/>
              <w:right w:val="single" w:sz="4" w:space="0" w:color="AAAAAA"/>
            </w:tcBorders>
            <w:shd w:val="clear" w:color="auto" w:fill="404040" w:themeFill="text1" w:themeFillTint="B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Indexed Growth (2021=100)</w:t>
            </w:r>
          </w:p>
        </w:tc>
        <w:tc>
          <w:tcPr>
            <w:tcW w:w="3426" w:type="dxa"/>
            <w:tcBorders>
              <w:top w:val="single" w:sz="4" w:space="0" w:color="AAAAAA"/>
              <w:left w:val="single" w:sz="4" w:space="0" w:color="AAAAAA"/>
              <w:bottom w:val="single" w:sz="4" w:space="0" w:color="AAAAAA"/>
              <w:right w:val="single" w:sz="4" w:space="0" w:color="AAAAAA"/>
            </w:tcBorders>
            <w:shd w:val="clear" w:color="auto" w:fill="404040" w:themeFill="text1" w:themeFillTint="B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Notes / Source</w:t>
            </w:r>
          </w:p>
        </w:tc>
      </w:tr>
      <w:tr w:rsidR="00660B4A" w:rsidRPr="00CC3B40" w:rsidTr="00AF2CA1">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2021</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~700</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100</w:t>
            </w:r>
          </w:p>
        </w:tc>
        <w:tc>
          <w:tcPr>
            <w:tcW w:w="34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Base year (EY, 2022)</w:t>
            </w:r>
          </w:p>
        </w:tc>
      </w:tr>
      <w:tr w:rsidR="00660B4A" w:rsidRPr="00CC3B40" w:rsidTr="00AF2CA1">
        <w:tc>
          <w:tcPr>
            <w:tcW w:w="14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2024 (actual)</w:t>
            </w:r>
          </w:p>
        </w:tc>
        <w:tc>
          <w:tcPr>
            <w:tcW w:w="20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2,221</w:t>
            </w:r>
          </w:p>
        </w:tc>
        <w:tc>
          <w:tcPr>
            <w:tcW w:w="22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317</w:t>
            </w:r>
          </w:p>
        </w:tc>
        <w:tc>
          <w:tcPr>
            <w:tcW w:w="3426"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Grand View Research (2026)</w:t>
            </w:r>
          </w:p>
        </w:tc>
      </w:tr>
      <w:tr w:rsidR="00660B4A" w:rsidRPr="00CC3B40" w:rsidTr="00AF2CA1">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2025 (actual)</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3,160</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451</w:t>
            </w:r>
          </w:p>
        </w:tc>
        <w:tc>
          <w:tcPr>
            <w:tcW w:w="34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Mordor Intelligence (2026)</w:t>
            </w:r>
          </w:p>
        </w:tc>
      </w:tr>
      <w:tr w:rsidR="00660B4A" w:rsidRPr="00CC3B40" w:rsidTr="00AF2CA1">
        <w:tc>
          <w:tcPr>
            <w:tcW w:w="14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lastRenderedPageBreak/>
              <w:t>2026 (proj.)</w:t>
            </w:r>
          </w:p>
        </w:tc>
        <w:tc>
          <w:tcPr>
            <w:tcW w:w="20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3,840</w:t>
            </w:r>
          </w:p>
        </w:tc>
        <w:tc>
          <w:tcPr>
            <w:tcW w:w="22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549</w:t>
            </w:r>
          </w:p>
        </w:tc>
        <w:tc>
          <w:tcPr>
            <w:tcW w:w="3426"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Mordor Intelligence (2026)</w:t>
            </w:r>
          </w:p>
        </w:tc>
      </w:tr>
      <w:tr w:rsidR="00660B4A" w:rsidRPr="00CC3B40" w:rsidTr="00AF2CA1">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2030 (proj.)</w:t>
            </w:r>
          </w:p>
        </w:tc>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10,210</w:t>
            </w:r>
          </w:p>
        </w:tc>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1,459</w:t>
            </w:r>
          </w:p>
        </w:tc>
        <w:tc>
          <w:tcPr>
            <w:tcW w:w="34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Mordor Intelligence (21.5% CAGR)</w:t>
            </w:r>
          </w:p>
        </w:tc>
      </w:tr>
    </w:tbl>
    <w:p w:rsidR="00660B4A" w:rsidRPr="00CC3B40" w:rsidRDefault="00660B4A" w:rsidP="00660B4A">
      <w:pPr>
        <w:spacing w:before="60" w:after="160" w:line="360" w:lineRule="auto"/>
        <w:jc w:val="center"/>
        <w:rPr>
          <w:rFonts w:ascii="Arial" w:hAnsi="Arial"/>
          <w:sz w:val="24"/>
        </w:rPr>
      </w:pPr>
      <w:r w:rsidRPr="00CC3B40">
        <w:rPr>
          <w:rFonts w:ascii="Arial" w:eastAsia="Times New Roman" w:hAnsi="Arial"/>
          <w:i/>
          <w:iCs/>
          <w:color w:val="000000"/>
          <w:sz w:val="24"/>
        </w:rPr>
        <w:t>Table 1: UAE EV Market Size Forecast 2021–2030 (updated 2026). Source: Derived from Ernst and Young (2022), Grand View Research (2026), and Mordor Intelligence (2026).</w:t>
      </w:r>
    </w:p>
    <w:p w:rsidR="007042FB" w:rsidRPr="007042FB" w:rsidRDefault="00995BA1" w:rsidP="007042FB">
      <w:pPr>
        <w:spacing w:before="120" w:after="120" w:line="360" w:lineRule="auto"/>
        <w:rPr>
          <w:rFonts w:ascii="Arial" w:eastAsia="Times New Roman" w:hAnsi="Arial"/>
          <w:sz w:val="24"/>
        </w:rPr>
      </w:pPr>
      <w:r w:rsidRPr="00995BA1">
        <w:rPr>
          <w:rFonts w:ascii="Arial" w:eastAsia="Times New Roman" w:hAnsi="Arial"/>
          <w:sz w:val="24"/>
        </w:rPr>
        <w:t xml:space="preserve">The UAE EV market is part of its smart city strategy, as outlined in the Dubai Smart City and Abu Dhabi Plan 2030 to build an integrated system of electric mobility, self-driving vehicles and smart transportation. </w:t>
      </w:r>
      <w:r w:rsidR="007042FB" w:rsidRPr="007042FB">
        <w:rPr>
          <w:rFonts w:ascii="Arial" w:eastAsia="Times New Roman" w:hAnsi="Arial"/>
          <w:sz w:val="24"/>
        </w:rPr>
        <w:t>The planned deployment of more than 1,000 EV charging points by 2025 (Roads and Transport Authority, 2023) will support downstream industries such as renewables and logistics to spur economic diversification.</w:t>
      </w:r>
    </w:p>
    <w:p w:rsidR="00FA6480" w:rsidRPr="00CC3B40" w:rsidRDefault="007042FB" w:rsidP="007042FB">
      <w:pPr>
        <w:spacing w:before="120" w:after="120" w:line="360" w:lineRule="auto"/>
        <w:rPr>
          <w:rFonts w:ascii="Arial" w:hAnsi="Arial"/>
          <w:sz w:val="24"/>
        </w:rPr>
      </w:pPr>
      <w:r w:rsidRPr="007042FB">
        <w:rPr>
          <w:rFonts w:ascii="Arial" w:eastAsia="Times New Roman" w:hAnsi="Arial"/>
          <w:sz w:val="24"/>
        </w:rPr>
        <w:t>Despite being less mature than Norway, where plug-in EV sales are above 82% of new EV sales in 2015 with high incentives and infrastructure (International Energy Agency, 2025), the UAE EV market is still promising</w:t>
      </w:r>
      <w:r>
        <w:rPr>
          <w:rFonts w:ascii="Arial" w:eastAsia="Times New Roman" w:hAnsi="Arial"/>
          <w:sz w:val="24"/>
        </w:rPr>
        <w:t>.</w:t>
      </w:r>
      <w:r w:rsidR="00995BA1" w:rsidRPr="00995BA1">
        <w:rPr>
          <w:rFonts w:ascii="Arial" w:eastAsia="Times New Roman" w:hAnsi="Arial"/>
          <w:sz w:val="24"/>
        </w:rPr>
        <w:t xml:space="preserve"> In conclusion, the UAE is a high growth, high margin EV niche market, not a saturated market</w:t>
      </w:r>
      <w:r w:rsidR="00FA6480" w:rsidRPr="00CC3B40">
        <w:rPr>
          <w:rFonts w:ascii="Arial" w:hAnsi="Arial"/>
          <w:sz w:val="24"/>
        </w:rPr>
        <w:t>.</w:t>
      </w:r>
    </w:p>
    <w:p w:rsidR="00660B4A" w:rsidRPr="00CC3B40" w:rsidRDefault="00AF2CA1" w:rsidP="00AF2CA1">
      <w:pPr>
        <w:pStyle w:val="Heading3"/>
      </w:pPr>
      <w:bookmarkStart w:id="5" w:name="_Toc228156639"/>
      <w:r w:rsidRPr="00CC3B40">
        <w:t xml:space="preserve">2.3 </w:t>
      </w:r>
      <w:r w:rsidR="00660B4A" w:rsidRPr="00CC3B40">
        <w:t>Major Firms: Domestic and Multinational Players</w:t>
      </w:r>
      <w:bookmarkEnd w:id="5"/>
    </w:p>
    <w:p w:rsidR="00660B4A" w:rsidRPr="00CC3B40" w:rsidRDefault="00E6448B" w:rsidP="00E6448B">
      <w:pPr>
        <w:spacing w:before="120" w:after="120" w:line="360" w:lineRule="auto"/>
        <w:rPr>
          <w:rFonts w:ascii="Arial" w:hAnsi="Arial"/>
          <w:sz w:val="24"/>
        </w:rPr>
      </w:pPr>
      <w:r w:rsidRPr="00CC3B40">
        <w:rPr>
          <w:rFonts w:ascii="Arial" w:eastAsia="Times New Roman" w:hAnsi="Arial"/>
          <w:sz w:val="24"/>
        </w:rPr>
        <w:t>The multinational dominance and the lack of any significant domestic manufacturing capacity characterises the UAE EV market. Tesla Inc. has the largest premium EV segment estimated to be 36 per cent in 2025 and its success is largely due to the Model Y, Model 3, and Model S</w:t>
      </w:r>
      <w:r w:rsidR="00660B4A" w:rsidRPr="00CC3B40">
        <w:rPr>
          <w:rFonts w:ascii="Arial" w:eastAsia="Times New Roman" w:hAnsi="Arial"/>
          <w:sz w:val="24"/>
        </w:rPr>
        <w:t>. Table 2 maps the competitive positioning of the primary players across market segments.</w:t>
      </w:r>
    </w:p>
    <w:tbl>
      <w:tblPr>
        <w:tblW w:w="9026"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1600"/>
        <w:gridCol w:w="1600"/>
        <w:gridCol w:w="3826"/>
      </w:tblGrid>
      <w:tr w:rsidR="00660B4A" w:rsidRPr="00CC3B40" w:rsidTr="00B9139B">
        <w:tc>
          <w:tcPr>
            <w:tcW w:w="2000" w:type="dxa"/>
            <w:tcBorders>
              <w:top w:val="single" w:sz="4" w:space="0" w:color="AAAAAA"/>
              <w:left w:val="single" w:sz="4" w:space="0" w:color="AAAAAA"/>
              <w:bottom w:val="single" w:sz="4" w:space="0" w:color="AAAAAA"/>
              <w:right w:val="single" w:sz="4" w:space="0" w:color="AAAAAA"/>
            </w:tcBorders>
            <w:shd w:val="clear" w:color="auto" w:fill="538135" w:themeFill="accent6" w:themeFillShade="B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Brand / Group</w:t>
            </w:r>
          </w:p>
        </w:tc>
        <w:tc>
          <w:tcPr>
            <w:tcW w:w="1600" w:type="dxa"/>
            <w:tcBorders>
              <w:top w:val="single" w:sz="4" w:space="0" w:color="AAAAAA"/>
              <w:left w:val="single" w:sz="4" w:space="0" w:color="AAAAAA"/>
              <w:bottom w:val="single" w:sz="4" w:space="0" w:color="AAAAAA"/>
              <w:right w:val="single" w:sz="4" w:space="0" w:color="AAAAAA"/>
            </w:tcBorders>
            <w:shd w:val="clear" w:color="auto" w:fill="538135" w:themeFill="accent6" w:themeFillShade="B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Est. Market Share (2025)</w:t>
            </w:r>
          </w:p>
        </w:tc>
        <w:tc>
          <w:tcPr>
            <w:tcW w:w="1600" w:type="dxa"/>
            <w:tcBorders>
              <w:top w:val="single" w:sz="4" w:space="0" w:color="AAAAAA"/>
              <w:left w:val="single" w:sz="4" w:space="0" w:color="AAAAAA"/>
              <w:bottom w:val="single" w:sz="4" w:space="0" w:color="AAAAAA"/>
              <w:right w:val="single" w:sz="4" w:space="0" w:color="AAAAAA"/>
            </w:tcBorders>
            <w:shd w:val="clear" w:color="auto" w:fill="538135" w:themeFill="accent6" w:themeFillShade="B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Segment</w:t>
            </w:r>
          </w:p>
        </w:tc>
        <w:tc>
          <w:tcPr>
            <w:tcW w:w="3826" w:type="dxa"/>
            <w:tcBorders>
              <w:top w:val="single" w:sz="4" w:space="0" w:color="AAAAAA"/>
              <w:left w:val="single" w:sz="4" w:space="0" w:color="AAAAAA"/>
              <w:bottom w:val="single" w:sz="4" w:space="0" w:color="AAAAAA"/>
              <w:right w:val="single" w:sz="4" w:space="0" w:color="AAAAAA"/>
            </w:tcBorders>
            <w:shd w:val="clear" w:color="auto" w:fill="538135" w:themeFill="accent6" w:themeFillShade="B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Competitive Basis</w:t>
            </w:r>
          </w:p>
        </w:tc>
      </w:tr>
      <w:tr w:rsidR="00660B4A" w:rsidRPr="00CC3B40" w:rsidTr="00AF2CA1">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Cs/>
                <w:color w:val="000000"/>
                <w:sz w:val="24"/>
              </w:rPr>
              <w:lastRenderedPageBreak/>
              <w:t>Tesla Inc.</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~36%</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Premium</w:t>
            </w:r>
          </w:p>
        </w:tc>
        <w:tc>
          <w:tcPr>
            <w:tcW w:w="38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Direct sales, software leadership, Model Y/3 dominance</w:t>
            </w:r>
          </w:p>
        </w:tc>
      </w:tr>
      <w:tr w:rsidR="00660B4A" w:rsidRPr="00CC3B40" w:rsidTr="00AF2CA1">
        <w:tc>
          <w:tcPr>
            <w:tcW w:w="20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BMW / Audi / Mercedes-Benz</w:t>
            </w:r>
          </w:p>
        </w:tc>
        <w:tc>
          <w:tcPr>
            <w:tcW w:w="16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~20–25%</w:t>
            </w:r>
          </w:p>
        </w:tc>
        <w:tc>
          <w:tcPr>
            <w:tcW w:w="16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Premium</w:t>
            </w:r>
          </w:p>
        </w:tc>
        <w:tc>
          <w:tcPr>
            <w:tcW w:w="3826"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Dealership network, brand heritage, electrified flagships</w:t>
            </w:r>
          </w:p>
        </w:tc>
      </w:tr>
      <w:tr w:rsidR="00660B4A" w:rsidRPr="00CC3B40" w:rsidTr="00AF2CA1">
        <w:tc>
          <w:tcPr>
            <w:tcW w:w="2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BYD / Chinese OEMs</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~20–22%</w:t>
            </w:r>
          </w:p>
        </w:tc>
        <w:tc>
          <w:tcPr>
            <w:tcW w:w="16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Mid-premium</w:t>
            </w:r>
          </w:p>
        </w:tc>
        <w:tc>
          <w:tcPr>
            <w:tcW w:w="38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Competitive pricing, Al-Futtaim network, rapid market growth</w:t>
            </w:r>
          </w:p>
        </w:tc>
      </w:tr>
      <w:tr w:rsidR="00660B4A" w:rsidRPr="00CC3B40" w:rsidTr="00AF2CA1">
        <w:tc>
          <w:tcPr>
            <w:tcW w:w="20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Hyundai / Kia / others</w:t>
            </w:r>
          </w:p>
        </w:tc>
        <w:tc>
          <w:tcPr>
            <w:tcW w:w="16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~17–20%</w:t>
            </w:r>
          </w:p>
        </w:tc>
        <w:tc>
          <w:tcPr>
            <w:tcW w:w="16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Mass / mid</w:t>
            </w:r>
          </w:p>
        </w:tc>
        <w:tc>
          <w:tcPr>
            <w:tcW w:w="3826"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Affordability, broader retail reach</w:t>
            </w:r>
          </w:p>
        </w:tc>
      </w:tr>
    </w:tbl>
    <w:p w:rsidR="00660B4A" w:rsidRPr="00CC3B40" w:rsidRDefault="00660B4A" w:rsidP="00660B4A">
      <w:pPr>
        <w:spacing w:before="60" w:after="160" w:line="360" w:lineRule="auto"/>
        <w:jc w:val="center"/>
        <w:rPr>
          <w:rFonts w:ascii="Arial" w:hAnsi="Arial"/>
          <w:sz w:val="24"/>
        </w:rPr>
      </w:pPr>
      <w:r w:rsidRPr="00CC3B40">
        <w:rPr>
          <w:rFonts w:ascii="Arial" w:eastAsia="Times New Roman" w:hAnsi="Arial"/>
          <w:i/>
          <w:iCs/>
          <w:color w:val="000000"/>
          <w:sz w:val="24"/>
        </w:rPr>
        <w:t>Table 2: Estimated Competitive Positioning of Major EV Brands in the UAE (2025). Source: Illustrative estimates based on Mordor Intelligence (2026) and Focus2Move (2026). Precise market share data for the UAE are not publicly disclosed by manufacturers.</w:t>
      </w:r>
    </w:p>
    <w:p w:rsidR="00660B4A" w:rsidRPr="00CC3B40" w:rsidRDefault="00995BA1" w:rsidP="00660B4A">
      <w:pPr>
        <w:spacing w:before="120" w:after="120" w:line="360" w:lineRule="auto"/>
        <w:rPr>
          <w:rFonts w:ascii="Arial" w:hAnsi="Arial"/>
          <w:sz w:val="24"/>
        </w:rPr>
      </w:pPr>
      <w:r w:rsidRPr="00995BA1">
        <w:rPr>
          <w:rFonts w:ascii="Arial" w:hAnsi="Arial"/>
          <w:color w:val="0F1115"/>
          <w:sz w:val="24"/>
          <w:shd w:val="clear" w:color="auto" w:fill="FFFFFF"/>
        </w:rPr>
        <w:t>In the UAE, Tesla employs a direct-sales model with company-owned stores (Tesla, 2023), whereas European competitors have dealerships; Chinese EV-maker BYD competes on price and a retail and after-sales partnership with Al-Futtaim Motors (Al-Futtaim Group, 2023), and the UAE has no local EV manufacturer, but invests internationally through sovereign funds such as Mubadala</w:t>
      </w:r>
      <w:r w:rsidR="00660B4A" w:rsidRPr="00CC3B40">
        <w:rPr>
          <w:rFonts w:ascii="Arial" w:eastAsia="Times New Roman" w:hAnsi="Arial"/>
          <w:sz w:val="24"/>
        </w:rPr>
        <w:t>.</w:t>
      </w:r>
    </w:p>
    <w:p w:rsidR="00660B4A" w:rsidRPr="00CC3B40" w:rsidRDefault="00660B4A" w:rsidP="00FA6480">
      <w:pPr>
        <w:pStyle w:val="Heading2"/>
      </w:pPr>
      <w:bookmarkStart w:id="6" w:name="_Toc228156640"/>
      <w:r w:rsidRPr="00CC3B40">
        <w:t>3. Porter's Diamond Model of National Advantage Applied to the UAE EV Industry</w:t>
      </w:r>
      <w:bookmarkEnd w:id="6"/>
    </w:p>
    <w:p w:rsidR="00660B4A" w:rsidRPr="00CC3B40" w:rsidRDefault="00E6448B" w:rsidP="00660B4A">
      <w:pPr>
        <w:spacing w:before="120" w:after="120" w:line="360" w:lineRule="auto"/>
        <w:rPr>
          <w:rFonts w:ascii="Arial" w:hAnsi="Arial"/>
          <w:sz w:val="24"/>
        </w:rPr>
      </w:pPr>
      <w:r w:rsidRPr="00CC3B40">
        <w:rPr>
          <w:rFonts w:ascii="Arial" w:eastAsia="Times New Roman" w:hAnsi="Arial"/>
          <w:sz w:val="24"/>
        </w:rPr>
        <w:t>The Diamond Model of National Advantage was developed by Por</w:t>
      </w:r>
      <w:r w:rsidR="005750FE" w:rsidRPr="00CC3B40">
        <w:rPr>
          <w:rFonts w:ascii="Arial" w:eastAsia="Times New Roman" w:hAnsi="Arial"/>
          <w:sz w:val="24"/>
        </w:rPr>
        <w:t>ter (1990) to offer a robust</w:t>
      </w:r>
      <w:r w:rsidRPr="00CC3B40">
        <w:rPr>
          <w:rFonts w:ascii="Arial" w:eastAsia="Times New Roman" w:hAnsi="Arial"/>
          <w:sz w:val="24"/>
        </w:rPr>
        <w:t xml:space="preserve"> analytical framework of how nations can become competitive in the international arena in regard to selected areas. The model proposes four determinants that are more or less intertwined including factor conditions, demand conditions, related and supportive industries, and firm strategy, structure and rivalry, complemented by the roles of government and chance. When applied to the EV sector of the UAE, the framework shows a complex image of structural advantages and high competitive limitations</w:t>
      </w:r>
      <w:r w:rsidR="00660B4A" w:rsidRPr="00CC3B40">
        <w:rPr>
          <w:rFonts w:ascii="Arial" w:eastAsia="Times New Roman" w:hAnsi="Arial"/>
          <w:sz w:val="24"/>
        </w:rPr>
        <w:t>.</w:t>
      </w:r>
    </w:p>
    <w:p w:rsidR="00660B4A" w:rsidRPr="00CC3B40" w:rsidRDefault="00AF2CA1" w:rsidP="00AF2CA1">
      <w:pPr>
        <w:pStyle w:val="Heading3"/>
      </w:pPr>
      <w:bookmarkStart w:id="7" w:name="_Toc228156641"/>
      <w:r w:rsidRPr="00CC3B40">
        <w:lastRenderedPageBreak/>
        <w:t xml:space="preserve">3.1 </w:t>
      </w:r>
      <w:r w:rsidR="00660B4A" w:rsidRPr="00CC3B40">
        <w:t>Factor Conditions</w:t>
      </w:r>
      <w:bookmarkEnd w:id="7"/>
    </w:p>
    <w:p w:rsidR="00660B4A" w:rsidRPr="00CC3B40" w:rsidRDefault="005750FE" w:rsidP="00E6448B">
      <w:pPr>
        <w:spacing w:before="120" w:after="120" w:line="360" w:lineRule="auto"/>
        <w:rPr>
          <w:rFonts w:ascii="Arial" w:hAnsi="Arial"/>
          <w:sz w:val="24"/>
        </w:rPr>
      </w:pPr>
      <w:r w:rsidRPr="00CC3B40">
        <w:rPr>
          <w:rFonts w:ascii="Arial" w:eastAsia="Times New Roman" w:hAnsi="Arial"/>
          <w:sz w:val="24"/>
        </w:rPr>
        <w:t>Porter (1990) describes the difference between basic factors (e.g. natural resources and low-skilled labour) and advanced factors (e.g. knowledge base, skills, and R&amp;D) in this respect, the UAE is a paradox. On the one hand, it has abundant financial capital, superior physical infrastructure and a superior ICT infrastructure, all of which are advanced factors enabling EV adoption and related digital services. The UAE boasts one of the best telecommunications infrastructure systems in the world, supporting the data connections needed to support EV telematics, software upgrades and smart charging (World Economic Forum, 2023). This is captured well in Table 3</w:t>
      </w:r>
      <w:r w:rsidR="00660B4A" w:rsidRPr="00CC3B40">
        <w:rPr>
          <w:rFonts w:ascii="Arial" w:eastAsia="Times New Roman" w:hAnsi="Arial"/>
          <w:sz w:val="24"/>
        </w:rPr>
        <w:t>. This structural duality is summarised in Table 3.</w:t>
      </w:r>
    </w:p>
    <w:tbl>
      <w:tblPr>
        <w:tblW w:w="9026"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660B4A" w:rsidRPr="00CC3B40" w:rsidTr="00B9139B">
        <w:tc>
          <w:tcPr>
            <w:tcW w:w="4513" w:type="dxa"/>
            <w:tcBorders>
              <w:top w:val="single" w:sz="4" w:space="0" w:color="AAAAAA"/>
              <w:left w:val="single" w:sz="4" w:space="0" w:color="AAAAAA"/>
              <w:bottom w:val="single" w:sz="4" w:space="0" w:color="AAAAAA"/>
              <w:right w:val="single" w:sz="4" w:space="0" w:color="AAAAAA"/>
            </w:tcBorders>
            <w:shd w:val="clear" w:color="auto" w:fill="C45911" w:themeFill="accent2" w:themeFillShade="B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Segoe UI Symbol" w:eastAsia="Times New Roman" w:hAnsi="Segoe UI Symbol" w:cs="Segoe UI Symbol"/>
                <w:b/>
                <w:bCs/>
                <w:color w:val="FFFFFF"/>
                <w:sz w:val="24"/>
              </w:rPr>
              <w:t>✔</w:t>
            </w:r>
            <w:r w:rsidRPr="00CC3B40">
              <w:rPr>
                <w:rFonts w:ascii="Arial" w:eastAsia="Times New Roman" w:hAnsi="Arial"/>
                <w:b/>
                <w:bCs/>
                <w:color w:val="FFFFFF"/>
                <w:sz w:val="24"/>
              </w:rPr>
              <w:t xml:space="preserve">  Advanced Factors (Strengths)</w:t>
            </w:r>
          </w:p>
        </w:tc>
        <w:tc>
          <w:tcPr>
            <w:tcW w:w="4513" w:type="dxa"/>
            <w:tcBorders>
              <w:top w:val="single" w:sz="4" w:space="0" w:color="AAAAAA"/>
              <w:left w:val="single" w:sz="4" w:space="0" w:color="AAAAAA"/>
              <w:bottom w:val="single" w:sz="4" w:space="0" w:color="AAAAAA"/>
              <w:right w:val="single" w:sz="4" w:space="0" w:color="AAAAAA"/>
            </w:tcBorders>
            <w:shd w:val="clear" w:color="auto" w:fill="7030A0"/>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Segoe UI Symbol" w:eastAsia="Times New Roman" w:hAnsi="Segoe UI Symbol" w:cs="Segoe UI Symbol"/>
                <w:b/>
                <w:bCs/>
                <w:color w:val="FFFFFF"/>
                <w:sz w:val="24"/>
              </w:rPr>
              <w:t>✘</w:t>
            </w:r>
            <w:r w:rsidRPr="00CC3B40">
              <w:rPr>
                <w:rFonts w:ascii="Arial" w:eastAsia="Times New Roman" w:hAnsi="Arial"/>
                <w:b/>
                <w:bCs/>
                <w:color w:val="FFFFFF"/>
                <w:sz w:val="24"/>
              </w:rPr>
              <w:t xml:space="preserve">  Missing Factors (Weaknesses)</w:t>
            </w:r>
          </w:p>
        </w:tc>
      </w:tr>
      <w:tr w:rsidR="00660B4A" w:rsidRPr="00CC3B40" w:rsidTr="00AF2CA1">
        <w:tc>
          <w:tcPr>
            <w:tcW w:w="451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World-class ICT and digital infrastructure</w:t>
            </w:r>
          </w:p>
        </w:tc>
        <w:tc>
          <w:tcPr>
            <w:tcW w:w="451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No domestic EV/automotive manufacturing base</w:t>
            </w:r>
          </w:p>
        </w:tc>
      </w:tr>
      <w:tr w:rsidR="00660B4A" w:rsidRPr="00CC3B40" w:rsidTr="00AF2CA1">
        <w:tc>
          <w:tcPr>
            <w:tcW w:w="4513"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Abundant sovereign financial capital</w:t>
            </w:r>
          </w:p>
        </w:tc>
        <w:tc>
          <w:tcPr>
            <w:tcW w:w="4513"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Zero domestic supply of lithium, cobalt, or nickel</w:t>
            </w:r>
          </w:p>
        </w:tc>
      </w:tr>
      <w:tr w:rsidR="00660B4A" w:rsidRPr="00CC3B40" w:rsidTr="00AF2CA1">
        <w:tc>
          <w:tcPr>
            <w:tcW w:w="451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High-quality physical logistics infrastructure</w:t>
            </w:r>
          </w:p>
        </w:tc>
        <w:tc>
          <w:tcPr>
            <w:tcW w:w="451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Minimal automotive engineering talent pool</w:t>
            </w:r>
          </w:p>
        </w:tc>
      </w:tr>
      <w:tr w:rsidR="00660B4A" w:rsidRPr="00CC3B40" w:rsidTr="00AF2CA1">
        <w:tc>
          <w:tcPr>
            <w:tcW w:w="4513"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Renewable energy (Mohammed bin Rashid Solar Park)</w:t>
            </w:r>
          </w:p>
        </w:tc>
        <w:tc>
          <w:tcPr>
            <w:tcW w:w="4513"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No established automotive supply chain cluster</w:t>
            </w:r>
          </w:p>
        </w:tc>
      </w:tr>
      <w:tr w:rsidR="00660B4A" w:rsidRPr="00CC3B40" w:rsidTr="00AF2CA1">
        <w:tc>
          <w:tcPr>
            <w:tcW w:w="451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Global connectivity — trade hub position</w:t>
            </w:r>
          </w:p>
        </w:tc>
        <w:tc>
          <w:tcPr>
            <w:tcW w:w="451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Nascent battery R&amp;D and semiconductor industry</w:t>
            </w:r>
          </w:p>
        </w:tc>
      </w:tr>
    </w:tbl>
    <w:p w:rsidR="00660B4A" w:rsidRPr="00CC3B40" w:rsidRDefault="00660B4A" w:rsidP="00660B4A">
      <w:pPr>
        <w:spacing w:before="60" w:after="160" w:line="360" w:lineRule="auto"/>
        <w:jc w:val="center"/>
        <w:rPr>
          <w:rFonts w:ascii="Arial" w:hAnsi="Arial"/>
          <w:sz w:val="24"/>
        </w:rPr>
      </w:pPr>
      <w:r w:rsidRPr="00CC3B40">
        <w:rPr>
          <w:rFonts w:ascii="Arial" w:eastAsia="Times New Roman" w:hAnsi="Arial"/>
          <w:i/>
          <w:iCs/>
          <w:color w:val="000000"/>
          <w:sz w:val="24"/>
        </w:rPr>
        <w:t>Table 3: Factor Conditions — UAE EV Industry Strengths vs. Weaknesses. Source: Compiled by the author based on Porter (1990), IEA (2023), and World Economic Forum (2023).</w:t>
      </w:r>
    </w:p>
    <w:p w:rsidR="00660B4A" w:rsidRPr="00CC3B40" w:rsidRDefault="00E6448B" w:rsidP="00660B4A">
      <w:pPr>
        <w:spacing w:before="120" w:after="120" w:line="360" w:lineRule="auto"/>
        <w:rPr>
          <w:rFonts w:ascii="Arial" w:hAnsi="Arial"/>
          <w:sz w:val="24"/>
        </w:rPr>
      </w:pPr>
      <w:r w:rsidRPr="00CC3B40">
        <w:rPr>
          <w:rFonts w:ascii="Arial" w:eastAsia="Times New Roman" w:hAnsi="Arial"/>
          <w:sz w:val="24"/>
        </w:rPr>
        <w:t xml:space="preserve">The UAE, on the other hand, does not have a large domestic engineering and manufacturing labor force in the automotive industry. The technical human capital in this area is composed mostly of ex-pats who are strategic weaknesses in terms of long-term </w:t>
      </w:r>
      <w:r w:rsidRPr="00CC3B40">
        <w:rPr>
          <w:rFonts w:ascii="Arial" w:eastAsia="Times New Roman" w:hAnsi="Arial"/>
          <w:sz w:val="24"/>
        </w:rPr>
        <w:lastRenderedPageBreak/>
        <w:t>knowledge transfer and capability transfer (Forstenlechner and Rutledge, 2011). Moreover, the UAE lacks the domestic production of the most important battery raw material (lithium, cobalt, and nickel), which makes the country wholly reliant on global supply chains of these materials. This institutional shortage suppresses the resultant development of a locally integrated EV production system</w:t>
      </w:r>
      <w:r w:rsidR="00660B4A" w:rsidRPr="00CC3B40">
        <w:rPr>
          <w:rFonts w:ascii="Arial" w:eastAsia="Times New Roman" w:hAnsi="Arial"/>
          <w:sz w:val="24"/>
        </w:rPr>
        <w:t>.</w:t>
      </w:r>
    </w:p>
    <w:p w:rsidR="00660B4A" w:rsidRPr="00CC3B40" w:rsidRDefault="00AF2CA1" w:rsidP="00AF2CA1">
      <w:pPr>
        <w:pStyle w:val="Heading3"/>
      </w:pPr>
      <w:bookmarkStart w:id="8" w:name="_Toc228156642"/>
      <w:r w:rsidRPr="00CC3B40">
        <w:t xml:space="preserve">3.2 </w:t>
      </w:r>
      <w:r w:rsidR="00660B4A" w:rsidRPr="00CC3B40">
        <w:t>Demand Conditions</w:t>
      </w:r>
      <w:bookmarkEnd w:id="8"/>
    </w:p>
    <w:p w:rsidR="00660B4A" w:rsidRPr="00CC3B40" w:rsidRDefault="00E6448B" w:rsidP="00660B4A">
      <w:pPr>
        <w:spacing w:before="120" w:after="120" w:line="360" w:lineRule="auto"/>
        <w:rPr>
          <w:rFonts w:ascii="Arial" w:hAnsi="Arial"/>
          <w:sz w:val="24"/>
        </w:rPr>
      </w:pPr>
      <w:r w:rsidRPr="00CC3B40">
        <w:rPr>
          <w:rFonts w:ascii="Arial" w:eastAsia="Times New Roman" w:hAnsi="Arial"/>
          <w:sz w:val="24"/>
        </w:rPr>
        <w:t>Thus, Porter (1990) contends that complex and challenging consumers at home are a strong reason that firms need to innovate and enhance quality. The UAE has generally positive demand conditions of EVs. The consumer market is typified by large purchasing power, high level of technology and early adopter behaviour. The UAE has always been one of the most advanced countries regarding consumer interest in autonomous and electric vehicles (Deloitte, 2023). Several demand-side initiatives introduced by the government, such as free EV registration, lower Salik toll rates in Dubai, and special parking areas, also encourage natural market demand (Dubai Supreme Council of Energy, 2022). It is important to note that the consumer demand in the UAE is not only quantitative, but qualitatively demanding: consumers require performance, digital connectivity, and the premium positioning of the brand, which requires EV manufacturers to maintain and develop their technological presence</w:t>
      </w:r>
      <w:r w:rsidR="00660B4A" w:rsidRPr="00CC3B40">
        <w:rPr>
          <w:rFonts w:ascii="Arial" w:eastAsia="Times New Roman" w:hAnsi="Arial"/>
          <w:sz w:val="24"/>
        </w:rPr>
        <w:t>.</w:t>
      </w:r>
    </w:p>
    <w:p w:rsidR="00660B4A" w:rsidRPr="00CC3B40" w:rsidRDefault="00AF2CA1" w:rsidP="00AF2CA1">
      <w:pPr>
        <w:pStyle w:val="Heading3"/>
      </w:pPr>
      <w:bookmarkStart w:id="9" w:name="_Toc228156643"/>
      <w:r w:rsidRPr="00CC3B40">
        <w:t xml:space="preserve">3.3 </w:t>
      </w:r>
      <w:r w:rsidR="00660B4A" w:rsidRPr="00CC3B40">
        <w:t>Related and Supporting Industries</w:t>
      </w:r>
      <w:bookmarkEnd w:id="9"/>
    </w:p>
    <w:p w:rsidR="00660B4A" w:rsidRPr="00CC3B40" w:rsidRDefault="00E6448B" w:rsidP="00E6448B">
      <w:pPr>
        <w:spacing w:before="120" w:after="120" w:line="360" w:lineRule="auto"/>
        <w:rPr>
          <w:rFonts w:ascii="Arial" w:hAnsi="Arial"/>
          <w:sz w:val="24"/>
        </w:rPr>
      </w:pPr>
      <w:r w:rsidRPr="00CC3B40">
        <w:rPr>
          <w:rFonts w:ascii="Arial" w:eastAsia="Times New Roman" w:hAnsi="Arial"/>
          <w:sz w:val="24"/>
        </w:rPr>
        <w:t>One of the identifying features of a nationally competitive industry cluster is the presence of comparable and supportive industries that are competitive on a national level (Porter, 1990). The EV ecosystem of the UAE is being built with a conscious and focused sovereign investment, yet is still incomplete. The greatest loophole is the lack of domestic manufacturing of automotive components, battery cell development, and semiconductor manufacturing - sectors where the lack of the domestic demand by the industry forces the overseas EV manufacturers in the UAE to depend on the international supply chains exposing them to geopolitical and logistical risks. The present cluster completeness is mapped in table 4</w:t>
      </w:r>
      <w:r w:rsidR="00660B4A" w:rsidRPr="00CC3B40">
        <w:rPr>
          <w:rFonts w:ascii="Arial" w:eastAsia="Times New Roman" w:hAnsi="Arial"/>
          <w:sz w:val="24"/>
        </w:rPr>
        <w:t>.</w:t>
      </w:r>
    </w:p>
    <w:tbl>
      <w:tblPr>
        <w:tblW w:w="9026"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660B4A" w:rsidRPr="00CC3B40" w:rsidTr="00B9139B">
        <w:tc>
          <w:tcPr>
            <w:tcW w:w="4513" w:type="dxa"/>
            <w:tcBorders>
              <w:top w:val="single" w:sz="4" w:space="0" w:color="AAAAAA"/>
              <w:left w:val="single" w:sz="4" w:space="0" w:color="AAAAAA"/>
              <w:bottom w:val="single" w:sz="4" w:space="0" w:color="AAAAAA"/>
              <w:right w:val="single" w:sz="4" w:space="0" w:color="AAAAAA"/>
            </w:tcBorders>
            <w:shd w:val="clear" w:color="auto" w:fill="2E74B5" w:themeFill="accent1" w:themeFillShade="B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Segoe UI Symbol" w:eastAsia="Times New Roman" w:hAnsi="Segoe UI Symbol" w:cs="Segoe UI Symbol"/>
                <w:b/>
                <w:bCs/>
                <w:color w:val="FFFFFF"/>
                <w:sz w:val="24"/>
              </w:rPr>
              <w:lastRenderedPageBreak/>
              <w:t>✔</w:t>
            </w:r>
            <w:r w:rsidRPr="00CC3B40">
              <w:rPr>
                <w:rFonts w:ascii="Arial" w:eastAsia="Times New Roman" w:hAnsi="Arial"/>
                <w:b/>
                <w:bCs/>
                <w:color w:val="FFFFFF"/>
                <w:sz w:val="24"/>
              </w:rPr>
              <w:t xml:space="preserve">  Present in UAE EV Ecosystem</w:t>
            </w:r>
          </w:p>
        </w:tc>
        <w:tc>
          <w:tcPr>
            <w:tcW w:w="4513" w:type="dxa"/>
            <w:tcBorders>
              <w:top w:val="single" w:sz="4" w:space="0" w:color="AAAAAA"/>
              <w:left w:val="single" w:sz="4" w:space="0" w:color="AAAAAA"/>
              <w:bottom w:val="single" w:sz="4" w:space="0" w:color="AAAAAA"/>
              <w:right w:val="single" w:sz="4" w:space="0" w:color="AAAAAA"/>
            </w:tcBorders>
            <w:shd w:val="clear" w:color="auto" w:fill="00B050"/>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Segoe UI Symbol" w:eastAsia="Times New Roman" w:hAnsi="Segoe UI Symbol" w:cs="Segoe UI Symbol"/>
                <w:b/>
                <w:bCs/>
                <w:color w:val="FFFFFF"/>
                <w:sz w:val="24"/>
              </w:rPr>
              <w:t>✘</w:t>
            </w:r>
            <w:r w:rsidRPr="00CC3B40">
              <w:rPr>
                <w:rFonts w:ascii="Arial" w:eastAsia="Times New Roman" w:hAnsi="Arial"/>
                <w:b/>
                <w:bCs/>
                <w:color w:val="FFFFFF"/>
                <w:sz w:val="24"/>
              </w:rPr>
              <w:t xml:space="preserve">  Absent from UAE EV Ecosystem</w:t>
            </w:r>
          </w:p>
        </w:tc>
      </w:tr>
      <w:tr w:rsidR="00660B4A" w:rsidRPr="00CC3B40" w:rsidTr="00AF2CA1">
        <w:tc>
          <w:tcPr>
            <w:tcW w:w="451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Mohammed bin Rashid Solar Park (clean electricity)</w:t>
            </w:r>
          </w:p>
        </w:tc>
        <w:tc>
          <w:tcPr>
            <w:tcW w:w="451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Battery cell manufacturing and R&amp;D</w:t>
            </w:r>
          </w:p>
        </w:tc>
      </w:tr>
      <w:tr w:rsidR="00660B4A" w:rsidRPr="00CC3B40" w:rsidTr="00AF2CA1">
        <w:tc>
          <w:tcPr>
            <w:tcW w:w="4513"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1,860+ EV charging points (DEWA, April 2026); target 10,000 by end-2026</w:t>
            </w:r>
          </w:p>
        </w:tc>
        <w:tc>
          <w:tcPr>
            <w:tcW w:w="4513"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Semiconductor and chip fabrication</w:t>
            </w:r>
          </w:p>
        </w:tc>
      </w:tr>
      <w:tr w:rsidR="00660B4A" w:rsidRPr="00CC3B40" w:rsidTr="00AF2CA1">
        <w:tc>
          <w:tcPr>
            <w:tcW w:w="451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Sovereign wealth funds for EV investment</w:t>
            </w:r>
          </w:p>
        </w:tc>
        <w:tc>
          <w:tcPr>
            <w:tcW w:w="451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Automotive component manufacturing</w:t>
            </w:r>
          </w:p>
        </w:tc>
      </w:tr>
      <w:tr w:rsidR="00660B4A" w:rsidRPr="00CC3B40" w:rsidTr="00AF2CA1">
        <w:tc>
          <w:tcPr>
            <w:tcW w:w="4513"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World-class port and logistics infrastructure</w:t>
            </w:r>
          </w:p>
        </w:tc>
        <w:tc>
          <w:tcPr>
            <w:tcW w:w="4513"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Domestic cathode/anode materials processing</w:t>
            </w:r>
          </w:p>
        </w:tc>
      </w:tr>
      <w:tr w:rsidR="00660B4A" w:rsidRPr="00CC3B40" w:rsidTr="00AF2CA1">
        <w:tc>
          <w:tcPr>
            <w:tcW w:w="451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Advanced fintech and digital payments</w:t>
            </w:r>
          </w:p>
        </w:tc>
        <w:tc>
          <w:tcPr>
            <w:tcW w:w="4513"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Specialised EV engineering universities / institutes</w:t>
            </w:r>
          </w:p>
        </w:tc>
      </w:tr>
    </w:tbl>
    <w:p w:rsidR="00660B4A" w:rsidRPr="00CC3B40" w:rsidRDefault="00660B4A" w:rsidP="00660B4A">
      <w:pPr>
        <w:spacing w:before="60" w:after="160" w:line="360" w:lineRule="auto"/>
        <w:jc w:val="center"/>
        <w:rPr>
          <w:rFonts w:ascii="Arial" w:hAnsi="Arial"/>
          <w:sz w:val="24"/>
        </w:rPr>
      </w:pPr>
      <w:r w:rsidRPr="00CC3B40">
        <w:rPr>
          <w:rFonts w:ascii="Arial" w:eastAsia="Times New Roman" w:hAnsi="Arial"/>
          <w:i/>
          <w:iCs/>
          <w:color w:val="000000"/>
          <w:sz w:val="24"/>
        </w:rPr>
        <w:t>Table 4: UAE EV Industry Cluster Completeness — Present vs. Absent Supporting Industries. Source: Compiled by the author based on Porter (1990), Abu Dhabi Power Corporation (2023), Roads and Transport Authority (2023), and UAE Ministry of Industry and Advanced Technology (2022).</w:t>
      </w:r>
    </w:p>
    <w:p w:rsidR="00AF2CA1" w:rsidRPr="00CC3B40" w:rsidRDefault="00E6448B" w:rsidP="00660B4A">
      <w:pPr>
        <w:spacing w:before="120" w:after="120" w:line="360" w:lineRule="auto"/>
        <w:rPr>
          <w:rFonts w:ascii="Arial" w:eastAsia="Times New Roman" w:hAnsi="Arial"/>
          <w:sz w:val="24"/>
        </w:rPr>
      </w:pPr>
      <w:r w:rsidRPr="00CC3B40">
        <w:rPr>
          <w:rFonts w:ascii="Arial" w:eastAsia="Times New Roman" w:hAnsi="Arial"/>
          <w:sz w:val="24"/>
        </w:rPr>
        <w:t>Ghadan 21 and Operation 300bn industrial policy of the government is an indication that there is a desire to have these gaps closed with time, but they are still in their infancy ( UAE Ministry of Industry and Advanced Technology, 2022). Until a more fully supporting ecosystem of industry is realised, the UAE can be described as more of an advanced EV market than an EV production foundation</w:t>
      </w:r>
      <w:r w:rsidR="006F3CC3" w:rsidRPr="00CC3B40">
        <w:rPr>
          <w:rFonts w:ascii="Arial" w:eastAsia="Times New Roman" w:hAnsi="Arial"/>
          <w:sz w:val="24"/>
        </w:rPr>
        <w:t>.</w:t>
      </w:r>
    </w:p>
    <w:p w:rsidR="00660B4A" w:rsidRPr="00CC3B40" w:rsidRDefault="00AF2CA1" w:rsidP="00AF2CA1">
      <w:pPr>
        <w:pStyle w:val="Heading3"/>
      </w:pPr>
      <w:bookmarkStart w:id="10" w:name="_Toc228156644"/>
      <w:r w:rsidRPr="00CC3B40">
        <w:t xml:space="preserve">3.4 </w:t>
      </w:r>
      <w:r w:rsidR="00660B4A" w:rsidRPr="00CC3B40">
        <w:t>Firm Strategy, Structure, and Rivalry</w:t>
      </w:r>
      <w:bookmarkEnd w:id="10"/>
    </w:p>
    <w:p w:rsidR="00660B4A" w:rsidRPr="00CC3B40" w:rsidRDefault="00E6448B" w:rsidP="00660B4A">
      <w:pPr>
        <w:spacing w:before="120" w:after="120" w:line="360" w:lineRule="auto"/>
        <w:rPr>
          <w:rFonts w:ascii="Arial" w:hAnsi="Arial"/>
          <w:sz w:val="24"/>
        </w:rPr>
      </w:pPr>
      <w:r w:rsidRPr="00CC3B40">
        <w:rPr>
          <w:rFonts w:ascii="Arial" w:eastAsia="Times New Roman" w:hAnsi="Arial"/>
          <w:sz w:val="24"/>
        </w:rPr>
        <w:t xml:space="preserve">The UAE has a small high-value consumer market which is competed upon by international OEMs. Competition between Tesla, BMW, Mercedes-Benz EQ, Audi e-tron, and more and more, Chinese brands e.g. BYD, leads to innovation of products, improvement of services, and change of pricing strategies. According to Porter (1990), domestic rivalry is the strongest source of competitive advantage; although competition </w:t>
      </w:r>
      <w:r w:rsidRPr="00CC3B40">
        <w:rPr>
          <w:rFonts w:ascii="Arial" w:eastAsia="Times New Roman" w:hAnsi="Arial"/>
          <w:sz w:val="24"/>
        </w:rPr>
        <w:lastRenderedPageBreak/>
        <w:t>is mostly between foreign companies and not local companies in the UAE, the level of rivalry still yields desirable competitive forces on the consumers and performance of the market. The lack of domestic UAE EV makers implies that the country is a competitive market situation, rather than a competitive source of production within Porters context, which constrains the model in terms of its use in determining national productive competitiveness. Nevertheless, the rising competitive advantage of the UAE in services related to EVs, such as financing, online selling, and high-quality customer experience, is an upcoming type of service-based competitive differentiation in line with the overall economic trend in the country (IMF, 2023)</w:t>
      </w:r>
      <w:r w:rsidR="00660B4A" w:rsidRPr="00CC3B40">
        <w:rPr>
          <w:rFonts w:ascii="Arial" w:eastAsia="Times New Roman" w:hAnsi="Arial"/>
          <w:sz w:val="24"/>
        </w:rPr>
        <w:t>.</w:t>
      </w:r>
    </w:p>
    <w:p w:rsidR="00660B4A" w:rsidRPr="00CC3B40" w:rsidRDefault="00AF2CA1" w:rsidP="00AF2CA1">
      <w:pPr>
        <w:pStyle w:val="Heading3"/>
      </w:pPr>
      <w:bookmarkStart w:id="11" w:name="_Toc228156645"/>
      <w:r w:rsidRPr="00CC3B40">
        <w:t xml:space="preserve">3.5 </w:t>
      </w:r>
      <w:r w:rsidR="00660B4A" w:rsidRPr="00CC3B40">
        <w:t>Government and Chance</w:t>
      </w:r>
      <w:bookmarkEnd w:id="11"/>
    </w:p>
    <w:p w:rsidR="00660B4A" w:rsidRPr="00CC3B40" w:rsidRDefault="00E6448B" w:rsidP="00660B4A">
      <w:pPr>
        <w:spacing w:before="120" w:after="120" w:line="360" w:lineRule="auto"/>
        <w:rPr>
          <w:rFonts w:ascii="Arial" w:eastAsia="Times New Roman" w:hAnsi="Arial"/>
          <w:sz w:val="24"/>
        </w:rPr>
      </w:pPr>
      <w:r w:rsidRPr="00CC3B40">
        <w:rPr>
          <w:rFonts w:ascii="Arial" w:eastAsia="Times New Roman" w:hAnsi="Arial"/>
          <w:sz w:val="24"/>
        </w:rPr>
        <w:t>The role of the government of the UAE in the formation of the EV course is fundamental. The presence of mandatory EV charging facilities in new projects, green licence plate programs and an extensive range of fiscal incentives indicate a pro-active interventionist stance which is consistent with the finding of Porter, (1990) that the government can be a facilitator of competitive advantage by designing policy. The probability factor is exemplified by two exogenous shocks, which have accelerated EV adoption globally and strengthened the UAE strategic interest in clean energy: the COVID-19 pandemic, which remodeled global supply chains and shifted consumer preferences towards mobility solutions based on technologies; and the conflict in Russia-Ukraine, which exacerbated the geopolitical urgency of global energy transition (IRENA, 2023)</w:t>
      </w:r>
      <w:r w:rsidR="00660B4A" w:rsidRPr="00CC3B40">
        <w:rPr>
          <w:rFonts w:ascii="Arial" w:eastAsia="Times New Roman" w:hAnsi="Arial"/>
          <w:sz w:val="24"/>
        </w:rPr>
        <w:t>.</w:t>
      </w:r>
    </w:p>
    <w:p w:rsidR="00E84000" w:rsidRPr="00CC3B40" w:rsidRDefault="00E84000" w:rsidP="00E84000">
      <w:pPr>
        <w:pStyle w:val="Heading3"/>
      </w:pPr>
      <w:bookmarkStart w:id="12" w:name="_Toc228156646"/>
      <w:r w:rsidRPr="00CC3B40">
        <w:t>3.6 Critical Evaluation of Porter’s Diamond for the UAE</w:t>
      </w:r>
      <w:bookmarkEnd w:id="12"/>
    </w:p>
    <w:p w:rsidR="00E84000" w:rsidRPr="00CC3B40" w:rsidRDefault="00995BA1" w:rsidP="00E84000">
      <w:pPr>
        <w:pStyle w:val="ds-markdown-paragraph"/>
        <w:shd w:val="clear" w:color="auto" w:fill="FFFFFF"/>
        <w:spacing w:before="240" w:beforeAutospacing="0" w:line="360" w:lineRule="auto"/>
        <w:jc w:val="both"/>
        <w:rPr>
          <w:rFonts w:ascii="Arial" w:hAnsi="Arial" w:cs="Arial"/>
          <w:color w:val="0F1115"/>
        </w:rPr>
      </w:pPr>
      <w:r w:rsidRPr="00995BA1">
        <w:rPr>
          <w:rFonts w:ascii="Arial" w:hAnsi="Arial" w:cs="Arial"/>
          <w:color w:val="0F1115"/>
        </w:rPr>
        <w:t xml:space="preserve">While the Diamond Model proposed by Porter (1990) is an insightful model, it is of little use to the UAE as it is focused on developed economies where competitiveness is driven by clusters and firms (Davies and Ellis, 2000). But the UAE EV industry is heavily dependent on multinational corporations, where competition is between multinational corporations and not local firms, making the model less relevant. As suggested by Rugman and D'Cruz (1993), a "Double Diamond" model is more suited to small open economies like the UAE where competitiveness is related to foreign direct investment and </w:t>
      </w:r>
      <w:r w:rsidRPr="00995BA1">
        <w:rPr>
          <w:rFonts w:ascii="Arial" w:hAnsi="Arial" w:cs="Arial"/>
          <w:color w:val="0F1115"/>
        </w:rPr>
        <w:lastRenderedPageBreak/>
        <w:t>globalisation. Thus while the model recognises the relative strength of the demand side and policy, it places too much emphasis on the domestic</w:t>
      </w:r>
      <w:r w:rsidR="00E84000" w:rsidRPr="00CC3B40">
        <w:rPr>
          <w:rFonts w:ascii="Arial" w:hAnsi="Arial" w:cs="Arial"/>
          <w:color w:val="0F1115"/>
        </w:rPr>
        <w:t>.</w:t>
      </w:r>
    </w:p>
    <w:p w:rsidR="00660B4A" w:rsidRPr="00CC3B40" w:rsidRDefault="00660B4A" w:rsidP="00FA6480">
      <w:pPr>
        <w:pStyle w:val="Heading2"/>
      </w:pPr>
      <w:bookmarkStart w:id="13" w:name="_Toc228156647"/>
      <w:r w:rsidRPr="00CC3B40">
        <w:rPr>
          <w:rStyle w:val="Heading2Char"/>
          <w:b/>
          <w:sz w:val="24"/>
        </w:rPr>
        <w:t>4. Tesla Inc. in the UAE: Critical Evaluation of Operational</w:t>
      </w:r>
      <w:r w:rsidRPr="00CC3B40">
        <w:rPr>
          <w:rFonts w:eastAsia="Times New Roman"/>
        </w:rPr>
        <w:t xml:space="preserve"> Factors</w:t>
      </w:r>
      <w:bookmarkEnd w:id="13"/>
    </w:p>
    <w:p w:rsidR="00660B4A" w:rsidRPr="00CC3B40" w:rsidRDefault="00AF2CA1" w:rsidP="00AF2CA1">
      <w:pPr>
        <w:pStyle w:val="Heading3"/>
      </w:pPr>
      <w:bookmarkStart w:id="14" w:name="_Toc228156648"/>
      <w:r w:rsidRPr="00CC3B40">
        <w:t xml:space="preserve">4.1 </w:t>
      </w:r>
      <w:r w:rsidR="00660B4A" w:rsidRPr="00CC3B40">
        <w:t>Overview of Tesla Inc.</w:t>
      </w:r>
      <w:bookmarkEnd w:id="14"/>
    </w:p>
    <w:p w:rsidR="00660B4A" w:rsidRPr="00CC3B40" w:rsidRDefault="00A93CDF" w:rsidP="00346BD6">
      <w:pPr>
        <w:spacing w:line="360" w:lineRule="auto"/>
        <w:rPr>
          <w:rFonts w:ascii="Arial" w:eastAsia="Times New Roman" w:hAnsi="Arial"/>
          <w:sz w:val="24"/>
        </w:rPr>
      </w:pPr>
      <w:r w:rsidRPr="00CC3B40">
        <w:rPr>
          <w:rFonts w:ascii="Arial" w:eastAsia="Times New Roman" w:hAnsi="Arial"/>
          <w:sz w:val="24"/>
        </w:rPr>
        <w:t>Tesla Inc. is the largest electric vehicle (EV) manufacturer by market capitalisation and one of the largest by volume globally</w:t>
      </w:r>
      <w:r w:rsidR="00346BD6" w:rsidRPr="00CC3B40">
        <w:rPr>
          <w:rFonts w:ascii="Arial" w:eastAsia="Times New Roman" w:hAnsi="Arial"/>
          <w:sz w:val="24"/>
        </w:rPr>
        <w:t>, based on its incorporated location in Delaware and head office in Austin, Texas (Tesla Annual Report, 2023). The company was founded in 2003 and it has a vertically integrated business model that includes vehicle design, battery technology, software development, energy storage and solar generation. The Tesla penetration in the UAE is just one of the many international market penetration directions the company has built expansion into high-income and luxury target markets. It has company-owned showrooms across Dubai and Abu Dhabi and follows its direct-to-consumer sales strategy which serves to explicitly avoid the use of traditio</w:t>
      </w:r>
      <w:r w:rsidR="00FA6480" w:rsidRPr="00CC3B40">
        <w:rPr>
          <w:rFonts w:ascii="Arial" w:eastAsia="Times New Roman" w:hAnsi="Arial"/>
          <w:sz w:val="24"/>
        </w:rPr>
        <w:t xml:space="preserve">nal dealership intermediaries - </w:t>
      </w:r>
      <w:r w:rsidR="00346BD6" w:rsidRPr="00CC3B40">
        <w:rPr>
          <w:rFonts w:ascii="Arial" w:eastAsia="Times New Roman" w:hAnsi="Arial"/>
          <w:sz w:val="24"/>
        </w:rPr>
        <w:t>a structural competitive advantage in markets where otherwise fragmented infrastructures of after-sales services</w:t>
      </w:r>
      <w:r w:rsidR="00660B4A" w:rsidRPr="00CC3B40">
        <w:rPr>
          <w:rFonts w:ascii="Arial" w:eastAsia="Times New Roman" w:hAnsi="Arial"/>
          <w:sz w:val="24"/>
        </w:rPr>
        <w:t>.</w:t>
      </w:r>
    </w:p>
    <w:p w:rsidR="00660B4A" w:rsidRPr="00CC3B40" w:rsidRDefault="00AF2CA1" w:rsidP="00AF2CA1">
      <w:pPr>
        <w:pStyle w:val="Heading3"/>
      </w:pPr>
      <w:bookmarkStart w:id="15" w:name="_Toc228156649"/>
      <w:r w:rsidRPr="00CC3B40">
        <w:t xml:space="preserve">4.2 </w:t>
      </w:r>
      <w:r w:rsidR="00660B4A" w:rsidRPr="00CC3B40">
        <w:t>Political Factors</w:t>
      </w:r>
      <w:bookmarkEnd w:id="15"/>
    </w:p>
    <w:p w:rsidR="007042FB" w:rsidRPr="007042FB" w:rsidRDefault="00995BA1" w:rsidP="007042FB">
      <w:pPr>
        <w:spacing w:before="120" w:after="120" w:line="360" w:lineRule="auto"/>
        <w:rPr>
          <w:rFonts w:ascii="Arial" w:eastAsia="Times New Roman" w:hAnsi="Arial"/>
          <w:sz w:val="24"/>
        </w:rPr>
      </w:pPr>
      <w:r w:rsidRPr="00995BA1">
        <w:rPr>
          <w:rFonts w:ascii="Arial" w:eastAsia="Times New Roman" w:hAnsi="Arial"/>
          <w:sz w:val="24"/>
        </w:rPr>
        <w:t xml:space="preserve">Politically and regulatory speaking, the UAE is a safe haven for Tesla in its constitutional monarchy-based political system and business-friendly policies in the seven emirates. It's a top-ranking country in terms of political stability, rule of law and regulatory quality (World Bank, 2023). </w:t>
      </w:r>
      <w:r w:rsidR="007042FB" w:rsidRPr="007042FB">
        <w:rPr>
          <w:rFonts w:ascii="Arial" w:eastAsia="Times New Roman" w:hAnsi="Arial"/>
          <w:sz w:val="24"/>
        </w:rPr>
        <w:t>This is accompanied by close US-UAE security and trade relations and positive regional developments such as the 2020 Abraham Accords (Rosen, 2021), which all mitigate the risk for US multinational enterprises (MNEs) like Tesla.</w:t>
      </w:r>
    </w:p>
    <w:p w:rsidR="00660B4A" w:rsidRPr="00CC3B40" w:rsidRDefault="007042FB" w:rsidP="007042FB">
      <w:pPr>
        <w:spacing w:before="120" w:after="120" w:line="360" w:lineRule="auto"/>
        <w:rPr>
          <w:rFonts w:ascii="Arial" w:hAnsi="Arial"/>
          <w:sz w:val="24"/>
        </w:rPr>
      </w:pPr>
      <w:r w:rsidRPr="007042FB">
        <w:rPr>
          <w:rFonts w:ascii="Arial" w:eastAsia="Times New Roman" w:hAnsi="Arial"/>
          <w:sz w:val="24"/>
        </w:rPr>
        <w:t>But there are also risks associated with the geopolitical situation in the Gulf (especially US-Iran relations) and the likely financial and infrastructure consequences of OPEC+ production. But the UAE's National EV Policy (2023-2030) to mandate EV use in the government and public transportation fleets ensures a continuing institutional market for Tesla (UAE Ministry of Energy and Infrastructure, 2023)</w:t>
      </w:r>
      <w:r w:rsidR="00995BA1" w:rsidRPr="00995BA1">
        <w:rPr>
          <w:rFonts w:ascii="Arial" w:eastAsia="Times New Roman" w:hAnsi="Arial"/>
          <w:sz w:val="24"/>
        </w:rPr>
        <w:t xml:space="preserve">. From an internalisation theory </w:t>
      </w:r>
      <w:r w:rsidR="00995BA1" w:rsidRPr="00995BA1">
        <w:rPr>
          <w:rFonts w:ascii="Arial" w:eastAsia="Times New Roman" w:hAnsi="Arial"/>
          <w:sz w:val="24"/>
        </w:rPr>
        <w:lastRenderedPageBreak/>
        <w:t>perspective (Buckley and Casson, 2009), this fit between government and firm policies makes the UAE a market of choice for MNCs</w:t>
      </w:r>
      <w:r w:rsidR="00660B4A" w:rsidRPr="00CC3B40">
        <w:rPr>
          <w:rFonts w:ascii="Arial" w:eastAsia="Times New Roman" w:hAnsi="Arial"/>
          <w:sz w:val="24"/>
        </w:rPr>
        <w:t>.</w:t>
      </w:r>
    </w:p>
    <w:p w:rsidR="00660B4A" w:rsidRPr="00CC3B40" w:rsidRDefault="00AF2CA1" w:rsidP="00AF2CA1">
      <w:pPr>
        <w:pStyle w:val="Heading3"/>
      </w:pPr>
      <w:bookmarkStart w:id="16" w:name="_Toc228156650"/>
      <w:r w:rsidRPr="00CC3B40">
        <w:t xml:space="preserve">4.3 </w:t>
      </w:r>
      <w:r w:rsidR="00660B4A" w:rsidRPr="00CC3B40">
        <w:t>Economic Factors</w:t>
      </w:r>
      <w:bookmarkEnd w:id="16"/>
    </w:p>
    <w:p w:rsidR="00660B4A" w:rsidRPr="00CC3B40" w:rsidRDefault="00346BD6" w:rsidP="00660B4A">
      <w:pPr>
        <w:spacing w:before="120" w:after="120" w:line="360" w:lineRule="auto"/>
        <w:rPr>
          <w:rFonts w:ascii="Arial" w:hAnsi="Arial"/>
          <w:sz w:val="24"/>
        </w:rPr>
      </w:pPr>
      <w:r w:rsidRPr="00CC3B40">
        <w:rPr>
          <w:rFonts w:ascii="Arial" w:eastAsia="Times New Roman" w:hAnsi="Arial"/>
          <w:sz w:val="24"/>
        </w:rPr>
        <w:t>The macroeconomic profile of UAE is incredibly favourable to market entry and sustainability of operations. The UAE has a GDP per capita of USD 54,214 in 2026, which makes the country afford the buying power necessary to consume premium EVs on a large scale (IMF, 2026). A fixed exchange rate of the UAE Dirham to the US Currency of 3.67:1 removes currency exchange risk to a USD-based firm like Tesla - a structural benefit not enjoyed by virtually all other high-growth emerging markets where currency risk is a significant financial risk (UAE Central Bank, 2023). UAE does not impose any personal income tax and though in 2023, it introduced corporate tax at 9 per cent on qualifying taxable income above AED 375,000, it is very competitive in comparison to other global countries (PwC, 2023). Moreover, the UAE R&amp;D Tax Incentive Programme, which will be in place in January 2026 under the name Phase 1, offers a non-refundable credit of up to 50 per cent on qualifying R&amp;D expenditure - another direct incentive to attract technology-intensive companies like Tesla (UAE Ministry of Finance, 2025). Table 5 puts the fiscal regime of the UAE in context with the focus on selected international comparators</w:t>
      </w:r>
      <w:r w:rsidR="00660B4A" w:rsidRPr="00CC3B40">
        <w:rPr>
          <w:rFonts w:ascii="Arial" w:eastAsia="Times New Roman" w:hAnsi="Arial"/>
          <w:sz w:val="24"/>
        </w:rPr>
        <w:t>.</w:t>
      </w:r>
    </w:p>
    <w:tbl>
      <w:tblPr>
        <w:tblW w:w="9026"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00"/>
        <w:gridCol w:w="1700"/>
        <w:gridCol w:w="1700"/>
        <w:gridCol w:w="1700"/>
        <w:gridCol w:w="1626"/>
      </w:tblGrid>
      <w:tr w:rsidR="00E84000" w:rsidRPr="00CC3B40" w:rsidTr="00E84000">
        <w:tblPrEx>
          <w:tblCellMar>
            <w:top w:w="0" w:type="dxa"/>
            <w:bottom w:w="0" w:type="dxa"/>
          </w:tblCellMar>
        </w:tblPrEx>
        <w:tc>
          <w:tcPr>
            <w:tcW w:w="23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30" w:type="dxa"/>
              <w:bottom w:w="100" w:type="dxa"/>
              <w:right w:w="130" w:type="dxa"/>
            </w:tcMar>
            <w:vAlign w:val="center"/>
          </w:tcPr>
          <w:p w:rsidR="00E84000" w:rsidRPr="00CC3B40" w:rsidRDefault="00E84000" w:rsidP="00E84000">
            <w:pPr>
              <w:jc w:val="center"/>
              <w:rPr>
                <w:rFonts w:ascii="Arial" w:hAnsi="Arial"/>
              </w:rPr>
            </w:pPr>
            <w:r w:rsidRPr="00CC3B40">
              <w:rPr>
                <w:rFonts w:ascii="Arial" w:hAnsi="Arial"/>
                <w:b/>
                <w:bCs/>
                <w:color w:val="FFFFFF"/>
                <w:sz w:val="20"/>
                <w:szCs w:val="20"/>
              </w:rPr>
              <w:t>Tax / Fiscal Factor</w:t>
            </w:r>
          </w:p>
        </w:tc>
        <w:tc>
          <w:tcPr>
            <w:tcW w:w="17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30" w:type="dxa"/>
              <w:bottom w:w="100" w:type="dxa"/>
              <w:right w:w="130" w:type="dxa"/>
            </w:tcMar>
            <w:vAlign w:val="center"/>
          </w:tcPr>
          <w:p w:rsidR="00E84000" w:rsidRPr="00CC3B40" w:rsidRDefault="00E84000" w:rsidP="00E84000">
            <w:pPr>
              <w:jc w:val="center"/>
              <w:rPr>
                <w:rFonts w:ascii="Arial" w:hAnsi="Arial"/>
              </w:rPr>
            </w:pPr>
            <w:r w:rsidRPr="00CC3B40">
              <w:rPr>
                <w:rFonts w:ascii="Arial" w:hAnsi="Arial"/>
                <w:b/>
                <w:bCs/>
                <w:color w:val="FFFFFF"/>
                <w:sz w:val="20"/>
                <w:szCs w:val="20"/>
              </w:rPr>
              <w:t>UAE</w:t>
            </w:r>
          </w:p>
        </w:tc>
        <w:tc>
          <w:tcPr>
            <w:tcW w:w="17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30" w:type="dxa"/>
              <w:bottom w:w="100" w:type="dxa"/>
              <w:right w:w="130" w:type="dxa"/>
            </w:tcMar>
            <w:vAlign w:val="center"/>
          </w:tcPr>
          <w:p w:rsidR="00E84000" w:rsidRPr="00CC3B40" w:rsidRDefault="00E84000" w:rsidP="00E84000">
            <w:pPr>
              <w:jc w:val="center"/>
              <w:rPr>
                <w:rFonts w:ascii="Arial" w:hAnsi="Arial"/>
              </w:rPr>
            </w:pPr>
            <w:r w:rsidRPr="00CC3B40">
              <w:rPr>
                <w:rFonts w:ascii="Arial" w:hAnsi="Arial"/>
                <w:b/>
                <w:bCs/>
                <w:color w:val="FFFFFF"/>
                <w:sz w:val="20"/>
                <w:szCs w:val="20"/>
              </w:rPr>
              <w:t>Germany</w:t>
            </w:r>
          </w:p>
        </w:tc>
        <w:tc>
          <w:tcPr>
            <w:tcW w:w="1700"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30" w:type="dxa"/>
              <w:bottom w:w="100" w:type="dxa"/>
              <w:right w:w="130" w:type="dxa"/>
            </w:tcMar>
            <w:vAlign w:val="center"/>
          </w:tcPr>
          <w:p w:rsidR="00E84000" w:rsidRPr="00CC3B40" w:rsidRDefault="00E84000" w:rsidP="00E84000">
            <w:pPr>
              <w:jc w:val="center"/>
              <w:rPr>
                <w:rFonts w:ascii="Arial" w:hAnsi="Arial"/>
              </w:rPr>
            </w:pPr>
            <w:r w:rsidRPr="00CC3B40">
              <w:rPr>
                <w:rFonts w:ascii="Arial" w:hAnsi="Arial"/>
                <w:b/>
                <w:bCs/>
                <w:color w:val="FFFFFF"/>
                <w:sz w:val="20"/>
                <w:szCs w:val="20"/>
              </w:rPr>
              <w:t>United Kingdom</w:t>
            </w:r>
          </w:p>
        </w:tc>
        <w:tc>
          <w:tcPr>
            <w:tcW w:w="1626" w:type="dxa"/>
            <w:tcBorders>
              <w:top w:val="single" w:sz="4" w:space="0" w:color="AAAAAA"/>
              <w:left w:val="single" w:sz="4" w:space="0" w:color="AAAAAA"/>
              <w:bottom w:val="single" w:sz="4" w:space="0" w:color="AAAAAA"/>
              <w:right w:val="single" w:sz="4" w:space="0" w:color="AAAAAA"/>
            </w:tcBorders>
            <w:shd w:val="clear" w:color="auto" w:fill="1F3864"/>
            <w:tcMar>
              <w:top w:w="100" w:type="dxa"/>
              <w:left w:w="130" w:type="dxa"/>
              <w:bottom w:w="100" w:type="dxa"/>
              <w:right w:w="130" w:type="dxa"/>
            </w:tcMar>
            <w:vAlign w:val="center"/>
          </w:tcPr>
          <w:p w:rsidR="00E84000" w:rsidRPr="00CC3B40" w:rsidRDefault="00E84000" w:rsidP="00E84000">
            <w:pPr>
              <w:jc w:val="center"/>
              <w:rPr>
                <w:rFonts w:ascii="Arial" w:hAnsi="Arial"/>
              </w:rPr>
            </w:pPr>
            <w:r w:rsidRPr="00CC3B40">
              <w:rPr>
                <w:rFonts w:ascii="Arial" w:hAnsi="Arial"/>
                <w:b/>
                <w:bCs/>
                <w:color w:val="FFFFFF"/>
                <w:sz w:val="20"/>
                <w:szCs w:val="20"/>
              </w:rPr>
              <w:t>China</w:t>
            </w:r>
          </w:p>
        </w:tc>
      </w:tr>
      <w:tr w:rsidR="00E84000" w:rsidRPr="00CC3B40" w:rsidTr="00E84000">
        <w:tblPrEx>
          <w:tblCellMar>
            <w:top w:w="0" w:type="dxa"/>
            <w:bottom w:w="0" w:type="dxa"/>
          </w:tblCellMar>
        </w:tblPrEx>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E84000" w:rsidRPr="00CC3B40" w:rsidRDefault="00E84000" w:rsidP="00E84000">
            <w:pPr>
              <w:rPr>
                <w:rFonts w:ascii="Arial" w:hAnsi="Arial"/>
              </w:rPr>
            </w:pPr>
            <w:r w:rsidRPr="00CC3B40">
              <w:rPr>
                <w:rFonts w:ascii="Arial" w:hAnsi="Arial"/>
                <w:b/>
                <w:bCs/>
                <w:color w:val="000000"/>
                <w:sz w:val="20"/>
                <w:szCs w:val="20"/>
              </w:rPr>
              <w:t>Corporate Tax Rate</w:t>
            </w:r>
          </w:p>
        </w:tc>
        <w:tc>
          <w:tcPr>
            <w:tcW w:w="1700" w:type="dxa"/>
            <w:tcBorders>
              <w:top w:val="single" w:sz="4" w:space="0" w:color="AAAAAA"/>
              <w:left w:val="single" w:sz="4" w:space="0" w:color="AAAAAA"/>
              <w:bottom w:val="single" w:sz="4" w:space="0" w:color="AAAAAA"/>
              <w:right w:val="single" w:sz="4" w:space="0" w:color="AAAAAA"/>
            </w:tcBorders>
            <w:shd w:val="clear" w:color="auto" w:fill="EBF5FB"/>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b/>
                <w:bCs/>
                <w:color w:val="1A5276"/>
                <w:sz w:val="20"/>
                <w:szCs w:val="20"/>
              </w:rPr>
              <w:t>9%*</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color w:val="000000"/>
                <w:sz w:val="20"/>
                <w:szCs w:val="20"/>
              </w:rPr>
              <w:t>~30%</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color w:val="000000"/>
                <w:sz w:val="20"/>
                <w:szCs w:val="20"/>
              </w:rPr>
              <w:t>25%</w:t>
            </w:r>
          </w:p>
        </w:tc>
        <w:tc>
          <w:tcPr>
            <w:tcW w:w="16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color w:val="000000"/>
                <w:sz w:val="20"/>
                <w:szCs w:val="20"/>
              </w:rPr>
              <w:t>25%</w:t>
            </w:r>
          </w:p>
        </w:tc>
      </w:tr>
      <w:tr w:rsidR="00E84000" w:rsidRPr="00CC3B40" w:rsidTr="00E84000">
        <w:tblPrEx>
          <w:tblCellMar>
            <w:top w:w="0" w:type="dxa"/>
            <w:bottom w:w="0" w:type="dxa"/>
          </w:tblCellMar>
        </w:tblPrEx>
        <w:tc>
          <w:tcPr>
            <w:tcW w:w="23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E84000" w:rsidRPr="00CC3B40" w:rsidRDefault="00E84000" w:rsidP="00E84000">
            <w:pPr>
              <w:rPr>
                <w:rFonts w:ascii="Arial" w:hAnsi="Arial"/>
              </w:rPr>
            </w:pPr>
            <w:r w:rsidRPr="00CC3B40">
              <w:rPr>
                <w:rFonts w:ascii="Arial" w:hAnsi="Arial"/>
                <w:b/>
                <w:bCs/>
                <w:color w:val="000000"/>
                <w:sz w:val="20"/>
                <w:szCs w:val="20"/>
              </w:rPr>
              <w:t>Personal Income Tax</w:t>
            </w:r>
          </w:p>
        </w:tc>
        <w:tc>
          <w:tcPr>
            <w:tcW w:w="1700" w:type="dxa"/>
            <w:tcBorders>
              <w:top w:val="single" w:sz="4" w:space="0" w:color="AAAAAA"/>
              <w:left w:val="single" w:sz="4" w:space="0" w:color="AAAAAA"/>
              <w:bottom w:val="single" w:sz="4" w:space="0" w:color="AAAAAA"/>
              <w:right w:val="single" w:sz="4" w:space="0" w:color="AAAAAA"/>
            </w:tcBorders>
            <w:shd w:val="clear" w:color="auto" w:fill="D6EAF8"/>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b/>
                <w:bCs/>
                <w:color w:val="1A5276"/>
                <w:sz w:val="20"/>
                <w:szCs w:val="20"/>
              </w:rPr>
              <w:t>0%</w:t>
            </w:r>
          </w:p>
        </w:tc>
        <w:tc>
          <w:tcPr>
            <w:tcW w:w="17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color w:val="000000"/>
                <w:sz w:val="20"/>
                <w:szCs w:val="20"/>
              </w:rPr>
              <w:t>Up to 45%</w:t>
            </w:r>
          </w:p>
        </w:tc>
        <w:tc>
          <w:tcPr>
            <w:tcW w:w="17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color w:val="000000"/>
                <w:sz w:val="20"/>
                <w:szCs w:val="20"/>
              </w:rPr>
              <w:t>Up to 45%</w:t>
            </w:r>
          </w:p>
        </w:tc>
        <w:tc>
          <w:tcPr>
            <w:tcW w:w="1626"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color w:val="000000"/>
                <w:sz w:val="20"/>
                <w:szCs w:val="20"/>
              </w:rPr>
              <w:t>Up to 45%</w:t>
            </w:r>
          </w:p>
        </w:tc>
      </w:tr>
      <w:tr w:rsidR="00E84000" w:rsidRPr="00CC3B40" w:rsidTr="00E84000">
        <w:tblPrEx>
          <w:tblCellMar>
            <w:top w:w="0" w:type="dxa"/>
            <w:bottom w:w="0" w:type="dxa"/>
          </w:tblCellMar>
        </w:tblPrEx>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E84000" w:rsidRPr="00CC3B40" w:rsidRDefault="00E84000" w:rsidP="00E84000">
            <w:pPr>
              <w:rPr>
                <w:rFonts w:ascii="Arial" w:hAnsi="Arial"/>
              </w:rPr>
            </w:pPr>
            <w:r w:rsidRPr="00CC3B40">
              <w:rPr>
                <w:rFonts w:ascii="Arial" w:hAnsi="Arial"/>
                <w:b/>
                <w:bCs/>
                <w:color w:val="000000"/>
                <w:sz w:val="20"/>
                <w:szCs w:val="20"/>
              </w:rPr>
              <w:t>VAT / GST on Vehicles</w:t>
            </w:r>
          </w:p>
        </w:tc>
        <w:tc>
          <w:tcPr>
            <w:tcW w:w="1700" w:type="dxa"/>
            <w:tcBorders>
              <w:top w:val="single" w:sz="4" w:space="0" w:color="AAAAAA"/>
              <w:left w:val="single" w:sz="4" w:space="0" w:color="AAAAAA"/>
              <w:bottom w:val="single" w:sz="4" w:space="0" w:color="AAAAAA"/>
              <w:right w:val="single" w:sz="4" w:space="0" w:color="AAAAAA"/>
            </w:tcBorders>
            <w:shd w:val="clear" w:color="auto" w:fill="EBF5FB"/>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b/>
                <w:bCs/>
                <w:color w:val="1A5276"/>
                <w:sz w:val="20"/>
                <w:szCs w:val="20"/>
              </w:rPr>
              <w:t>5%</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color w:val="000000"/>
                <w:sz w:val="20"/>
                <w:szCs w:val="20"/>
              </w:rPr>
              <w:t>19%</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color w:val="000000"/>
                <w:sz w:val="20"/>
                <w:szCs w:val="20"/>
              </w:rPr>
              <w:t>20%</w:t>
            </w:r>
          </w:p>
        </w:tc>
        <w:tc>
          <w:tcPr>
            <w:tcW w:w="16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color w:val="000000"/>
                <w:sz w:val="20"/>
                <w:szCs w:val="20"/>
              </w:rPr>
              <w:t>13%</w:t>
            </w:r>
          </w:p>
        </w:tc>
      </w:tr>
      <w:tr w:rsidR="00E84000" w:rsidRPr="00CC3B40" w:rsidTr="00E84000">
        <w:tblPrEx>
          <w:tblCellMar>
            <w:top w:w="0" w:type="dxa"/>
            <w:bottom w:w="0" w:type="dxa"/>
          </w:tblCellMar>
        </w:tblPrEx>
        <w:tc>
          <w:tcPr>
            <w:tcW w:w="23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E84000" w:rsidRPr="00CC3B40" w:rsidRDefault="00E84000" w:rsidP="00E84000">
            <w:pPr>
              <w:rPr>
                <w:rFonts w:ascii="Arial" w:hAnsi="Arial"/>
              </w:rPr>
            </w:pPr>
            <w:r w:rsidRPr="00CC3B40">
              <w:rPr>
                <w:rFonts w:ascii="Arial" w:hAnsi="Arial"/>
                <w:b/>
                <w:bCs/>
                <w:color w:val="000000"/>
                <w:sz w:val="20"/>
                <w:szCs w:val="20"/>
              </w:rPr>
              <w:t>EV Import Duty</w:t>
            </w:r>
          </w:p>
        </w:tc>
        <w:tc>
          <w:tcPr>
            <w:tcW w:w="1700" w:type="dxa"/>
            <w:tcBorders>
              <w:top w:val="single" w:sz="4" w:space="0" w:color="AAAAAA"/>
              <w:left w:val="single" w:sz="4" w:space="0" w:color="AAAAAA"/>
              <w:bottom w:val="single" w:sz="4" w:space="0" w:color="AAAAAA"/>
              <w:right w:val="single" w:sz="4" w:space="0" w:color="AAAAAA"/>
            </w:tcBorders>
            <w:shd w:val="clear" w:color="auto" w:fill="D6EAF8"/>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b/>
                <w:bCs/>
                <w:color w:val="1A5276"/>
                <w:sz w:val="20"/>
                <w:szCs w:val="20"/>
              </w:rPr>
              <w:t>0% (GCC)</w:t>
            </w:r>
          </w:p>
        </w:tc>
        <w:tc>
          <w:tcPr>
            <w:tcW w:w="17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color w:val="000000"/>
                <w:sz w:val="20"/>
                <w:szCs w:val="20"/>
              </w:rPr>
              <w:t>0% (EU)</w:t>
            </w:r>
          </w:p>
        </w:tc>
        <w:tc>
          <w:tcPr>
            <w:tcW w:w="17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color w:val="000000"/>
                <w:sz w:val="20"/>
                <w:szCs w:val="20"/>
              </w:rPr>
              <w:t>0% (UK)</w:t>
            </w:r>
          </w:p>
        </w:tc>
        <w:tc>
          <w:tcPr>
            <w:tcW w:w="1626"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color w:val="000000"/>
                <w:sz w:val="20"/>
                <w:szCs w:val="20"/>
              </w:rPr>
              <w:t>15%</w:t>
            </w:r>
          </w:p>
        </w:tc>
      </w:tr>
      <w:tr w:rsidR="00E84000" w:rsidRPr="00CC3B40" w:rsidTr="00E84000">
        <w:tblPrEx>
          <w:tblCellMar>
            <w:top w:w="0" w:type="dxa"/>
            <w:bottom w:w="0" w:type="dxa"/>
          </w:tblCellMar>
        </w:tblPrEx>
        <w:tc>
          <w:tcPr>
            <w:tcW w:w="23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E84000" w:rsidRPr="00CC3B40" w:rsidRDefault="00E84000" w:rsidP="00E84000">
            <w:pPr>
              <w:rPr>
                <w:rFonts w:ascii="Arial" w:hAnsi="Arial"/>
              </w:rPr>
            </w:pPr>
            <w:r w:rsidRPr="00CC3B40">
              <w:rPr>
                <w:rFonts w:ascii="Arial" w:hAnsi="Arial"/>
                <w:b/>
                <w:bCs/>
                <w:color w:val="000000"/>
                <w:sz w:val="20"/>
                <w:szCs w:val="20"/>
              </w:rPr>
              <w:t>Currency Risk for Tesla</w:t>
            </w:r>
          </w:p>
        </w:tc>
        <w:tc>
          <w:tcPr>
            <w:tcW w:w="1700" w:type="dxa"/>
            <w:tcBorders>
              <w:top w:val="single" w:sz="4" w:space="0" w:color="AAAAAA"/>
              <w:left w:val="single" w:sz="4" w:space="0" w:color="AAAAAA"/>
              <w:bottom w:val="single" w:sz="4" w:space="0" w:color="AAAAAA"/>
              <w:right w:val="single" w:sz="4" w:space="0" w:color="AAAAAA"/>
            </w:tcBorders>
            <w:shd w:val="clear" w:color="auto" w:fill="EBF5FB"/>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b/>
                <w:bCs/>
                <w:color w:val="1A5276"/>
                <w:sz w:val="20"/>
                <w:szCs w:val="20"/>
              </w:rPr>
              <w:t>None (AED pegged to USD)</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color w:val="000000"/>
                <w:sz w:val="20"/>
                <w:szCs w:val="20"/>
              </w:rPr>
              <w:t>Moderate (EUR/USD)</w:t>
            </w:r>
          </w:p>
        </w:tc>
        <w:tc>
          <w:tcPr>
            <w:tcW w:w="17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color w:val="000000"/>
                <w:sz w:val="20"/>
                <w:szCs w:val="20"/>
              </w:rPr>
              <w:t>Moderate (GBP/USD)</w:t>
            </w:r>
          </w:p>
        </w:tc>
        <w:tc>
          <w:tcPr>
            <w:tcW w:w="16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E84000" w:rsidRPr="00CC3B40" w:rsidRDefault="00E84000" w:rsidP="00E84000">
            <w:pPr>
              <w:jc w:val="center"/>
              <w:rPr>
                <w:rFonts w:ascii="Arial" w:hAnsi="Arial"/>
              </w:rPr>
            </w:pPr>
            <w:r w:rsidRPr="00CC3B40">
              <w:rPr>
                <w:rFonts w:ascii="Arial" w:hAnsi="Arial"/>
                <w:color w:val="000000"/>
                <w:sz w:val="20"/>
                <w:szCs w:val="20"/>
              </w:rPr>
              <w:t>High (CNY/USD)</w:t>
            </w:r>
          </w:p>
        </w:tc>
      </w:tr>
    </w:tbl>
    <w:p w:rsidR="00660B4A" w:rsidRPr="00CC3B40" w:rsidRDefault="00660B4A" w:rsidP="00660B4A">
      <w:pPr>
        <w:spacing w:before="60" w:after="60" w:line="360" w:lineRule="auto"/>
        <w:rPr>
          <w:rFonts w:ascii="Arial" w:hAnsi="Arial"/>
          <w:sz w:val="24"/>
        </w:rPr>
      </w:pPr>
    </w:p>
    <w:p w:rsidR="00660B4A" w:rsidRPr="00CC3B40" w:rsidRDefault="00660B4A" w:rsidP="00660B4A">
      <w:pPr>
        <w:spacing w:before="60" w:after="160" w:line="360" w:lineRule="auto"/>
        <w:jc w:val="center"/>
        <w:rPr>
          <w:rFonts w:ascii="Arial" w:hAnsi="Arial"/>
          <w:sz w:val="24"/>
        </w:rPr>
      </w:pPr>
      <w:r w:rsidRPr="00CC3B40">
        <w:rPr>
          <w:rFonts w:ascii="Arial" w:eastAsia="Times New Roman" w:hAnsi="Arial"/>
          <w:i/>
          <w:iCs/>
          <w:color w:val="000000"/>
          <w:sz w:val="24"/>
        </w:rPr>
        <w:t xml:space="preserve">Table 5: Comparative Fiscal and Trade Environment for EV Manufacturers — UAE vs. Selected Markets (2023). Source: PwC (2023), WTO (2022), KPMG (2022). *UAE </w:t>
      </w:r>
      <w:r w:rsidRPr="00CC3B40">
        <w:rPr>
          <w:rFonts w:ascii="Arial" w:eastAsia="Times New Roman" w:hAnsi="Arial"/>
          <w:i/>
          <w:iCs/>
          <w:color w:val="000000"/>
          <w:sz w:val="24"/>
        </w:rPr>
        <w:lastRenderedPageBreak/>
        <w:t>corporate tax applies to taxable income above AED 375,000; free zone entities may qualify for a 0% rate.</w:t>
      </w:r>
    </w:p>
    <w:p w:rsidR="00660B4A" w:rsidRPr="00CC3B40" w:rsidRDefault="00346BD6" w:rsidP="00660B4A">
      <w:pPr>
        <w:spacing w:before="120" w:after="120" w:line="360" w:lineRule="auto"/>
        <w:rPr>
          <w:rFonts w:ascii="Arial" w:hAnsi="Arial"/>
          <w:sz w:val="24"/>
        </w:rPr>
      </w:pPr>
      <w:r w:rsidRPr="00CC3B40">
        <w:rPr>
          <w:rFonts w:ascii="Arial" w:eastAsia="Times New Roman" w:hAnsi="Arial"/>
          <w:sz w:val="24"/>
        </w:rPr>
        <w:t>Zero import duty on EV in the GCC further lowers the landed cost of Tesla and increases its competitive position margin with regard to other markets where import tariffs are a major cost component. The involvement of the UAE in the wider GCC system of free trade, as well as the presence of a wide network of bilateral trade agreements, also place the country as an ideal regional distribution center of the Middle East Tesla operation (World Trade Organization, 2022). Other unaddressed economic risks are structural hydrocarbon dependence, fiscal cyclicality which is linked to the global oil price volatility and a relatively small total addressable market of around ten million residents (UAE Federal Competitiveness and Statistics Centre, 2023)</w:t>
      </w:r>
      <w:r w:rsidR="00660B4A" w:rsidRPr="00CC3B40">
        <w:rPr>
          <w:rFonts w:ascii="Arial" w:eastAsia="Times New Roman" w:hAnsi="Arial"/>
          <w:sz w:val="24"/>
        </w:rPr>
        <w:t>.</w:t>
      </w:r>
    </w:p>
    <w:p w:rsidR="00660B4A" w:rsidRPr="00CC3B40" w:rsidRDefault="00660B4A" w:rsidP="00AF2CA1">
      <w:pPr>
        <w:pStyle w:val="Heading3"/>
      </w:pPr>
      <w:bookmarkStart w:id="17" w:name="_Toc228156651"/>
      <w:r w:rsidRPr="00CC3B40">
        <w:t>4.4 Legal Factors</w:t>
      </w:r>
      <w:bookmarkEnd w:id="17"/>
    </w:p>
    <w:p w:rsidR="007042FB" w:rsidRPr="007042FB" w:rsidRDefault="00995BA1" w:rsidP="007042FB">
      <w:pPr>
        <w:spacing w:before="120" w:after="120" w:line="360" w:lineRule="auto"/>
        <w:rPr>
          <w:rFonts w:ascii="Arial" w:eastAsia="Times New Roman" w:hAnsi="Arial"/>
          <w:sz w:val="24"/>
        </w:rPr>
      </w:pPr>
      <w:r w:rsidRPr="00995BA1">
        <w:rPr>
          <w:rFonts w:ascii="Arial" w:eastAsia="Times New Roman" w:hAnsi="Arial"/>
          <w:sz w:val="24"/>
        </w:rPr>
        <w:t xml:space="preserve">The UAE has a complex legal system, a mixture of federal civil law, Sharia law and emirate laws. Legal frameworks in host countries are important location-specific advantages in Dunning's (2000) eclectic theory of MNC investment. </w:t>
      </w:r>
      <w:r w:rsidR="007042FB" w:rsidRPr="007042FB">
        <w:rPr>
          <w:rFonts w:ascii="Arial" w:eastAsia="Times New Roman" w:hAnsi="Arial"/>
          <w:sz w:val="24"/>
        </w:rPr>
        <w:t>The UAE provides a good but complex legal framework for Tesla. Although Federal Law No. 5 of 1985 establishes strong commercial law, the application of Islamic commercial law could be an issue for international companies (Al Tamimi and Company, 2022). The UAE has enhanced patent protection through adherence to international treaties like the Paris Convention and TRIPS, but these are not as strong as established markets (World Intellectual Property Organization, 2023).</w:t>
      </w:r>
    </w:p>
    <w:p w:rsidR="00660B4A" w:rsidRDefault="007042FB" w:rsidP="007042FB">
      <w:pPr>
        <w:spacing w:before="120" w:after="120" w:line="360" w:lineRule="auto"/>
        <w:rPr>
          <w:rFonts w:ascii="Arial" w:eastAsia="Times New Roman" w:hAnsi="Arial"/>
          <w:sz w:val="24"/>
        </w:rPr>
      </w:pPr>
      <w:r w:rsidRPr="007042FB">
        <w:rPr>
          <w:rFonts w:ascii="Arial" w:eastAsia="Times New Roman" w:hAnsi="Arial"/>
          <w:sz w:val="24"/>
        </w:rPr>
        <w:t>Furthermore, Federal Decree-Law No. 45 of 2021 on Personal Data Protection is important for Tesla with its data-centric vehicle technologies and mandates adherence for data storage and transfer (UAE Data Office, 2022)</w:t>
      </w:r>
      <w:r w:rsidR="00995BA1" w:rsidRPr="00995BA1">
        <w:rPr>
          <w:rFonts w:ascii="Arial" w:eastAsia="Times New Roman" w:hAnsi="Arial"/>
          <w:sz w:val="24"/>
        </w:rPr>
        <w:t>. Overall, while the UAE legal system is investment-friendly, it is important to comply with the new data governance and regulatory regimes to ensure legitimacy and reputation</w:t>
      </w:r>
      <w:r w:rsidR="00660B4A" w:rsidRPr="00CC3B40">
        <w:rPr>
          <w:rFonts w:ascii="Arial" w:eastAsia="Times New Roman" w:hAnsi="Arial"/>
          <w:sz w:val="24"/>
        </w:rPr>
        <w:t>.</w:t>
      </w:r>
    </w:p>
    <w:p w:rsidR="007042FB" w:rsidRPr="00CC3B40" w:rsidRDefault="007042FB" w:rsidP="007042FB">
      <w:pPr>
        <w:spacing w:before="120" w:after="120" w:line="360" w:lineRule="auto"/>
        <w:rPr>
          <w:rFonts w:ascii="Arial" w:hAnsi="Arial"/>
          <w:sz w:val="24"/>
        </w:rPr>
      </w:pPr>
    </w:p>
    <w:p w:rsidR="00660B4A" w:rsidRPr="00CC3B40" w:rsidRDefault="00660B4A" w:rsidP="00660B4A">
      <w:pPr>
        <w:pStyle w:val="Heading3"/>
      </w:pPr>
      <w:bookmarkStart w:id="18" w:name="_Toc228156652"/>
      <w:r w:rsidRPr="00CC3B40">
        <w:lastRenderedPageBreak/>
        <w:t>4.5 Cultural Factors</w:t>
      </w:r>
      <w:bookmarkEnd w:id="18"/>
    </w:p>
    <w:p w:rsidR="00660B4A" w:rsidRPr="00CC3B40" w:rsidRDefault="00D500F5" w:rsidP="00D500F5">
      <w:pPr>
        <w:spacing w:before="120" w:after="120" w:line="360" w:lineRule="auto"/>
        <w:rPr>
          <w:rFonts w:ascii="Arial" w:hAnsi="Arial"/>
          <w:sz w:val="24"/>
        </w:rPr>
      </w:pPr>
      <w:r w:rsidRPr="00CC3B40">
        <w:rPr>
          <w:rFonts w:ascii="Arial" w:eastAsia="Times New Roman" w:hAnsi="Arial"/>
          <w:sz w:val="24"/>
        </w:rPr>
        <w:t>The cultural dimensions are a subtle though a material influential factor of the commercial success of Tesla in the UAE. The cultural environment in the UAE is characterized by a unique dualism: there are a national Emirati culture based on conservative Islamic values and anonymous cosmopolitan and expatriate majority of the total population, who comprise about 89 per cent of the population (UAE Federal Competitiveness and Statistics Centre, 2023). Table 6 breaks down the UAE population by demographic segment and examines the market segmentation implication to the Tesla brand and pricing strategy</w:t>
      </w:r>
      <w:r w:rsidR="00660B4A" w:rsidRPr="00CC3B40">
        <w:rPr>
          <w:rFonts w:ascii="Arial" w:eastAsia="Times New Roman" w:hAnsi="Arial"/>
          <w:sz w:val="24"/>
        </w:rPr>
        <w:t>.</w:t>
      </w:r>
    </w:p>
    <w:tbl>
      <w:tblPr>
        <w:tblW w:w="9026"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1500"/>
        <w:gridCol w:w="1400"/>
        <w:gridCol w:w="3926"/>
      </w:tblGrid>
      <w:tr w:rsidR="00660B4A" w:rsidRPr="00CC3B40" w:rsidTr="00D14B43">
        <w:tc>
          <w:tcPr>
            <w:tcW w:w="2200" w:type="dxa"/>
            <w:tcBorders>
              <w:top w:val="single" w:sz="4" w:space="0" w:color="AAAAAA"/>
              <w:left w:val="single" w:sz="4" w:space="0" w:color="AAAAAA"/>
              <w:bottom w:val="single" w:sz="4" w:space="0" w:color="AAAAAA"/>
              <w:right w:val="single" w:sz="4" w:space="0" w:color="AAAAAA"/>
            </w:tcBorders>
            <w:shd w:val="clear" w:color="auto" w:fill="2E74B5" w:themeFill="accent1" w:themeFillShade="B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Population Group</w:t>
            </w:r>
          </w:p>
        </w:tc>
        <w:tc>
          <w:tcPr>
            <w:tcW w:w="1500" w:type="dxa"/>
            <w:tcBorders>
              <w:top w:val="single" w:sz="4" w:space="0" w:color="AAAAAA"/>
              <w:left w:val="single" w:sz="4" w:space="0" w:color="AAAAAA"/>
              <w:bottom w:val="single" w:sz="4" w:space="0" w:color="AAAAAA"/>
              <w:right w:val="single" w:sz="4" w:space="0" w:color="AAAAAA"/>
            </w:tcBorders>
            <w:shd w:val="clear" w:color="auto" w:fill="2E74B5" w:themeFill="accent1" w:themeFillShade="B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Share of Population</w:t>
            </w:r>
          </w:p>
        </w:tc>
        <w:tc>
          <w:tcPr>
            <w:tcW w:w="1400" w:type="dxa"/>
            <w:tcBorders>
              <w:top w:val="single" w:sz="4" w:space="0" w:color="AAAAAA"/>
              <w:left w:val="single" w:sz="4" w:space="0" w:color="AAAAAA"/>
              <w:bottom w:val="single" w:sz="4" w:space="0" w:color="AAAAAA"/>
              <w:right w:val="single" w:sz="4" w:space="0" w:color="AAAAAA"/>
            </w:tcBorders>
            <w:shd w:val="clear" w:color="auto" w:fill="2E74B5" w:themeFill="accent1" w:themeFillShade="B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Est. Number</w:t>
            </w:r>
          </w:p>
        </w:tc>
        <w:tc>
          <w:tcPr>
            <w:tcW w:w="3926" w:type="dxa"/>
            <w:tcBorders>
              <w:top w:val="single" w:sz="4" w:space="0" w:color="AAAAAA"/>
              <w:left w:val="single" w:sz="4" w:space="0" w:color="AAAAAA"/>
              <w:bottom w:val="single" w:sz="4" w:space="0" w:color="AAAAAA"/>
              <w:right w:val="single" w:sz="4" w:space="0" w:color="AAAAAA"/>
            </w:tcBorders>
            <w:shd w:val="clear" w:color="auto" w:fill="2E74B5" w:themeFill="accent1" w:themeFillShade="B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EV Market Relevance</w:t>
            </w:r>
          </w:p>
        </w:tc>
      </w:tr>
      <w:tr w:rsidR="00660B4A" w:rsidRPr="00CC3B40" w:rsidTr="00AF2CA1">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D14B43" w:rsidRPr="00CC3B40" w:rsidRDefault="00660B4A" w:rsidP="00AF2CA1">
            <w:pPr>
              <w:spacing w:line="360" w:lineRule="auto"/>
              <w:rPr>
                <w:rFonts w:ascii="Arial" w:eastAsia="Times New Roman" w:hAnsi="Arial"/>
                <w:b/>
                <w:bCs/>
                <w:color w:val="000000"/>
                <w:sz w:val="24"/>
              </w:rPr>
            </w:pPr>
            <w:r w:rsidRPr="00CC3B40">
              <w:rPr>
                <w:rFonts w:ascii="Arial" w:eastAsia="Times New Roman" w:hAnsi="Arial"/>
                <w:b/>
                <w:bCs/>
                <w:color w:val="000000"/>
                <w:sz w:val="24"/>
              </w:rPr>
              <w:t xml:space="preserve">UAE Nationals </w:t>
            </w:r>
          </w:p>
          <w:p w:rsidR="00660B4A" w:rsidRPr="00CC3B40" w:rsidRDefault="00660B4A" w:rsidP="00AF2CA1">
            <w:pPr>
              <w:spacing w:line="360" w:lineRule="auto"/>
              <w:rPr>
                <w:rFonts w:ascii="Arial" w:hAnsi="Arial"/>
                <w:sz w:val="24"/>
              </w:rPr>
            </w:pPr>
            <w:r w:rsidRPr="00CC3B40">
              <w:rPr>
                <w:rFonts w:ascii="Arial" w:eastAsia="Times New Roman" w:hAnsi="Arial"/>
                <w:b/>
                <w:bCs/>
                <w:color w:val="000000"/>
                <w:sz w:val="24"/>
              </w:rPr>
              <w:t>(Emiratis)</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~11%</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~1.1 million</w:t>
            </w:r>
          </w:p>
        </w:tc>
        <w:tc>
          <w:tcPr>
            <w:tcW w:w="39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9F3216" w:rsidRPr="00CC3B40" w:rsidRDefault="00660B4A" w:rsidP="009F3216">
            <w:pPr>
              <w:pStyle w:val="ListParagraph"/>
              <w:numPr>
                <w:ilvl w:val="0"/>
                <w:numId w:val="1"/>
              </w:numPr>
              <w:spacing w:line="360" w:lineRule="auto"/>
              <w:rPr>
                <w:rFonts w:ascii="Arial" w:eastAsia="Times New Roman" w:hAnsi="Arial"/>
                <w:color w:val="000000"/>
                <w:sz w:val="24"/>
              </w:rPr>
            </w:pPr>
            <w:r w:rsidRPr="00CC3B40">
              <w:rPr>
                <w:rFonts w:ascii="Arial" w:eastAsia="Times New Roman" w:hAnsi="Arial"/>
                <w:color w:val="000000"/>
                <w:sz w:val="24"/>
              </w:rPr>
              <w:t xml:space="preserve">High brand prestige sensitivity; </w:t>
            </w:r>
          </w:p>
          <w:p w:rsidR="00660B4A" w:rsidRPr="00CC3B40" w:rsidRDefault="009F3216" w:rsidP="009F3216">
            <w:pPr>
              <w:pStyle w:val="ListParagraph"/>
              <w:numPr>
                <w:ilvl w:val="0"/>
                <w:numId w:val="1"/>
              </w:numPr>
              <w:spacing w:line="360" w:lineRule="auto"/>
              <w:rPr>
                <w:rFonts w:ascii="Arial" w:hAnsi="Arial"/>
                <w:sz w:val="24"/>
              </w:rPr>
            </w:pPr>
            <w:r w:rsidRPr="00CC3B40">
              <w:rPr>
                <w:rFonts w:ascii="Arial" w:eastAsia="Times New Roman" w:hAnsi="Arial"/>
                <w:color w:val="000000"/>
                <w:sz w:val="24"/>
              </w:rPr>
              <w:t>S</w:t>
            </w:r>
            <w:r w:rsidR="00660B4A" w:rsidRPr="00CC3B40">
              <w:rPr>
                <w:rFonts w:ascii="Arial" w:eastAsia="Times New Roman" w:hAnsi="Arial"/>
                <w:color w:val="000000"/>
                <w:sz w:val="24"/>
              </w:rPr>
              <w:t xml:space="preserve">tatus-driven purchase </w:t>
            </w:r>
            <w:r w:rsidR="0040314B" w:rsidRPr="00CC3B40">
              <w:rPr>
                <w:rFonts w:ascii="Arial" w:eastAsia="Times New Roman" w:hAnsi="Arial"/>
                <w:color w:val="000000"/>
                <w:sz w:val="24"/>
              </w:rPr>
              <w:t>behaviour.</w:t>
            </w:r>
          </w:p>
        </w:tc>
      </w:tr>
      <w:tr w:rsidR="00660B4A" w:rsidRPr="00CC3B40" w:rsidTr="00AF2CA1">
        <w:tc>
          <w:tcPr>
            <w:tcW w:w="22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D14B43" w:rsidRPr="00CC3B40" w:rsidRDefault="00660B4A" w:rsidP="00AF2CA1">
            <w:pPr>
              <w:spacing w:line="360" w:lineRule="auto"/>
              <w:rPr>
                <w:rFonts w:ascii="Arial" w:eastAsia="Times New Roman" w:hAnsi="Arial"/>
                <w:b/>
                <w:bCs/>
                <w:color w:val="000000"/>
                <w:sz w:val="24"/>
              </w:rPr>
            </w:pPr>
            <w:r w:rsidRPr="00CC3B40">
              <w:rPr>
                <w:rFonts w:ascii="Arial" w:eastAsia="Times New Roman" w:hAnsi="Arial"/>
                <w:b/>
                <w:bCs/>
                <w:color w:val="000000"/>
                <w:sz w:val="24"/>
              </w:rPr>
              <w:t xml:space="preserve">Expatriates </w:t>
            </w:r>
          </w:p>
          <w:p w:rsidR="00660B4A" w:rsidRPr="00CC3B40" w:rsidRDefault="00660B4A" w:rsidP="00AF2CA1">
            <w:pPr>
              <w:spacing w:line="360" w:lineRule="auto"/>
              <w:rPr>
                <w:rFonts w:ascii="Arial" w:hAnsi="Arial"/>
                <w:sz w:val="24"/>
              </w:rPr>
            </w:pPr>
            <w:r w:rsidRPr="00CC3B40">
              <w:rPr>
                <w:rFonts w:ascii="Arial" w:eastAsia="Times New Roman" w:hAnsi="Arial"/>
                <w:b/>
                <w:bCs/>
                <w:color w:val="000000"/>
                <w:sz w:val="24"/>
              </w:rPr>
              <w:t>(Arab nationals)</w:t>
            </w:r>
          </w:p>
        </w:tc>
        <w:tc>
          <w:tcPr>
            <w:tcW w:w="15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~30%</w:t>
            </w:r>
          </w:p>
        </w:tc>
        <w:tc>
          <w:tcPr>
            <w:tcW w:w="14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~3.0 million</w:t>
            </w:r>
          </w:p>
        </w:tc>
        <w:tc>
          <w:tcPr>
            <w:tcW w:w="3926"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9F3216" w:rsidRPr="00CC3B40" w:rsidRDefault="00660B4A" w:rsidP="009F3216">
            <w:pPr>
              <w:pStyle w:val="ListParagraph"/>
              <w:numPr>
                <w:ilvl w:val="0"/>
                <w:numId w:val="1"/>
              </w:numPr>
              <w:spacing w:line="360" w:lineRule="auto"/>
              <w:rPr>
                <w:rFonts w:ascii="Arial" w:eastAsia="Times New Roman" w:hAnsi="Arial"/>
                <w:color w:val="000000"/>
                <w:sz w:val="24"/>
              </w:rPr>
            </w:pPr>
            <w:r w:rsidRPr="00CC3B40">
              <w:rPr>
                <w:rFonts w:ascii="Arial" w:eastAsia="Times New Roman" w:hAnsi="Arial"/>
                <w:color w:val="000000"/>
                <w:sz w:val="24"/>
              </w:rPr>
              <w:t xml:space="preserve">Varied income; </w:t>
            </w:r>
          </w:p>
          <w:p w:rsidR="00660B4A" w:rsidRPr="00CC3B40" w:rsidRDefault="00660B4A" w:rsidP="009F3216">
            <w:pPr>
              <w:pStyle w:val="ListParagraph"/>
              <w:numPr>
                <w:ilvl w:val="0"/>
                <w:numId w:val="1"/>
              </w:numPr>
              <w:spacing w:line="360" w:lineRule="auto"/>
              <w:rPr>
                <w:rFonts w:ascii="Arial" w:hAnsi="Arial"/>
                <w:sz w:val="24"/>
              </w:rPr>
            </w:pPr>
            <w:r w:rsidRPr="00CC3B40">
              <w:rPr>
                <w:rFonts w:ascii="Arial" w:eastAsia="Times New Roman" w:hAnsi="Arial"/>
                <w:color w:val="000000"/>
                <w:sz w:val="24"/>
              </w:rPr>
              <w:t>value-conscious; aspirational buyers</w:t>
            </w:r>
          </w:p>
        </w:tc>
      </w:tr>
      <w:tr w:rsidR="00660B4A" w:rsidRPr="00CC3B40" w:rsidTr="00AF2CA1">
        <w:tc>
          <w:tcPr>
            <w:tcW w:w="2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D14B43" w:rsidRPr="00CC3B40" w:rsidRDefault="00660B4A" w:rsidP="00AF2CA1">
            <w:pPr>
              <w:spacing w:line="360" w:lineRule="auto"/>
              <w:rPr>
                <w:rFonts w:ascii="Arial" w:eastAsia="Times New Roman" w:hAnsi="Arial"/>
                <w:b/>
                <w:bCs/>
                <w:color w:val="000000"/>
                <w:sz w:val="24"/>
              </w:rPr>
            </w:pPr>
            <w:r w:rsidRPr="00CC3B40">
              <w:rPr>
                <w:rFonts w:ascii="Arial" w:eastAsia="Times New Roman" w:hAnsi="Arial"/>
                <w:b/>
                <w:bCs/>
                <w:color w:val="000000"/>
                <w:sz w:val="24"/>
              </w:rPr>
              <w:t xml:space="preserve">Expatriates </w:t>
            </w:r>
          </w:p>
          <w:p w:rsidR="00660B4A" w:rsidRPr="00CC3B40" w:rsidRDefault="00660B4A" w:rsidP="00AF2CA1">
            <w:pPr>
              <w:spacing w:line="360" w:lineRule="auto"/>
              <w:rPr>
                <w:rFonts w:ascii="Arial" w:hAnsi="Arial"/>
                <w:sz w:val="24"/>
              </w:rPr>
            </w:pPr>
            <w:r w:rsidRPr="00CC3B40">
              <w:rPr>
                <w:rFonts w:ascii="Arial" w:eastAsia="Times New Roman" w:hAnsi="Arial"/>
                <w:b/>
                <w:bCs/>
                <w:color w:val="000000"/>
                <w:sz w:val="24"/>
              </w:rPr>
              <w:t>(South Asian)</w:t>
            </w:r>
          </w:p>
        </w:tc>
        <w:tc>
          <w:tcPr>
            <w:tcW w:w="15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~38%</w:t>
            </w:r>
          </w:p>
        </w:tc>
        <w:tc>
          <w:tcPr>
            <w:tcW w:w="14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~3.8 million</w:t>
            </w:r>
          </w:p>
        </w:tc>
        <w:tc>
          <w:tcPr>
            <w:tcW w:w="392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9F3216" w:rsidRPr="00CC3B40" w:rsidRDefault="00660B4A" w:rsidP="009F3216">
            <w:pPr>
              <w:pStyle w:val="ListParagraph"/>
              <w:numPr>
                <w:ilvl w:val="0"/>
                <w:numId w:val="1"/>
              </w:numPr>
              <w:spacing w:line="360" w:lineRule="auto"/>
              <w:rPr>
                <w:rFonts w:ascii="Arial" w:eastAsia="Times New Roman" w:hAnsi="Arial"/>
                <w:color w:val="000000"/>
                <w:sz w:val="24"/>
              </w:rPr>
            </w:pPr>
            <w:r w:rsidRPr="00CC3B40">
              <w:rPr>
                <w:rFonts w:ascii="Arial" w:eastAsia="Times New Roman" w:hAnsi="Arial"/>
                <w:color w:val="000000"/>
                <w:sz w:val="24"/>
              </w:rPr>
              <w:t xml:space="preserve">Price-sensitive; </w:t>
            </w:r>
          </w:p>
          <w:p w:rsidR="00660B4A" w:rsidRPr="00CC3B40" w:rsidRDefault="00660B4A" w:rsidP="009F3216">
            <w:pPr>
              <w:pStyle w:val="ListParagraph"/>
              <w:numPr>
                <w:ilvl w:val="0"/>
                <w:numId w:val="1"/>
              </w:numPr>
              <w:spacing w:line="360" w:lineRule="auto"/>
              <w:rPr>
                <w:rFonts w:ascii="Arial" w:hAnsi="Arial"/>
                <w:sz w:val="24"/>
              </w:rPr>
            </w:pPr>
            <w:r w:rsidRPr="00CC3B40">
              <w:rPr>
                <w:rFonts w:ascii="Arial" w:eastAsia="Times New Roman" w:hAnsi="Arial"/>
                <w:color w:val="000000"/>
                <w:sz w:val="24"/>
              </w:rPr>
              <w:t>growing mid-market segment</w:t>
            </w:r>
          </w:p>
        </w:tc>
      </w:tr>
      <w:tr w:rsidR="00660B4A" w:rsidRPr="00CC3B40" w:rsidTr="00AF2CA1">
        <w:tc>
          <w:tcPr>
            <w:tcW w:w="22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D14B43" w:rsidRPr="00CC3B40" w:rsidRDefault="00660B4A" w:rsidP="00AF2CA1">
            <w:pPr>
              <w:spacing w:line="360" w:lineRule="auto"/>
              <w:rPr>
                <w:rFonts w:ascii="Arial" w:eastAsia="Times New Roman" w:hAnsi="Arial"/>
                <w:b/>
                <w:bCs/>
                <w:color w:val="000000"/>
                <w:sz w:val="24"/>
              </w:rPr>
            </w:pPr>
            <w:r w:rsidRPr="00CC3B40">
              <w:rPr>
                <w:rFonts w:ascii="Arial" w:eastAsia="Times New Roman" w:hAnsi="Arial"/>
                <w:b/>
                <w:bCs/>
                <w:color w:val="000000"/>
                <w:sz w:val="24"/>
              </w:rPr>
              <w:t xml:space="preserve">Expatriates </w:t>
            </w:r>
          </w:p>
          <w:p w:rsidR="00660B4A" w:rsidRPr="00CC3B40" w:rsidRDefault="00660B4A" w:rsidP="00AF2CA1">
            <w:pPr>
              <w:spacing w:line="360" w:lineRule="auto"/>
              <w:rPr>
                <w:rFonts w:ascii="Arial" w:hAnsi="Arial"/>
                <w:sz w:val="24"/>
              </w:rPr>
            </w:pPr>
            <w:r w:rsidRPr="00CC3B40">
              <w:rPr>
                <w:rFonts w:ascii="Arial" w:eastAsia="Times New Roman" w:hAnsi="Arial"/>
                <w:b/>
                <w:bCs/>
                <w:color w:val="000000"/>
                <w:sz w:val="24"/>
              </w:rPr>
              <w:t>(Western / Other)</w:t>
            </w:r>
          </w:p>
        </w:tc>
        <w:tc>
          <w:tcPr>
            <w:tcW w:w="15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~21%</w:t>
            </w:r>
          </w:p>
        </w:tc>
        <w:tc>
          <w:tcPr>
            <w:tcW w:w="14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~2.1 million</w:t>
            </w:r>
          </w:p>
        </w:tc>
        <w:tc>
          <w:tcPr>
            <w:tcW w:w="3926"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9F3216" w:rsidRPr="00CC3B40" w:rsidRDefault="00660B4A" w:rsidP="009F3216">
            <w:pPr>
              <w:pStyle w:val="ListParagraph"/>
              <w:numPr>
                <w:ilvl w:val="0"/>
                <w:numId w:val="1"/>
              </w:numPr>
              <w:spacing w:line="360" w:lineRule="auto"/>
              <w:rPr>
                <w:rFonts w:ascii="Arial" w:eastAsia="Times New Roman" w:hAnsi="Arial"/>
                <w:color w:val="000000"/>
                <w:sz w:val="24"/>
              </w:rPr>
            </w:pPr>
            <w:r w:rsidRPr="00CC3B40">
              <w:rPr>
                <w:rFonts w:ascii="Arial" w:eastAsia="Times New Roman" w:hAnsi="Arial"/>
                <w:color w:val="000000"/>
                <w:sz w:val="24"/>
              </w:rPr>
              <w:t xml:space="preserve">Tech-enthusiastic; </w:t>
            </w:r>
          </w:p>
          <w:p w:rsidR="00660B4A" w:rsidRPr="00CC3B40" w:rsidRDefault="00660B4A" w:rsidP="009F3216">
            <w:pPr>
              <w:pStyle w:val="ListParagraph"/>
              <w:numPr>
                <w:ilvl w:val="0"/>
                <w:numId w:val="1"/>
              </w:numPr>
              <w:spacing w:line="360" w:lineRule="auto"/>
              <w:rPr>
                <w:rFonts w:ascii="Arial" w:hAnsi="Arial"/>
                <w:sz w:val="24"/>
              </w:rPr>
            </w:pPr>
            <w:r w:rsidRPr="00CC3B40">
              <w:rPr>
                <w:rFonts w:ascii="Arial" w:eastAsia="Times New Roman" w:hAnsi="Arial"/>
                <w:color w:val="000000"/>
                <w:sz w:val="24"/>
              </w:rPr>
              <w:t>strong Tesla brand affinity</w:t>
            </w:r>
          </w:p>
        </w:tc>
      </w:tr>
    </w:tbl>
    <w:p w:rsidR="00660B4A" w:rsidRPr="00CC3B40" w:rsidRDefault="00660B4A" w:rsidP="00660B4A">
      <w:pPr>
        <w:spacing w:before="60" w:after="160" w:line="360" w:lineRule="auto"/>
        <w:jc w:val="center"/>
        <w:rPr>
          <w:rFonts w:ascii="Arial" w:hAnsi="Arial"/>
          <w:sz w:val="24"/>
        </w:rPr>
      </w:pPr>
      <w:r w:rsidRPr="00CC3B40">
        <w:rPr>
          <w:rFonts w:ascii="Arial" w:eastAsia="Times New Roman" w:hAnsi="Arial"/>
          <w:i/>
          <w:iCs/>
          <w:color w:val="000000"/>
          <w:sz w:val="24"/>
        </w:rPr>
        <w:t>Table 6: UAE Population Composition and EV Market Relevance by Demographic Group (2023). Source: UAE Federal Competitiveness and Statistics Centre (2023). Shares are approximate.</w:t>
      </w:r>
    </w:p>
    <w:p w:rsidR="00FA6480" w:rsidRPr="00CC3B40" w:rsidRDefault="00995BA1" w:rsidP="00FA6480">
      <w:pPr>
        <w:spacing w:before="120" w:after="120" w:line="360" w:lineRule="auto"/>
        <w:rPr>
          <w:rFonts w:ascii="Arial" w:eastAsia="Times New Roman" w:hAnsi="Arial"/>
          <w:sz w:val="24"/>
        </w:rPr>
      </w:pPr>
      <w:r w:rsidRPr="00995BA1">
        <w:rPr>
          <w:rFonts w:ascii="Arial" w:eastAsia="Times New Roman" w:hAnsi="Arial"/>
          <w:sz w:val="24"/>
        </w:rPr>
        <w:lastRenderedPageBreak/>
        <w:t>The application of Hofstede's (1980) cultural dimensions in the UAE is limited by the notion of a relatively homogenous national culture which does not reflect the UAE's population. Emiratis are only 11% of the population in the UAE, while 89% of the population comes from over 200 other countries (UAE Federal Competitiveness and Statistics Centre, 2023)</w:t>
      </w:r>
      <w:r w:rsidR="00FA6480" w:rsidRPr="00CC3B40">
        <w:rPr>
          <w:rFonts w:ascii="Arial" w:eastAsia="Times New Roman" w:hAnsi="Arial"/>
          <w:sz w:val="24"/>
        </w:rPr>
        <w:t>. Therefore, reported UAE scores (e.g., PD: 74, IND: 36) reflect Emirati cultural values, rather than those of the majority expatriate population, who are a significant consumer group in many markets, including EV uptake. McSweeney (2002) notes that this can be problematic when dealing with national cultural scores in highly multicultural and migratory societies. Thus, these findings should be regarded as reflecting the dominant cultural characteristics of Emiratis, with the expatriates potentially having quite different cultural values, so future research would benefit from segmented cultural studies.</w:t>
      </w:r>
    </w:p>
    <w:p w:rsidR="00660B4A" w:rsidRPr="00CC3B40" w:rsidRDefault="007042FB" w:rsidP="00FA6480">
      <w:pPr>
        <w:spacing w:before="120" w:after="120" w:line="360" w:lineRule="auto"/>
        <w:rPr>
          <w:rFonts w:ascii="Arial" w:hAnsi="Arial"/>
          <w:sz w:val="24"/>
        </w:rPr>
      </w:pPr>
      <w:r w:rsidRPr="00CC3B40">
        <w:rPr>
          <w:rFonts w:ascii="Arial" w:hAnsi="Arial"/>
          <w:noProof/>
          <w:sz w:val="24"/>
        </w:rPr>
        <w:drawing>
          <wp:anchor distT="0" distB="0" distL="114300" distR="114300" simplePos="0" relativeHeight="251659264" behindDoc="0" locked="0" layoutInCell="1" allowOverlap="1" wp14:anchorId="348D9866" wp14:editId="371C4CE2">
            <wp:simplePos x="0" y="0"/>
            <wp:positionH relativeFrom="margin">
              <wp:align>center</wp:align>
            </wp:positionH>
            <wp:positionV relativeFrom="paragraph">
              <wp:posOffset>1746250</wp:posOffset>
            </wp:positionV>
            <wp:extent cx="5524500" cy="2676525"/>
            <wp:effectExtent l="0" t="0" r="0" b="9525"/>
            <wp:wrapTopAndBottom/>
            <wp:docPr id="1" name="HofstedeChart" descr="Bar chart comparing UAE and USA Hofstede scores" title="Hofstede Cultural Dimensions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24500" cy="2676525"/>
                    </a:xfrm>
                    <a:prstGeom prst="rect">
                      <a:avLst/>
                    </a:prstGeom>
                  </pic:spPr>
                </pic:pic>
              </a:graphicData>
            </a:graphic>
          </wp:anchor>
        </w:drawing>
      </w:r>
      <w:r w:rsidR="00FA6480" w:rsidRPr="00CC3B40">
        <w:rPr>
          <w:rFonts w:ascii="Arial" w:eastAsia="Times New Roman" w:hAnsi="Arial"/>
          <w:sz w:val="24"/>
        </w:rPr>
        <w:t>Nonetheless, Hofstede's model is valuable as a comparative analysis tool to explain variations in consumer behaviour between the UAE and Tesla's domestic US market. As shown in Figure 1, the UAE has much higher levels of Power Distance (74 vs. 40), and Uncertainty Avoidance (66 vs. 46) and lower levels of Individualism (36 vs. 60) than the US, which helps explain differences in consumer behaviour across markets</w:t>
      </w:r>
      <w:r w:rsidR="00660B4A" w:rsidRPr="00CC3B40">
        <w:rPr>
          <w:rFonts w:ascii="Arial" w:eastAsia="Times New Roman" w:hAnsi="Arial"/>
          <w:sz w:val="24"/>
        </w:rPr>
        <w:t>. Table 7 elaborates the strategic implications of each dimension for Tesla's market approach.</w:t>
      </w:r>
    </w:p>
    <w:p w:rsidR="00660B4A" w:rsidRPr="00CC3B40" w:rsidRDefault="00660B4A" w:rsidP="00660B4A">
      <w:pPr>
        <w:spacing w:before="120" w:after="60"/>
        <w:jc w:val="center"/>
        <w:rPr>
          <w:rFonts w:ascii="Arial" w:hAnsi="Arial"/>
          <w:sz w:val="24"/>
        </w:rPr>
      </w:pPr>
    </w:p>
    <w:p w:rsidR="00D14B43" w:rsidRPr="00CC3B40" w:rsidRDefault="00660B4A" w:rsidP="00FA6480">
      <w:pPr>
        <w:spacing w:before="60" w:after="160" w:line="360" w:lineRule="auto"/>
        <w:jc w:val="center"/>
        <w:rPr>
          <w:rFonts w:ascii="Arial" w:hAnsi="Arial"/>
          <w:sz w:val="24"/>
        </w:rPr>
      </w:pPr>
      <w:r w:rsidRPr="00CC3B40">
        <w:rPr>
          <w:rFonts w:ascii="Arial" w:eastAsia="Times New Roman" w:hAnsi="Arial"/>
          <w:i/>
          <w:iCs/>
          <w:color w:val="000000"/>
          <w:sz w:val="24"/>
        </w:rPr>
        <w:t xml:space="preserve">Figure 1: Hofstede's Cultural Dimensions — UAE vs. USA. Source: </w:t>
      </w:r>
      <w:r w:rsidR="00BE7835" w:rsidRPr="00CC3B40">
        <w:rPr>
          <w:rFonts w:ascii="Arial" w:eastAsia="Times New Roman" w:hAnsi="Arial"/>
          <w:i/>
          <w:iCs/>
          <w:color w:val="000000"/>
          <w:sz w:val="24"/>
        </w:rPr>
        <w:t>Hofstede (1980)</w:t>
      </w:r>
    </w:p>
    <w:p w:rsidR="000E4FE9" w:rsidRPr="00CC3B40" w:rsidRDefault="000E4FE9" w:rsidP="00660B4A">
      <w:pPr>
        <w:spacing w:before="60" w:after="60" w:line="360" w:lineRule="auto"/>
        <w:rPr>
          <w:rFonts w:ascii="Arial" w:hAnsi="Arial"/>
          <w:sz w:val="24"/>
        </w:rPr>
      </w:pPr>
    </w:p>
    <w:tbl>
      <w:tblPr>
        <w:tblW w:w="8799"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1871"/>
        <w:gridCol w:w="1541"/>
        <w:gridCol w:w="1276"/>
        <w:gridCol w:w="4111"/>
      </w:tblGrid>
      <w:tr w:rsidR="00660B4A" w:rsidRPr="00CC3B40" w:rsidTr="000E4FE9">
        <w:tc>
          <w:tcPr>
            <w:tcW w:w="1871" w:type="dxa"/>
            <w:tcBorders>
              <w:top w:val="single" w:sz="4" w:space="0" w:color="AAAAAA"/>
              <w:left w:val="single" w:sz="4" w:space="0" w:color="AAAAAA"/>
              <w:bottom w:val="single" w:sz="4" w:space="0" w:color="AAAAAA"/>
              <w:right w:val="single" w:sz="4" w:space="0" w:color="AAAAAA"/>
            </w:tcBorders>
            <w:shd w:val="clear" w:color="auto" w:fill="1F3864"/>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Dimension</w:t>
            </w:r>
          </w:p>
        </w:tc>
        <w:tc>
          <w:tcPr>
            <w:tcW w:w="1541" w:type="dxa"/>
            <w:tcBorders>
              <w:top w:val="single" w:sz="4" w:space="0" w:color="AAAAAA"/>
              <w:left w:val="single" w:sz="4" w:space="0" w:color="AAAAAA"/>
              <w:bottom w:val="single" w:sz="4" w:space="0" w:color="AAAAAA"/>
              <w:right w:val="single" w:sz="4" w:space="0" w:color="AAAAAA"/>
            </w:tcBorders>
            <w:shd w:val="clear" w:color="auto" w:fill="1F3864"/>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UAE Score</w:t>
            </w:r>
          </w:p>
        </w:tc>
        <w:tc>
          <w:tcPr>
            <w:tcW w:w="1276" w:type="dxa"/>
            <w:tcBorders>
              <w:top w:val="single" w:sz="4" w:space="0" w:color="AAAAAA"/>
              <w:left w:val="single" w:sz="4" w:space="0" w:color="AAAAAA"/>
              <w:bottom w:val="single" w:sz="4" w:space="0" w:color="AAAAAA"/>
              <w:right w:val="single" w:sz="4" w:space="0" w:color="AAAAAA"/>
            </w:tcBorders>
            <w:shd w:val="clear" w:color="auto" w:fill="1F3864"/>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USA Score</w:t>
            </w:r>
          </w:p>
        </w:tc>
        <w:tc>
          <w:tcPr>
            <w:tcW w:w="4111" w:type="dxa"/>
            <w:tcBorders>
              <w:top w:val="single" w:sz="4" w:space="0" w:color="AAAAAA"/>
              <w:left w:val="single" w:sz="4" w:space="0" w:color="AAAAAA"/>
              <w:bottom w:val="single" w:sz="4" w:space="0" w:color="AAAAAA"/>
              <w:right w:val="single" w:sz="4" w:space="0" w:color="AAAAAA"/>
            </w:tcBorders>
            <w:shd w:val="clear" w:color="auto" w:fill="1F3864"/>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Implication for Tesla in UAE</w:t>
            </w:r>
          </w:p>
        </w:tc>
      </w:tr>
      <w:tr w:rsidR="00660B4A" w:rsidRPr="00CC3B40" w:rsidTr="000E4FE9">
        <w:tc>
          <w:tcPr>
            <w:tcW w:w="187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000000"/>
                <w:sz w:val="24"/>
              </w:rPr>
              <w:t>Power Distance</w:t>
            </w:r>
          </w:p>
        </w:tc>
        <w:tc>
          <w:tcPr>
            <w:tcW w:w="154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74 (High)</w:t>
            </w:r>
          </w:p>
        </w:tc>
        <w:tc>
          <w:tcPr>
            <w:tcW w:w="127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40 (Low)</w:t>
            </w:r>
          </w:p>
        </w:tc>
        <w:tc>
          <w:tcPr>
            <w:tcW w:w="411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A93CDF" w:rsidRPr="00CC3B40" w:rsidRDefault="00660B4A" w:rsidP="000E4FE9">
            <w:pPr>
              <w:pStyle w:val="ListParagraph"/>
              <w:numPr>
                <w:ilvl w:val="0"/>
                <w:numId w:val="2"/>
              </w:numPr>
              <w:spacing w:line="360" w:lineRule="auto"/>
              <w:rPr>
                <w:rFonts w:ascii="Arial" w:eastAsia="Times New Roman" w:hAnsi="Arial"/>
                <w:color w:val="000000"/>
                <w:sz w:val="24"/>
              </w:rPr>
            </w:pPr>
            <w:r w:rsidRPr="00CC3B40">
              <w:rPr>
                <w:rFonts w:ascii="Arial" w:eastAsia="Times New Roman" w:hAnsi="Arial"/>
                <w:color w:val="000000"/>
                <w:sz w:val="24"/>
              </w:rPr>
              <w:t xml:space="preserve">Status-driven purchases; </w:t>
            </w:r>
          </w:p>
          <w:p w:rsidR="00660B4A" w:rsidRPr="00CC3B40" w:rsidRDefault="00660B4A" w:rsidP="000E4FE9">
            <w:pPr>
              <w:pStyle w:val="ListParagraph"/>
              <w:numPr>
                <w:ilvl w:val="0"/>
                <w:numId w:val="2"/>
              </w:numPr>
              <w:spacing w:line="360" w:lineRule="auto"/>
              <w:rPr>
                <w:rFonts w:ascii="Arial" w:hAnsi="Arial"/>
                <w:sz w:val="24"/>
              </w:rPr>
            </w:pPr>
            <w:r w:rsidRPr="00CC3B40">
              <w:rPr>
                <w:rFonts w:ascii="Arial" w:eastAsia="Times New Roman" w:hAnsi="Arial"/>
                <w:color w:val="000000"/>
                <w:sz w:val="24"/>
              </w:rPr>
              <w:t>premium brand positioning is essential</w:t>
            </w:r>
          </w:p>
        </w:tc>
      </w:tr>
      <w:tr w:rsidR="00660B4A" w:rsidRPr="00CC3B40" w:rsidTr="000E4FE9">
        <w:tc>
          <w:tcPr>
            <w:tcW w:w="1871"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000000"/>
                <w:sz w:val="24"/>
              </w:rPr>
              <w:t>Individualism</w:t>
            </w:r>
          </w:p>
        </w:tc>
        <w:tc>
          <w:tcPr>
            <w:tcW w:w="1541"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36 (Collectivist)</w:t>
            </w:r>
          </w:p>
        </w:tc>
        <w:tc>
          <w:tcPr>
            <w:tcW w:w="1276"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60 (Moderate)</w:t>
            </w:r>
          </w:p>
        </w:tc>
        <w:tc>
          <w:tcPr>
            <w:tcW w:w="4111"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Community endorsement and social proof carry significant weight</w:t>
            </w:r>
          </w:p>
        </w:tc>
      </w:tr>
      <w:tr w:rsidR="00660B4A" w:rsidRPr="00CC3B40" w:rsidTr="000E4FE9">
        <w:tc>
          <w:tcPr>
            <w:tcW w:w="187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0E4FE9" w:rsidP="00AF2CA1">
            <w:pPr>
              <w:spacing w:line="360" w:lineRule="auto"/>
              <w:rPr>
                <w:rFonts w:ascii="Arial" w:hAnsi="Arial"/>
                <w:sz w:val="24"/>
              </w:rPr>
            </w:pPr>
            <w:r w:rsidRPr="00CC3B40">
              <w:rPr>
                <w:rFonts w:ascii="Arial" w:eastAsia="Times New Roman" w:hAnsi="Arial"/>
                <w:b/>
                <w:bCs/>
                <w:color w:val="000000"/>
                <w:sz w:val="24"/>
              </w:rPr>
              <w:t>Motivation/</w:t>
            </w:r>
            <w:r w:rsidR="00660B4A" w:rsidRPr="00CC3B40">
              <w:rPr>
                <w:rFonts w:ascii="Arial" w:eastAsia="Times New Roman" w:hAnsi="Arial"/>
                <w:b/>
                <w:bCs/>
                <w:color w:val="000000"/>
                <w:sz w:val="24"/>
              </w:rPr>
              <w:t xml:space="preserve"> Achievement</w:t>
            </w:r>
          </w:p>
        </w:tc>
        <w:tc>
          <w:tcPr>
            <w:tcW w:w="154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0E4FE9" w:rsidRPr="00CC3B40" w:rsidRDefault="00660B4A" w:rsidP="00AF2CA1">
            <w:pPr>
              <w:spacing w:line="360" w:lineRule="auto"/>
              <w:rPr>
                <w:rFonts w:ascii="Arial" w:eastAsia="Times New Roman" w:hAnsi="Arial"/>
                <w:color w:val="000000"/>
                <w:sz w:val="24"/>
              </w:rPr>
            </w:pPr>
            <w:r w:rsidRPr="00CC3B40">
              <w:rPr>
                <w:rFonts w:ascii="Arial" w:eastAsia="Times New Roman" w:hAnsi="Arial"/>
                <w:color w:val="000000"/>
                <w:sz w:val="24"/>
              </w:rPr>
              <w:t xml:space="preserve">52 </w:t>
            </w:r>
          </w:p>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(Moderate)</w:t>
            </w:r>
          </w:p>
        </w:tc>
        <w:tc>
          <w:tcPr>
            <w:tcW w:w="127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0E4FE9" w:rsidRPr="00CC3B40" w:rsidRDefault="00660B4A" w:rsidP="00AF2CA1">
            <w:pPr>
              <w:spacing w:line="360" w:lineRule="auto"/>
              <w:rPr>
                <w:rFonts w:ascii="Arial" w:eastAsia="Times New Roman" w:hAnsi="Arial"/>
                <w:color w:val="000000"/>
                <w:sz w:val="24"/>
              </w:rPr>
            </w:pPr>
            <w:r w:rsidRPr="00CC3B40">
              <w:rPr>
                <w:rFonts w:ascii="Arial" w:eastAsia="Times New Roman" w:hAnsi="Arial"/>
                <w:color w:val="000000"/>
                <w:sz w:val="24"/>
              </w:rPr>
              <w:t>62</w:t>
            </w:r>
          </w:p>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 xml:space="preserve"> (High)</w:t>
            </w:r>
          </w:p>
        </w:tc>
        <w:tc>
          <w:tcPr>
            <w:tcW w:w="411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Performance an</w:t>
            </w:r>
            <w:r w:rsidR="000E4FE9" w:rsidRPr="00CC3B40">
              <w:rPr>
                <w:rFonts w:ascii="Arial" w:eastAsia="Times New Roman" w:hAnsi="Arial"/>
                <w:color w:val="000000"/>
                <w:sz w:val="24"/>
              </w:rPr>
              <w:t xml:space="preserve">d success narratives resonate </w:t>
            </w:r>
            <w:r w:rsidRPr="00CC3B40">
              <w:rPr>
                <w:rFonts w:ascii="Arial" w:eastAsia="Times New Roman" w:hAnsi="Arial"/>
                <w:color w:val="000000"/>
                <w:sz w:val="24"/>
              </w:rPr>
              <w:t>fits Tesla's brand ethos</w:t>
            </w:r>
          </w:p>
        </w:tc>
      </w:tr>
      <w:tr w:rsidR="00660B4A" w:rsidRPr="00CC3B40" w:rsidTr="000E4FE9">
        <w:tc>
          <w:tcPr>
            <w:tcW w:w="1871"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0E4FE9" w:rsidRPr="00CC3B40" w:rsidRDefault="000E4FE9" w:rsidP="00AF2CA1">
            <w:pPr>
              <w:spacing w:line="360" w:lineRule="auto"/>
              <w:rPr>
                <w:rFonts w:ascii="Arial" w:eastAsia="Times New Roman" w:hAnsi="Arial"/>
                <w:b/>
                <w:bCs/>
                <w:color w:val="000000"/>
                <w:sz w:val="24"/>
              </w:rPr>
            </w:pPr>
            <w:r w:rsidRPr="00CC3B40">
              <w:rPr>
                <w:rFonts w:ascii="Arial" w:eastAsia="Times New Roman" w:hAnsi="Arial"/>
                <w:b/>
                <w:bCs/>
                <w:color w:val="000000"/>
                <w:sz w:val="24"/>
              </w:rPr>
              <w:t>Uncertainty</w:t>
            </w:r>
          </w:p>
          <w:p w:rsidR="00660B4A" w:rsidRPr="00CC3B40" w:rsidRDefault="00660B4A" w:rsidP="00AF2CA1">
            <w:pPr>
              <w:spacing w:line="360" w:lineRule="auto"/>
              <w:rPr>
                <w:rFonts w:ascii="Arial" w:hAnsi="Arial"/>
                <w:sz w:val="24"/>
              </w:rPr>
            </w:pPr>
            <w:r w:rsidRPr="00CC3B40">
              <w:rPr>
                <w:rFonts w:ascii="Arial" w:eastAsia="Times New Roman" w:hAnsi="Arial"/>
                <w:b/>
                <w:bCs/>
                <w:color w:val="000000"/>
                <w:sz w:val="24"/>
              </w:rPr>
              <w:t>Avoidance</w:t>
            </w:r>
          </w:p>
        </w:tc>
        <w:tc>
          <w:tcPr>
            <w:tcW w:w="1541"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0E4FE9" w:rsidRPr="00CC3B40" w:rsidRDefault="00660B4A" w:rsidP="00AF2CA1">
            <w:pPr>
              <w:spacing w:line="360" w:lineRule="auto"/>
              <w:rPr>
                <w:rFonts w:ascii="Arial" w:eastAsia="Times New Roman" w:hAnsi="Arial"/>
                <w:color w:val="000000"/>
                <w:sz w:val="24"/>
              </w:rPr>
            </w:pPr>
            <w:r w:rsidRPr="00CC3B40">
              <w:rPr>
                <w:rFonts w:ascii="Arial" w:eastAsia="Times New Roman" w:hAnsi="Arial"/>
                <w:color w:val="000000"/>
                <w:sz w:val="24"/>
              </w:rPr>
              <w:t xml:space="preserve">66 </w:t>
            </w:r>
          </w:p>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(High)</w:t>
            </w:r>
          </w:p>
        </w:tc>
        <w:tc>
          <w:tcPr>
            <w:tcW w:w="1276"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0E4FE9" w:rsidRPr="00CC3B40" w:rsidRDefault="00660B4A" w:rsidP="00AF2CA1">
            <w:pPr>
              <w:spacing w:line="360" w:lineRule="auto"/>
              <w:rPr>
                <w:rFonts w:ascii="Arial" w:eastAsia="Times New Roman" w:hAnsi="Arial"/>
                <w:color w:val="000000"/>
                <w:sz w:val="24"/>
              </w:rPr>
            </w:pPr>
            <w:r w:rsidRPr="00CC3B40">
              <w:rPr>
                <w:rFonts w:ascii="Arial" w:eastAsia="Times New Roman" w:hAnsi="Arial"/>
                <w:color w:val="000000"/>
                <w:sz w:val="24"/>
              </w:rPr>
              <w:t xml:space="preserve">46 </w:t>
            </w:r>
          </w:p>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(Low)</w:t>
            </w:r>
          </w:p>
        </w:tc>
        <w:tc>
          <w:tcPr>
            <w:tcW w:w="4111"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Brand reputation, warranty, and after-sales reliability are critical purchase drivers</w:t>
            </w:r>
          </w:p>
        </w:tc>
      </w:tr>
      <w:tr w:rsidR="00660B4A" w:rsidRPr="00CC3B40" w:rsidTr="000E4FE9">
        <w:tc>
          <w:tcPr>
            <w:tcW w:w="187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000000"/>
                <w:sz w:val="24"/>
              </w:rPr>
              <w:t>Long-Term Orientation</w:t>
            </w:r>
          </w:p>
        </w:tc>
        <w:tc>
          <w:tcPr>
            <w:tcW w:w="154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0E4FE9" w:rsidRPr="00CC3B40" w:rsidRDefault="000E4FE9" w:rsidP="00AF2CA1">
            <w:pPr>
              <w:spacing w:line="360" w:lineRule="auto"/>
              <w:rPr>
                <w:rFonts w:ascii="Arial" w:eastAsia="Times New Roman" w:hAnsi="Arial"/>
                <w:color w:val="000000"/>
                <w:sz w:val="24"/>
              </w:rPr>
            </w:pPr>
            <w:r w:rsidRPr="00CC3B40">
              <w:rPr>
                <w:rFonts w:ascii="Arial" w:eastAsia="Times New Roman" w:hAnsi="Arial"/>
                <w:color w:val="000000"/>
                <w:sz w:val="24"/>
              </w:rPr>
              <w:t>22</w:t>
            </w:r>
          </w:p>
          <w:p w:rsidR="00660B4A" w:rsidRPr="00CC3B40" w:rsidRDefault="000E4FE9" w:rsidP="00AF2CA1">
            <w:pPr>
              <w:spacing w:line="360" w:lineRule="auto"/>
              <w:rPr>
                <w:rFonts w:ascii="Arial" w:hAnsi="Arial"/>
                <w:sz w:val="24"/>
              </w:rPr>
            </w:pPr>
            <w:r w:rsidRPr="00CC3B40">
              <w:rPr>
                <w:rFonts w:ascii="Arial" w:eastAsia="Times New Roman" w:hAnsi="Arial"/>
                <w:color w:val="000000"/>
                <w:sz w:val="24"/>
              </w:rPr>
              <w:t>(Short-</w:t>
            </w:r>
            <w:r w:rsidR="00660B4A" w:rsidRPr="00CC3B40">
              <w:rPr>
                <w:rFonts w:ascii="Arial" w:eastAsia="Times New Roman" w:hAnsi="Arial"/>
                <w:color w:val="000000"/>
                <w:sz w:val="24"/>
              </w:rPr>
              <w:t>Term)</w:t>
            </w:r>
          </w:p>
        </w:tc>
        <w:tc>
          <w:tcPr>
            <w:tcW w:w="127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50 (Moderate)</w:t>
            </w:r>
          </w:p>
        </w:tc>
        <w:tc>
          <w:tcPr>
            <w:tcW w:w="4111"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Immediate value and visible status signals drive purchase decisions</w:t>
            </w:r>
          </w:p>
        </w:tc>
      </w:tr>
      <w:tr w:rsidR="00660B4A" w:rsidRPr="00CC3B40" w:rsidTr="000E4FE9">
        <w:tc>
          <w:tcPr>
            <w:tcW w:w="1871"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000000"/>
                <w:sz w:val="24"/>
              </w:rPr>
              <w:t>Indulgence</w:t>
            </w:r>
          </w:p>
        </w:tc>
        <w:tc>
          <w:tcPr>
            <w:tcW w:w="1541"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22 (Restrained)</w:t>
            </w:r>
          </w:p>
        </w:tc>
        <w:tc>
          <w:tcPr>
            <w:tcW w:w="1276"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68 (Indulgent)</w:t>
            </w:r>
          </w:p>
        </w:tc>
        <w:tc>
          <w:tcPr>
            <w:tcW w:w="4111"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Frugal self-image may require status-led rather than pleasure-led messaging</w:t>
            </w:r>
          </w:p>
        </w:tc>
      </w:tr>
    </w:tbl>
    <w:p w:rsidR="00660B4A" w:rsidRPr="00CC3B40" w:rsidRDefault="00660B4A" w:rsidP="00660B4A">
      <w:pPr>
        <w:spacing w:before="60" w:after="160" w:line="360" w:lineRule="auto"/>
        <w:jc w:val="center"/>
        <w:rPr>
          <w:rFonts w:ascii="Arial" w:hAnsi="Arial"/>
          <w:sz w:val="24"/>
        </w:rPr>
      </w:pPr>
      <w:r w:rsidRPr="00CC3B40">
        <w:rPr>
          <w:rFonts w:ascii="Arial" w:eastAsia="Times New Roman" w:hAnsi="Arial"/>
          <w:i/>
          <w:iCs/>
          <w:color w:val="000000"/>
          <w:sz w:val="24"/>
        </w:rPr>
        <w:t>Table 7: Hofstede's Cultural Dimensions — UAE vs. USA, with Implications for Tesla's Market St</w:t>
      </w:r>
      <w:r w:rsidR="00B55BAF" w:rsidRPr="00CC3B40">
        <w:rPr>
          <w:rFonts w:ascii="Arial" w:eastAsia="Times New Roman" w:hAnsi="Arial"/>
          <w:i/>
          <w:iCs/>
          <w:color w:val="000000"/>
          <w:sz w:val="24"/>
        </w:rPr>
        <w:t>rategy. Source: Hofstede (1980)</w:t>
      </w:r>
      <w:r w:rsidRPr="00CC3B40">
        <w:rPr>
          <w:rFonts w:ascii="Arial" w:eastAsia="Times New Roman" w:hAnsi="Arial"/>
          <w:i/>
          <w:iCs/>
          <w:color w:val="000000"/>
          <w:sz w:val="24"/>
        </w:rPr>
        <w:t>. Scores reflect Hofstede Insights national culture database values as at April 2026.</w:t>
      </w:r>
    </w:p>
    <w:p w:rsidR="00CC3B40" w:rsidRPr="00CC3B40" w:rsidRDefault="00995BA1" w:rsidP="00CC3B40">
      <w:pPr>
        <w:spacing w:before="120" w:after="120" w:line="360" w:lineRule="auto"/>
        <w:rPr>
          <w:rFonts w:ascii="Arial" w:eastAsia="Times New Roman" w:hAnsi="Arial"/>
          <w:sz w:val="24"/>
        </w:rPr>
      </w:pPr>
      <w:r w:rsidRPr="00995BA1">
        <w:rPr>
          <w:rFonts w:ascii="Arial" w:eastAsia="Times New Roman" w:hAnsi="Arial"/>
          <w:sz w:val="24"/>
        </w:rPr>
        <w:t>The UAE has a high Power Distance, collectivist culture, and its consumers' attitudes are strongly influenced by status, prestige and acceptance (Trompenaars and Hampden-Turner, 2012). Tesla's branding strategies of high technology, sustainability and status align with these practices (Soares, Farhangmehr and Shoham, 2007)</w:t>
      </w:r>
      <w:r w:rsidR="00CC3B40" w:rsidRPr="00CC3B40">
        <w:rPr>
          <w:rFonts w:ascii="Arial" w:eastAsia="Times New Roman" w:hAnsi="Arial"/>
          <w:sz w:val="24"/>
        </w:rPr>
        <w:t xml:space="preserve">. But its </w:t>
      </w:r>
      <w:r w:rsidR="00CC3B40" w:rsidRPr="00CC3B40">
        <w:rPr>
          <w:rFonts w:ascii="Arial" w:eastAsia="Times New Roman" w:hAnsi="Arial"/>
          <w:sz w:val="24"/>
        </w:rPr>
        <w:lastRenderedPageBreak/>
        <w:t>sustainability message could be less attractive to some Emirates consumers whose national identity has long been tied to the oil industry.</w:t>
      </w:r>
    </w:p>
    <w:p w:rsidR="00D14B43" w:rsidRPr="00CC3B40" w:rsidRDefault="00CC3B40" w:rsidP="00CC3B40">
      <w:pPr>
        <w:spacing w:before="120" w:after="120" w:line="360" w:lineRule="auto"/>
        <w:rPr>
          <w:rFonts w:ascii="Arial" w:eastAsia="Times New Roman" w:hAnsi="Arial"/>
          <w:sz w:val="24"/>
        </w:rPr>
      </w:pPr>
      <w:r w:rsidRPr="00CC3B40">
        <w:rPr>
          <w:rFonts w:ascii="Arial" w:eastAsia="Times New Roman" w:hAnsi="Arial"/>
          <w:sz w:val="24"/>
        </w:rPr>
        <w:t>Moreover, Tesla's English-dominated digital customer portal may not be as accessible for Arabic speakers and fails to capture the relationship-based business culture that dominates in the Gulf region (Trompenaars and Hampden-Turner, 2012). Although not showstoppers, these are practical localisation needs that need to be considered in Te</w:t>
      </w:r>
      <w:r w:rsidRPr="00CC3B40">
        <w:rPr>
          <w:rFonts w:ascii="Arial" w:eastAsia="Times New Roman" w:hAnsi="Arial"/>
          <w:sz w:val="24"/>
        </w:rPr>
        <w:t>sla’s UAE market entry strategy</w:t>
      </w:r>
      <w:r w:rsidR="00660B4A" w:rsidRPr="00CC3B40">
        <w:rPr>
          <w:rFonts w:ascii="Arial" w:eastAsia="Times New Roman" w:hAnsi="Arial"/>
          <w:sz w:val="24"/>
        </w:rPr>
        <w:t>.</w:t>
      </w:r>
    </w:p>
    <w:p w:rsidR="00660B4A" w:rsidRPr="00CC3B40" w:rsidRDefault="00660B4A" w:rsidP="00660B4A">
      <w:pPr>
        <w:pStyle w:val="Heading3"/>
      </w:pPr>
      <w:bookmarkStart w:id="19" w:name="_Toc228156653"/>
      <w:r w:rsidRPr="00CC3B40">
        <w:t>4.6 Overall Market Attractiveness Assessment</w:t>
      </w:r>
      <w:bookmarkEnd w:id="19"/>
    </w:p>
    <w:p w:rsidR="00660B4A" w:rsidRPr="00CC3B40" w:rsidRDefault="00D500F5" w:rsidP="00D500F5">
      <w:pPr>
        <w:spacing w:before="120" w:after="120" w:line="360" w:lineRule="auto"/>
        <w:rPr>
          <w:rFonts w:ascii="Arial" w:hAnsi="Arial"/>
          <w:sz w:val="24"/>
        </w:rPr>
      </w:pPr>
      <w:r w:rsidRPr="00CC3B40">
        <w:rPr>
          <w:rFonts w:ascii="Arial" w:eastAsia="Times New Roman" w:hAnsi="Arial"/>
          <w:sz w:val="24"/>
        </w:rPr>
        <w:t>In order to find out the strategic feasibility of the UAE as a country to venture into by Tesla Inc., this section will fuse the above PELC analysis into a single market attractiveness analysis. A scoring system is used whereby each has a weight (1 = low strategic importance, 3 = high strategic importance) relating to the relevance to the Tesla business model and a rating (1 = highly unfavourable, 5 = highly favourable) in regards to the evidence in Sections 4.2 to 4.5. The approach is based on the existing location attractiveness conceptualizations in the international business theory (Dunning, 2000)</w:t>
      </w:r>
      <w:r w:rsidR="00660B4A" w:rsidRPr="00CC3B40">
        <w:rPr>
          <w:rFonts w:ascii="Arial" w:eastAsia="Times New Roman" w:hAnsi="Arial"/>
          <w:sz w:val="24"/>
        </w:rPr>
        <w:t>.</w:t>
      </w:r>
    </w:p>
    <w:tbl>
      <w:tblPr>
        <w:tblW w:w="9026" w:type="dxa"/>
        <w:tblInd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07"/>
        <w:gridCol w:w="1060"/>
        <w:gridCol w:w="1007"/>
        <w:gridCol w:w="1340"/>
        <w:gridCol w:w="4212"/>
      </w:tblGrid>
      <w:tr w:rsidR="00660B4A" w:rsidRPr="00CC3B40" w:rsidTr="00AF2CA1">
        <w:tc>
          <w:tcPr>
            <w:tcW w:w="12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Factor</w:t>
            </w:r>
          </w:p>
        </w:tc>
        <w:tc>
          <w:tcPr>
            <w:tcW w:w="10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Weight (1–3)</w:t>
            </w:r>
          </w:p>
        </w:tc>
        <w:tc>
          <w:tcPr>
            <w:tcW w:w="95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Rating (1–5)</w:t>
            </w:r>
          </w:p>
        </w:tc>
        <w:tc>
          <w:tcPr>
            <w:tcW w:w="1100" w:type="dxa"/>
            <w:tcBorders>
              <w:top w:val="single" w:sz="4" w:space="0" w:color="AAAAAA"/>
              <w:left w:val="single" w:sz="4" w:space="0" w:color="AAAAAA"/>
              <w:bottom w:val="single" w:sz="4" w:space="0" w:color="AAAAAA"/>
              <w:right w:val="single" w:sz="4" w:space="0" w:color="AAAAAA"/>
            </w:tcBorders>
            <w:shd w:val="clear" w:color="auto" w:fill="1F3864"/>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Weighted Score</w:t>
            </w:r>
          </w:p>
        </w:tc>
        <w:tc>
          <w:tcPr>
            <w:tcW w:w="4776" w:type="dxa"/>
            <w:tcBorders>
              <w:top w:val="single" w:sz="4" w:space="0" w:color="AAAAAA"/>
              <w:left w:val="single" w:sz="4" w:space="0" w:color="AAAAAA"/>
              <w:bottom w:val="single" w:sz="4" w:space="0" w:color="AAAAAA"/>
              <w:right w:val="single" w:sz="4" w:space="0" w:color="AAAAAA"/>
            </w:tcBorders>
            <w:shd w:val="clear" w:color="auto" w:fill="1F3864"/>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Justification</w:t>
            </w:r>
          </w:p>
        </w:tc>
      </w:tr>
      <w:tr w:rsidR="00660B4A" w:rsidRPr="00CC3B40" w:rsidTr="00AF2CA1">
        <w:tc>
          <w:tcPr>
            <w:tcW w:w="12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000000"/>
                <w:sz w:val="24"/>
              </w:rPr>
              <w:t>Political</w:t>
            </w:r>
          </w:p>
        </w:tc>
        <w:tc>
          <w:tcPr>
            <w:tcW w:w="10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3</w:t>
            </w:r>
          </w:p>
        </w:tc>
        <w:tc>
          <w:tcPr>
            <w:tcW w:w="95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5</w:t>
            </w:r>
          </w:p>
        </w:tc>
        <w:tc>
          <w:tcPr>
            <w:tcW w:w="11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000000"/>
                <w:sz w:val="24"/>
              </w:rPr>
              <w:t>15</w:t>
            </w:r>
          </w:p>
        </w:tc>
        <w:tc>
          <w:tcPr>
            <w:tcW w:w="4776"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Stable monarchy, US-aligned foreign policy, explicit National EV Policy (2023–2030), state fleet electrification mandates</w:t>
            </w:r>
          </w:p>
        </w:tc>
      </w:tr>
      <w:tr w:rsidR="00660B4A" w:rsidRPr="00CC3B40" w:rsidTr="00AF2CA1">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000000"/>
                <w:sz w:val="24"/>
              </w:rPr>
              <w:t>Economic</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3</w:t>
            </w:r>
          </w:p>
        </w:tc>
        <w:tc>
          <w:tcPr>
            <w:tcW w:w="95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5</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000000"/>
                <w:sz w:val="24"/>
              </w:rPr>
              <w:t>15</w:t>
            </w:r>
          </w:p>
        </w:tc>
        <w:tc>
          <w:tcPr>
            <w:tcW w:w="477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High GDP/capita (USD 54,214 in 2026), USD peg removes currency risk, 0% import duty on EVs, 9% corporate tax only above AED 375,000</w:t>
            </w:r>
          </w:p>
        </w:tc>
      </w:tr>
      <w:tr w:rsidR="00660B4A" w:rsidRPr="00CC3B40" w:rsidTr="00AF2CA1">
        <w:tc>
          <w:tcPr>
            <w:tcW w:w="12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000000"/>
                <w:sz w:val="24"/>
              </w:rPr>
              <w:lastRenderedPageBreak/>
              <w:t>Legal</w:t>
            </w:r>
          </w:p>
        </w:tc>
        <w:tc>
          <w:tcPr>
            <w:tcW w:w="10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2</w:t>
            </w:r>
          </w:p>
        </w:tc>
        <w:tc>
          <w:tcPr>
            <w:tcW w:w="95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4</w:t>
            </w:r>
          </w:p>
        </w:tc>
        <w:tc>
          <w:tcPr>
            <w:tcW w:w="1100"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000000"/>
                <w:sz w:val="24"/>
              </w:rPr>
              <w:t>8</w:t>
            </w:r>
          </w:p>
        </w:tc>
        <w:tc>
          <w:tcPr>
            <w:tcW w:w="4776" w:type="dxa"/>
            <w:tcBorders>
              <w:top w:val="single" w:sz="4" w:space="0" w:color="AAAAAA"/>
              <w:left w:val="single" w:sz="4" w:space="0" w:color="AAAAAA"/>
              <w:bottom w:val="single" w:sz="4" w:space="0" w:color="AAAAAA"/>
              <w:right w:val="single" w:sz="4" w:space="0" w:color="AAAAAA"/>
            </w:tcBorders>
            <w:shd w:val="clear" w:color="auto" w:fill="EBF5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Stable commercial law framework; strengthening IP protection; evolving data privacy regime (Federal Law No. 45 of 2021) requires ongoing compliance but is not prohibitive</w:t>
            </w:r>
          </w:p>
        </w:tc>
      </w:tr>
      <w:tr w:rsidR="00660B4A" w:rsidRPr="00CC3B40" w:rsidTr="00AF2CA1">
        <w:tc>
          <w:tcPr>
            <w:tcW w:w="12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000000"/>
                <w:sz w:val="24"/>
              </w:rPr>
              <w:t>Cultural</w:t>
            </w:r>
          </w:p>
        </w:tc>
        <w:tc>
          <w:tcPr>
            <w:tcW w:w="10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2</w:t>
            </w:r>
          </w:p>
        </w:tc>
        <w:tc>
          <w:tcPr>
            <w:tcW w:w="95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color w:val="000000"/>
                <w:sz w:val="24"/>
              </w:rPr>
              <w:t>4</w:t>
            </w:r>
          </w:p>
        </w:tc>
        <w:tc>
          <w:tcPr>
            <w:tcW w:w="1100"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000000"/>
                <w:sz w:val="24"/>
              </w:rPr>
              <w:t>8</w:t>
            </w:r>
          </w:p>
        </w:tc>
        <w:tc>
          <w:tcPr>
            <w:tcW w:w="4776" w:type="dxa"/>
            <w:tcBorders>
              <w:top w:val="single" w:sz="4" w:space="0" w:color="AAAAAA"/>
              <w:left w:val="single" w:sz="4" w:space="0" w:color="AAAAAA"/>
              <w:bottom w:val="single" w:sz="4" w:space="0" w:color="AAAAAA"/>
              <w:right w:val="single" w:sz="4" w:space="0" w:color="AAAAAA"/>
            </w:tcBorders>
            <w:shd w:val="clear" w:color="auto" w:fill="FFFFFF"/>
            <w:tcMar>
              <w:top w:w="80" w:type="dxa"/>
              <w:left w:w="130" w:type="dxa"/>
              <w:bottom w:w="80" w:type="dxa"/>
              <w:right w:w="130" w:type="dxa"/>
            </w:tcMar>
          </w:tcPr>
          <w:p w:rsidR="00660B4A" w:rsidRPr="00CC3B40" w:rsidRDefault="00660B4A" w:rsidP="00AF2CA1">
            <w:pPr>
              <w:spacing w:line="360" w:lineRule="auto"/>
              <w:rPr>
                <w:rFonts w:ascii="Arial" w:eastAsia="Times New Roman" w:hAnsi="Arial"/>
                <w:color w:val="000000"/>
                <w:sz w:val="24"/>
              </w:rPr>
            </w:pPr>
            <w:r w:rsidRPr="00CC3B40">
              <w:rPr>
                <w:rFonts w:ascii="Arial" w:eastAsia="Times New Roman" w:hAnsi="Arial"/>
                <w:color w:val="000000"/>
                <w:sz w:val="24"/>
              </w:rPr>
              <w:t>Tech-enthusiastic,</w:t>
            </w:r>
            <w:r w:rsidR="00B55BAF" w:rsidRPr="00CC3B40">
              <w:rPr>
                <w:rFonts w:ascii="Arial" w:eastAsia="Times New Roman" w:hAnsi="Arial"/>
                <w:color w:val="000000"/>
                <w:sz w:val="24"/>
              </w:rPr>
              <w:t xml:space="preserve"> </w:t>
            </w:r>
            <w:r w:rsidRPr="00CC3B40">
              <w:rPr>
                <w:rFonts w:ascii="Arial" w:eastAsia="Times New Roman" w:hAnsi="Arial"/>
                <w:color w:val="000000"/>
                <w:sz w:val="24"/>
              </w:rPr>
              <w:t>status-driven consumer base aligns with Tesla brand; expatriate majority (89%) is Western-friendly; however Arabic localisation and relationship-based business norms require adaptation</w:t>
            </w:r>
          </w:p>
        </w:tc>
      </w:tr>
      <w:tr w:rsidR="00660B4A" w:rsidRPr="00CC3B40" w:rsidTr="00AF2CA1">
        <w:tc>
          <w:tcPr>
            <w:tcW w:w="1200" w:type="dxa"/>
            <w:tcBorders>
              <w:top w:val="single" w:sz="4" w:space="0" w:color="AAAAAA"/>
              <w:left w:val="single" w:sz="4" w:space="0" w:color="AAAAAA"/>
              <w:bottom w:val="single" w:sz="4" w:space="0" w:color="AAAAAA"/>
              <w:right w:val="single" w:sz="4" w:space="0" w:color="AAAAAA"/>
            </w:tcBorders>
            <w:shd w:val="clear" w:color="auto" w:fill="1F4E79"/>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Total</w:t>
            </w:r>
          </w:p>
        </w:tc>
        <w:tc>
          <w:tcPr>
            <w:tcW w:w="1000" w:type="dxa"/>
            <w:tcBorders>
              <w:top w:val="single" w:sz="4" w:space="0" w:color="AAAAAA"/>
              <w:left w:val="single" w:sz="4" w:space="0" w:color="AAAAAA"/>
              <w:bottom w:val="single" w:sz="4" w:space="0" w:color="AAAAAA"/>
              <w:right w:val="single" w:sz="4" w:space="0" w:color="AAAAAA"/>
            </w:tcBorders>
            <w:shd w:val="clear" w:color="auto" w:fill="1F4E79"/>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10</w:t>
            </w:r>
          </w:p>
        </w:tc>
        <w:tc>
          <w:tcPr>
            <w:tcW w:w="950" w:type="dxa"/>
            <w:tcBorders>
              <w:top w:val="single" w:sz="4" w:space="0" w:color="AAAAAA"/>
              <w:left w:val="single" w:sz="4" w:space="0" w:color="AAAAAA"/>
              <w:bottom w:val="single" w:sz="4" w:space="0" w:color="AAAAAA"/>
              <w:right w:val="single" w:sz="4" w:space="0" w:color="AAAAAA"/>
            </w:tcBorders>
            <w:shd w:val="clear" w:color="auto" w:fill="1F4E79"/>
            <w:tcMar>
              <w:top w:w="80" w:type="dxa"/>
              <w:left w:w="130" w:type="dxa"/>
              <w:bottom w:w="80" w:type="dxa"/>
              <w:right w:w="130" w:type="dxa"/>
            </w:tcMar>
          </w:tcPr>
          <w:p w:rsidR="00660B4A" w:rsidRPr="00CC3B40" w:rsidRDefault="00660B4A" w:rsidP="00AF2CA1">
            <w:pPr>
              <w:spacing w:line="360" w:lineRule="auto"/>
              <w:rPr>
                <w:rFonts w:ascii="Arial" w:hAnsi="Arial"/>
                <w:sz w:val="24"/>
              </w:rPr>
            </w:pPr>
          </w:p>
        </w:tc>
        <w:tc>
          <w:tcPr>
            <w:tcW w:w="1100" w:type="dxa"/>
            <w:tcBorders>
              <w:top w:val="single" w:sz="4" w:space="0" w:color="AAAAAA"/>
              <w:left w:val="single" w:sz="4" w:space="0" w:color="AAAAAA"/>
              <w:bottom w:val="single" w:sz="4" w:space="0" w:color="AAAAAA"/>
              <w:right w:val="single" w:sz="4" w:space="0" w:color="AAAAAA"/>
            </w:tcBorders>
            <w:shd w:val="clear" w:color="auto" w:fill="1F4E79"/>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46 / 50</w:t>
            </w:r>
          </w:p>
        </w:tc>
        <w:tc>
          <w:tcPr>
            <w:tcW w:w="4776" w:type="dxa"/>
            <w:tcBorders>
              <w:top w:val="single" w:sz="4" w:space="0" w:color="AAAAAA"/>
              <w:left w:val="single" w:sz="4" w:space="0" w:color="AAAAAA"/>
              <w:bottom w:val="single" w:sz="4" w:space="0" w:color="AAAAAA"/>
              <w:right w:val="single" w:sz="4" w:space="0" w:color="AAAAAA"/>
            </w:tcBorders>
            <w:shd w:val="clear" w:color="auto" w:fill="1F4E79"/>
            <w:tcMar>
              <w:top w:w="80" w:type="dxa"/>
              <w:left w:w="130" w:type="dxa"/>
              <w:bottom w:w="80" w:type="dxa"/>
              <w:right w:w="130" w:type="dxa"/>
            </w:tcMar>
          </w:tcPr>
          <w:p w:rsidR="00660B4A" w:rsidRPr="00CC3B40" w:rsidRDefault="00660B4A" w:rsidP="00AF2CA1">
            <w:pPr>
              <w:spacing w:line="360" w:lineRule="auto"/>
              <w:rPr>
                <w:rFonts w:ascii="Arial" w:hAnsi="Arial"/>
                <w:sz w:val="24"/>
              </w:rPr>
            </w:pPr>
            <w:r w:rsidRPr="00CC3B40">
              <w:rPr>
                <w:rFonts w:ascii="Arial" w:eastAsia="Times New Roman" w:hAnsi="Arial"/>
                <w:b/>
                <w:bCs/>
                <w:color w:val="FFFFFF"/>
                <w:sz w:val="24"/>
              </w:rPr>
              <w:t>92% — Highly Attractive</w:t>
            </w:r>
          </w:p>
        </w:tc>
      </w:tr>
    </w:tbl>
    <w:p w:rsidR="00660B4A" w:rsidRPr="00CC3B40" w:rsidRDefault="00660B4A" w:rsidP="00660B4A">
      <w:pPr>
        <w:spacing w:before="60" w:after="160" w:line="360" w:lineRule="auto"/>
        <w:jc w:val="center"/>
        <w:rPr>
          <w:rFonts w:ascii="Arial" w:hAnsi="Arial"/>
          <w:sz w:val="24"/>
        </w:rPr>
      </w:pPr>
      <w:r w:rsidRPr="00CC3B40">
        <w:rPr>
          <w:rFonts w:ascii="Arial" w:eastAsia="Times New Roman" w:hAnsi="Arial"/>
          <w:i/>
          <w:iCs/>
          <w:color w:val="000000"/>
          <w:sz w:val="24"/>
        </w:rPr>
        <w:t>Table 8: Weighted Market Attractiveness Assessment — UAE for Tesla Inc. Source: Compiled by the author based on analysis in Sections 4.2–4.5.</w:t>
      </w:r>
    </w:p>
    <w:p w:rsidR="00660B4A" w:rsidRDefault="00617064" w:rsidP="00660B4A">
      <w:pPr>
        <w:spacing w:before="120" w:after="120" w:line="360" w:lineRule="auto"/>
        <w:rPr>
          <w:rFonts w:ascii="Arial" w:eastAsia="Times New Roman" w:hAnsi="Arial"/>
          <w:sz w:val="24"/>
        </w:rPr>
      </w:pPr>
      <w:r w:rsidRPr="00CC3B40">
        <w:rPr>
          <w:rFonts w:ascii="Arial" w:eastAsia="Times New Roman" w:hAnsi="Arial"/>
          <w:sz w:val="24"/>
        </w:rPr>
        <w:t>The UAE has a weighted attractiveness score of 46 out of maximum 50 which is equivalent to 92 per cent, thus the country falls squarely in the category of Highly Attractive in the operational and business interests of Tesla. There are the highest possible weighted scores (15/15) on political and economic factors because there is a rare convergence of the institutional stability, the explicit government EV mandates, highly competitive fiscal environment, and structurally beneficial USD currency peg. On legal factors, the score is 4 out of 5, as the country is recognised to have a generally strong and business-friendly legal system, yet as the regime of data protection and intellectual property enforcement continues to evolve. Cultural considerations have also a score of 4 out of 5, indicating a high level of strategic brand orientation with the high-technological and premium culture of the UAE consumer and acknowledging that there is a necessity to make targeted Arabic localisation and adaptation to the commercial norms based on the Gulf relationships. All these results justify the UAE as a high-priority, strategically sound market where Tesla can further internationalize its operations</w:t>
      </w:r>
      <w:r w:rsidR="00660B4A" w:rsidRPr="00CC3B40">
        <w:rPr>
          <w:rFonts w:ascii="Arial" w:eastAsia="Times New Roman" w:hAnsi="Arial"/>
          <w:sz w:val="24"/>
        </w:rPr>
        <w:t>.</w:t>
      </w:r>
    </w:p>
    <w:p w:rsidR="007042FB" w:rsidRPr="00CC3B40" w:rsidRDefault="007042FB" w:rsidP="00660B4A">
      <w:pPr>
        <w:spacing w:before="120" w:after="120" w:line="360" w:lineRule="auto"/>
        <w:rPr>
          <w:rFonts w:ascii="Arial" w:hAnsi="Arial"/>
          <w:sz w:val="24"/>
        </w:rPr>
      </w:pPr>
    </w:p>
    <w:p w:rsidR="00660B4A" w:rsidRPr="00CC3B40" w:rsidRDefault="00660B4A" w:rsidP="00FA6480">
      <w:pPr>
        <w:pStyle w:val="Heading2"/>
      </w:pPr>
      <w:bookmarkStart w:id="20" w:name="_Toc228156654"/>
      <w:r w:rsidRPr="00CC3B40">
        <w:lastRenderedPageBreak/>
        <w:t>5. Conclusion</w:t>
      </w:r>
      <w:bookmarkEnd w:id="20"/>
    </w:p>
    <w:p w:rsidR="00CC3B40" w:rsidRPr="00CC3B40" w:rsidRDefault="00CC3B40" w:rsidP="00CC3B40">
      <w:pPr>
        <w:spacing w:before="120" w:after="120" w:line="360" w:lineRule="auto"/>
        <w:rPr>
          <w:rFonts w:ascii="Arial" w:eastAsia="Times New Roman" w:hAnsi="Arial"/>
          <w:sz w:val="24"/>
        </w:rPr>
      </w:pPr>
      <w:r w:rsidRPr="00CC3B40">
        <w:rPr>
          <w:rFonts w:ascii="Arial" w:eastAsia="Times New Roman" w:hAnsi="Arial"/>
          <w:sz w:val="24"/>
        </w:rPr>
        <w:t>This report uses Porter's Diamond Model (1990) and a PELC analysis to assess the UAE EV industry and Tesla's prospects. It concludes that, although the UAE is not an EV manufacturing hub (low industrial depth, supply chain integration and engineering capability), it offers good demand conditions, government policy and a very favourable fiscal and financial climate, implying a high potential for a lucrative and attractive EV market.</w:t>
      </w:r>
    </w:p>
    <w:p w:rsidR="00CC3B40" w:rsidRPr="00CC3B40" w:rsidRDefault="00CC3B40" w:rsidP="00CC3B40">
      <w:pPr>
        <w:spacing w:before="120" w:after="120" w:line="360" w:lineRule="auto"/>
        <w:rPr>
          <w:rFonts w:ascii="Arial" w:eastAsia="Times New Roman" w:hAnsi="Arial"/>
          <w:sz w:val="24"/>
        </w:rPr>
      </w:pPr>
      <w:r w:rsidRPr="00CC3B40">
        <w:rPr>
          <w:rFonts w:ascii="Arial" w:eastAsia="Times New Roman" w:hAnsi="Arial"/>
          <w:sz w:val="24"/>
        </w:rPr>
        <w:t xml:space="preserve">The UAE presents Tesla with opportunities such as political stability, business-friendly regulation, USD currency peg, no EV import taxes, and a rich, tech-savvy consumer market, which is compatible with Tesla's direct-to-consumer and luxury branding strategies. </w:t>
      </w:r>
      <w:r w:rsidR="00995BA1" w:rsidRPr="00995BA1">
        <w:rPr>
          <w:rFonts w:ascii="Arial" w:eastAsia="Times New Roman" w:hAnsi="Arial"/>
          <w:sz w:val="24"/>
        </w:rPr>
        <w:t>However, there are issues with the small market size (10m population), regulatory risks (especially data privacy: Federal Decree-Law No. 45 of 2021 and intellectual property protection) and the need to be more localised. In particular, Tesla needs to adapt its digital platform (in English) and US-centred communication style to the Arabic market and relationship-driven Middle East culture.</w:t>
      </w:r>
    </w:p>
    <w:p w:rsidR="00D6720D" w:rsidRPr="00CC3B40" w:rsidRDefault="00CC3B40" w:rsidP="00CC3B40">
      <w:pPr>
        <w:spacing w:before="120" w:after="120" w:line="360" w:lineRule="auto"/>
        <w:rPr>
          <w:rFonts w:ascii="Arial" w:eastAsia="Times New Roman" w:hAnsi="Arial"/>
          <w:sz w:val="24"/>
        </w:rPr>
      </w:pPr>
      <w:r w:rsidRPr="00CC3B40">
        <w:rPr>
          <w:rFonts w:ascii="Arial" w:eastAsia="Times New Roman" w:hAnsi="Arial"/>
          <w:sz w:val="24"/>
        </w:rPr>
        <w:t>In summary, while structurally constrained, the UAE’s smart city initiatives and policies on clean energy transition suggest healthy growth in the EV market, making it a strategic market for Tes</w:t>
      </w:r>
      <w:r w:rsidRPr="00CC3B40">
        <w:rPr>
          <w:rFonts w:ascii="Arial" w:eastAsia="Times New Roman" w:hAnsi="Arial"/>
          <w:sz w:val="24"/>
        </w:rPr>
        <w:t>la and other international OEMs</w:t>
      </w:r>
      <w:r w:rsidR="00617064" w:rsidRPr="00CC3B40">
        <w:rPr>
          <w:rFonts w:ascii="Arial" w:eastAsia="Times New Roman" w:hAnsi="Arial"/>
          <w:sz w:val="24"/>
        </w:rPr>
        <w:t xml:space="preserve">. </w:t>
      </w:r>
    </w:p>
    <w:p w:rsidR="00660B4A" w:rsidRPr="00CC3B40" w:rsidRDefault="00D6720D" w:rsidP="00D6720D">
      <w:pPr>
        <w:spacing w:after="160" w:line="259" w:lineRule="auto"/>
        <w:jc w:val="left"/>
        <w:rPr>
          <w:rFonts w:ascii="Arial" w:eastAsia="Times New Roman" w:hAnsi="Arial"/>
          <w:sz w:val="24"/>
        </w:rPr>
      </w:pPr>
      <w:r w:rsidRPr="00CC3B40">
        <w:rPr>
          <w:rFonts w:ascii="Arial" w:eastAsia="Times New Roman" w:hAnsi="Arial"/>
          <w:sz w:val="24"/>
        </w:rPr>
        <w:br w:type="page"/>
      </w:r>
    </w:p>
    <w:p w:rsidR="00D6720D" w:rsidRPr="00CC3B40" w:rsidRDefault="00D6720D" w:rsidP="00FA6480">
      <w:pPr>
        <w:pStyle w:val="Heading2"/>
      </w:pPr>
      <w:bookmarkStart w:id="21" w:name="_Toc228156655"/>
      <w:r w:rsidRPr="00CC3B40">
        <w:lastRenderedPageBreak/>
        <w:t>Section 2: Reflective Account Using Gibbs' Reflective Cycle</w:t>
      </w:r>
      <w:bookmarkEnd w:id="21"/>
    </w:p>
    <w:p w:rsidR="00D6720D" w:rsidRPr="00CC3B40" w:rsidRDefault="00D6720D" w:rsidP="00D6720D">
      <w:pPr>
        <w:pStyle w:val="Heading3"/>
      </w:pPr>
      <w:bookmarkStart w:id="22" w:name="_Toc228156656"/>
      <w:r w:rsidRPr="00CC3B40">
        <w:t>6. Introduction to Reflection</w:t>
      </w:r>
      <w:bookmarkEnd w:id="22"/>
    </w:p>
    <w:p w:rsidR="00D6720D" w:rsidRPr="00CC3B40" w:rsidRDefault="00D6720D" w:rsidP="00D6720D">
      <w:pPr>
        <w:spacing w:line="360" w:lineRule="auto"/>
        <w:rPr>
          <w:rFonts w:ascii="Arial" w:hAnsi="Arial"/>
          <w:i/>
          <w:color w:val="000000" w:themeColor="text1"/>
          <w:sz w:val="24"/>
        </w:rPr>
      </w:pPr>
      <w:r w:rsidRPr="00CC3B40">
        <w:rPr>
          <w:rFonts w:ascii="Arial" w:hAnsi="Arial"/>
          <w:sz w:val="24"/>
        </w:rPr>
        <w:t xml:space="preserve">This section offers a reflective account of the process of researching, analysing and composing the previous international business report. The Gibbs' (1988) Reflective Cycle is used as a basis for organising the reflection in this report, which consists of six elements: description, feelings, evaluation, analysis, conclusion and action plan. This is a useful model for structured reflection in academia </w:t>
      </w:r>
      <w:r w:rsidRPr="00CC3B40">
        <w:rPr>
          <w:rStyle w:val="Emphasis"/>
          <w:rFonts w:ascii="Arial" w:hAnsi="Arial"/>
          <w:i w:val="0"/>
          <w:color w:val="000000" w:themeColor="text1"/>
          <w:sz w:val="24"/>
          <w:shd w:val="clear" w:color="auto" w:fill="FFFFFF"/>
        </w:rPr>
        <w:t>in that it guides the practitioner from description through to action planning</w:t>
      </w:r>
      <w:r w:rsidRPr="00CC3B40">
        <w:rPr>
          <w:rFonts w:ascii="Arial" w:hAnsi="Arial"/>
          <w:i/>
          <w:color w:val="000000" w:themeColor="text1"/>
          <w:sz w:val="24"/>
        </w:rPr>
        <w:t>.</w:t>
      </w:r>
    </w:p>
    <w:p w:rsidR="00D6720D" w:rsidRPr="00CC3B40" w:rsidRDefault="00D6720D" w:rsidP="00D6720D">
      <w:pPr>
        <w:pStyle w:val="Heading3"/>
      </w:pPr>
      <w:bookmarkStart w:id="23" w:name="_Toc228156657"/>
      <w:r w:rsidRPr="00CC3B40">
        <w:t>7. Description</w:t>
      </w:r>
      <w:bookmarkEnd w:id="23"/>
    </w:p>
    <w:p w:rsidR="00D6720D" w:rsidRPr="00CC3B40" w:rsidRDefault="00D6720D" w:rsidP="00D6720D">
      <w:pPr>
        <w:spacing w:line="360" w:lineRule="auto"/>
        <w:rPr>
          <w:rFonts w:ascii="Arial" w:hAnsi="Arial"/>
          <w:sz w:val="24"/>
        </w:rPr>
      </w:pPr>
      <w:r w:rsidRPr="00CC3B40">
        <w:rPr>
          <w:rFonts w:ascii="Arial" w:hAnsi="Arial"/>
          <w:sz w:val="24"/>
        </w:rPr>
        <w:t>This involved choosing a country-industry combination and identifying a prominent foreign MNC in that respective country and industry, then preparing a formally presented international business report using designated theoretical models. The country of the United Arab Emirates and the electric vehicle industry were chosen on grounds of topicality, the availability of reliable publicly available data, and the author's personal interest in green mobility and emerging markets. Tesla Inc. was chosen as the key MNC because of its leading market position, its data accessibility through annual reports and the amount of academic literature on its internationalisation. The research process included the systematic search for peer-reviewed academic journal articles, institutional reports (International Energy Agency, IMF and World Bank) and official government documents of the UAE. Porter's (1990) Diamond Model and the Dunning's (2000) OLI framework were recognised as the key theoretical frameworks to address questions relating to national and international advantage, respectively, complemented by Hofstede's (1980) cultural dimensions model to address cultural factors.</w:t>
      </w:r>
    </w:p>
    <w:p w:rsidR="00D6720D" w:rsidRPr="00CC3B40" w:rsidRDefault="00D6720D" w:rsidP="00D6720D">
      <w:pPr>
        <w:pStyle w:val="Heading3"/>
      </w:pPr>
      <w:bookmarkStart w:id="24" w:name="_Toc228156658"/>
      <w:r w:rsidRPr="00CC3B40">
        <w:t>8. Feelings</w:t>
      </w:r>
      <w:bookmarkEnd w:id="24"/>
    </w:p>
    <w:p w:rsidR="00D6720D" w:rsidRPr="00CC3B40" w:rsidRDefault="00D6720D" w:rsidP="00D6720D">
      <w:pPr>
        <w:spacing w:line="360" w:lineRule="auto"/>
        <w:rPr>
          <w:rFonts w:ascii="Arial" w:hAnsi="Arial"/>
          <w:sz w:val="24"/>
        </w:rPr>
      </w:pPr>
      <w:r w:rsidRPr="00CC3B40">
        <w:rPr>
          <w:rFonts w:ascii="Arial" w:hAnsi="Arial"/>
          <w:sz w:val="24"/>
        </w:rPr>
        <w:t xml:space="preserve">The preliminary stages of the task were intellectually stimulating but accompanied by recognition of the analytical workload - both in terms of the amount of information to be </w:t>
      </w:r>
      <w:r w:rsidRPr="00CC3B40">
        <w:rPr>
          <w:rFonts w:ascii="Arial" w:hAnsi="Arial"/>
          <w:sz w:val="24"/>
        </w:rPr>
        <w:lastRenderedPageBreak/>
        <w:t xml:space="preserve">taken into consideration, and the analytical rigour required. The choice to focus on the UAE-EV-Tesla combination was stimulating academically due to the wealth of literature available and the policy relevance of the topic. </w:t>
      </w:r>
      <w:r w:rsidR="001F1C4F" w:rsidRPr="00CC3B40">
        <w:rPr>
          <w:rFonts w:ascii="Arial" w:hAnsi="Arial"/>
          <w:sz w:val="24"/>
        </w:rPr>
        <w:t>But I was initially disappointed when I discovered there were not many peer</w:t>
      </w:r>
      <w:r w:rsidR="001F1C4F" w:rsidRPr="00CC3B40">
        <w:rPr>
          <w:rFonts w:ascii="Cambria Math" w:hAnsi="Cambria Math" w:cs="Cambria Math"/>
          <w:sz w:val="24"/>
        </w:rPr>
        <w:t>‑</w:t>
      </w:r>
      <w:r w:rsidR="001F1C4F" w:rsidRPr="00CC3B40">
        <w:rPr>
          <w:rFonts w:ascii="Arial" w:hAnsi="Arial"/>
          <w:sz w:val="24"/>
        </w:rPr>
        <w:t>reviewed articles on the UAE EV market in the majority of academic databases (Scopus, Web of Science). This meant I had to draw more on industry consultancy reports (Mordor, Grand View) and government publications - something that I feared would detract from the academic rigour</w:t>
      </w:r>
      <w:r w:rsidRPr="00CC3B40">
        <w:rPr>
          <w:rFonts w:ascii="Arial" w:hAnsi="Arial"/>
          <w:sz w:val="24"/>
        </w:rPr>
        <w:t>. As work on the study developed, there was a growing level of confidence in the analytical framework, although there was still a question mark over the level of engagement with each sub-section in view of the word limits. The design of the visual tables was intellectually stimulating, as it involved synthesising the analytical content into different formats - an exercise that contributed to a better understanding of the material.</w:t>
      </w:r>
    </w:p>
    <w:p w:rsidR="00D6720D" w:rsidRPr="00CC3B40" w:rsidRDefault="00D6720D" w:rsidP="00D6720D">
      <w:pPr>
        <w:pStyle w:val="Heading3"/>
      </w:pPr>
      <w:bookmarkStart w:id="25" w:name="_Toc228156659"/>
      <w:r w:rsidRPr="00CC3B40">
        <w:t>9. Evaluation</w:t>
      </w:r>
      <w:bookmarkEnd w:id="25"/>
    </w:p>
    <w:p w:rsidR="00995BA1" w:rsidRPr="00995BA1" w:rsidRDefault="00995BA1" w:rsidP="00995BA1">
      <w:pPr>
        <w:spacing w:line="360" w:lineRule="auto"/>
        <w:rPr>
          <w:rFonts w:ascii="Arial" w:hAnsi="Arial"/>
          <w:sz w:val="24"/>
        </w:rPr>
      </w:pPr>
      <w:r w:rsidRPr="00995BA1">
        <w:rPr>
          <w:rFonts w:ascii="Arial" w:hAnsi="Arial"/>
          <w:sz w:val="24"/>
        </w:rPr>
        <w:t>There were several academic benefits of the writing process. Porter's Diamond Model allowed the positioning of the UAE EV industry to be analysed, while the PESTLE scorecard and tables allowed multi-faceted data to be condensed and analysed. The painstaking process of referencing also enhanced the research rigour and triangulation of sources.</w:t>
      </w:r>
    </w:p>
    <w:p w:rsidR="00D6720D" w:rsidRDefault="00995BA1" w:rsidP="00995BA1">
      <w:pPr>
        <w:spacing w:line="360" w:lineRule="auto"/>
        <w:rPr>
          <w:rFonts w:ascii="Arial" w:hAnsi="Arial"/>
          <w:sz w:val="24"/>
        </w:rPr>
      </w:pPr>
      <w:r>
        <w:rPr>
          <w:rFonts w:ascii="Arial" w:hAnsi="Arial"/>
          <w:sz w:val="24"/>
        </w:rPr>
        <w:t>However,</w:t>
      </w:r>
      <w:r w:rsidRPr="00995BA1">
        <w:rPr>
          <w:rFonts w:ascii="Arial" w:hAnsi="Arial"/>
          <w:sz w:val="24"/>
        </w:rPr>
        <w:t xml:space="preserve"> there were some shortcomings. One was the absence of academic research on UAE EV industry, which required the use of institutional and industry sources and their integration with academic literature. There were also some methodological problems in adopting Hofstede's cultural dimensions in a 89% expatriate culture, which, as per McSweeney's (2002) critique, has now been moderated in Section 4.5. There were also issues with achieving breadth and depth, with missed opportunities, such as not including Davies and Ellis' (2000) critique of Porter's Diamond model in Section 3, but including it as a post-analysis assessment</w:t>
      </w:r>
      <w:r w:rsidR="00E84000" w:rsidRPr="00CC3B40">
        <w:rPr>
          <w:rFonts w:ascii="Arial" w:hAnsi="Arial"/>
          <w:sz w:val="24"/>
        </w:rPr>
        <w:t>.</w:t>
      </w:r>
    </w:p>
    <w:p w:rsidR="00995BA1" w:rsidRDefault="00995BA1" w:rsidP="00995BA1">
      <w:pPr>
        <w:spacing w:line="360" w:lineRule="auto"/>
        <w:rPr>
          <w:rFonts w:ascii="Arial" w:hAnsi="Arial"/>
          <w:sz w:val="24"/>
        </w:rPr>
      </w:pPr>
    </w:p>
    <w:p w:rsidR="00995BA1" w:rsidRPr="00CC3B40" w:rsidRDefault="00995BA1" w:rsidP="00995BA1">
      <w:pPr>
        <w:spacing w:line="360" w:lineRule="auto"/>
        <w:rPr>
          <w:rFonts w:ascii="Arial" w:hAnsi="Arial"/>
          <w:sz w:val="24"/>
        </w:rPr>
      </w:pPr>
    </w:p>
    <w:p w:rsidR="00D6720D" w:rsidRPr="00CC3B40" w:rsidRDefault="00D6720D" w:rsidP="00D6720D">
      <w:pPr>
        <w:pStyle w:val="Heading3"/>
      </w:pPr>
      <w:bookmarkStart w:id="26" w:name="_Toc228156660"/>
      <w:r w:rsidRPr="00CC3B40">
        <w:lastRenderedPageBreak/>
        <w:t>10. Analysis</w:t>
      </w:r>
      <w:bookmarkEnd w:id="26"/>
    </w:p>
    <w:p w:rsidR="001F1C4F" w:rsidRPr="00CC3B40" w:rsidRDefault="001F1C4F" w:rsidP="001F1C4F">
      <w:pPr>
        <w:spacing w:line="360" w:lineRule="auto"/>
        <w:rPr>
          <w:rFonts w:ascii="Arial" w:hAnsi="Arial"/>
          <w:sz w:val="24"/>
        </w:rPr>
      </w:pPr>
      <w:r w:rsidRPr="00CC3B40">
        <w:rPr>
          <w:rFonts w:ascii="Arial" w:hAnsi="Arial"/>
          <w:sz w:val="24"/>
        </w:rPr>
        <w:t>This study offers a number of lessons in analysis. First, the theoretical framework used is a critical determinant of the focus and validity of the analysis. Although Porter's Diamond Model has gained wide acceptance, its assumptions are less relevant to consumption-oriented, economically open economies like the UAE. This suggests the merit of other approaches such as the Augmented Diamond Model (Rugman and D’Cruz, 1993) and institutional approaches (North, 1990) which better address the role of foreign direct investment and openness.</w:t>
      </w:r>
    </w:p>
    <w:p w:rsidR="001F1C4F" w:rsidRPr="00CC3B40" w:rsidRDefault="001F1C4F" w:rsidP="001F1C4F">
      <w:pPr>
        <w:spacing w:line="360" w:lineRule="auto"/>
        <w:rPr>
          <w:rFonts w:ascii="Arial" w:hAnsi="Arial"/>
          <w:sz w:val="24"/>
        </w:rPr>
      </w:pPr>
      <w:r w:rsidRPr="00CC3B40">
        <w:rPr>
          <w:rFonts w:ascii="Arial" w:hAnsi="Arial"/>
          <w:sz w:val="24"/>
        </w:rPr>
        <w:t>Second, using Hofstede’s (1980) cultural model highlighted problems with cultural generalisation. Consistent with McSweeney (2002), simplification of complex and diverse societies into one national score can be problematic. This is especially relevant for the UAE with its diverse expatriate workforce, where cultural assumptions are likely to be flawed, and more sensitive approaches are needed.</w:t>
      </w:r>
    </w:p>
    <w:p w:rsidR="00E84000" w:rsidRPr="00CC3B40" w:rsidRDefault="001F1C4F" w:rsidP="001F1C4F">
      <w:pPr>
        <w:spacing w:line="360" w:lineRule="auto"/>
        <w:rPr>
          <w:rFonts w:ascii="Arial" w:hAnsi="Arial"/>
          <w:sz w:val="24"/>
        </w:rPr>
      </w:pPr>
      <w:r w:rsidRPr="00CC3B40">
        <w:rPr>
          <w:rFonts w:ascii="Arial" w:hAnsi="Arial"/>
          <w:sz w:val="24"/>
        </w:rPr>
        <w:t>Third, this experience highlighted the need for data triangulation and transparency. The lack of exact market share data compelled the use of secondary data (e.g., Mordor Intelligence, 2016; Focus2Move, 2016) and the explicit information of data constraints. This emphasises that at Level 7, academic rigour is not shown through definitive quantities, but by acknowledging data limitations and</w:t>
      </w:r>
      <w:r w:rsidRPr="00CC3B40">
        <w:rPr>
          <w:rFonts w:ascii="Arial" w:hAnsi="Arial"/>
          <w:sz w:val="24"/>
        </w:rPr>
        <w:t xml:space="preserve"> by clearly stating uncertainty</w:t>
      </w:r>
      <w:r w:rsidR="00E84000" w:rsidRPr="00CC3B40">
        <w:rPr>
          <w:rFonts w:ascii="Arial" w:hAnsi="Arial"/>
          <w:sz w:val="24"/>
        </w:rPr>
        <w:t>.</w:t>
      </w:r>
    </w:p>
    <w:p w:rsidR="00D6720D" w:rsidRPr="00CC3B40" w:rsidRDefault="00D6720D" w:rsidP="00D6720D">
      <w:pPr>
        <w:pStyle w:val="Heading3"/>
      </w:pPr>
      <w:bookmarkStart w:id="27" w:name="_Toc228156661"/>
      <w:r w:rsidRPr="00CC3B40">
        <w:t>11. Conclusion</w:t>
      </w:r>
      <w:bookmarkEnd w:id="27"/>
    </w:p>
    <w:p w:rsidR="001F1C4F" w:rsidRPr="00CC3B40" w:rsidRDefault="00D6720D" w:rsidP="00D6720D">
      <w:pPr>
        <w:spacing w:line="360" w:lineRule="auto"/>
        <w:rPr>
          <w:rFonts w:ascii="Arial" w:hAnsi="Arial"/>
          <w:sz w:val="24"/>
        </w:rPr>
      </w:pPr>
      <w:r w:rsidRPr="00CC3B40">
        <w:rPr>
          <w:rFonts w:ascii="Arial" w:hAnsi="Arial"/>
          <w:sz w:val="24"/>
        </w:rPr>
        <w:t>The process of undertaking this assessment has broadened both substantive understanding of the UAE EV market, as well as methodological understanding of the value and constraints of existing international business models. The process has served to highlight the importance of quality source information and triangulation in Level 7 academic research, and the need to ensure a critical rather than merely descriptive analysis. It has also reinforced the importance of reflexivity in applying models to specific business environments, in considering their relevance to particular contexts. It has also enhanced awareness of the interconnected nature of political, economic, legal and cultural aspects of international business environments, which in reality defy neat categorisations inherent to analytical models.</w:t>
      </w:r>
    </w:p>
    <w:p w:rsidR="00D6720D" w:rsidRPr="00CC3B40" w:rsidRDefault="00D6720D" w:rsidP="00D6720D">
      <w:pPr>
        <w:pStyle w:val="Heading3"/>
      </w:pPr>
      <w:bookmarkStart w:id="28" w:name="_Toc228156662"/>
      <w:r w:rsidRPr="00CC3B40">
        <w:lastRenderedPageBreak/>
        <w:t>12. Action Plan</w:t>
      </w:r>
      <w:bookmarkEnd w:id="28"/>
    </w:p>
    <w:tbl>
      <w:tblPr>
        <w:tblW w:w="949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55"/>
        <w:gridCol w:w="3678"/>
        <w:gridCol w:w="3965"/>
      </w:tblGrid>
      <w:tr w:rsidR="00D6720D" w:rsidRPr="00CC3B40" w:rsidTr="00B55BAF">
        <w:trPr>
          <w:tblHeader/>
          <w:jc w:val="center"/>
        </w:trPr>
        <w:tc>
          <w:tcPr>
            <w:tcW w:w="1855" w:type="dxa"/>
            <w:shd w:val="clear" w:color="auto" w:fill="00B050"/>
            <w:tcMar>
              <w:top w:w="150" w:type="dxa"/>
              <w:left w:w="0" w:type="dxa"/>
              <w:bottom w:w="150" w:type="dxa"/>
              <w:right w:w="240" w:type="dxa"/>
            </w:tcMar>
            <w:vAlign w:val="center"/>
            <w:hideMark/>
          </w:tcPr>
          <w:p w:rsidR="00D6720D" w:rsidRPr="00CC3B40" w:rsidRDefault="00D6720D" w:rsidP="00E84000">
            <w:pPr>
              <w:spacing w:line="375" w:lineRule="atLeast"/>
              <w:jc w:val="center"/>
              <w:rPr>
                <w:rFonts w:ascii="Arial" w:eastAsia="Times New Roman" w:hAnsi="Arial"/>
                <w:b/>
                <w:sz w:val="24"/>
              </w:rPr>
            </w:pPr>
            <w:r w:rsidRPr="00CC3B40">
              <w:rPr>
                <w:rFonts w:ascii="Arial" w:eastAsia="Times New Roman" w:hAnsi="Arial"/>
                <w:b/>
                <w:sz w:val="24"/>
              </w:rPr>
              <w:t>Action Area</w:t>
            </w:r>
          </w:p>
        </w:tc>
        <w:tc>
          <w:tcPr>
            <w:tcW w:w="3678" w:type="dxa"/>
            <w:shd w:val="clear" w:color="auto" w:fill="00B050"/>
            <w:tcMar>
              <w:top w:w="150" w:type="dxa"/>
              <w:left w:w="240" w:type="dxa"/>
              <w:bottom w:w="150" w:type="dxa"/>
              <w:right w:w="240" w:type="dxa"/>
            </w:tcMar>
            <w:vAlign w:val="center"/>
            <w:hideMark/>
          </w:tcPr>
          <w:p w:rsidR="00D6720D" w:rsidRPr="00CC3B40" w:rsidRDefault="00D6720D" w:rsidP="00E84000">
            <w:pPr>
              <w:spacing w:line="375" w:lineRule="atLeast"/>
              <w:jc w:val="center"/>
              <w:rPr>
                <w:rFonts w:ascii="Arial" w:eastAsia="Times New Roman" w:hAnsi="Arial"/>
                <w:b/>
                <w:sz w:val="24"/>
              </w:rPr>
            </w:pPr>
            <w:r w:rsidRPr="00CC3B40">
              <w:rPr>
                <w:rFonts w:ascii="Arial" w:eastAsia="Times New Roman" w:hAnsi="Arial"/>
                <w:b/>
                <w:sz w:val="24"/>
              </w:rPr>
              <w:t>Specific Actions Identified</w:t>
            </w:r>
          </w:p>
        </w:tc>
        <w:tc>
          <w:tcPr>
            <w:tcW w:w="3965" w:type="dxa"/>
            <w:shd w:val="clear" w:color="auto" w:fill="00B050"/>
            <w:tcMar>
              <w:top w:w="150" w:type="dxa"/>
              <w:left w:w="240" w:type="dxa"/>
              <w:bottom w:w="150" w:type="dxa"/>
              <w:right w:w="240" w:type="dxa"/>
            </w:tcMar>
            <w:vAlign w:val="center"/>
            <w:hideMark/>
          </w:tcPr>
          <w:p w:rsidR="00D6720D" w:rsidRPr="00CC3B40" w:rsidRDefault="00D6720D" w:rsidP="00E84000">
            <w:pPr>
              <w:spacing w:line="375" w:lineRule="atLeast"/>
              <w:jc w:val="center"/>
              <w:rPr>
                <w:rFonts w:ascii="Arial" w:eastAsia="Times New Roman" w:hAnsi="Arial"/>
                <w:b/>
                <w:sz w:val="24"/>
              </w:rPr>
            </w:pPr>
            <w:r w:rsidRPr="00CC3B40">
              <w:rPr>
                <w:rFonts w:ascii="Arial" w:eastAsia="Times New Roman" w:hAnsi="Arial"/>
                <w:b/>
                <w:sz w:val="24"/>
              </w:rPr>
              <w:t>Purpose / Expected Outcome</w:t>
            </w:r>
          </w:p>
        </w:tc>
      </w:tr>
      <w:tr w:rsidR="00D6720D" w:rsidRPr="00CC3B40" w:rsidTr="00B55BAF">
        <w:trPr>
          <w:jc w:val="center"/>
        </w:trPr>
        <w:tc>
          <w:tcPr>
            <w:tcW w:w="1855" w:type="dxa"/>
            <w:tcMar>
              <w:top w:w="150" w:type="dxa"/>
              <w:left w:w="0" w:type="dxa"/>
              <w:bottom w:w="150" w:type="dxa"/>
              <w:right w:w="240" w:type="dxa"/>
            </w:tcMar>
            <w:vAlign w:val="center"/>
            <w:hideMark/>
          </w:tcPr>
          <w:p w:rsidR="00D6720D" w:rsidRPr="00CC3B40" w:rsidRDefault="00D6720D" w:rsidP="00E84000">
            <w:pPr>
              <w:spacing w:line="375" w:lineRule="atLeast"/>
              <w:jc w:val="center"/>
              <w:rPr>
                <w:rFonts w:ascii="Arial" w:eastAsia="Times New Roman" w:hAnsi="Arial"/>
                <w:sz w:val="24"/>
              </w:rPr>
            </w:pPr>
            <w:r w:rsidRPr="00CC3B40">
              <w:rPr>
                <w:rFonts w:ascii="Arial" w:eastAsia="Times New Roman" w:hAnsi="Arial"/>
                <w:sz w:val="24"/>
              </w:rPr>
              <w:t>Engagement with critique literature</w:t>
            </w:r>
          </w:p>
        </w:tc>
        <w:tc>
          <w:tcPr>
            <w:tcW w:w="3678" w:type="dxa"/>
            <w:tcMar>
              <w:top w:w="150" w:type="dxa"/>
              <w:left w:w="240" w:type="dxa"/>
              <w:bottom w:w="150" w:type="dxa"/>
              <w:right w:w="240" w:type="dxa"/>
            </w:tcMar>
            <w:vAlign w:val="center"/>
            <w:hideMark/>
          </w:tcPr>
          <w:p w:rsidR="00D6720D" w:rsidRPr="00CC3B40" w:rsidRDefault="00D6720D" w:rsidP="00E84000">
            <w:pPr>
              <w:spacing w:line="375" w:lineRule="atLeast"/>
              <w:jc w:val="left"/>
              <w:rPr>
                <w:rFonts w:ascii="Arial" w:eastAsia="Times New Roman" w:hAnsi="Arial"/>
                <w:sz w:val="24"/>
              </w:rPr>
            </w:pPr>
            <w:r w:rsidRPr="00CC3B40">
              <w:rPr>
                <w:rFonts w:ascii="Arial" w:eastAsia="Times New Roman" w:hAnsi="Arial"/>
                <w:sz w:val="24"/>
              </w:rPr>
              <w:t>Include more systematic reading of critique literature alongside primary frameworks.</w:t>
            </w:r>
          </w:p>
        </w:tc>
        <w:tc>
          <w:tcPr>
            <w:tcW w:w="3965" w:type="dxa"/>
            <w:tcMar>
              <w:top w:w="150" w:type="dxa"/>
              <w:left w:w="240" w:type="dxa"/>
              <w:bottom w:w="150" w:type="dxa"/>
              <w:right w:w="0" w:type="dxa"/>
            </w:tcMar>
            <w:vAlign w:val="center"/>
            <w:hideMark/>
          </w:tcPr>
          <w:p w:rsidR="00D6720D" w:rsidRPr="00CC3B40" w:rsidRDefault="00D6720D" w:rsidP="00E84000">
            <w:pPr>
              <w:spacing w:line="375" w:lineRule="atLeast"/>
              <w:jc w:val="left"/>
              <w:rPr>
                <w:rFonts w:ascii="Arial" w:eastAsia="Times New Roman" w:hAnsi="Arial"/>
                <w:sz w:val="24"/>
              </w:rPr>
            </w:pPr>
            <w:r w:rsidRPr="00CC3B40">
              <w:rPr>
                <w:rFonts w:ascii="Arial" w:eastAsia="Times New Roman" w:hAnsi="Arial"/>
                <w:sz w:val="24"/>
              </w:rPr>
              <w:t>Ensure reflection on the use and limits of frameworks alongside their applications.</w:t>
            </w:r>
          </w:p>
        </w:tc>
      </w:tr>
      <w:tr w:rsidR="00D6720D" w:rsidRPr="00CC3B40" w:rsidTr="00B55BAF">
        <w:trPr>
          <w:jc w:val="center"/>
        </w:trPr>
        <w:tc>
          <w:tcPr>
            <w:tcW w:w="1855" w:type="dxa"/>
            <w:tcMar>
              <w:top w:w="150" w:type="dxa"/>
              <w:left w:w="0" w:type="dxa"/>
              <w:bottom w:w="150" w:type="dxa"/>
              <w:right w:w="240" w:type="dxa"/>
            </w:tcMar>
            <w:vAlign w:val="center"/>
            <w:hideMark/>
          </w:tcPr>
          <w:p w:rsidR="00D6720D" w:rsidRPr="00CC3B40" w:rsidRDefault="00D6720D" w:rsidP="00E84000">
            <w:pPr>
              <w:spacing w:line="375" w:lineRule="atLeast"/>
              <w:jc w:val="center"/>
              <w:rPr>
                <w:rFonts w:ascii="Arial" w:eastAsia="Times New Roman" w:hAnsi="Arial"/>
                <w:sz w:val="24"/>
              </w:rPr>
            </w:pPr>
            <w:r w:rsidRPr="00CC3B40">
              <w:rPr>
                <w:rFonts w:ascii="Arial" w:eastAsia="Times New Roman" w:hAnsi="Arial"/>
                <w:sz w:val="24"/>
              </w:rPr>
              <w:t>Diversification of scholarly sources</w:t>
            </w:r>
          </w:p>
        </w:tc>
        <w:tc>
          <w:tcPr>
            <w:tcW w:w="3678" w:type="dxa"/>
            <w:tcMar>
              <w:top w:w="150" w:type="dxa"/>
              <w:left w:w="240" w:type="dxa"/>
              <w:bottom w:w="150" w:type="dxa"/>
              <w:right w:w="240" w:type="dxa"/>
            </w:tcMar>
            <w:vAlign w:val="center"/>
            <w:hideMark/>
          </w:tcPr>
          <w:p w:rsidR="00D6720D" w:rsidRPr="00CC3B40" w:rsidRDefault="00D6720D" w:rsidP="00E84000">
            <w:pPr>
              <w:spacing w:line="375" w:lineRule="atLeast"/>
              <w:jc w:val="left"/>
              <w:rPr>
                <w:rFonts w:ascii="Arial" w:eastAsia="Times New Roman" w:hAnsi="Arial"/>
                <w:sz w:val="24"/>
              </w:rPr>
            </w:pPr>
            <w:r w:rsidRPr="00CC3B40">
              <w:rPr>
                <w:rFonts w:ascii="Arial" w:eastAsia="Times New Roman" w:hAnsi="Arial"/>
                <w:sz w:val="24"/>
              </w:rPr>
              <w:t>Identify and deploy UAE-specific journals and Middle East business studies literature.</w:t>
            </w:r>
          </w:p>
        </w:tc>
        <w:tc>
          <w:tcPr>
            <w:tcW w:w="3965" w:type="dxa"/>
            <w:tcMar>
              <w:top w:w="150" w:type="dxa"/>
              <w:left w:w="240" w:type="dxa"/>
              <w:bottom w:w="150" w:type="dxa"/>
              <w:right w:w="0" w:type="dxa"/>
            </w:tcMar>
            <w:vAlign w:val="center"/>
            <w:hideMark/>
          </w:tcPr>
          <w:p w:rsidR="00D6720D" w:rsidRPr="00CC3B40" w:rsidRDefault="00D6720D" w:rsidP="00E84000">
            <w:pPr>
              <w:spacing w:line="375" w:lineRule="atLeast"/>
              <w:jc w:val="left"/>
              <w:rPr>
                <w:rFonts w:ascii="Arial" w:eastAsia="Times New Roman" w:hAnsi="Arial"/>
                <w:sz w:val="24"/>
              </w:rPr>
            </w:pPr>
            <w:r w:rsidRPr="00CC3B40">
              <w:rPr>
                <w:rFonts w:ascii="Arial" w:eastAsia="Times New Roman" w:hAnsi="Arial"/>
                <w:sz w:val="24"/>
              </w:rPr>
              <w:t>Complement the currently-dominant Western literature in international business.</w:t>
            </w:r>
          </w:p>
        </w:tc>
      </w:tr>
      <w:tr w:rsidR="00D6720D" w:rsidRPr="00CC3B40" w:rsidTr="00B55BAF">
        <w:trPr>
          <w:jc w:val="center"/>
        </w:trPr>
        <w:tc>
          <w:tcPr>
            <w:tcW w:w="1855" w:type="dxa"/>
            <w:tcMar>
              <w:top w:w="150" w:type="dxa"/>
              <w:left w:w="0" w:type="dxa"/>
              <w:bottom w:w="150" w:type="dxa"/>
              <w:right w:w="240" w:type="dxa"/>
            </w:tcMar>
            <w:vAlign w:val="center"/>
            <w:hideMark/>
          </w:tcPr>
          <w:p w:rsidR="00D6720D" w:rsidRPr="00CC3B40" w:rsidRDefault="00D6720D" w:rsidP="00E84000">
            <w:pPr>
              <w:spacing w:line="375" w:lineRule="atLeast"/>
              <w:jc w:val="center"/>
              <w:rPr>
                <w:rFonts w:ascii="Arial" w:eastAsia="Times New Roman" w:hAnsi="Arial"/>
                <w:sz w:val="24"/>
              </w:rPr>
            </w:pPr>
            <w:r w:rsidRPr="00CC3B40">
              <w:rPr>
                <w:rFonts w:ascii="Arial" w:eastAsia="Times New Roman" w:hAnsi="Arial"/>
                <w:sz w:val="24"/>
              </w:rPr>
              <w:t>Integration of reflective practice</w:t>
            </w:r>
          </w:p>
        </w:tc>
        <w:tc>
          <w:tcPr>
            <w:tcW w:w="3678" w:type="dxa"/>
            <w:tcMar>
              <w:top w:w="150" w:type="dxa"/>
              <w:left w:w="240" w:type="dxa"/>
              <w:bottom w:w="150" w:type="dxa"/>
              <w:right w:w="240" w:type="dxa"/>
            </w:tcMar>
            <w:vAlign w:val="center"/>
            <w:hideMark/>
          </w:tcPr>
          <w:p w:rsidR="00D6720D" w:rsidRPr="00CC3B40" w:rsidRDefault="007042FB" w:rsidP="00E84000">
            <w:pPr>
              <w:spacing w:line="375" w:lineRule="atLeast"/>
              <w:jc w:val="left"/>
              <w:rPr>
                <w:rFonts w:ascii="Arial" w:eastAsia="Times New Roman" w:hAnsi="Arial"/>
                <w:sz w:val="24"/>
              </w:rPr>
            </w:pPr>
            <w:r w:rsidRPr="007042FB">
              <w:rPr>
                <w:rFonts w:ascii="Arial" w:eastAsia="Times New Roman" w:hAnsi="Arial"/>
                <w:sz w:val="24"/>
              </w:rPr>
              <w:t>Encourage reflection as a key element of the learning process</w:t>
            </w:r>
            <w:r w:rsidR="00D6720D" w:rsidRPr="00CC3B40">
              <w:rPr>
                <w:rFonts w:ascii="Arial" w:eastAsia="Times New Roman" w:hAnsi="Arial"/>
                <w:sz w:val="24"/>
              </w:rPr>
              <w:t>.</w:t>
            </w:r>
          </w:p>
        </w:tc>
        <w:tc>
          <w:tcPr>
            <w:tcW w:w="3965" w:type="dxa"/>
            <w:tcMar>
              <w:top w:w="150" w:type="dxa"/>
              <w:left w:w="240" w:type="dxa"/>
              <w:bottom w:w="150" w:type="dxa"/>
              <w:right w:w="0" w:type="dxa"/>
            </w:tcMar>
            <w:vAlign w:val="center"/>
            <w:hideMark/>
          </w:tcPr>
          <w:p w:rsidR="00D6720D" w:rsidRPr="00CC3B40" w:rsidRDefault="007042FB" w:rsidP="00E84000">
            <w:pPr>
              <w:spacing w:line="375" w:lineRule="atLeast"/>
              <w:jc w:val="left"/>
              <w:rPr>
                <w:rFonts w:ascii="Arial" w:eastAsia="Times New Roman" w:hAnsi="Arial"/>
                <w:sz w:val="24"/>
              </w:rPr>
            </w:pPr>
            <w:r w:rsidRPr="007042FB">
              <w:rPr>
                <w:rFonts w:ascii="Arial" w:eastAsia="Times New Roman" w:hAnsi="Arial"/>
                <w:sz w:val="24"/>
              </w:rPr>
              <w:t>Be congruent with the concept of continuous professional development (CPD) that underpins the postgraduate (Level 7) curriculum</w:t>
            </w:r>
            <w:r w:rsidR="00D6720D" w:rsidRPr="00CC3B40">
              <w:rPr>
                <w:rFonts w:ascii="Arial" w:eastAsia="Times New Roman" w:hAnsi="Arial"/>
                <w:sz w:val="24"/>
              </w:rPr>
              <w:t>.</w:t>
            </w:r>
          </w:p>
        </w:tc>
      </w:tr>
    </w:tbl>
    <w:p w:rsidR="00D6720D" w:rsidRPr="00CC3B40" w:rsidRDefault="00D6720D" w:rsidP="00D6720D">
      <w:pPr>
        <w:spacing w:line="360" w:lineRule="auto"/>
        <w:jc w:val="center"/>
        <w:rPr>
          <w:rFonts w:ascii="Arial" w:hAnsi="Arial"/>
          <w:sz w:val="24"/>
        </w:rPr>
      </w:pPr>
    </w:p>
    <w:p w:rsidR="00D6720D" w:rsidRPr="00CC3B40" w:rsidRDefault="00D6720D" w:rsidP="00617064">
      <w:pPr>
        <w:spacing w:before="120" w:after="120" w:line="360" w:lineRule="auto"/>
        <w:rPr>
          <w:rFonts w:ascii="Arial" w:hAnsi="Arial"/>
          <w:sz w:val="24"/>
        </w:rPr>
      </w:pPr>
    </w:p>
    <w:p w:rsidR="00952BE8" w:rsidRPr="00CC3B40" w:rsidRDefault="00952BE8" w:rsidP="00617064">
      <w:pPr>
        <w:spacing w:before="120" w:after="120" w:line="360" w:lineRule="auto"/>
        <w:rPr>
          <w:rFonts w:ascii="Arial" w:hAnsi="Arial"/>
          <w:sz w:val="24"/>
        </w:rPr>
      </w:pPr>
    </w:p>
    <w:p w:rsidR="00952BE8" w:rsidRPr="00CC3B40" w:rsidRDefault="00952BE8" w:rsidP="00617064">
      <w:pPr>
        <w:spacing w:before="120" w:after="120" w:line="360" w:lineRule="auto"/>
        <w:rPr>
          <w:rFonts w:ascii="Arial" w:hAnsi="Arial"/>
          <w:sz w:val="24"/>
        </w:rPr>
      </w:pPr>
    </w:p>
    <w:p w:rsidR="00952BE8" w:rsidRPr="00CC3B40" w:rsidRDefault="00952BE8" w:rsidP="00617064">
      <w:pPr>
        <w:spacing w:before="120" w:after="120" w:line="360" w:lineRule="auto"/>
        <w:rPr>
          <w:rFonts w:ascii="Arial" w:hAnsi="Arial"/>
          <w:sz w:val="24"/>
        </w:rPr>
      </w:pPr>
    </w:p>
    <w:p w:rsidR="00952BE8" w:rsidRPr="00CC3B40" w:rsidRDefault="00952BE8" w:rsidP="00617064">
      <w:pPr>
        <w:spacing w:before="120" w:after="120" w:line="360" w:lineRule="auto"/>
        <w:rPr>
          <w:rFonts w:ascii="Arial" w:hAnsi="Arial"/>
          <w:sz w:val="24"/>
        </w:rPr>
      </w:pPr>
    </w:p>
    <w:p w:rsidR="00952BE8" w:rsidRPr="00CC3B40" w:rsidRDefault="00952BE8" w:rsidP="00617064">
      <w:pPr>
        <w:spacing w:before="120" w:after="120" w:line="360" w:lineRule="auto"/>
        <w:rPr>
          <w:rFonts w:ascii="Arial" w:hAnsi="Arial"/>
          <w:sz w:val="24"/>
        </w:rPr>
      </w:pPr>
    </w:p>
    <w:p w:rsidR="004339E6" w:rsidRPr="00CC3B40" w:rsidRDefault="004339E6" w:rsidP="00617064">
      <w:pPr>
        <w:spacing w:before="120" w:after="120" w:line="360" w:lineRule="auto"/>
        <w:rPr>
          <w:rFonts w:ascii="Arial" w:hAnsi="Arial"/>
          <w:sz w:val="24"/>
        </w:rPr>
      </w:pPr>
    </w:p>
    <w:p w:rsidR="00FA6480" w:rsidRPr="00CC3B40" w:rsidRDefault="00FA6480" w:rsidP="00617064">
      <w:pPr>
        <w:spacing w:before="120" w:after="120" w:line="360" w:lineRule="auto"/>
        <w:rPr>
          <w:rFonts w:ascii="Arial" w:hAnsi="Arial"/>
          <w:sz w:val="24"/>
        </w:rPr>
      </w:pPr>
    </w:p>
    <w:p w:rsidR="00FA6480" w:rsidRPr="00CC3B40" w:rsidRDefault="00FA6480" w:rsidP="00617064">
      <w:pPr>
        <w:spacing w:before="120" w:after="120" w:line="360" w:lineRule="auto"/>
        <w:rPr>
          <w:rFonts w:ascii="Arial" w:hAnsi="Arial"/>
          <w:sz w:val="24"/>
        </w:rPr>
      </w:pPr>
    </w:p>
    <w:p w:rsidR="00FA6480" w:rsidRPr="00CC3B40" w:rsidRDefault="00FA6480" w:rsidP="00617064">
      <w:pPr>
        <w:spacing w:before="120" w:after="120" w:line="360" w:lineRule="auto"/>
        <w:rPr>
          <w:rFonts w:ascii="Arial" w:hAnsi="Arial"/>
          <w:sz w:val="24"/>
        </w:rPr>
      </w:pPr>
    </w:p>
    <w:p w:rsidR="00660B4A" w:rsidRPr="00CC3B40" w:rsidRDefault="00660B4A" w:rsidP="00FA6480">
      <w:pPr>
        <w:pStyle w:val="Heading2"/>
      </w:pPr>
      <w:bookmarkStart w:id="29" w:name="_Toc228156663"/>
      <w:r w:rsidRPr="00CC3B40">
        <w:lastRenderedPageBreak/>
        <w:t>Reference</w:t>
      </w:r>
      <w:r w:rsidR="00952BE8" w:rsidRPr="00CC3B40">
        <w:t>s</w:t>
      </w:r>
      <w:bookmarkEnd w:id="29"/>
    </w:p>
    <w:p w:rsidR="00BE7835" w:rsidRPr="00CC3B40" w:rsidRDefault="00BE7835" w:rsidP="00BE7835">
      <w:pPr>
        <w:rPr>
          <w:rFonts w:ascii="Arial" w:hAnsi="Arial"/>
          <w:sz w:val="24"/>
        </w:rPr>
      </w:pPr>
    </w:p>
    <w:p w:rsidR="00BE7835" w:rsidRPr="00CC3B40" w:rsidRDefault="00BE7835" w:rsidP="00BE7835">
      <w:pPr>
        <w:spacing w:before="80" w:after="80" w:line="320" w:lineRule="auto"/>
        <w:ind w:left="360"/>
        <w:rPr>
          <w:rFonts w:ascii="Arial" w:eastAsia="Times New Roman" w:hAnsi="Arial"/>
          <w:sz w:val="24"/>
        </w:rPr>
      </w:pPr>
      <w:r w:rsidRPr="00CC3B40">
        <w:rPr>
          <w:rFonts w:ascii="Arial" w:eastAsia="Times New Roman" w:hAnsi="Arial"/>
          <w:sz w:val="24"/>
        </w:rPr>
        <w:t xml:space="preserve">Abu Dhabi Power Corporation (2023) Annual Report 2022. Abu Dhabi: ADPC. Available at: </w:t>
      </w:r>
      <w:hyperlink r:id="rId12" w:history="1">
        <w:r w:rsidRPr="00CC3B40">
          <w:rPr>
            <w:rStyle w:val="Hyperlink"/>
            <w:rFonts w:ascii="Arial" w:eastAsia="Times New Roman" w:hAnsi="Arial"/>
            <w:sz w:val="24"/>
          </w:rPr>
          <w:t>https://www.adpower.ae/en/investors/annual-reports</w:t>
        </w:r>
      </w:hyperlink>
      <w:r w:rsidRPr="00CC3B40">
        <w:rPr>
          <w:rFonts w:ascii="Arial" w:eastAsia="Times New Roman" w:hAnsi="Arial"/>
          <w:sz w:val="24"/>
        </w:rPr>
        <w:t xml:space="preserve">  (Accessed: 5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 xml:space="preserve">Al Tamimi and Company (2022) Doing Business in the UAE: A Practical Legal Guide. Dubai: Al Tamimi and Company. Available at: </w:t>
      </w:r>
      <w:hyperlink r:id="rId13" w:history="1">
        <w:r w:rsidRPr="00CC3B40">
          <w:rPr>
            <w:rStyle w:val="Hyperlink"/>
            <w:rFonts w:ascii="Arial" w:eastAsia="Times New Roman" w:hAnsi="Arial"/>
            <w:sz w:val="24"/>
          </w:rPr>
          <w:t>https://www.tamimi.com</w:t>
        </w:r>
      </w:hyperlink>
      <w:r w:rsidRPr="00CC3B40">
        <w:rPr>
          <w:rFonts w:ascii="Arial" w:eastAsia="Times New Roman" w:hAnsi="Arial"/>
          <w:sz w:val="24"/>
        </w:rPr>
        <w:t xml:space="preserve"> (Accessed: 8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Al-Futtaim Group (2023) Al-Futtaim Motors: BYD Partnership. Dubai: Al-Futtaim. Available at: https://www.alfuttaim.com/mobility (Accessed: 10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Buckley, P.J. and Casson, M. (2009) 'The internalisation theory of the multinational enterprise: A review of the progress of a research agenda after 30 years', Journal of International Business Studies, 40(9), pp. 1563–1580. doi: 10.1057/jibs.2009.49.</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Davies, H. and Ellis, P. (2000) 'Porter's competitive advantage of nations: Time for a final judgement?', Journal of Management Studies, 37(8), pp. 1189–1213. doi: 10.1111/1467-6486.00221.</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Deloitte (2023) 2023 Global Automotive Consumer Study. London: Deloitte. Available at: https://www.deloitte.com/global/en/industries/automotive/analysis/global-automotive-consumer-study.html (Accessed: 12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 xml:space="preserve">DEWA (Dubai Electricity and Water Authority) (2026) DEWA accelerates Dubai's shift to sustainable mobility by expanding EV Green Charger network. Available at: </w:t>
      </w:r>
      <w:hyperlink r:id="rId14" w:history="1">
        <w:r w:rsidRPr="00CC3B40">
          <w:rPr>
            <w:rStyle w:val="Hyperlink"/>
            <w:rFonts w:ascii="Arial" w:eastAsia="Times New Roman" w:hAnsi="Arial"/>
            <w:sz w:val="24"/>
          </w:rPr>
          <w:t>https://www.dewa.gov.ae</w:t>
        </w:r>
      </w:hyperlink>
      <w:r w:rsidRPr="00CC3B40">
        <w:rPr>
          <w:rFonts w:ascii="Arial" w:eastAsia="Times New Roman" w:hAnsi="Arial"/>
          <w:sz w:val="24"/>
        </w:rPr>
        <w:t xml:space="preserve">  (Accessed: 17 April 2026).</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Dubai Supreme Council of Energy (2022) Dubai Clean Energy Strategy 2050. Dubai: DSCE. Available at: https://www.dsce.gov.ae (Accessed: 6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Dunning, J.H. (2000) 'The eclectic paradigm as an envelope for economic and business theories of MNE activity', International Business Review, 9(2), pp. 163–190. doi: 10.1016/S0969-5931(99)00035-9.</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Emirates Authority for Standardisation and Metrology (ESMA) (2022) UAE Electric Vehicle Standards and Technical Regulations. Abu Dhabi: ESMA. Available at: https://www.esma.gov.ae (Accessed: 9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Ernst and Young (2022) UAE Electric Vehicle Market Outlook 2022–2030. Dubai: EY. Available at: https://www.ey.com/en_ae (Accessed: 7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lastRenderedPageBreak/>
        <w:t xml:space="preserve">Focus2Move (2026) Emirates automotive market — Facts &amp; data 2025. Available at: </w:t>
      </w:r>
      <w:hyperlink r:id="rId15" w:history="1">
        <w:r w:rsidRPr="00CC3B40">
          <w:rPr>
            <w:rStyle w:val="Hyperlink"/>
            <w:rFonts w:ascii="Arial" w:eastAsia="Times New Roman" w:hAnsi="Arial"/>
            <w:sz w:val="24"/>
          </w:rPr>
          <w:t>https://www.focus2move.com/emirates-automotive-market/</w:t>
        </w:r>
      </w:hyperlink>
      <w:r w:rsidRPr="00CC3B40">
        <w:rPr>
          <w:rFonts w:ascii="Arial" w:eastAsia="Times New Roman" w:hAnsi="Arial"/>
          <w:sz w:val="24"/>
        </w:rPr>
        <w:t xml:space="preserve">  (Accessed: 17 April 2026).</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Forstenlechner, I. and Rutledge, E. (2011) 'Unemployment in the Gulf: Time to update the social contract', Middle East Policy, 18(2), pp. 38–51. doi: 10.1111/j.1475-4967.2011.00488.x.</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 xml:space="preserve">Grand View Research (2026) UAE electric vehicle market size &amp; outlook, 2025–2030. Available at: </w:t>
      </w:r>
      <w:hyperlink r:id="rId16" w:history="1">
        <w:r w:rsidRPr="00CC3B40">
          <w:rPr>
            <w:rStyle w:val="Hyperlink"/>
            <w:rFonts w:ascii="Arial" w:eastAsia="Times New Roman" w:hAnsi="Arial"/>
            <w:sz w:val="24"/>
          </w:rPr>
          <w:t>https://www.grandviewresearch.com/horizon/outlook/electric-vehicle-market/uae</w:t>
        </w:r>
      </w:hyperlink>
      <w:r w:rsidRPr="00CC3B40">
        <w:rPr>
          <w:rFonts w:ascii="Arial" w:eastAsia="Times New Roman" w:hAnsi="Arial"/>
          <w:sz w:val="24"/>
        </w:rPr>
        <w:t xml:space="preserve">  (Accessed: 17 April 2026).</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Hofstede, G. (1980) Culture's Consequences: International Differences in Work-Related Values. Beverly Hills: Sage Publications.</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International Energy Agency (2023) Global EV Outlook 2023. Paris: IEA. Available at: https://www.iea.org/reports/global-ev-outlook-2023 (Accessed: 4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International Energy Agency (2025) Global EV Outlook 2025. Paris: IEA. Available at: https://www.iea.org/reports/global-ev-outlook-2025 (Accessed: 1 April 2026).</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International Monetary Fund (2023) United Arab Emirates: 2023 Article IV Consultation Staff Report. Washington DC: IMF. Available at: https://www.imf.org/en/Publications/CR/Issues/2023 (Accessed: 11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 xml:space="preserve">International Monetary Fund (2026) World Economic Outlook (April 2026) — GDP per capita, current prices. Available at: </w:t>
      </w:r>
      <w:hyperlink r:id="rId17" w:history="1">
        <w:r w:rsidRPr="00CC3B40">
          <w:rPr>
            <w:rStyle w:val="Hyperlink"/>
            <w:rFonts w:ascii="Arial" w:eastAsia="Times New Roman" w:hAnsi="Arial"/>
            <w:sz w:val="24"/>
          </w:rPr>
          <w:t>https://www.imf.org/external/datamapper/NGDPDPC@WEO</w:t>
        </w:r>
      </w:hyperlink>
      <w:r w:rsidRPr="00CC3B40">
        <w:rPr>
          <w:rFonts w:ascii="Arial" w:eastAsia="Times New Roman" w:hAnsi="Arial"/>
          <w:sz w:val="24"/>
        </w:rPr>
        <w:t xml:space="preserve">  (Accessed: 17 April 2026).</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International Renewable Energy Agency (2023) World Energy Transitions Outlook 2023. Abu Dhabi: IRENA. Available at: https://www.irena.org/Publications/2023/Jun/World-Energy-Transitions-Outlook-2023 (Accessed: 14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KPMG (2022) Global Automotive Executive Survey 2022. Amsterdam: KPMG. Available at: https://assets.kpmg.com/content/dam/kpmg/xx/pdf/2022/01/global-automotive-executive-survey-2022.pdf (Accessed: 8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McSweeney, B. (2002) 'Hofstede's model of national cultural differences and their consequences: A triumph of faith — a failure of analysis', Human Relations, 55(1), pp. 89–118. doi: 10.1177/0018726702551004.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lastRenderedPageBreak/>
        <w:t xml:space="preserve">Mordor Intelligence (2026) United Arab Emirates hybrid and electric vehicles market size &amp; share analysis — Growth trends and forecast (2026–2031). Available at: </w:t>
      </w:r>
      <w:hyperlink r:id="rId18" w:history="1">
        <w:r w:rsidRPr="00CC3B40">
          <w:rPr>
            <w:rStyle w:val="Hyperlink"/>
            <w:rFonts w:ascii="Arial" w:eastAsia="Times New Roman" w:hAnsi="Arial"/>
            <w:sz w:val="24"/>
          </w:rPr>
          <w:t>https://www.mordorintelligence.com/industry-reports/united-arab-emirates-hybrid-and-electric-vehicles-market</w:t>
        </w:r>
      </w:hyperlink>
      <w:r w:rsidRPr="00CC3B40">
        <w:rPr>
          <w:rFonts w:ascii="Arial" w:eastAsia="Times New Roman" w:hAnsi="Arial"/>
          <w:sz w:val="24"/>
        </w:rPr>
        <w:t xml:space="preserve">  (Accessed: 17 April 2026).</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North, D.C. (1990) Institutions, Institutional Change and Economic Performance. Cambridge: Cambridge University Press.</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Porter, M.E. (1990) The Competitive Advantage of Nations. New York: Free Press.</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PwC (2023) UAE Corporate Tax Guide. Dubai: PricewaterhouseCoopers. Available at: https://www.pwc.com/m1/en/tax/documents/2023/uae-corporate-tax.pdf (Accessed: 13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Roads and Transport Authority (2023) Dubai Green Mobility Initiative: Annual Report 2023. Dubai: RTA. Available at: https://www.rta.ae (Accessed: 6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Rosen, A. (2021) 'The Abraham Accords and their implications for regional security in the Gulf', Journal of Middle Eastern Politics and Policy, 12(1), pp. 45–67.</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Rugman, A.M. and D'Cruz, J.R. (1993) 'The double diamond model of international competitiveness: The Canadian experience', Management International Review, 33(2), pp. 17–39.</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Soares, A.M., Farhangmehr, M. and Shoham, A. (2007) 'Hofstede's dimensions of culture in international marketing studies', Journal of Business Research, 60(3), pp. 277–284. doi: 10.1016/j.jbusres.2006.10.018.</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Tesla Inc. (2023) Tesla Annual Report 2022. Austin: Tesla. Available at: https://ir.tesla.com/sec-filings/annual-reports (Accessed: 5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Trompenaars, F. and Hampden-Turner, C. (2012) Riding the Waves of Culture: Understanding Diversity in Global Business. 3rd edn. London: Nicholas Brealey Publishing.</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UAE Central Bank (2023) Annual Report 2022. Abu Dhabi: CBUAE. Available at: https://www.centralbank.ae (Accessed: 11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UAE Data Office (2022) Federal Decree-Law No. 45 of 2021 on the Protection of Personal Data: Implementation Guide. Abu Dhabi: UAE Data Office. Available at: https://uaedataoffice.ae (Accessed: 9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UAE Federal Competitiveness and Statistics Centre (2023) UAE in Numbers 2023. Abu Dhabi: FCSC. Available at: https://fcsc.gov.ae (Accessed: 10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lastRenderedPageBreak/>
        <w:t>UAE Government (2025) We the UAE 2031 Vision. Available at: https://u.ae/en/about-the-uae/strategies-initiatives-and-awards/strategies-plans-and-visions/innovation-and-future-shaping/we-the-uae-2031-vision (Accessed: 1 April 2026).</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UAE Ministry of Energy and Infrastructure (2022) UAE Energy Strategy 2050: Updated Framework. Abu Dhabi: MOEI. Available at: https://www.moei.gov.ae (Accessed: 7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UAE Ministry of Energy and Infrastructure (2023) National Electric Vehicle Policy 2023–2030. Abu Dhabi: MOEI. Available at: https://www.moei.gov.ae (Accessed: 8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UAE Ministry of Finance (2025) Cabinet Decision No. 215 of 2025 on Research &amp; Development Tax Credit. Available at: https://mof.gov.ae/wp-content/uploads/2026/03/Cabinet-Decision-No.-215-of-2025-on-Research-Development-Tax-Credit-en.pdf (Accessed: 17 April 2026).</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UAE Ministry of Industry and Advanced Technology (2022) Operation 300bn: Industrial Strategy Framework. Abu Dhabi: MoIAT. Available at: https://www.moiat.gov.ae (Accessed: 9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World Bank (2023) Worldwide Governance Indicators 2022. Washington DC: World Bank. Available at: https://www.worldbank.org/en/publication/worldwide-governance-indicators (Accessed: 13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World Economic Forum (2023) Global Competitiveness Report 2023. Geneva: WEF. Available at: https://www.weforum.org/reports/global-competitiveness-report-2023 (Accessed: 14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World Intellectual Property Organization (2023) IP Statistics Data Center: UAE Profile. Geneva: WIPO. Available at: https://www.wipo.int/ipstats/en/statistics/country_profile/ (Accessed: 12 March 2024).</w:t>
      </w:r>
    </w:p>
    <w:p w:rsidR="00BE7835" w:rsidRPr="00CC3B40" w:rsidRDefault="00BE7835" w:rsidP="00BE7835">
      <w:pPr>
        <w:spacing w:before="80" w:after="80" w:line="320" w:lineRule="auto"/>
        <w:ind w:left="360"/>
        <w:rPr>
          <w:rFonts w:ascii="Arial" w:hAnsi="Arial"/>
          <w:sz w:val="24"/>
        </w:rPr>
      </w:pPr>
      <w:r w:rsidRPr="00CC3B40">
        <w:rPr>
          <w:rFonts w:ascii="Arial" w:eastAsia="Times New Roman" w:hAnsi="Arial"/>
          <w:sz w:val="24"/>
        </w:rPr>
        <w:t>World Trade Organization (2022) UAE Trade Policy Review 2022. Geneva: WTO. Available at: https://www.wto.org/english/tratop_e/tpr_e/tp_rep_e.htm (Accessed: 11 March 2024).</w:t>
      </w:r>
    </w:p>
    <w:sectPr w:rsidR="00BE7835" w:rsidRPr="00CC3B40">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B08C0" w:rsidRDefault="00DB08C0" w:rsidP="00D14B43">
      <w:r>
        <w:separator/>
      </w:r>
    </w:p>
  </w:endnote>
  <w:endnote w:type="continuationSeparator" w:id="0">
    <w:p w:rsidR="00DB08C0" w:rsidRDefault="00DB08C0" w:rsidP="00D14B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1884696"/>
      <w:docPartObj>
        <w:docPartGallery w:val="Page Numbers (Bottom of Page)"/>
        <w:docPartUnique/>
      </w:docPartObj>
    </w:sdtPr>
    <w:sdtEndPr>
      <w:rPr>
        <w:noProof/>
      </w:rPr>
    </w:sdtEndPr>
    <w:sdtContent>
      <w:p w:rsidR="00E84000" w:rsidRDefault="00E84000">
        <w:pPr>
          <w:pStyle w:val="Footer"/>
          <w:jc w:val="right"/>
        </w:pPr>
        <w:r>
          <w:fldChar w:fldCharType="begin"/>
        </w:r>
        <w:r>
          <w:instrText xml:space="preserve"> PAGE   \* MERGEFORMAT </w:instrText>
        </w:r>
        <w:r>
          <w:fldChar w:fldCharType="separate"/>
        </w:r>
        <w:r w:rsidR="00823C78">
          <w:rPr>
            <w:noProof/>
          </w:rPr>
          <w:t>24</w:t>
        </w:r>
        <w:r>
          <w:rPr>
            <w:noProof/>
          </w:rPr>
          <w:fldChar w:fldCharType="end"/>
        </w:r>
      </w:p>
    </w:sdtContent>
  </w:sdt>
  <w:p w:rsidR="00E84000" w:rsidRDefault="00E8400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B08C0" w:rsidRDefault="00DB08C0" w:rsidP="00D14B43">
      <w:r>
        <w:separator/>
      </w:r>
    </w:p>
  </w:footnote>
  <w:footnote w:type="continuationSeparator" w:id="0">
    <w:p w:rsidR="00DB08C0" w:rsidRDefault="00DB08C0" w:rsidP="00D14B4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E21107D"/>
    <w:multiLevelType w:val="hybridMultilevel"/>
    <w:tmpl w:val="97B69C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3E469F6"/>
    <w:multiLevelType w:val="hybridMultilevel"/>
    <w:tmpl w:val="FB688D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EE031FD"/>
    <w:multiLevelType w:val="multilevel"/>
    <w:tmpl w:val="EB6E9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0330332"/>
    <w:multiLevelType w:val="hybridMultilevel"/>
    <w:tmpl w:val="745C52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9E42740"/>
    <w:multiLevelType w:val="hybridMultilevel"/>
    <w:tmpl w:val="FAC85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8A17D6D"/>
    <w:multiLevelType w:val="multilevel"/>
    <w:tmpl w:val="2A4619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3"/>
  </w:num>
  <w:num w:numId="4">
    <w:abstractNumId w:val="2"/>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0B4A"/>
    <w:rsid w:val="00035063"/>
    <w:rsid w:val="000E4FE9"/>
    <w:rsid w:val="00100D46"/>
    <w:rsid w:val="001F1C4F"/>
    <w:rsid w:val="002A706F"/>
    <w:rsid w:val="00346BD6"/>
    <w:rsid w:val="0040314B"/>
    <w:rsid w:val="004339E6"/>
    <w:rsid w:val="004555A9"/>
    <w:rsid w:val="00474AB9"/>
    <w:rsid w:val="005750FE"/>
    <w:rsid w:val="00617064"/>
    <w:rsid w:val="00622716"/>
    <w:rsid w:val="00660B4A"/>
    <w:rsid w:val="006775AF"/>
    <w:rsid w:val="006F3CC3"/>
    <w:rsid w:val="007042FB"/>
    <w:rsid w:val="007723C5"/>
    <w:rsid w:val="007E4708"/>
    <w:rsid w:val="00823C78"/>
    <w:rsid w:val="00943672"/>
    <w:rsid w:val="00952BE8"/>
    <w:rsid w:val="00990125"/>
    <w:rsid w:val="00995BA1"/>
    <w:rsid w:val="009F3216"/>
    <w:rsid w:val="00A428B5"/>
    <w:rsid w:val="00A4545C"/>
    <w:rsid w:val="00A93CDF"/>
    <w:rsid w:val="00AE4818"/>
    <w:rsid w:val="00AF2CA1"/>
    <w:rsid w:val="00B42FEA"/>
    <w:rsid w:val="00B55BAF"/>
    <w:rsid w:val="00B9139B"/>
    <w:rsid w:val="00BE7835"/>
    <w:rsid w:val="00CB00C4"/>
    <w:rsid w:val="00CC3B40"/>
    <w:rsid w:val="00D10304"/>
    <w:rsid w:val="00D14B43"/>
    <w:rsid w:val="00D500F5"/>
    <w:rsid w:val="00D6720D"/>
    <w:rsid w:val="00DB08C0"/>
    <w:rsid w:val="00E0681F"/>
    <w:rsid w:val="00E6448B"/>
    <w:rsid w:val="00E84000"/>
    <w:rsid w:val="00F92FF2"/>
    <w:rsid w:val="00FA64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7F49B61-85BD-4467-8B1A-730DC54FF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2FEA"/>
    <w:pPr>
      <w:spacing w:after="0" w:line="240" w:lineRule="auto"/>
      <w:jc w:val="both"/>
    </w:pPr>
    <w:rPr>
      <w:rFonts w:ascii="Times New Roman" w:hAnsi="Times New Roman" w:cs="Arial"/>
      <w:szCs w:val="24"/>
    </w:rPr>
  </w:style>
  <w:style w:type="paragraph" w:styleId="Heading1">
    <w:name w:val="heading 1"/>
    <w:link w:val="Heading1Char"/>
    <w:autoRedefine/>
    <w:qFormat/>
    <w:rsid w:val="00622716"/>
    <w:pPr>
      <w:pBdr>
        <w:bottom w:val="single" w:sz="4" w:space="4" w:color="000000"/>
      </w:pBdr>
      <w:spacing w:before="360" w:after="200" w:line="360" w:lineRule="auto"/>
      <w:jc w:val="both"/>
      <w:outlineLvl w:val="0"/>
    </w:pPr>
    <w:rPr>
      <w:rFonts w:ascii="Times New Roman" w:eastAsia="Times New Roman" w:hAnsi="Times New Roman" w:cs="Times New Roman"/>
      <w:b/>
      <w:bCs/>
      <w:color w:val="000000" w:themeColor="text1"/>
      <w:sz w:val="24"/>
      <w:szCs w:val="24"/>
    </w:rPr>
  </w:style>
  <w:style w:type="paragraph" w:styleId="Heading2">
    <w:name w:val="heading 2"/>
    <w:link w:val="Heading2Char"/>
    <w:autoRedefine/>
    <w:qFormat/>
    <w:rsid w:val="00FA6480"/>
    <w:pPr>
      <w:spacing w:before="280" w:line="360" w:lineRule="auto"/>
      <w:jc w:val="both"/>
      <w:outlineLvl w:val="1"/>
    </w:pPr>
    <w:rPr>
      <w:rFonts w:ascii="Arial" w:hAnsi="Arial" w:cs="Arial"/>
      <w:b/>
      <w:bCs/>
      <w:color w:val="000000" w:themeColor="text1"/>
      <w:sz w:val="28"/>
      <w:szCs w:val="24"/>
    </w:rPr>
  </w:style>
  <w:style w:type="paragraph" w:styleId="Heading3">
    <w:name w:val="heading 3"/>
    <w:link w:val="Heading3Char"/>
    <w:autoRedefine/>
    <w:qFormat/>
    <w:rsid w:val="00E84000"/>
    <w:pPr>
      <w:shd w:val="clear" w:color="auto" w:fill="FFFFFF"/>
      <w:spacing w:before="480" w:after="240" w:line="360" w:lineRule="auto"/>
      <w:jc w:val="both"/>
      <w:outlineLvl w:val="2"/>
    </w:pPr>
    <w:rPr>
      <w:rFonts w:ascii="Arial" w:hAnsi="Arial" w:cs="Arial"/>
      <w:b/>
      <w:bCs/>
      <w:color w:val="0F1115"/>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FA6480"/>
    <w:rPr>
      <w:rFonts w:ascii="Arial" w:hAnsi="Arial" w:cs="Arial"/>
      <w:b/>
      <w:bCs/>
      <w:color w:val="000000" w:themeColor="text1"/>
      <w:sz w:val="28"/>
      <w:szCs w:val="24"/>
    </w:rPr>
  </w:style>
  <w:style w:type="character" w:customStyle="1" w:styleId="Heading3Char">
    <w:name w:val="Heading 3 Char"/>
    <w:basedOn w:val="DefaultParagraphFont"/>
    <w:link w:val="Heading3"/>
    <w:rsid w:val="00E84000"/>
    <w:rPr>
      <w:rFonts w:ascii="Arial" w:hAnsi="Arial" w:cs="Arial"/>
      <w:b/>
      <w:bCs/>
      <w:color w:val="0F1115"/>
      <w:sz w:val="24"/>
      <w:szCs w:val="24"/>
      <w:shd w:val="clear" w:color="auto" w:fill="FFFFFF"/>
    </w:rPr>
  </w:style>
  <w:style w:type="character" w:customStyle="1" w:styleId="Heading1Char">
    <w:name w:val="Heading 1 Char"/>
    <w:basedOn w:val="DefaultParagraphFont"/>
    <w:link w:val="Heading1"/>
    <w:rsid w:val="00622716"/>
    <w:rPr>
      <w:rFonts w:ascii="Times New Roman" w:eastAsia="Times New Roman" w:hAnsi="Times New Roman" w:cs="Times New Roman"/>
      <w:b/>
      <w:bCs/>
      <w:color w:val="000000" w:themeColor="text1"/>
      <w:sz w:val="24"/>
      <w:szCs w:val="24"/>
    </w:rPr>
  </w:style>
  <w:style w:type="paragraph" w:styleId="TOCHeading">
    <w:name w:val="TOC Heading"/>
    <w:basedOn w:val="Heading1"/>
    <w:next w:val="Normal"/>
    <w:uiPriority w:val="39"/>
    <w:unhideWhenUsed/>
    <w:qFormat/>
    <w:rsid w:val="00AF2CA1"/>
    <w:pPr>
      <w:keepNext/>
      <w:keepLines/>
      <w:pBdr>
        <w:bottom w:val="none" w:sz="0" w:space="0" w:color="auto"/>
      </w:pBdr>
      <w:spacing w:before="240" w:after="0" w:line="259" w:lineRule="auto"/>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2">
    <w:name w:val="toc 2"/>
    <w:basedOn w:val="Normal"/>
    <w:next w:val="Normal"/>
    <w:autoRedefine/>
    <w:uiPriority w:val="39"/>
    <w:unhideWhenUsed/>
    <w:rsid w:val="00AF2CA1"/>
    <w:pPr>
      <w:spacing w:after="100"/>
      <w:ind w:left="220"/>
    </w:pPr>
  </w:style>
  <w:style w:type="paragraph" w:styleId="TOC3">
    <w:name w:val="toc 3"/>
    <w:basedOn w:val="Normal"/>
    <w:next w:val="Normal"/>
    <w:autoRedefine/>
    <w:uiPriority w:val="39"/>
    <w:unhideWhenUsed/>
    <w:rsid w:val="00AF2CA1"/>
    <w:pPr>
      <w:spacing w:after="100"/>
      <w:ind w:left="440"/>
    </w:pPr>
  </w:style>
  <w:style w:type="character" w:styleId="Hyperlink">
    <w:name w:val="Hyperlink"/>
    <w:basedOn w:val="DefaultParagraphFont"/>
    <w:uiPriority w:val="99"/>
    <w:unhideWhenUsed/>
    <w:rsid w:val="00AF2CA1"/>
    <w:rPr>
      <w:color w:val="0563C1" w:themeColor="hyperlink"/>
      <w:u w:val="single"/>
    </w:rPr>
  </w:style>
  <w:style w:type="paragraph" w:styleId="ListParagraph">
    <w:name w:val="List Paragraph"/>
    <w:basedOn w:val="Normal"/>
    <w:uiPriority w:val="34"/>
    <w:qFormat/>
    <w:rsid w:val="009F3216"/>
    <w:pPr>
      <w:ind w:left="720"/>
      <w:contextualSpacing/>
    </w:pPr>
  </w:style>
  <w:style w:type="paragraph" w:styleId="Header">
    <w:name w:val="header"/>
    <w:basedOn w:val="Normal"/>
    <w:link w:val="HeaderChar"/>
    <w:uiPriority w:val="99"/>
    <w:unhideWhenUsed/>
    <w:rsid w:val="00D14B43"/>
    <w:pPr>
      <w:tabs>
        <w:tab w:val="center" w:pos="4680"/>
        <w:tab w:val="right" w:pos="9360"/>
      </w:tabs>
    </w:pPr>
  </w:style>
  <w:style w:type="character" w:customStyle="1" w:styleId="HeaderChar">
    <w:name w:val="Header Char"/>
    <w:basedOn w:val="DefaultParagraphFont"/>
    <w:link w:val="Header"/>
    <w:uiPriority w:val="99"/>
    <w:rsid w:val="00D14B43"/>
    <w:rPr>
      <w:rFonts w:ascii="Times New Roman" w:hAnsi="Times New Roman" w:cs="Arial"/>
      <w:szCs w:val="24"/>
    </w:rPr>
  </w:style>
  <w:style w:type="paragraph" w:styleId="Footer">
    <w:name w:val="footer"/>
    <w:basedOn w:val="Normal"/>
    <w:link w:val="FooterChar"/>
    <w:uiPriority w:val="99"/>
    <w:unhideWhenUsed/>
    <w:rsid w:val="00D14B43"/>
    <w:pPr>
      <w:tabs>
        <w:tab w:val="center" w:pos="4680"/>
        <w:tab w:val="right" w:pos="9360"/>
      </w:tabs>
    </w:pPr>
  </w:style>
  <w:style w:type="character" w:customStyle="1" w:styleId="FooterChar">
    <w:name w:val="Footer Char"/>
    <w:basedOn w:val="DefaultParagraphFont"/>
    <w:link w:val="Footer"/>
    <w:uiPriority w:val="99"/>
    <w:rsid w:val="00D14B43"/>
    <w:rPr>
      <w:rFonts w:ascii="Times New Roman" w:hAnsi="Times New Roman" w:cs="Arial"/>
      <w:szCs w:val="24"/>
    </w:rPr>
  </w:style>
  <w:style w:type="character" w:styleId="Emphasis">
    <w:name w:val="Emphasis"/>
    <w:basedOn w:val="DefaultParagraphFont"/>
    <w:uiPriority w:val="20"/>
    <w:qFormat/>
    <w:rsid w:val="00D6720D"/>
    <w:rPr>
      <w:i/>
      <w:iCs/>
    </w:rPr>
  </w:style>
  <w:style w:type="paragraph" w:styleId="NormalWeb">
    <w:name w:val="Normal (Web)"/>
    <w:basedOn w:val="Normal"/>
    <w:uiPriority w:val="99"/>
    <w:unhideWhenUsed/>
    <w:rsid w:val="00952BE8"/>
    <w:pPr>
      <w:spacing w:before="100" w:beforeAutospacing="1" w:after="100" w:afterAutospacing="1"/>
      <w:jc w:val="left"/>
    </w:pPr>
    <w:rPr>
      <w:rFonts w:eastAsia="Times New Roman" w:cs="Times New Roman"/>
      <w:sz w:val="24"/>
    </w:rPr>
  </w:style>
  <w:style w:type="character" w:styleId="Strong">
    <w:name w:val="Strong"/>
    <w:basedOn w:val="DefaultParagraphFont"/>
    <w:uiPriority w:val="22"/>
    <w:qFormat/>
    <w:rsid w:val="00AE4818"/>
    <w:rPr>
      <w:b/>
      <w:bCs/>
    </w:rPr>
  </w:style>
  <w:style w:type="paragraph" w:customStyle="1" w:styleId="ds-markdown-paragraph">
    <w:name w:val="ds-markdown-paragraph"/>
    <w:basedOn w:val="Normal"/>
    <w:rsid w:val="00E84000"/>
    <w:pPr>
      <w:spacing w:before="100" w:beforeAutospacing="1" w:after="100" w:afterAutospacing="1"/>
      <w:jc w:val="left"/>
    </w:pPr>
    <w:rPr>
      <w:rFonts w:eastAsia="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036476">
      <w:bodyDiv w:val="1"/>
      <w:marLeft w:val="0"/>
      <w:marRight w:val="0"/>
      <w:marTop w:val="0"/>
      <w:marBottom w:val="0"/>
      <w:divBdr>
        <w:top w:val="none" w:sz="0" w:space="0" w:color="auto"/>
        <w:left w:val="none" w:sz="0" w:space="0" w:color="auto"/>
        <w:bottom w:val="none" w:sz="0" w:space="0" w:color="auto"/>
        <w:right w:val="none" w:sz="0" w:space="0" w:color="auto"/>
      </w:divBdr>
    </w:div>
    <w:div w:id="175779006">
      <w:bodyDiv w:val="1"/>
      <w:marLeft w:val="0"/>
      <w:marRight w:val="0"/>
      <w:marTop w:val="0"/>
      <w:marBottom w:val="0"/>
      <w:divBdr>
        <w:top w:val="none" w:sz="0" w:space="0" w:color="auto"/>
        <w:left w:val="none" w:sz="0" w:space="0" w:color="auto"/>
        <w:bottom w:val="none" w:sz="0" w:space="0" w:color="auto"/>
        <w:right w:val="none" w:sz="0" w:space="0" w:color="auto"/>
      </w:divBdr>
    </w:div>
    <w:div w:id="945507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mimi.com" TargetMode="External"/><Relationship Id="rId18" Type="http://schemas.openxmlformats.org/officeDocument/2006/relationships/hyperlink" Target="https://www.mordorintelligence.com/industry-reports/united-arab-emirates-hybrid-and-electric-vehicles-market"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dpower.ae/en/investors/annual-reports" TargetMode="External"/><Relationship Id="rId17" Type="http://schemas.openxmlformats.org/officeDocument/2006/relationships/hyperlink" Target="https://www.imf.org/external/datamapper/NGDPDPC@WEO" TargetMode="External"/><Relationship Id="rId2" Type="http://schemas.openxmlformats.org/officeDocument/2006/relationships/numbering" Target="numbering.xml"/><Relationship Id="rId16" Type="http://schemas.openxmlformats.org/officeDocument/2006/relationships/hyperlink" Target="https://www.grandviewresearch.com/horizon/outlook/electric-vehicle-market/ua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www.focus2move.com/emirates-automotive-market/" TargetMode="External"/><Relationship Id="rId10" Type="http://schemas.openxmlformats.org/officeDocument/2006/relationships/hyperlink" Target="https://www.grammarly.com/"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hatgpt.com/" TargetMode="External"/><Relationship Id="rId14" Type="http://schemas.openxmlformats.org/officeDocument/2006/relationships/hyperlink" Target="https://www.dewa.gov.a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7BE0AD-87E7-44EC-BEB5-D63861F1A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7322</Words>
  <Characters>41736</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SAMSUNG</dc:creator>
  <cp:keywords/>
  <dc:description/>
  <cp:lastModifiedBy>SAMSUNG</cp:lastModifiedBy>
  <cp:revision>2</cp:revision>
  <dcterms:created xsi:type="dcterms:W3CDTF">2026-04-26T22:33:00Z</dcterms:created>
  <dcterms:modified xsi:type="dcterms:W3CDTF">2026-04-26T22:33:00Z</dcterms:modified>
</cp:coreProperties>
</file>