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87CC6FD" w14:textId="1BA57F9E" w:rsidR="00234F08" w:rsidRPr="00234F08" w:rsidRDefault="007C5767">
      <w:pPr>
        <w:rPr>
          <w:rFonts w:ascii="Arial" w:hAnsi="Arial" w:cs="Arial"/>
          <w:b/>
          <w:bCs/>
          <w:sz w:val="22"/>
        </w:rPr>
      </w:pPr>
      <w:r w:rsidRPr="00234F08">
        <w:rPr>
          <w:rFonts w:ascii="Arial" w:hAnsi="Arial" w:cs="Arial"/>
          <w:b/>
          <w:bCs/>
          <w:sz w:val="22"/>
        </w:rPr>
        <w:t xml:space="preserve">Digital Exclusion </w:t>
      </w:r>
      <w:r w:rsidR="00234F08" w:rsidRPr="00234F08">
        <w:rPr>
          <w:rFonts w:ascii="Arial" w:hAnsi="Arial" w:cs="Arial"/>
          <w:b/>
          <w:bCs/>
          <w:sz w:val="22"/>
        </w:rPr>
        <w:t>among</w:t>
      </w:r>
      <w:r w:rsidRPr="00234F08">
        <w:rPr>
          <w:rFonts w:ascii="Arial" w:hAnsi="Arial" w:cs="Arial"/>
          <w:b/>
          <w:bCs/>
          <w:sz w:val="22"/>
        </w:rPr>
        <w:t xml:space="preserve"> Older Adults in UK Health and Social Care: A Research Report</w:t>
      </w:r>
    </w:p>
    <w:p w14:paraId="6D77419C" w14:textId="77777777" w:rsidR="00234F08" w:rsidRPr="00234F08" w:rsidRDefault="00234F08">
      <w:pPr>
        <w:spacing w:line="259" w:lineRule="auto"/>
        <w:jc w:val="left"/>
        <w:rPr>
          <w:rFonts w:ascii="Arial" w:hAnsi="Arial" w:cs="Arial"/>
          <w:b/>
          <w:bCs/>
          <w:sz w:val="22"/>
        </w:rPr>
      </w:pPr>
      <w:r w:rsidRPr="00234F08">
        <w:rPr>
          <w:rFonts w:ascii="Arial" w:hAnsi="Arial" w:cs="Arial"/>
          <w:b/>
          <w:bCs/>
          <w:sz w:val="22"/>
        </w:rPr>
        <w:br w:type="page"/>
      </w:r>
    </w:p>
    <w:p w14:paraId="0CFF9866" w14:textId="77777777" w:rsidR="00234F08" w:rsidRPr="00234F08" w:rsidRDefault="00234F08">
      <w:pPr>
        <w:rPr>
          <w:rFonts w:ascii="Arial" w:hAnsi="Arial" w:cs="Arial"/>
          <w:b/>
          <w:bCs/>
          <w:sz w:val="22"/>
        </w:rPr>
      </w:pPr>
    </w:p>
    <w:sdt>
      <w:sdtPr>
        <w:rPr>
          <w:rFonts w:ascii="Arial" w:hAnsi="Arial" w:cs="Arial"/>
          <w:sz w:val="22"/>
          <w:szCs w:val="22"/>
        </w:rPr>
        <w:id w:val="-812329132"/>
        <w:docPartObj>
          <w:docPartGallery w:val="Table of Contents"/>
          <w:docPartUnique/>
        </w:docPartObj>
      </w:sdtPr>
      <w:sdtEndPr>
        <w:rPr>
          <w:rFonts w:eastAsiaTheme="minorHAnsi"/>
          <w:b/>
          <w:bCs/>
          <w:noProof/>
          <w:color w:val="auto"/>
          <w:kern w:val="2"/>
          <w14:ligatures w14:val="standardContextual"/>
        </w:rPr>
      </w:sdtEndPr>
      <w:sdtContent>
        <w:p w14:paraId="66F66B25" w14:textId="6FBACBA3" w:rsidR="00234F08" w:rsidRPr="00234F08" w:rsidRDefault="00234F08">
          <w:pPr>
            <w:pStyle w:val="TOCHeading"/>
            <w:rPr>
              <w:rFonts w:ascii="Arial" w:hAnsi="Arial" w:cs="Arial"/>
              <w:b/>
              <w:color w:val="auto"/>
              <w:sz w:val="22"/>
              <w:szCs w:val="22"/>
            </w:rPr>
          </w:pPr>
          <w:r w:rsidRPr="00234F08">
            <w:rPr>
              <w:rFonts w:ascii="Arial" w:hAnsi="Arial" w:cs="Arial"/>
              <w:b/>
              <w:color w:val="auto"/>
              <w:sz w:val="22"/>
              <w:szCs w:val="22"/>
            </w:rPr>
            <w:t>CONTENTS</w:t>
          </w:r>
        </w:p>
        <w:p w14:paraId="588CA7BF" w14:textId="77777777" w:rsidR="00234F08" w:rsidRPr="00234F08" w:rsidRDefault="00234F08" w:rsidP="00234F08"/>
        <w:p w14:paraId="431BB213" w14:textId="3A3CCCD8" w:rsidR="00234F08" w:rsidRPr="00234F08" w:rsidRDefault="00234F08">
          <w:pPr>
            <w:pStyle w:val="TOC1"/>
            <w:tabs>
              <w:tab w:val="right" w:leader="dot" w:pos="9350"/>
            </w:tabs>
            <w:rPr>
              <w:rFonts w:ascii="Arial" w:eastAsiaTheme="minorEastAsia" w:hAnsi="Arial" w:cs="Arial"/>
              <w:noProof/>
              <w:kern w:val="0"/>
              <w:sz w:val="22"/>
              <w14:ligatures w14:val="none"/>
            </w:rPr>
          </w:pPr>
          <w:r w:rsidRPr="00234F08">
            <w:rPr>
              <w:rFonts w:ascii="Arial" w:hAnsi="Arial" w:cs="Arial"/>
              <w:sz w:val="22"/>
            </w:rPr>
            <w:fldChar w:fldCharType="begin"/>
          </w:r>
          <w:r w:rsidRPr="00234F08">
            <w:rPr>
              <w:rFonts w:ascii="Arial" w:hAnsi="Arial" w:cs="Arial"/>
              <w:sz w:val="22"/>
            </w:rPr>
            <w:instrText xml:space="preserve"> TOC \o "1-3" \h \z \u </w:instrText>
          </w:r>
          <w:r w:rsidRPr="00234F08">
            <w:rPr>
              <w:rFonts w:ascii="Arial" w:hAnsi="Arial" w:cs="Arial"/>
              <w:sz w:val="22"/>
            </w:rPr>
            <w:fldChar w:fldCharType="separate"/>
          </w:r>
          <w:hyperlink w:anchor="_Toc224229152" w:history="1">
            <w:r w:rsidRPr="00234F08">
              <w:rPr>
                <w:rStyle w:val="Hyperlink"/>
                <w:rFonts w:ascii="Arial" w:hAnsi="Arial" w:cs="Arial"/>
                <w:noProof/>
                <w:sz w:val="22"/>
              </w:rPr>
              <w:t>INTRODUCTION</w:t>
            </w:r>
            <w:r w:rsidRPr="00234F08">
              <w:rPr>
                <w:rFonts w:ascii="Arial" w:hAnsi="Arial" w:cs="Arial"/>
                <w:noProof/>
                <w:webHidden/>
                <w:sz w:val="22"/>
              </w:rPr>
              <w:tab/>
            </w:r>
            <w:r w:rsidRPr="00234F08">
              <w:rPr>
                <w:rFonts w:ascii="Arial" w:hAnsi="Arial" w:cs="Arial"/>
                <w:noProof/>
                <w:webHidden/>
                <w:sz w:val="22"/>
              </w:rPr>
              <w:fldChar w:fldCharType="begin"/>
            </w:r>
            <w:r w:rsidRPr="00234F08">
              <w:rPr>
                <w:rFonts w:ascii="Arial" w:hAnsi="Arial" w:cs="Arial"/>
                <w:noProof/>
                <w:webHidden/>
                <w:sz w:val="22"/>
              </w:rPr>
              <w:instrText xml:space="preserve"> PAGEREF _Toc224229152 \h </w:instrText>
            </w:r>
            <w:r w:rsidRPr="00234F08">
              <w:rPr>
                <w:rFonts w:ascii="Arial" w:hAnsi="Arial" w:cs="Arial"/>
                <w:noProof/>
                <w:webHidden/>
                <w:sz w:val="22"/>
              </w:rPr>
            </w:r>
            <w:r w:rsidRPr="00234F08">
              <w:rPr>
                <w:rFonts w:ascii="Arial" w:hAnsi="Arial" w:cs="Arial"/>
                <w:noProof/>
                <w:webHidden/>
                <w:sz w:val="22"/>
              </w:rPr>
              <w:fldChar w:fldCharType="separate"/>
            </w:r>
            <w:r w:rsidRPr="00234F08">
              <w:rPr>
                <w:rFonts w:ascii="Arial" w:hAnsi="Arial" w:cs="Arial"/>
                <w:noProof/>
                <w:webHidden/>
                <w:sz w:val="22"/>
              </w:rPr>
              <w:t>2</w:t>
            </w:r>
            <w:r w:rsidRPr="00234F08">
              <w:rPr>
                <w:rFonts w:ascii="Arial" w:hAnsi="Arial" w:cs="Arial"/>
                <w:noProof/>
                <w:webHidden/>
                <w:sz w:val="22"/>
              </w:rPr>
              <w:fldChar w:fldCharType="end"/>
            </w:r>
          </w:hyperlink>
        </w:p>
        <w:p w14:paraId="188B66DC" w14:textId="4DA0C2A2" w:rsidR="00234F08" w:rsidRPr="00234F08" w:rsidRDefault="00234F08">
          <w:pPr>
            <w:pStyle w:val="TOC1"/>
            <w:tabs>
              <w:tab w:val="right" w:leader="dot" w:pos="9350"/>
            </w:tabs>
            <w:rPr>
              <w:rFonts w:ascii="Arial" w:eastAsiaTheme="minorEastAsia" w:hAnsi="Arial" w:cs="Arial"/>
              <w:noProof/>
              <w:kern w:val="0"/>
              <w:sz w:val="22"/>
              <w14:ligatures w14:val="none"/>
            </w:rPr>
          </w:pPr>
          <w:hyperlink w:anchor="_Toc224229153" w:history="1">
            <w:r w:rsidRPr="00234F08">
              <w:rPr>
                <w:rStyle w:val="Hyperlink"/>
                <w:rFonts w:ascii="Arial" w:hAnsi="Arial" w:cs="Arial"/>
                <w:noProof/>
                <w:sz w:val="22"/>
              </w:rPr>
              <w:t>TASK 1: SELECTION OF A RESEARCH TOPIC</w:t>
            </w:r>
            <w:r w:rsidRPr="00234F08">
              <w:rPr>
                <w:rFonts w:ascii="Arial" w:hAnsi="Arial" w:cs="Arial"/>
                <w:noProof/>
                <w:webHidden/>
                <w:sz w:val="22"/>
              </w:rPr>
              <w:tab/>
            </w:r>
            <w:r w:rsidRPr="00234F08">
              <w:rPr>
                <w:rFonts w:ascii="Arial" w:hAnsi="Arial" w:cs="Arial"/>
                <w:noProof/>
                <w:webHidden/>
                <w:sz w:val="22"/>
              </w:rPr>
              <w:fldChar w:fldCharType="begin"/>
            </w:r>
            <w:r w:rsidRPr="00234F08">
              <w:rPr>
                <w:rFonts w:ascii="Arial" w:hAnsi="Arial" w:cs="Arial"/>
                <w:noProof/>
                <w:webHidden/>
                <w:sz w:val="22"/>
              </w:rPr>
              <w:instrText xml:space="preserve"> PAGEREF _Toc224229153 \h </w:instrText>
            </w:r>
            <w:r w:rsidRPr="00234F08">
              <w:rPr>
                <w:rFonts w:ascii="Arial" w:hAnsi="Arial" w:cs="Arial"/>
                <w:noProof/>
                <w:webHidden/>
                <w:sz w:val="22"/>
              </w:rPr>
            </w:r>
            <w:r w:rsidRPr="00234F08">
              <w:rPr>
                <w:rFonts w:ascii="Arial" w:hAnsi="Arial" w:cs="Arial"/>
                <w:noProof/>
                <w:webHidden/>
                <w:sz w:val="22"/>
              </w:rPr>
              <w:fldChar w:fldCharType="separate"/>
            </w:r>
            <w:r w:rsidRPr="00234F08">
              <w:rPr>
                <w:rFonts w:ascii="Arial" w:hAnsi="Arial" w:cs="Arial"/>
                <w:noProof/>
                <w:webHidden/>
                <w:sz w:val="22"/>
              </w:rPr>
              <w:t>2</w:t>
            </w:r>
            <w:r w:rsidRPr="00234F08">
              <w:rPr>
                <w:rFonts w:ascii="Arial" w:hAnsi="Arial" w:cs="Arial"/>
                <w:noProof/>
                <w:webHidden/>
                <w:sz w:val="22"/>
              </w:rPr>
              <w:fldChar w:fldCharType="end"/>
            </w:r>
          </w:hyperlink>
        </w:p>
        <w:p w14:paraId="36F5C53D" w14:textId="31397E33" w:rsidR="00234F08" w:rsidRPr="00234F08" w:rsidRDefault="00234F08">
          <w:pPr>
            <w:pStyle w:val="TOC1"/>
            <w:tabs>
              <w:tab w:val="right" w:leader="dot" w:pos="9350"/>
            </w:tabs>
            <w:rPr>
              <w:rFonts w:ascii="Arial" w:eastAsiaTheme="minorEastAsia" w:hAnsi="Arial" w:cs="Arial"/>
              <w:noProof/>
              <w:kern w:val="0"/>
              <w:sz w:val="22"/>
              <w14:ligatures w14:val="none"/>
            </w:rPr>
          </w:pPr>
          <w:hyperlink w:anchor="_Toc224229154" w:history="1">
            <w:r w:rsidRPr="00234F08">
              <w:rPr>
                <w:rStyle w:val="Hyperlink"/>
                <w:rFonts w:ascii="Arial" w:hAnsi="Arial" w:cs="Arial"/>
                <w:noProof/>
                <w:sz w:val="22"/>
              </w:rPr>
              <w:t>TASK 2: EVALUATING INFORMATION SOURCES</w:t>
            </w:r>
            <w:r w:rsidRPr="00234F08">
              <w:rPr>
                <w:rFonts w:ascii="Arial" w:hAnsi="Arial" w:cs="Arial"/>
                <w:noProof/>
                <w:webHidden/>
                <w:sz w:val="22"/>
              </w:rPr>
              <w:tab/>
            </w:r>
            <w:r w:rsidRPr="00234F08">
              <w:rPr>
                <w:rFonts w:ascii="Arial" w:hAnsi="Arial" w:cs="Arial"/>
                <w:noProof/>
                <w:webHidden/>
                <w:sz w:val="22"/>
              </w:rPr>
              <w:fldChar w:fldCharType="begin"/>
            </w:r>
            <w:r w:rsidRPr="00234F08">
              <w:rPr>
                <w:rFonts w:ascii="Arial" w:hAnsi="Arial" w:cs="Arial"/>
                <w:noProof/>
                <w:webHidden/>
                <w:sz w:val="22"/>
              </w:rPr>
              <w:instrText xml:space="preserve"> PAGEREF _Toc224229154 \h </w:instrText>
            </w:r>
            <w:r w:rsidRPr="00234F08">
              <w:rPr>
                <w:rFonts w:ascii="Arial" w:hAnsi="Arial" w:cs="Arial"/>
                <w:noProof/>
                <w:webHidden/>
                <w:sz w:val="22"/>
              </w:rPr>
            </w:r>
            <w:r w:rsidRPr="00234F08">
              <w:rPr>
                <w:rFonts w:ascii="Arial" w:hAnsi="Arial" w:cs="Arial"/>
                <w:noProof/>
                <w:webHidden/>
                <w:sz w:val="22"/>
              </w:rPr>
              <w:fldChar w:fldCharType="separate"/>
            </w:r>
            <w:r w:rsidRPr="00234F08">
              <w:rPr>
                <w:rFonts w:ascii="Arial" w:hAnsi="Arial" w:cs="Arial"/>
                <w:noProof/>
                <w:webHidden/>
                <w:sz w:val="22"/>
              </w:rPr>
              <w:t>3</w:t>
            </w:r>
            <w:r w:rsidRPr="00234F08">
              <w:rPr>
                <w:rFonts w:ascii="Arial" w:hAnsi="Arial" w:cs="Arial"/>
                <w:noProof/>
                <w:webHidden/>
                <w:sz w:val="22"/>
              </w:rPr>
              <w:fldChar w:fldCharType="end"/>
            </w:r>
          </w:hyperlink>
        </w:p>
        <w:p w14:paraId="0D9C7B4C" w14:textId="320EC673" w:rsidR="00234F08" w:rsidRPr="00234F08" w:rsidRDefault="00234F08">
          <w:pPr>
            <w:pStyle w:val="TOC1"/>
            <w:tabs>
              <w:tab w:val="right" w:leader="dot" w:pos="9350"/>
            </w:tabs>
            <w:rPr>
              <w:rFonts w:ascii="Arial" w:eastAsiaTheme="minorEastAsia" w:hAnsi="Arial" w:cs="Arial"/>
              <w:noProof/>
              <w:kern w:val="0"/>
              <w:sz w:val="22"/>
              <w14:ligatures w14:val="none"/>
            </w:rPr>
          </w:pPr>
          <w:hyperlink w:anchor="_Toc224229155" w:history="1">
            <w:r w:rsidRPr="00234F08">
              <w:rPr>
                <w:rStyle w:val="Hyperlink"/>
                <w:rFonts w:ascii="Arial" w:hAnsi="Arial" w:cs="Arial"/>
                <w:noProof/>
                <w:sz w:val="22"/>
              </w:rPr>
              <w:t>TASK 3: RESEARCH METHODOLOGIES</w:t>
            </w:r>
            <w:r w:rsidRPr="00234F08">
              <w:rPr>
                <w:rFonts w:ascii="Arial" w:hAnsi="Arial" w:cs="Arial"/>
                <w:noProof/>
                <w:webHidden/>
                <w:sz w:val="22"/>
              </w:rPr>
              <w:tab/>
            </w:r>
            <w:r w:rsidRPr="00234F08">
              <w:rPr>
                <w:rFonts w:ascii="Arial" w:hAnsi="Arial" w:cs="Arial"/>
                <w:noProof/>
                <w:webHidden/>
                <w:sz w:val="22"/>
              </w:rPr>
              <w:fldChar w:fldCharType="begin"/>
            </w:r>
            <w:r w:rsidRPr="00234F08">
              <w:rPr>
                <w:rFonts w:ascii="Arial" w:hAnsi="Arial" w:cs="Arial"/>
                <w:noProof/>
                <w:webHidden/>
                <w:sz w:val="22"/>
              </w:rPr>
              <w:instrText xml:space="preserve"> PAGEREF _Toc224229155 \h </w:instrText>
            </w:r>
            <w:r w:rsidRPr="00234F08">
              <w:rPr>
                <w:rFonts w:ascii="Arial" w:hAnsi="Arial" w:cs="Arial"/>
                <w:noProof/>
                <w:webHidden/>
                <w:sz w:val="22"/>
              </w:rPr>
            </w:r>
            <w:r w:rsidRPr="00234F08">
              <w:rPr>
                <w:rFonts w:ascii="Arial" w:hAnsi="Arial" w:cs="Arial"/>
                <w:noProof/>
                <w:webHidden/>
                <w:sz w:val="22"/>
              </w:rPr>
              <w:fldChar w:fldCharType="separate"/>
            </w:r>
            <w:r w:rsidRPr="00234F08">
              <w:rPr>
                <w:rFonts w:ascii="Arial" w:hAnsi="Arial" w:cs="Arial"/>
                <w:noProof/>
                <w:webHidden/>
                <w:sz w:val="22"/>
              </w:rPr>
              <w:t>4</w:t>
            </w:r>
            <w:r w:rsidRPr="00234F08">
              <w:rPr>
                <w:rFonts w:ascii="Arial" w:hAnsi="Arial" w:cs="Arial"/>
                <w:noProof/>
                <w:webHidden/>
                <w:sz w:val="22"/>
              </w:rPr>
              <w:fldChar w:fldCharType="end"/>
            </w:r>
          </w:hyperlink>
        </w:p>
        <w:p w14:paraId="4732C6AF" w14:textId="19A00D87" w:rsidR="00234F08" w:rsidRPr="00234F08" w:rsidRDefault="00234F08">
          <w:pPr>
            <w:pStyle w:val="TOC1"/>
            <w:tabs>
              <w:tab w:val="right" w:leader="dot" w:pos="9350"/>
            </w:tabs>
            <w:rPr>
              <w:rFonts w:ascii="Arial" w:eastAsiaTheme="minorEastAsia" w:hAnsi="Arial" w:cs="Arial"/>
              <w:noProof/>
              <w:kern w:val="0"/>
              <w:sz w:val="22"/>
              <w14:ligatures w14:val="none"/>
            </w:rPr>
          </w:pPr>
          <w:hyperlink w:anchor="_Toc224229156" w:history="1">
            <w:r w:rsidRPr="00234F08">
              <w:rPr>
                <w:rStyle w:val="Hyperlink"/>
                <w:rFonts w:ascii="Arial" w:hAnsi="Arial" w:cs="Arial"/>
                <w:noProof/>
                <w:sz w:val="22"/>
              </w:rPr>
              <w:t>TASK 4: DATA COLLECTION</w:t>
            </w:r>
            <w:r w:rsidRPr="00234F08">
              <w:rPr>
                <w:rFonts w:ascii="Arial" w:hAnsi="Arial" w:cs="Arial"/>
                <w:noProof/>
                <w:webHidden/>
                <w:sz w:val="22"/>
              </w:rPr>
              <w:tab/>
            </w:r>
            <w:r w:rsidRPr="00234F08">
              <w:rPr>
                <w:rFonts w:ascii="Arial" w:hAnsi="Arial" w:cs="Arial"/>
                <w:noProof/>
                <w:webHidden/>
                <w:sz w:val="22"/>
              </w:rPr>
              <w:fldChar w:fldCharType="begin"/>
            </w:r>
            <w:r w:rsidRPr="00234F08">
              <w:rPr>
                <w:rFonts w:ascii="Arial" w:hAnsi="Arial" w:cs="Arial"/>
                <w:noProof/>
                <w:webHidden/>
                <w:sz w:val="22"/>
              </w:rPr>
              <w:instrText xml:space="preserve"> PAGEREF _Toc224229156 \h </w:instrText>
            </w:r>
            <w:r w:rsidRPr="00234F08">
              <w:rPr>
                <w:rFonts w:ascii="Arial" w:hAnsi="Arial" w:cs="Arial"/>
                <w:noProof/>
                <w:webHidden/>
                <w:sz w:val="22"/>
              </w:rPr>
            </w:r>
            <w:r w:rsidRPr="00234F08">
              <w:rPr>
                <w:rFonts w:ascii="Arial" w:hAnsi="Arial" w:cs="Arial"/>
                <w:noProof/>
                <w:webHidden/>
                <w:sz w:val="22"/>
              </w:rPr>
              <w:fldChar w:fldCharType="separate"/>
            </w:r>
            <w:r w:rsidRPr="00234F08">
              <w:rPr>
                <w:rFonts w:ascii="Arial" w:hAnsi="Arial" w:cs="Arial"/>
                <w:noProof/>
                <w:webHidden/>
                <w:sz w:val="22"/>
              </w:rPr>
              <w:t>4</w:t>
            </w:r>
            <w:r w:rsidRPr="00234F08">
              <w:rPr>
                <w:rFonts w:ascii="Arial" w:hAnsi="Arial" w:cs="Arial"/>
                <w:noProof/>
                <w:webHidden/>
                <w:sz w:val="22"/>
              </w:rPr>
              <w:fldChar w:fldCharType="end"/>
            </w:r>
          </w:hyperlink>
        </w:p>
        <w:p w14:paraId="01FD0AA2" w14:textId="498B918A" w:rsidR="00234F08" w:rsidRPr="00234F08" w:rsidRDefault="00234F08">
          <w:pPr>
            <w:pStyle w:val="TOC1"/>
            <w:tabs>
              <w:tab w:val="right" w:leader="dot" w:pos="9350"/>
            </w:tabs>
            <w:rPr>
              <w:rFonts w:ascii="Arial" w:eastAsiaTheme="minorEastAsia" w:hAnsi="Arial" w:cs="Arial"/>
              <w:noProof/>
              <w:kern w:val="0"/>
              <w:sz w:val="22"/>
              <w14:ligatures w14:val="none"/>
            </w:rPr>
          </w:pPr>
          <w:hyperlink w:anchor="_Toc224229157" w:history="1">
            <w:r w:rsidRPr="00234F08">
              <w:rPr>
                <w:rStyle w:val="Hyperlink"/>
                <w:rFonts w:ascii="Arial" w:hAnsi="Arial" w:cs="Arial"/>
                <w:noProof/>
                <w:sz w:val="22"/>
              </w:rPr>
              <w:t>CONCLUSION</w:t>
            </w:r>
            <w:r w:rsidRPr="00234F08">
              <w:rPr>
                <w:rFonts w:ascii="Arial" w:hAnsi="Arial" w:cs="Arial"/>
                <w:noProof/>
                <w:webHidden/>
                <w:sz w:val="22"/>
              </w:rPr>
              <w:tab/>
            </w:r>
            <w:r w:rsidRPr="00234F08">
              <w:rPr>
                <w:rFonts w:ascii="Arial" w:hAnsi="Arial" w:cs="Arial"/>
                <w:noProof/>
                <w:webHidden/>
                <w:sz w:val="22"/>
              </w:rPr>
              <w:fldChar w:fldCharType="begin"/>
            </w:r>
            <w:r w:rsidRPr="00234F08">
              <w:rPr>
                <w:rFonts w:ascii="Arial" w:hAnsi="Arial" w:cs="Arial"/>
                <w:noProof/>
                <w:webHidden/>
                <w:sz w:val="22"/>
              </w:rPr>
              <w:instrText xml:space="preserve"> PAGEREF _Toc224229157 \h </w:instrText>
            </w:r>
            <w:r w:rsidRPr="00234F08">
              <w:rPr>
                <w:rFonts w:ascii="Arial" w:hAnsi="Arial" w:cs="Arial"/>
                <w:noProof/>
                <w:webHidden/>
                <w:sz w:val="22"/>
              </w:rPr>
            </w:r>
            <w:r w:rsidRPr="00234F08">
              <w:rPr>
                <w:rFonts w:ascii="Arial" w:hAnsi="Arial" w:cs="Arial"/>
                <w:noProof/>
                <w:webHidden/>
                <w:sz w:val="22"/>
              </w:rPr>
              <w:fldChar w:fldCharType="separate"/>
            </w:r>
            <w:r w:rsidRPr="00234F08">
              <w:rPr>
                <w:rFonts w:ascii="Arial" w:hAnsi="Arial" w:cs="Arial"/>
                <w:noProof/>
                <w:webHidden/>
                <w:sz w:val="22"/>
              </w:rPr>
              <w:t>5</w:t>
            </w:r>
            <w:r w:rsidRPr="00234F08">
              <w:rPr>
                <w:rFonts w:ascii="Arial" w:hAnsi="Arial" w:cs="Arial"/>
                <w:noProof/>
                <w:webHidden/>
                <w:sz w:val="22"/>
              </w:rPr>
              <w:fldChar w:fldCharType="end"/>
            </w:r>
          </w:hyperlink>
        </w:p>
        <w:p w14:paraId="638DA145" w14:textId="654D6F1E" w:rsidR="00234F08" w:rsidRPr="00234F08" w:rsidRDefault="00234F08">
          <w:pPr>
            <w:pStyle w:val="TOC1"/>
            <w:tabs>
              <w:tab w:val="right" w:leader="dot" w:pos="9350"/>
            </w:tabs>
            <w:rPr>
              <w:rFonts w:ascii="Arial" w:eastAsiaTheme="minorEastAsia" w:hAnsi="Arial" w:cs="Arial"/>
              <w:noProof/>
              <w:kern w:val="0"/>
              <w:sz w:val="22"/>
              <w14:ligatures w14:val="none"/>
            </w:rPr>
          </w:pPr>
          <w:hyperlink w:anchor="_Toc224229158" w:history="1">
            <w:r w:rsidRPr="00234F08">
              <w:rPr>
                <w:rStyle w:val="Hyperlink"/>
                <w:rFonts w:ascii="Arial" w:hAnsi="Arial" w:cs="Arial"/>
                <w:noProof/>
                <w:sz w:val="22"/>
              </w:rPr>
              <w:t>REFERENCES</w:t>
            </w:r>
            <w:r w:rsidRPr="00234F08">
              <w:rPr>
                <w:rFonts w:ascii="Arial" w:hAnsi="Arial" w:cs="Arial"/>
                <w:noProof/>
                <w:webHidden/>
                <w:sz w:val="22"/>
              </w:rPr>
              <w:tab/>
            </w:r>
            <w:r w:rsidRPr="00234F08">
              <w:rPr>
                <w:rFonts w:ascii="Arial" w:hAnsi="Arial" w:cs="Arial"/>
                <w:noProof/>
                <w:webHidden/>
                <w:sz w:val="22"/>
              </w:rPr>
              <w:fldChar w:fldCharType="begin"/>
            </w:r>
            <w:r w:rsidRPr="00234F08">
              <w:rPr>
                <w:rFonts w:ascii="Arial" w:hAnsi="Arial" w:cs="Arial"/>
                <w:noProof/>
                <w:webHidden/>
                <w:sz w:val="22"/>
              </w:rPr>
              <w:instrText xml:space="preserve"> PAGEREF _Toc224229158 \h </w:instrText>
            </w:r>
            <w:r w:rsidRPr="00234F08">
              <w:rPr>
                <w:rFonts w:ascii="Arial" w:hAnsi="Arial" w:cs="Arial"/>
                <w:noProof/>
                <w:webHidden/>
                <w:sz w:val="22"/>
              </w:rPr>
            </w:r>
            <w:r w:rsidRPr="00234F08">
              <w:rPr>
                <w:rFonts w:ascii="Arial" w:hAnsi="Arial" w:cs="Arial"/>
                <w:noProof/>
                <w:webHidden/>
                <w:sz w:val="22"/>
              </w:rPr>
              <w:fldChar w:fldCharType="separate"/>
            </w:r>
            <w:r w:rsidRPr="00234F08">
              <w:rPr>
                <w:rFonts w:ascii="Arial" w:hAnsi="Arial" w:cs="Arial"/>
                <w:noProof/>
                <w:webHidden/>
                <w:sz w:val="22"/>
              </w:rPr>
              <w:t>6</w:t>
            </w:r>
            <w:r w:rsidRPr="00234F08">
              <w:rPr>
                <w:rFonts w:ascii="Arial" w:hAnsi="Arial" w:cs="Arial"/>
                <w:noProof/>
                <w:webHidden/>
                <w:sz w:val="22"/>
              </w:rPr>
              <w:fldChar w:fldCharType="end"/>
            </w:r>
          </w:hyperlink>
        </w:p>
        <w:p w14:paraId="16796540" w14:textId="2B966133" w:rsidR="00234F08" w:rsidRPr="00234F08" w:rsidRDefault="00234F08">
          <w:pPr>
            <w:rPr>
              <w:rFonts w:ascii="Arial" w:hAnsi="Arial" w:cs="Arial"/>
              <w:sz w:val="22"/>
            </w:rPr>
          </w:pPr>
          <w:r w:rsidRPr="00234F08">
            <w:rPr>
              <w:rFonts w:ascii="Arial" w:hAnsi="Arial" w:cs="Arial"/>
              <w:b/>
              <w:bCs/>
              <w:noProof/>
              <w:sz w:val="22"/>
            </w:rPr>
            <w:fldChar w:fldCharType="end"/>
          </w:r>
        </w:p>
      </w:sdtContent>
    </w:sdt>
    <w:p w14:paraId="61A6E3B7" w14:textId="0D555F13" w:rsidR="00F63157" w:rsidRPr="00234F08" w:rsidRDefault="00234F08" w:rsidP="00234F08">
      <w:pPr>
        <w:spacing w:line="259" w:lineRule="auto"/>
        <w:jc w:val="left"/>
        <w:rPr>
          <w:rFonts w:ascii="Arial" w:hAnsi="Arial" w:cs="Arial"/>
          <w:b/>
          <w:bCs/>
          <w:sz w:val="22"/>
        </w:rPr>
      </w:pPr>
      <w:r w:rsidRPr="00234F08">
        <w:rPr>
          <w:rFonts w:ascii="Arial" w:hAnsi="Arial" w:cs="Arial"/>
          <w:b/>
          <w:bCs/>
          <w:sz w:val="22"/>
        </w:rPr>
        <w:br w:type="page"/>
      </w:r>
    </w:p>
    <w:p w14:paraId="0CC8A18E" w14:textId="49BDDA25" w:rsidR="0058519F" w:rsidRPr="00234F08" w:rsidRDefault="00234F08" w:rsidP="0058519F">
      <w:pPr>
        <w:pStyle w:val="Heading1"/>
        <w:rPr>
          <w:rFonts w:ascii="Arial" w:hAnsi="Arial" w:cs="Arial"/>
          <w:sz w:val="22"/>
          <w:szCs w:val="22"/>
        </w:rPr>
      </w:pPr>
      <w:bookmarkStart w:id="0" w:name="_Toc224229152"/>
      <w:r w:rsidRPr="00234F08">
        <w:rPr>
          <w:rFonts w:ascii="Arial" w:hAnsi="Arial" w:cs="Arial"/>
          <w:sz w:val="22"/>
          <w:szCs w:val="22"/>
        </w:rPr>
        <w:lastRenderedPageBreak/>
        <w:t>INTRODUCTION</w:t>
      </w:r>
      <w:bookmarkEnd w:id="0"/>
      <w:r w:rsidR="0058519F" w:rsidRPr="00234F08">
        <w:rPr>
          <w:rFonts w:ascii="Arial" w:hAnsi="Arial" w:cs="Arial"/>
          <w:sz w:val="22"/>
          <w:szCs w:val="22"/>
        </w:rPr>
        <w:t xml:space="preserve"> </w:t>
      </w:r>
    </w:p>
    <w:p w14:paraId="07EA7F8F" w14:textId="66FB1A56" w:rsidR="0058519F" w:rsidRPr="00234F08" w:rsidRDefault="003137DC" w:rsidP="0058519F">
      <w:pPr>
        <w:rPr>
          <w:rFonts w:ascii="Arial" w:hAnsi="Arial" w:cs="Arial"/>
          <w:sz w:val="22"/>
        </w:rPr>
      </w:pPr>
      <w:proofErr w:type="spellStart"/>
      <w:r w:rsidRPr="00234F08">
        <w:rPr>
          <w:rFonts w:ascii="Arial" w:hAnsi="Arial" w:cs="Arial"/>
          <w:sz w:val="22"/>
        </w:rPr>
        <w:t>Digitalisation</w:t>
      </w:r>
      <w:proofErr w:type="spellEnd"/>
      <w:r w:rsidRPr="00234F08">
        <w:rPr>
          <w:rFonts w:ascii="Arial" w:hAnsi="Arial" w:cs="Arial"/>
          <w:sz w:val="22"/>
        </w:rPr>
        <w:t xml:space="preserve"> of health and social care in the United Kingdom has produced significant efficiency benefits, but has also simultaneously created a structural issue that has not been adequately dealt with, namely the systematic </w:t>
      </w:r>
      <w:proofErr w:type="spellStart"/>
      <w:r w:rsidRPr="00234F08">
        <w:rPr>
          <w:rFonts w:ascii="Arial" w:hAnsi="Arial" w:cs="Arial"/>
          <w:sz w:val="22"/>
        </w:rPr>
        <w:t>marginalisation</w:t>
      </w:r>
      <w:proofErr w:type="spellEnd"/>
      <w:r w:rsidRPr="00234F08">
        <w:rPr>
          <w:rFonts w:ascii="Arial" w:hAnsi="Arial" w:cs="Arial"/>
          <w:sz w:val="22"/>
        </w:rPr>
        <w:t xml:space="preserve"> of older adults by the services that they rely on as a core part of their lives. Digital exclusion is the inability to use or </w:t>
      </w:r>
      <w:proofErr w:type="spellStart"/>
      <w:r w:rsidRPr="00234F08">
        <w:rPr>
          <w:rFonts w:ascii="Arial" w:hAnsi="Arial" w:cs="Arial"/>
          <w:sz w:val="22"/>
        </w:rPr>
        <w:t>utilise</w:t>
      </w:r>
      <w:proofErr w:type="spellEnd"/>
      <w:r w:rsidRPr="00234F08">
        <w:rPr>
          <w:rFonts w:ascii="Arial" w:hAnsi="Arial" w:cs="Arial"/>
          <w:sz w:val="22"/>
        </w:rPr>
        <w:t xml:space="preserve"> digital technologies, due to a combination of linked barriers of motivation, affordability, accessibility, and ability </w:t>
      </w:r>
      <w:r w:rsidR="00B045F8" w:rsidRPr="00234F08">
        <w:rPr>
          <w:rFonts w:ascii="Arial" w:hAnsi="Arial" w:cs="Arial"/>
          <w:sz w:val="22"/>
        </w:rPr>
        <w:t>c</w:t>
      </w:r>
      <w:r w:rsidRPr="00234F08">
        <w:rPr>
          <w:rFonts w:ascii="Arial" w:hAnsi="Arial" w:cs="Arial"/>
          <w:sz w:val="22"/>
        </w:rPr>
        <w:t xml:space="preserve">. As the NHS Long Term Plan has made digital-first care delivery a central part of care delivery in England, this exclusion has become a major cause of health inequity </w:t>
      </w:r>
      <w:r w:rsidR="00EA66A6" w:rsidRPr="00234F08">
        <w:rPr>
          <w:rFonts w:ascii="Arial" w:hAnsi="Arial" w:cs="Arial"/>
          <w:sz w:val="22"/>
        </w:rPr>
        <w:fldChar w:fldCharType="begin" w:fldLock="1"/>
      </w:r>
      <w:r w:rsidR="00B045F8" w:rsidRPr="00234F08">
        <w:rPr>
          <w:rFonts w:ascii="Arial" w:hAnsi="Arial" w:cs="Arial"/>
          <w:sz w:val="22"/>
        </w:rPr>
        <w:instrText>ADDIN CSL_CITATION {"citationItems":[{"id":"ITEM-1","itemData":{"author":[{"dropping-particle":"","family":"NHS","given":"","non-dropping-particle":"","parse-names":false,"suffix":""}],"id":"ITEM-1","issue":"July","issued":{"date-parts":[["2025"]]},"number-of-pages":"1-167","title":"10 Year Health Plan for England: Fit For the Future","type":"report"},"uris":["http://www.mendeley.com/documents/?uuid=4af2bd18-1078-4f4a-924a-4764ae414b08"]},{"id":"ITEM-2","itemData":{"DOI":"10.2196/80000","ISSN":"2561-7605","abstract":"Background: Older adults with chronic diseases are key beneficiaries of digital health technologies, yet adoption remains inconsistent, particularly in rural areas and among certain demographic groups, such as older women. Objective: This systematic review aimed to identify barriers to and facilitators of digital health adoption among older adults with chronic diseases, with particular attention to rural-urban differences, co-design, and equity-relevant factors. Methods: This updated review built on a previously published review by extending the search to include PsycArticles, Scopus, Web of Science, and PubMed databases for studies published between April 2022 and September 2024. Gray literature from August 2021 onward was also included. Studies were eligible if they reported barriers to or facilitators of digital health adoption among adults aged ≥60 years with chronic diseases. Findings were mapped to the capability, opportunity, and motivation–behavior model and analyzed using the PROGRESS-Plus (place of residence; race, ethnicity, culture, and language; occupation; gender and sex; religion; education; socioeconomic status; and social capital–plus) equity framework. Quality was assessed using the Mixed Methods Appraisal Tool, and all results are reported in line with the PRISMA (Preferred Reporting Items for Systematic Reviews and Meta-Analyses) guidelines. Results: In total, 12 studies from the original review were retained, with 17 new peer-reviewed studies added, yielding a total of 29 studies in addition to 30 documents identified in the gray literature search. Barriers included limited digital literacy and physical and cognitive challenges (capability); infrastructural deficits and usability challenges (opportunity); and privacy concerns, mistrust, and high satisfaction with existing care (motivation). Facilitators included tailored training and accessible design (capability), health care provider endorsement and hybrid care models (opportunity), and recognition of digital health benefits (motivation). Health care providers emerged as both facilitators and barriers, positively influencing adoption when engaged and trained but hindering it when lacking confidence or involvement. Comparative analysis of rural and urban contexts was limited by inconsistent reporting of equity-relevant variables. However, gray literature suggested that rural users face additional infrastructural challenges but express higher satisfaction with local care, potentiall…","author":[{"dropping-particle":"","family":"Hepburn","given":"Jennifer","non-dropping-particle":"","parse-names":false,"suffix":""},{"dropping-particle":"","family":"Williams","given":"Lynn","non-dropping-particle":"","parse-names":false,"suffix":""},{"dropping-particle":"","family":"McCann","given":"Lisa","non-dropping-particle":"","parse-names":false,"suffix":""}],"container-title":"JMIR Aging","id":"ITEM-2","issued":{"date-parts":[["2025"]]},"page":"e80000","title":"Barriers to and Facilitators of Digital Health Technology Adoption Among Older Adults With Chronic Diseases: Updated Systematic Review","type":"article-journal","volume":"8"},"uris":["http://www.mendeley.com/documents/?uuid=90f1c9b0-2f84-4d1f-b2b3-b98a999d318b"]}],"mendeley":{"formattedCitation":"(Hepburn, Williams and McCann, 2025; NHS, 2025)","plainTextFormattedCitation":"(Hepburn, Williams and McCann, 2025; NHS, 2025)","previouslyFormattedCitation":"(Hepburn, Williams and McCann, 2025; NHS, 2025)"},"properties":{"noteIndex":0},"schema":"https://github.com/citation-style-language/schema/raw/master/csl-citation.json"}</w:instrText>
      </w:r>
      <w:r w:rsidR="00EA66A6" w:rsidRPr="00234F08">
        <w:rPr>
          <w:rFonts w:ascii="Arial" w:hAnsi="Arial" w:cs="Arial"/>
          <w:sz w:val="22"/>
        </w:rPr>
        <w:fldChar w:fldCharType="separate"/>
      </w:r>
      <w:r w:rsidR="00EA66A6" w:rsidRPr="00234F08">
        <w:rPr>
          <w:rFonts w:ascii="Arial" w:hAnsi="Arial" w:cs="Arial"/>
          <w:noProof/>
          <w:sz w:val="22"/>
        </w:rPr>
        <w:t>(Hepburn, Williams and McCann, 2025; NHS, 2025)</w:t>
      </w:r>
      <w:r w:rsidR="00EA66A6" w:rsidRPr="00234F08">
        <w:rPr>
          <w:rFonts w:ascii="Arial" w:hAnsi="Arial" w:cs="Arial"/>
          <w:sz w:val="22"/>
        </w:rPr>
        <w:fldChar w:fldCharType="end"/>
      </w:r>
      <w:r w:rsidRPr="00234F08">
        <w:rPr>
          <w:rFonts w:ascii="Arial" w:hAnsi="Arial" w:cs="Arial"/>
          <w:sz w:val="22"/>
        </w:rPr>
        <w:t>. This report reviews the pertinent literature, suggests a research methodology, and determines an appropriate data collection approach</w:t>
      </w:r>
      <w:r w:rsidR="0058519F" w:rsidRPr="00234F08">
        <w:rPr>
          <w:rFonts w:ascii="Arial" w:hAnsi="Arial" w:cs="Arial"/>
          <w:sz w:val="22"/>
        </w:rPr>
        <w:t>.</w:t>
      </w:r>
    </w:p>
    <w:p w14:paraId="2A8D6831" w14:textId="1082B420" w:rsidR="0058519F" w:rsidRPr="00234F08" w:rsidRDefault="00234F08" w:rsidP="0058519F">
      <w:pPr>
        <w:pStyle w:val="Heading1"/>
        <w:rPr>
          <w:rFonts w:ascii="Arial" w:hAnsi="Arial" w:cs="Arial"/>
          <w:sz w:val="22"/>
          <w:szCs w:val="22"/>
        </w:rPr>
      </w:pPr>
      <w:bookmarkStart w:id="1" w:name="_Toc224229153"/>
      <w:r w:rsidRPr="00234F08">
        <w:rPr>
          <w:rFonts w:ascii="Arial" w:hAnsi="Arial" w:cs="Arial"/>
          <w:sz w:val="22"/>
          <w:szCs w:val="22"/>
        </w:rPr>
        <w:t>TASK 1: SELECTION OF A RESEARCH TOPIC</w:t>
      </w:r>
      <w:bookmarkEnd w:id="1"/>
      <w:r w:rsidRPr="00234F08">
        <w:rPr>
          <w:rFonts w:ascii="Arial" w:hAnsi="Arial" w:cs="Arial"/>
          <w:sz w:val="22"/>
          <w:szCs w:val="22"/>
        </w:rPr>
        <w:t xml:space="preserve"> </w:t>
      </w:r>
    </w:p>
    <w:p w14:paraId="776264FB" w14:textId="253D491C" w:rsidR="003137DC" w:rsidRPr="00234F08" w:rsidRDefault="003137DC" w:rsidP="003137DC">
      <w:pPr>
        <w:rPr>
          <w:rFonts w:ascii="Arial" w:hAnsi="Arial" w:cs="Arial"/>
          <w:sz w:val="22"/>
        </w:rPr>
      </w:pPr>
      <w:r w:rsidRPr="00234F08">
        <w:rPr>
          <w:rFonts w:ascii="Arial" w:hAnsi="Arial" w:cs="Arial"/>
          <w:sz w:val="22"/>
        </w:rPr>
        <w:t xml:space="preserve">Digital exclusion in health and social care is a </w:t>
      </w:r>
      <w:proofErr w:type="spellStart"/>
      <w:r w:rsidRPr="00234F08">
        <w:rPr>
          <w:rFonts w:ascii="Arial" w:hAnsi="Arial" w:cs="Arial"/>
          <w:sz w:val="22"/>
        </w:rPr>
        <w:t>conceptualised</w:t>
      </w:r>
      <w:proofErr w:type="spellEnd"/>
      <w:r w:rsidRPr="00234F08">
        <w:rPr>
          <w:rFonts w:ascii="Arial" w:hAnsi="Arial" w:cs="Arial"/>
          <w:sz w:val="22"/>
        </w:rPr>
        <w:t xml:space="preserve"> phenomenon where people cannot take advantage of the opportunities that digital technologies potentially have to offer due to cumulative deficits in motivation, accessibility, ability, and affordability </w:t>
      </w:r>
      <w:r w:rsidR="00B045F8" w:rsidRPr="00234F08">
        <w:rPr>
          <w:rFonts w:ascii="Arial" w:hAnsi="Arial" w:cs="Arial"/>
          <w:sz w:val="22"/>
        </w:rPr>
        <w:fldChar w:fldCharType="begin" w:fldLock="1"/>
      </w:r>
      <w:r w:rsidR="00B045F8" w:rsidRPr="00234F08">
        <w:rPr>
          <w:rFonts w:ascii="Arial" w:hAnsi="Arial" w:cs="Arial"/>
          <w:sz w:val="22"/>
        </w:rPr>
        <w:instrText>ADDIN CSL_CITATION {"citationItems":[{"id":"ITEM-1","itemData":{"DOI":"10.2196/70377","ISSN":"2561-7605 (Electronic)","PMID":"41468583","abstract":"BACKGROUND: Older adults make up the largest proportion of nonusers of the  internet. With the increasing digitalization of services, it is important to identify what interventions are effective at reducing digital exclusion in older adults. OBJECTIVE: We aimed to identify what evidence exists on the effectiveness of interventions to address digital exclusion in older adults. METHODS: This rapid review assessed the effectiveness of interventions to address digital exclusion in older adults aged 60 years or older. Searches were conducted in November 2023 across a range of databases and used supplementary search methods. Searches were limited to comparative studies published from 2018 onward in English. Data were analyzed using a narrative synthesis approach. RESULTS: A total of 21 studies were included that aimed to increase a range of digital literacy skills. Sample sizes ranged from 5 to 381. Intervention approaches varied considerably and were often multicomponent and undertaken in a variety of settings. There is evidence to suggest that a range of interventions can reduce physical, personal, and perceptual barriers and improve older adults' skills, knowledge, digital literacy, and perceived self-efficacy, reduce technophobia, and increase use of technology. Importantly, findings indicated improvements among a range of subpopulations, including those living in rural areas, at risk of social isolation, who are homebound, of lower socioeconomic groups, and individuals with visual impairment. To achieve improved and sustained digital inclusion in older adults, evidence suggests it may be important to ensure structural barriers, such as access to the internet and affordability of devices, are removed. However, all studies contained methodological limitations and may not be adequately powered to determine effectiveness. CONCLUSIONS: The evidence shows the potential benefits of interventions aimed at improving a range of digital skills and increasing technology use in older adults, which could help to address digital exclusion. The findings of this rapid review can inform the development and delivery of future interventions. However, it is important to consider the context in which the included interventions were used and the lack of certainty of the findings. This review also identified a lack of high-quality evidence, as all studies identified contained methodological limitations and may not have been adequately powered to determine effectiveness. In addi…","author":[{"dropping-particle":"","family":"Wale","given":"Alesha","non-dropping-particle":"","parse-names":false,"suffix":""},{"dropping-particle":"","family":"Everitt","given":"Jordan","non-dropping-particle":"","parse-names":false,"suffix":""},{"dropping-particle":"","family":"Ayres","given":"Toby","non-dropping-particle":"","parse-names":false,"suffix":""},{"dropping-particle":"","family":"Okolie","given":"Chukwudi","non-dropping-particle":"","parse-names":false,"suffix":""},{"dropping-particle":"","family":"Morgan","given":"Helen E","non-dropping-particle":"","parse-names":false,"suffix":""},{"dropping-particle":"","family":"Shaw","given":"Hannah","non-dropping-particle":"","parse-names":false,"suffix":""},{"dropping-particle":"","family":"Cooper","given":"Alison","non-dropping-particle":"","parse-names":false,"suffix":""},{"dropping-particle":"","family":"Edwards","given":"Adrian","non-dropping-particle":"","parse-names":false,"suffix":""},{"dropping-particle":"","family":"Lewis","given":"Ruth","non-dropping-particle":"","parse-names":false,"suffix":""}],"container-title":"JMIR aging","id":"ITEM-1","issued":{"date-parts":[["2025","12"]]},"language":"eng","page":"e70377","publisher-place":"Canada","title":"Effectiveness of Interventions for Addressing Digital Exclusion in Older Adults  in the Social Care Domain: Rapid Review.","type":"article-journal","volume":"8"},"uris":["http://www.mendeley.com/documents/?uuid=8943d745-2a3d-47f7-b4a3-9844424765b8"]}],"mendeley":{"formattedCitation":"(Wale &lt;i&gt;et al.&lt;/i&gt;, 2025)","plainTextFormattedCitation":"(Wale et al., 2025)","previouslyFormattedCitation":"(Wale &lt;i&gt;et al.&lt;/i&gt;, 2025)"},"properties":{"noteIndex":0},"schema":"https://github.com/citation-style-language/schema/raw/master/csl-citation.json"}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 xml:space="preserve">(Wale </w:t>
      </w:r>
      <w:r w:rsidR="00B045F8" w:rsidRPr="00234F08">
        <w:rPr>
          <w:rFonts w:ascii="Arial" w:hAnsi="Arial" w:cs="Arial"/>
          <w:i/>
          <w:noProof/>
          <w:sz w:val="22"/>
        </w:rPr>
        <w:t>et al.</w:t>
      </w:r>
      <w:r w:rsidR="00B045F8" w:rsidRPr="00234F08">
        <w:rPr>
          <w:rFonts w:ascii="Arial" w:hAnsi="Arial" w:cs="Arial"/>
          <w:noProof/>
          <w:sz w:val="22"/>
        </w:rPr>
        <w:t>, 2025)</w:t>
      </w:r>
      <w:r w:rsidR="00B045F8" w:rsidRPr="00234F08">
        <w:rPr>
          <w:rFonts w:ascii="Arial" w:hAnsi="Arial" w:cs="Arial"/>
          <w:sz w:val="22"/>
        </w:rPr>
        <w:fldChar w:fldCharType="end"/>
      </w:r>
      <w:r w:rsidRPr="00234F08">
        <w:rPr>
          <w:rFonts w:ascii="Arial" w:hAnsi="Arial" w:cs="Arial"/>
          <w:sz w:val="22"/>
        </w:rPr>
        <w:t xml:space="preserve">. Older adults are the age group most affected and disproportionately in the United Kingdom. </w:t>
      </w:r>
      <w:r w:rsidR="00B045F8" w:rsidRPr="00234F08">
        <w:rPr>
          <w:rFonts w:ascii="Arial" w:hAnsi="Arial" w:cs="Arial"/>
          <w:sz w:val="22"/>
        </w:rPr>
        <w:fldChar w:fldCharType="begin" w:fldLock="1"/>
      </w:r>
      <w:r w:rsidR="00B045F8" w:rsidRPr="00234F08">
        <w:rPr>
          <w:rFonts w:ascii="Arial" w:hAnsi="Arial" w:cs="Arial"/>
          <w:sz w:val="22"/>
        </w:rPr>
        <w:instrText>ADDIN CSL_CITATION {"citationItems":[{"id":"ITEM-1","itemData":{"author":[{"dropping-particle":"","family":"AgeUK","given":"","non-dropping-particle":"","parse-names":false,"suffix":""}],"id":"ITEM-1","issue":"March","issued":{"date-parts":[["2024"]]},"title":"Offline and Overlooked: Digital exclusion and its impact on older people","type":"report"},"uris":["http://www.mendeley.com/documents/?uuid=555490ba-029d-49c6-b4fa-9928628550e6"]}],"mendeley":{"formattedCitation":"(AgeUK, 2024)","manualFormatting":"Age UK (2024)","plainTextFormattedCitation":"(AgeUK, 2024)","previouslyFormattedCitation":"(AgeUK, 2024)"},"properties":{"noteIndex":0},"schema":"https://github.com/citation-style-language/schema/raw/master/csl-citation.json"}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Age UK (2024)</w:t>
      </w:r>
      <w:r w:rsidR="00B045F8" w:rsidRPr="00234F08">
        <w:rPr>
          <w:rFonts w:ascii="Arial" w:hAnsi="Arial" w:cs="Arial"/>
          <w:sz w:val="22"/>
        </w:rPr>
        <w:fldChar w:fldCharType="end"/>
      </w:r>
      <w:r w:rsidRPr="00234F08">
        <w:rPr>
          <w:rFonts w:ascii="Arial" w:hAnsi="Arial" w:cs="Arial"/>
          <w:sz w:val="22"/>
        </w:rPr>
        <w:t xml:space="preserve"> estimates that approximately six million aged 65 years and over are either unable to use the internet safely and successfully or have never been online at all the figure that has far-reaching consequences on the provision of health and social care as the growing emphasis on digital channels as the point of access to GP appointments, prescription management, and personal care records.</w:t>
      </w:r>
    </w:p>
    <w:p w14:paraId="79B94D8A" w14:textId="2F6FCEB2" w:rsidR="003137DC" w:rsidRPr="00234F08" w:rsidRDefault="003137DC" w:rsidP="003137DC">
      <w:pPr>
        <w:rPr>
          <w:rFonts w:ascii="Arial" w:hAnsi="Arial" w:cs="Arial"/>
          <w:sz w:val="22"/>
        </w:rPr>
      </w:pPr>
      <w:r w:rsidRPr="00234F08">
        <w:rPr>
          <w:rFonts w:ascii="Arial" w:hAnsi="Arial" w:cs="Arial"/>
          <w:sz w:val="22"/>
        </w:rPr>
        <w:t xml:space="preserve">This issue is particularly acute when considered in the context of policy. The NHS has a statutory obligation to </w:t>
      </w:r>
      <w:proofErr w:type="spellStart"/>
      <w:r w:rsidRPr="00234F08">
        <w:rPr>
          <w:rFonts w:ascii="Arial" w:hAnsi="Arial" w:cs="Arial"/>
          <w:sz w:val="22"/>
        </w:rPr>
        <w:t>minimise</w:t>
      </w:r>
      <w:proofErr w:type="spellEnd"/>
      <w:r w:rsidRPr="00234F08">
        <w:rPr>
          <w:rFonts w:ascii="Arial" w:hAnsi="Arial" w:cs="Arial"/>
          <w:sz w:val="22"/>
        </w:rPr>
        <w:t xml:space="preserve"> disparities in health service provision, which is enshrined in the Health and Care Act of 2022 </w:t>
      </w:r>
      <w:r w:rsidR="00B045F8" w:rsidRPr="00234F08">
        <w:rPr>
          <w:rFonts w:ascii="Arial" w:hAnsi="Arial" w:cs="Arial"/>
          <w:sz w:val="22"/>
        </w:rPr>
        <w:fldChar w:fldCharType="begin" w:fldLock="1"/>
      </w:r>
      <w:r w:rsidR="00B045F8" w:rsidRPr="00234F08">
        <w:rPr>
          <w:rFonts w:ascii="Arial" w:hAnsi="Arial" w:cs="Arial"/>
          <w:sz w:val="22"/>
        </w:rPr>
        <w:instrText>ADDIN CSL_CITATION {"citationItems":[{"id":"ITEM-1","itemData":{"DOI":"10.1192/bjb.2018.71","author":[{"dropping-particle":"","family":"Johnson","given":"Katherine","non-dropping-particle":"","parse-names":false,"suffix":""},{"dropping-particle":"","family":"Boland","given":"Billy","non-dropping-particle":"","parse-names":false,"suffix":""}],"container-title":"BJPsych Bulletin","id":"ITEM-1","issue":"1","issued":{"date-parts":[["2019"]]},"page":"38-42","title":"Adult Safeguarding under the Care Act 2014","type":"article-journal","volume":"43"},"uris":["http://www.mendeley.com/documents/?uuid=0d4a3bb0-6f85-4473-b41f-3c4387b9d636"]}],"mendeley":{"formattedCitation":"(Johnson and Boland, 2019)","plainTextFormattedCitation":"(Johnson and Boland, 2019)","previouslyFormattedCitation":"(Johnson and Boland, 2019)"},"properties":{"noteIndex":0},"schema":"https://github.com/citation-style-language/schema/raw/master/csl-citation.json"}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(Johnson and Boland, 2019)</w:t>
      </w:r>
      <w:r w:rsidR="00B045F8" w:rsidRPr="00234F08">
        <w:rPr>
          <w:rFonts w:ascii="Arial" w:hAnsi="Arial" w:cs="Arial"/>
          <w:sz w:val="22"/>
        </w:rPr>
        <w:fldChar w:fldCharType="end"/>
      </w:r>
      <w:r w:rsidRPr="00234F08">
        <w:rPr>
          <w:rFonts w:ascii="Arial" w:hAnsi="Arial" w:cs="Arial"/>
          <w:sz w:val="22"/>
        </w:rPr>
        <w:t xml:space="preserve">; and at the same time, its digital-first transformation strategy systematically presupposes online aptitude as a norm. This structural contradiction puts older non-digital populations in compounding disadvantage not due to intentional marginalization but due to institutional ignorance of the circumstances that make it possible to be digital. Digital exclusion is a complicated social phenomenon despite the growing </w:t>
      </w:r>
      <w:proofErr w:type="spellStart"/>
      <w:r w:rsidRPr="00234F08">
        <w:rPr>
          <w:rFonts w:ascii="Arial" w:hAnsi="Arial" w:cs="Arial"/>
          <w:sz w:val="22"/>
        </w:rPr>
        <w:t>digitalisation</w:t>
      </w:r>
      <w:proofErr w:type="spellEnd"/>
      <w:r w:rsidRPr="00234F08">
        <w:rPr>
          <w:rFonts w:ascii="Arial" w:hAnsi="Arial" w:cs="Arial"/>
          <w:sz w:val="22"/>
        </w:rPr>
        <w:t xml:space="preserve"> of the world </w:t>
      </w:r>
      <w:r w:rsidR="00B045F8" w:rsidRPr="00234F08">
        <w:rPr>
          <w:rFonts w:ascii="Arial" w:hAnsi="Arial" w:cs="Arial"/>
          <w:sz w:val="22"/>
        </w:rPr>
        <w:fldChar w:fldCharType="begin" w:fldLock="1"/>
      </w:r>
      <w:r w:rsidR="00B045F8" w:rsidRPr="00234F08">
        <w:rPr>
          <w:rFonts w:ascii="Arial" w:hAnsi="Arial" w:cs="Arial"/>
          <w:sz w:val="22"/>
        </w:rPr>
        <w:instrText>ADDIN CSL_CITATION {"citationItems":[{"id":"ITEM-1","itemData":{"DOI":"https://doi.org/10.1016/j.ijnurstu.2025.105082","ISSN":"0020-7489","abstract":"Background The intersection of aging and digitalization is a distinctive feature of this new era. While digitalization brings convenience, it also forces older people to use tools that did not exist during their formative or working years. Understanding digital exclusion in older adults, the primary demographic affected, is essential to better support integration into the digital society, particularly in enhancing digital healthcare services' usability, continuity, and precision. Objective This study aims to conduct a scoping review of digital exclusion to better understand its current state in older adults. Methods The scoping review followed a five-stage framework and the PRISMA-ScR checklist statement. We systematically searched PubMed, CINAHL Plus with Full Text, Academic Search Complete, ACM digital library, Web of Science, and ProQuest from the earliest available date to May 2024. Results A total of 39 articles were included in the scoping review. The attributes of digital exclusion were identified as resource exclusion, skills exclusion, and motivational exclusion. Contributing factors were categorized into three domains: sociodemographic characteristics, physiological conditions, and psychological states. The consequences of digital exclusion were separated into social exclusion and technology anxiety. Intervention strategies included accessibility, ability, and willingness, aligning with the attributes of digital exclusion in older adults. Conclusions The findings of this scoping review contribute to understanding and clarifying digital exclusion in older adults. Digital exclusion is a prevalent, complex, multi-causal, and multidimensional phenomenon that predisposes individuals to social exclusion. Identifying attributes, contributing factors, and consequences can guide digital product developers, sociologists, and geriatric clinicians in addressing digital exclusion in older adults to improve their mental and physical well-being. Future research should focus more on empirical studies to deepen our understanding of digital exclusion in older adults. Tweetable abstract: The definition of digital exclusion is inconsistent. Further clarification of contributing factors, developing measurement tools, and formulating interventions for digital exclusion in older adults can contribute to achieving consensus on the concept.","author":[{"dropping-particle":"","family":"Ge","given":"Hui","non-dropping-particle":"","parse-names":false,"suffix":""},{"dropping-particle":"","family":"Li","given":"Jiashuai","non-dropping-particle":"","parse-names":false,"suffix":""},{"dropping-particle":"","family":"Hu","given":"Huiling","non-dropping-particle":"","parse-names":false,"suffix":""},{"dropping-particle":"","family":"Feng","given":"Tingting","non-dropping-particle":"","parse-names":false,"suffix":""},{"dropping-particle":"","family":"Wu","given":"Xue","non-dropping-particle":"","parse-names":false,"suffix":""}],"container-title":"International Journal of Nursing Studies","id":"ITEM-1","issued":{"date-parts":[["2025"]]},"page":"105082","title":"Digital exclusion in older adults: A scoping review","type":"article-journal","volume":"168"},"uris":["http://www.mendeley.com/documents/?uuid=c4126baf-4154-4b08-8637-ec7f556cdefe"]}],"mendeley":{"formattedCitation":"(Ge &lt;i&gt;et al.&lt;/i&gt;, 2025)","plainTextFormattedCitation":"(Ge et al., 2025)","previouslyFormattedCitation":"(Ge &lt;i&gt;et al.&lt;/i&gt;, 2025)"},"properties":{"noteIndex":0},"schema":"https://github.com/citation-style-language/schema/raw/master/csl-citation.json"}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 xml:space="preserve">(Ge </w:t>
      </w:r>
      <w:r w:rsidR="00B045F8" w:rsidRPr="00234F08">
        <w:rPr>
          <w:rFonts w:ascii="Arial" w:hAnsi="Arial" w:cs="Arial"/>
          <w:i/>
          <w:noProof/>
          <w:sz w:val="22"/>
        </w:rPr>
        <w:t>et al.</w:t>
      </w:r>
      <w:r w:rsidR="00B045F8" w:rsidRPr="00234F08">
        <w:rPr>
          <w:rFonts w:ascii="Arial" w:hAnsi="Arial" w:cs="Arial"/>
          <w:noProof/>
          <w:sz w:val="22"/>
        </w:rPr>
        <w:t>, 2025)</w:t>
      </w:r>
      <w:r w:rsidR="00B045F8" w:rsidRPr="00234F08">
        <w:rPr>
          <w:rFonts w:ascii="Arial" w:hAnsi="Arial" w:cs="Arial"/>
          <w:sz w:val="22"/>
        </w:rPr>
        <w:fldChar w:fldCharType="end"/>
      </w:r>
      <w:r w:rsidRPr="00234F08">
        <w:rPr>
          <w:rFonts w:ascii="Arial" w:hAnsi="Arial" w:cs="Arial"/>
          <w:sz w:val="22"/>
        </w:rPr>
        <w:t>, and the increasing tension between efficiency-focused policy requirements and the reality of working with a disproportionately offline population.</w:t>
      </w:r>
    </w:p>
    <w:p w14:paraId="27B0D141" w14:textId="48528DA5" w:rsidR="0058519F" w:rsidRPr="00234F08" w:rsidRDefault="003137DC" w:rsidP="003137DC">
      <w:pPr>
        <w:rPr>
          <w:rFonts w:ascii="Arial" w:hAnsi="Arial" w:cs="Arial"/>
          <w:b/>
          <w:bCs/>
          <w:sz w:val="22"/>
        </w:rPr>
      </w:pPr>
      <w:r w:rsidRPr="00234F08">
        <w:rPr>
          <w:rFonts w:ascii="Arial" w:hAnsi="Arial" w:cs="Arial"/>
          <w:sz w:val="22"/>
        </w:rPr>
        <w:t xml:space="preserve">The topic was chosen due to a high level of academic interest in the changing nature of digital technology in terms of equity in public services- a subject of direct interest in future professional </w:t>
      </w:r>
      <w:proofErr w:type="spellStart"/>
      <w:r w:rsidRPr="00234F08">
        <w:rPr>
          <w:rFonts w:ascii="Arial" w:hAnsi="Arial" w:cs="Arial"/>
          <w:sz w:val="22"/>
        </w:rPr>
        <w:t>practise</w:t>
      </w:r>
      <w:proofErr w:type="spellEnd"/>
      <w:r w:rsidRPr="00234F08">
        <w:rPr>
          <w:rFonts w:ascii="Arial" w:hAnsi="Arial" w:cs="Arial"/>
          <w:sz w:val="22"/>
        </w:rPr>
        <w:t xml:space="preserve"> in health and social care policy, commissioning or service design. Knowing digital exclusion provides an essential understanding of how systems unintentionally reproduce </w:t>
      </w:r>
      <w:r w:rsidRPr="00234F08">
        <w:rPr>
          <w:rFonts w:ascii="Arial" w:hAnsi="Arial" w:cs="Arial"/>
          <w:sz w:val="22"/>
        </w:rPr>
        <w:lastRenderedPageBreak/>
        <w:t xml:space="preserve">inequality, and how practitioners can use this knowledge to argue in </w:t>
      </w:r>
      <w:proofErr w:type="spellStart"/>
      <w:r w:rsidRPr="00234F08">
        <w:rPr>
          <w:rFonts w:ascii="Arial" w:hAnsi="Arial" w:cs="Arial"/>
          <w:sz w:val="22"/>
        </w:rPr>
        <w:t>favour</w:t>
      </w:r>
      <w:proofErr w:type="spellEnd"/>
      <w:r w:rsidRPr="00234F08">
        <w:rPr>
          <w:rFonts w:ascii="Arial" w:hAnsi="Arial" w:cs="Arial"/>
          <w:sz w:val="22"/>
        </w:rPr>
        <w:t xml:space="preserve"> of more inclusive systems of service delivery</w:t>
      </w:r>
      <w:r w:rsidR="0058519F" w:rsidRPr="00234F08">
        <w:rPr>
          <w:rFonts w:ascii="Arial" w:hAnsi="Arial" w:cs="Arial"/>
          <w:sz w:val="22"/>
        </w:rPr>
        <w:t>.</w:t>
      </w:r>
    </w:p>
    <w:p w14:paraId="4A4D82BC" w14:textId="1FBA98FB" w:rsidR="00234F08" w:rsidRPr="00234F08" w:rsidRDefault="00234F08" w:rsidP="00234F08">
      <w:pPr>
        <w:pStyle w:val="Heading1"/>
        <w:rPr>
          <w:rFonts w:ascii="Arial" w:hAnsi="Arial" w:cs="Arial"/>
          <w:sz w:val="22"/>
          <w:szCs w:val="22"/>
        </w:rPr>
      </w:pPr>
      <w:bookmarkStart w:id="2" w:name="_Toc224229154"/>
      <w:r w:rsidRPr="00234F08">
        <w:rPr>
          <w:rFonts w:ascii="Arial" w:hAnsi="Arial" w:cs="Arial"/>
          <w:sz w:val="22"/>
          <w:szCs w:val="22"/>
        </w:rPr>
        <w:t>TASK 2: EVALUATING INFORMATION SOURCES</w:t>
      </w:r>
      <w:bookmarkEnd w:id="2"/>
    </w:p>
    <w:p w14:paraId="589F5FA3" w14:textId="004FD896" w:rsidR="003137DC" w:rsidRPr="00234F08" w:rsidRDefault="001059A5" w:rsidP="003137DC">
      <w:pPr>
        <w:rPr>
          <w:rFonts w:ascii="Arial" w:hAnsi="Arial" w:cs="Arial"/>
          <w:sz w:val="22"/>
        </w:rPr>
      </w:pPr>
      <w:r w:rsidRPr="00234F08">
        <w:rPr>
          <w:rFonts w:ascii="Arial" w:hAnsi="Arial" w:cs="Arial"/>
          <w:sz w:val="22"/>
        </w:rPr>
        <w:fldChar w:fldCharType="begin" w:fldLock="1"/>
      </w:r>
      <w:r w:rsidR="00994876" w:rsidRPr="00234F08">
        <w:rPr>
          <w:rFonts w:ascii="Arial" w:hAnsi="Arial" w:cs="Arial"/>
          <w:sz w:val="22"/>
        </w:rPr>
        <w:instrText>ADDIN CSL_CITATION {"citationItems":[{"id":"ITEM-1","itemData":{"author":[{"dropping-particle":"","family":"NHS","given":"","non-dropping-particle":"","parse-names":false,"suffix":""}],"id":"ITEM-1","issue":"July","issued":{"date-parts":[["2025"]]},"number-of-pages":"1-167","title":"10 Year Health Plan for England: Fit For the Future","type":"report"},"uris":["http://www.mendeley.com/documents/?uuid=4af2bd18-1078-4f4a-924a-4764ae414b08"]}],"mendeley":{"formattedCitation":"(NHS, 2025)","manualFormatting":"NHS (2025)","plainTextFormattedCitation":"(NHS, 2025)"},"properties":{"noteIndex":0},"schema":"https://github.com/citation-style-language/schema/raw/master/csl-citation.json"}</w:instrText>
      </w:r>
      <w:r w:rsidRPr="00234F08">
        <w:rPr>
          <w:rFonts w:ascii="Arial" w:hAnsi="Arial" w:cs="Arial"/>
          <w:sz w:val="22"/>
        </w:rPr>
        <w:fldChar w:fldCharType="separate"/>
      </w:r>
      <w:r w:rsidRPr="00234F08">
        <w:rPr>
          <w:rFonts w:ascii="Arial" w:hAnsi="Arial" w:cs="Arial"/>
          <w:noProof/>
          <w:sz w:val="22"/>
        </w:rPr>
        <w:t>NHS (2025)</w:t>
      </w:r>
      <w:r w:rsidRPr="00234F08">
        <w:rPr>
          <w:rFonts w:ascii="Arial" w:hAnsi="Arial" w:cs="Arial"/>
          <w:sz w:val="22"/>
        </w:rPr>
        <w:fldChar w:fldCharType="end"/>
      </w:r>
      <w:r w:rsidRPr="00234F08">
        <w:rPr>
          <w:rFonts w:ascii="Arial" w:hAnsi="Arial" w:cs="Arial"/>
          <w:sz w:val="22"/>
        </w:rPr>
        <w:t xml:space="preserve"> </w:t>
      </w:r>
      <w:r w:rsidR="003137DC" w:rsidRPr="00234F08">
        <w:rPr>
          <w:rFonts w:ascii="Arial" w:hAnsi="Arial" w:cs="Arial"/>
          <w:sz w:val="22"/>
        </w:rPr>
        <w:t xml:space="preserve">is a policy document that forms the basis and authoritative voice on a 10-year strategic plan to reshape the delivery of health services in England in which the digital infrastructure is the key mechanism. The plan is determined to ensure that a digital front door to the health service is created, the NHS App is extended, and the patients are provided access to care remotely as a default means of engagement. Being a major source of government, its power and scope of the institution is a strength that renders it indispensable in </w:t>
      </w:r>
      <w:proofErr w:type="spellStart"/>
      <w:r w:rsidR="003137DC" w:rsidRPr="00234F08">
        <w:rPr>
          <w:rFonts w:ascii="Arial" w:hAnsi="Arial" w:cs="Arial"/>
          <w:sz w:val="22"/>
        </w:rPr>
        <w:t>contextualising</w:t>
      </w:r>
      <w:proofErr w:type="spellEnd"/>
      <w:r w:rsidR="003137DC" w:rsidRPr="00234F08">
        <w:rPr>
          <w:rFonts w:ascii="Arial" w:hAnsi="Arial" w:cs="Arial"/>
          <w:sz w:val="22"/>
        </w:rPr>
        <w:t xml:space="preserve"> the policy pressures that are leading to digital-first care. Nevertheless, the Plan makes digital transformation appear as an unproven advantage, with only cursory attention to the inequalities that such transformation can enhance among offline communities. </w:t>
      </w:r>
      <w:r w:rsidR="00B045F8" w:rsidRPr="00234F08">
        <w:rPr>
          <w:rFonts w:ascii="Arial" w:hAnsi="Arial" w:cs="Arial"/>
          <w:sz w:val="22"/>
        </w:rPr>
        <w:fldChar w:fldCharType="begin" w:fldLock="1"/>
      </w:r>
      <w:r w:rsidR="00B045F8" w:rsidRPr="00234F08">
        <w:rPr>
          <w:rFonts w:ascii="Arial" w:hAnsi="Arial" w:cs="Arial"/>
          <w:sz w:val="22"/>
        </w:rPr>
        <w:instrText>ADDIN CSL_CITATION {"citationItems":[{"id":"ITEM-1","itemData":{"DOI":"10.3399/bjgp20X713837","ISSN":"1478-5242 (Electronic)","PMID":"33243917","author":[{"dropping-particle":"","family":"Neve","given":"Georgina","non-dropping-particle":"","parse-names":false,"suffix":""},{"dropping-particle":"","family":"Fyfe","given":"Molly","non-dropping-particle":"","parse-names":false,"suffix":""},{"dropping-particle":"","family":"Hayhoe","given":"Benedict","non-dropping-particle":"","parse-names":false,"suffix":""},{"dropping-particle":"","family":"Kumar","given":"Sonia","non-dropping-particle":"","parse-names":false,"suffix":""}],"container-title":"The British journal of general practice : the journal of the Royal College of  General Practitioners","id":"ITEM-1","issue":"701","issued":{"date-parts":[["2020","12"]]},"language":"eng","page":"609-610","publisher-place":"England","title":"Digital health in primary care: risks and recommendations.","type":"article-journal","volume":"70"},"uris":["http://www.mendeley.com/documents/?uuid=3ff69b18-7bc8-47ca-8458-ed34ce40673b"]}],"mendeley":{"formattedCitation":"(Neve &lt;i&gt;et al.&lt;/i&gt;, 2020)","manualFormatting":"Neve et al. (2020)","plainTextFormattedCitation":"(Neve et al., 2020)","previouslyFormattedCitation":"(Neve &lt;i&gt;et al.&lt;/i&gt;, 2020)"},"properties":{"noteIndex":0},"schema":"https://github.com/citation-style-language/schema/raw/master/csl-citation.json"}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 xml:space="preserve">Neve </w:t>
      </w:r>
      <w:r w:rsidR="00B045F8" w:rsidRPr="00234F08">
        <w:rPr>
          <w:rFonts w:ascii="Arial" w:hAnsi="Arial" w:cs="Arial"/>
          <w:i/>
          <w:noProof/>
          <w:sz w:val="22"/>
        </w:rPr>
        <w:t>et al.</w:t>
      </w:r>
      <w:r w:rsidR="00B045F8" w:rsidRPr="00234F08">
        <w:rPr>
          <w:rFonts w:ascii="Arial" w:hAnsi="Arial" w:cs="Arial"/>
          <w:noProof/>
          <w:sz w:val="22"/>
        </w:rPr>
        <w:t xml:space="preserve"> (2020)</w:t>
      </w:r>
      <w:r w:rsidR="00B045F8" w:rsidRPr="00234F08">
        <w:rPr>
          <w:rFonts w:ascii="Arial" w:hAnsi="Arial" w:cs="Arial"/>
          <w:sz w:val="22"/>
        </w:rPr>
        <w:fldChar w:fldCharType="end"/>
      </w:r>
      <w:r w:rsidR="003137DC" w:rsidRPr="00234F08">
        <w:rPr>
          <w:rFonts w:ascii="Arial" w:hAnsi="Arial" w:cs="Arial"/>
          <w:sz w:val="22"/>
        </w:rPr>
        <w:t xml:space="preserve"> observe that the digital transformation threatens to deepen existing health inequalities in case inclusion is not made a structural priority which the ambitions of the Plan have not been responsive enough</w:t>
      </w:r>
      <w:r w:rsidR="00FA1417" w:rsidRPr="00234F08">
        <w:rPr>
          <w:rFonts w:ascii="Arial" w:hAnsi="Arial" w:cs="Arial"/>
          <w:sz w:val="22"/>
        </w:rPr>
        <w:t>.</w:t>
      </w:r>
    </w:p>
    <w:p w14:paraId="22BB267B" w14:textId="3218CADA" w:rsidR="003137DC" w:rsidRPr="00234F08" w:rsidRDefault="00B045F8" w:rsidP="003137DC">
      <w:pPr>
        <w:rPr>
          <w:rFonts w:ascii="Arial" w:hAnsi="Arial" w:cs="Arial"/>
          <w:sz w:val="22"/>
        </w:rPr>
      </w:pPr>
      <w:r w:rsidRPr="00234F08">
        <w:rPr>
          <w:rFonts w:ascii="Arial" w:hAnsi="Arial" w:cs="Arial"/>
          <w:sz w:val="22"/>
        </w:rPr>
        <w:fldChar w:fldCharType="begin" w:fldLock="1"/>
      </w:r>
      <w:r w:rsidRPr="00234F08">
        <w:rPr>
          <w:rFonts w:ascii="Arial" w:hAnsi="Arial" w:cs="Arial"/>
          <w:sz w:val="22"/>
        </w:rPr>
        <w:instrText>ADDIN CSL_CITATION {"citationItems":[{"id":"ITEM-1","itemData":{"DOI":"10.2196/70377","ISSN":"2561-7605 (Electronic)","PMID":"41468583","abstract":"BACKGROUND: Older adults make up the largest proportion of nonusers of the  internet. With the increasing digitalization of services, it is important to identify what interventions are effective at reducing digital exclusion in older adults. OBJECTIVE: We aimed to identify what evidence exists on the effectiveness of interventions to address digital exclusion in older adults. METHODS: This rapid review assessed the effectiveness of interventions to address digital exclusion in older adults aged 60 years or older. Searches were conducted in November 2023 across a range of databases and used supplementary search methods. Searches were limited to comparative studies published from 2018 onward in English. Data were analyzed using a narrative synthesis approach. RESULTS: A total of 21 studies were included that aimed to increase a range of digital literacy skills. Sample sizes ranged from 5 to 381. Intervention approaches varied considerably and were often multicomponent and undertaken in a variety of settings. There is evidence to suggest that a range of interventions can reduce physical, personal, and perceptual barriers and improve older adults' skills, knowledge, digital literacy, and perceived self-efficacy, reduce technophobia, and increase use of technology. Importantly, findings indicated improvements among a range of subpopulations, including those living in rural areas, at risk of social isolation, who are homebound, of lower socioeconomic groups, and individuals with visual impairment. To achieve improved and sustained digital inclusion in older adults, evidence suggests it may be important to ensure structural barriers, such as access to the internet and affordability of devices, are removed. However, all studies contained methodological limitations and may not be adequately powered to determine effectiveness. CONCLUSIONS: The evidence shows the potential benefits of interventions aimed at improving a range of digital skills and increasing technology use in older adults, which could help to address digital exclusion. The findings of this rapid review can inform the development and delivery of future interventions. However, it is important to consider the context in which the included interventions were used and the lack of certainty of the findings. This review also identified a lack of high-quality evidence, as all studies identified contained methodological limitations and may not have been adequately powered to determine effectiveness. In addi…","author":[{"dropping-particle":"","family":"Wale","given":"Alesha","non-dropping-particle":"","parse-names":false,"suffix":""},{"dropping-particle":"","family":"Everitt","given":"Jordan","non-dropping-particle":"","parse-names":false,"suffix":""},{"dropping-particle":"","family":"Ayres","given":"Toby","non-dropping-particle":"","parse-names":false,"suffix":""},{"dropping-particle":"","family":"Okolie","given":"Chukwudi","non-dropping-particle":"","parse-names":false,"suffix":""},{"dropping-particle":"","family":"Morgan","given":"Helen E","non-dropping-particle":"","parse-names":false,"suffix":""},{"dropping-particle":"","family":"Shaw","given":"Hannah","non-dropping-particle":"","parse-names":false,"suffix":""},{"dropping-particle":"","family":"Cooper","given":"Alison","non-dropping-particle":"","parse-names":false,"suffix":""},{"dropping-particle":"","family":"Edwards","given":"Adrian","non-dropping-particle":"","parse-names":false,"suffix":""},{"dropping-particle":"","family":"Lewis","given":"Ruth","non-dropping-particle":"","parse-names":false,"suffix":""}],"container-title":"JMIR aging","id":"ITEM-1","issued":{"date-parts":[["2025","12"]]},"language":"eng","page":"e70377","publisher-place":"Canada","title":"Effectiveness of Interventions for Addressing Digital Exclusion in Older Adults  in the Social Care Domain: Rapid Review.","type":"article-journal","volume":"8"},"uris":["http://www.mendeley.com/documents/?uuid=8943d745-2a3d-47f7-b4a3-9844424765b8"]}],"mendeley":{"formattedCitation":"(Wale &lt;i&gt;et al.&lt;/i&gt;, 2025)","manualFormatting":"Wale et al. (2025)","plainTextFormattedCitation":"(Wale et al., 2025)","previouslyFormattedCitation":"(Wale &lt;i&gt;et al.&lt;/i&gt;, 2025)"},"properties":{"noteIndex":0},"schema":"https://github.com/citation-style-language/schema/raw/master/csl-citation.json"}</w:instrText>
      </w:r>
      <w:r w:rsidRPr="00234F08">
        <w:rPr>
          <w:rFonts w:ascii="Arial" w:hAnsi="Arial" w:cs="Arial"/>
          <w:sz w:val="22"/>
        </w:rPr>
        <w:fldChar w:fldCharType="separate"/>
      </w:r>
      <w:r w:rsidRPr="00234F08">
        <w:rPr>
          <w:rFonts w:ascii="Arial" w:hAnsi="Arial" w:cs="Arial"/>
          <w:noProof/>
          <w:sz w:val="22"/>
        </w:rPr>
        <w:t xml:space="preserve">Wale </w:t>
      </w:r>
      <w:r w:rsidRPr="00234F08">
        <w:rPr>
          <w:rFonts w:ascii="Arial" w:hAnsi="Arial" w:cs="Arial"/>
          <w:i/>
          <w:noProof/>
          <w:sz w:val="22"/>
        </w:rPr>
        <w:t>et al.</w:t>
      </w:r>
      <w:r w:rsidRPr="00234F08">
        <w:rPr>
          <w:rFonts w:ascii="Arial" w:hAnsi="Arial" w:cs="Arial"/>
          <w:noProof/>
          <w:sz w:val="22"/>
        </w:rPr>
        <w:t xml:space="preserve"> (2025)</w:t>
      </w:r>
      <w:r w:rsidRPr="00234F08">
        <w:rPr>
          <w:rFonts w:ascii="Arial" w:hAnsi="Arial" w:cs="Arial"/>
          <w:sz w:val="22"/>
        </w:rPr>
        <w:fldChar w:fldCharType="end"/>
      </w:r>
      <w:r w:rsidR="003137DC" w:rsidRPr="00234F08">
        <w:rPr>
          <w:rFonts w:ascii="Arial" w:hAnsi="Arial" w:cs="Arial"/>
          <w:sz w:val="22"/>
        </w:rPr>
        <w:t xml:space="preserve"> is the most up to date and methodologically sound source of information on digital inclusion interventions among older adults. Based on systematic database searches and grey literature, the review finds older adults to comprise the greatest percentage of non-internet users in the UK, and effective intervention identification is a research priority of high urgency. Its power is in evidence-synthesis methodology and open admissions that most of the identified interventions did not have sufficient statistical power to establish effectiveness</w:t>
      </w:r>
      <w:r w:rsidRPr="00234F08">
        <w:rPr>
          <w:rFonts w:ascii="Arial" w:hAnsi="Arial" w:cs="Arial"/>
          <w:sz w:val="22"/>
        </w:rPr>
        <w:t xml:space="preserve">, </w:t>
      </w:r>
      <w:r w:rsidR="003137DC" w:rsidRPr="00234F08">
        <w:rPr>
          <w:rFonts w:ascii="Arial" w:hAnsi="Arial" w:cs="Arial"/>
          <w:sz w:val="22"/>
        </w:rPr>
        <w:t xml:space="preserve">a self-critical transparency, which is a sign of scholarly </w:t>
      </w:r>
      <w:proofErr w:type="spellStart"/>
      <w:r w:rsidR="003137DC" w:rsidRPr="00234F08">
        <w:rPr>
          <w:rFonts w:ascii="Arial" w:hAnsi="Arial" w:cs="Arial"/>
          <w:sz w:val="22"/>
        </w:rPr>
        <w:t>rigour</w:t>
      </w:r>
      <w:proofErr w:type="spellEnd"/>
      <w:r w:rsidR="003137DC" w:rsidRPr="00234F08">
        <w:rPr>
          <w:rFonts w:ascii="Arial" w:hAnsi="Arial" w:cs="Arial"/>
          <w:sz w:val="22"/>
        </w:rPr>
        <w:t xml:space="preserve">. One of the limitations is, though, that the rapid review format is more breadth-focused, which is why subtle contextual aspects might be </w:t>
      </w:r>
      <w:proofErr w:type="spellStart"/>
      <w:r w:rsidR="003137DC" w:rsidRPr="00234F08">
        <w:rPr>
          <w:rFonts w:ascii="Arial" w:hAnsi="Arial" w:cs="Arial"/>
          <w:sz w:val="22"/>
        </w:rPr>
        <w:t>underresearched</w:t>
      </w:r>
      <w:proofErr w:type="spellEnd"/>
      <w:r w:rsidR="003137DC" w:rsidRPr="00234F08">
        <w:rPr>
          <w:rFonts w:ascii="Arial" w:hAnsi="Arial" w:cs="Arial"/>
          <w:sz w:val="22"/>
        </w:rPr>
        <w:t>.</w:t>
      </w:r>
    </w:p>
    <w:p w14:paraId="21E3BE1D" w14:textId="4D4DEB5D" w:rsidR="00CB53FB" w:rsidRPr="00234F08" w:rsidRDefault="00B045F8" w:rsidP="003137DC">
      <w:pPr>
        <w:rPr>
          <w:rFonts w:ascii="Arial" w:hAnsi="Arial" w:cs="Arial"/>
          <w:sz w:val="22"/>
        </w:rPr>
      </w:pPr>
      <w:r w:rsidRPr="00234F08">
        <w:rPr>
          <w:rFonts w:ascii="Arial" w:hAnsi="Arial" w:cs="Arial"/>
          <w:sz w:val="22"/>
        </w:rPr>
        <w:fldChar w:fldCharType="begin" w:fldLock="1"/>
      </w:r>
      <w:r w:rsidRPr="00234F08">
        <w:rPr>
          <w:rFonts w:ascii="Arial" w:hAnsi="Arial" w:cs="Arial"/>
          <w:sz w:val="22"/>
        </w:rPr>
        <w:instrText>ADDIN CSL_CITATION {"citationItems":[{"id":"ITEM-1","itemData":{"DOI":"10.1177/1755738019885398","ISBN":"9781447312628","ISSN":"1755-7380","author":[{"dropping-particle":"","family":"Age UK","given":"","non-dropping-particle":"","parse-names":false,"suffix":""}],"container-title":"A Companion to Criminal Justice, Mental Health &amp; Risk","id":"ITEM-1","issue":"February","issued":{"date-parts":[["2025"]]},"title":"Deprivation of liberty safeguards","type":"report"},"uris":["http://www.mendeley.com/documents/?uuid=277b7a94-0262-452a-b403-10c72d1406d4"]}],"mendeley":{"formattedCitation":"(Age UK, 2025)","manualFormatting":"Age UK (2025)","plainTextFormattedCitation":"(Age UK, 2025)","previouslyFormattedCitation":"(Age UK, 2025)"},"properties":{"noteIndex":0},"schema":"https://github.com/citation-style-language/schema/raw/master/csl-citation.json"}</w:instrText>
      </w:r>
      <w:r w:rsidRPr="00234F08">
        <w:rPr>
          <w:rFonts w:ascii="Arial" w:hAnsi="Arial" w:cs="Arial"/>
          <w:sz w:val="22"/>
        </w:rPr>
        <w:fldChar w:fldCharType="separate"/>
      </w:r>
      <w:r w:rsidRPr="00234F08">
        <w:rPr>
          <w:rFonts w:ascii="Arial" w:hAnsi="Arial" w:cs="Arial"/>
          <w:noProof/>
          <w:sz w:val="22"/>
        </w:rPr>
        <w:t>Age UK (2025)</w:t>
      </w:r>
      <w:r w:rsidRPr="00234F08">
        <w:rPr>
          <w:rFonts w:ascii="Arial" w:hAnsi="Arial" w:cs="Arial"/>
          <w:sz w:val="22"/>
        </w:rPr>
        <w:fldChar w:fldCharType="end"/>
      </w:r>
      <w:r w:rsidRPr="00234F08">
        <w:rPr>
          <w:rFonts w:ascii="Arial" w:hAnsi="Arial" w:cs="Arial"/>
          <w:sz w:val="22"/>
        </w:rPr>
        <w:t xml:space="preserve"> </w:t>
      </w:r>
      <w:r w:rsidR="003137DC" w:rsidRPr="00234F08">
        <w:rPr>
          <w:rFonts w:ascii="Arial" w:hAnsi="Arial" w:cs="Arial"/>
          <w:sz w:val="22"/>
        </w:rPr>
        <w:t xml:space="preserve">is an authoritative source of information in the policy and practice circles. The main strength of it is the ability to convert the complicated statistical evidence into practical policy suggestions that can be implemented directly in the health and social care. Nonetheless, as an advocacy </w:t>
      </w:r>
      <w:proofErr w:type="spellStart"/>
      <w:r w:rsidR="003137DC" w:rsidRPr="00234F08">
        <w:rPr>
          <w:rFonts w:ascii="Arial" w:hAnsi="Arial" w:cs="Arial"/>
          <w:sz w:val="22"/>
        </w:rPr>
        <w:t>organisation</w:t>
      </w:r>
      <w:proofErr w:type="spellEnd"/>
      <w:r w:rsidR="003137DC" w:rsidRPr="00234F08">
        <w:rPr>
          <w:rFonts w:ascii="Arial" w:hAnsi="Arial" w:cs="Arial"/>
          <w:sz w:val="22"/>
        </w:rPr>
        <w:t xml:space="preserve"> document, its framing can be </w:t>
      </w:r>
      <w:proofErr w:type="spellStart"/>
      <w:r w:rsidR="003137DC" w:rsidRPr="00234F08">
        <w:rPr>
          <w:rFonts w:ascii="Arial" w:hAnsi="Arial" w:cs="Arial"/>
          <w:sz w:val="22"/>
        </w:rPr>
        <w:t>overemphasised</w:t>
      </w:r>
      <w:proofErr w:type="spellEnd"/>
      <w:r w:rsidR="003137DC" w:rsidRPr="00234F08">
        <w:rPr>
          <w:rFonts w:ascii="Arial" w:hAnsi="Arial" w:cs="Arial"/>
          <w:sz w:val="22"/>
        </w:rPr>
        <w:t xml:space="preserve"> on barriers at the cost of successful inclusion outcomes, which creates a selection bias in the presentation of evidence. In all three sources, a uniform gap can be observed: older adults with Black, Asian, and minority ethnic backgrounds are still seriously under-represented in studies of digital exclusion, and the interaction of ethnicity and age to access healthcare is not well </w:t>
      </w:r>
      <w:proofErr w:type="spellStart"/>
      <w:r w:rsidR="003137DC" w:rsidRPr="00234F08">
        <w:rPr>
          <w:rFonts w:ascii="Arial" w:hAnsi="Arial" w:cs="Arial"/>
          <w:sz w:val="22"/>
        </w:rPr>
        <w:t>theorised</w:t>
      </w:r>
      <w:proofErr w:type="spellEnd"/>
      <w:r w:rsidR="003137DC" w:rsidRPr="00234F08">
        <w:rPr>
          <w:rFonts w:ascii="Arial" w:hAnsi="Arial" w:cs="Arial"/>
          <w:sz w:val="22"/>
        </w:rPr>
        <w:t xml:space="preserve">. Moreover, </w:t>
      </w:r>
      <w:r w:rsidRPr="00234F08">
        <w:rPr>
          <w:rFonts w:ascii="Arial" w:hAnsi="Arial" w:cs="Arial"/>
          <w:sz w:val="22"/>
        </w:rPr>
        <w:fldChar w:fldCharType="begin" w:fldLock="1"/>
      </w:r>
      <w:r w:rsidRPr="00234F08">
        <w:rPr>
          <w:rFonts w:ascii="Arial" w:hAnsi="Arial" w:cs="Arial"/>
          <w:sz w:val="22"/>
        </w:rPr>
        <w:instrText>ADDIN CSL_CITATION {"citationItems":[{"id":"ITEM-1","itemData":{"DOI":"10.2196/70377","ISSN":"2561-7605 (Electronic)","PMID":"41468583","abstract":"BACKGROUND: Older adults make up the largest proportion of nonusers of the  internet. With the increasing digitalization of services, it is important to identify what interventions are effective at reducing digital exclusion in older adults. OBJECTIVE: We aimed to identify what evidence exists on the effectiveness of interventions to address digital exclusion in older adults. METHODS: This rapid review assessed the effectiveness of interventions to address digital exclusion in older adults aged 60 years or older. Searches were conducted in November 2023 across a range of databases and used supplementary search methods. Searches were limited to comparative studies published from 2018 onward in English. Data were analyzed using a narrative synthesis approach. RESULTS: A total of 21 studies were included that aimed to increase a range of digital literacy skills. Sample sizes ranged from 5 to 381. Intervention approaches varied considerably and were often multicomponent and undertaken in a variety of settings. There is evidence to suggest that a range of interventions can reduce physical, personal, and perceptual barriers and improve older adults' skills, knowledge, digital literacy, and perceived self-efficacy, reduce technophobia, and increase use of technology. Importantly, findings indicated improvements among a range of subpopulations, including those living in rural areas, at risk of social isolation, who are homebound, of lower socioeconomic groups, and individuals with visual impairment. To achieve improved and sustained digital inclusion in older adults, evidence suggests it may be important to ensure structural barriers, such as access to the internet and affordability of devices, are removed. However, all studies contained methodological limitations and may not be adequately powered to determine effectiveness. CONCLUSIONS: The evidence shows the potential benefits of interventions aimed at improving a range of digital skills and increasing technology use in older adults, which could help to address digital exclusion. The findings of this rapid review can inform the development and delivery of future interventions. However, it is important to consider the context in which the included interventions were used and the lack of certainty of the findings. This review also identified a lack of high-quality evidence, as all studies identified contained methodological limitations and may not have been adequately powered to determine effectiveness. In addi…","author":[{"dropping-particle":"","family":"Wale","given":"Alesha","non-dropping-particle":"","parse-names":false,"suffix":""},{"dropping-particle":"","family":"Everitt","given":"Jordan","non-dropping-particle":"","parse-names":false,"suffix":""},{"dropping-particle":"","family":"Ayres","given":"Toby","non-dropping-particle":"","parse-names":false,"suffix":""},{"dropping-particle":"","family":"Okolie","given":"Chukwudi","non-dropping-particle":"","parse-names":false,"suffix":""},{"dropping-particle":"","family":"Morgan","given":"Helen E","non-dropping-particle":"","parse-names":false,"suffix":""},{"dropping-particle":"","family":"Shaw","given":"Hannah","non-dropping-particle":"","parse-names":false,"suffix":""},{"dropping-particle":"","family":"Cooper","given":"Alison","non-dropping-particle":"","parse-names":false,"suffix":""},{"dropping-particle":"","family":"Edwards","given":"Adrian","non-dropping-particle":"","parse-names":false,"suffix":""},{"dropping-particle":"","family":"Lewis","given":"Ruth","non-dropping-particle":"","parse-names":false,"suffix":""}],"container-title":"JMIR aging","id":"ITEM-1","issued":{"date-parts":[["2025","12"]]},"language":"eng","page":"e70377","publisher-place":"Canada","title":"Effectiveness of Interventions for Addressing Digital Exclusion in Older Adults  in the Social Care Domain: Rapid Review.","type":"article-journal","volume":"8"},"uris":["http://www.mendeley.com/documents/?uuid=8943d745-2a3d-47f7-b4a3-9844424765b8"]}],"mendeley":{"formattedCitation":"(Wale &lt;i&gt;et al.&lt;/i&gt;, 2025)","manualFormatting":"Wale et al. (2025)","plainTextFormattedCitation":"(Wale et al., 2025)","previouslyFormattedCitation":"(Wale &lt;i&gt;et al.&lt;/i&gt;, 2025)"},"properties":{"noteIndex":0},"schema":"https://github.com/citation-style-language/schema/raw/master/csl-citation.json"}</w:instrText>
      </w:r>
      <w:r w:rsidRPr="00234F08">
        <w:rPr>
          <w:rFonts w:ascii="Arial" w:hAnsi="Arial" w:cs="Arial"/>
          <w:sz w:val="22"/>
        </w:rPr>
        <w:fldChar w:fldCharType="separate"/>
      </w:r>
      <w:r w:rsidRPr="00234F08">
        <w:rPr>
          <w:rFonts w:ascii="Arial" w:hAnsi="Arial" w:cs="Arial"/>
          <w:noProof/>
          <w:sz w:val="22"/>
        </w:rPr>
        <w:t xml:space="preserve">Wale </w:t>
      </w:r>
      <w:r w:rsidRPr="00234F08">
        <w:rPr>
          <w:rFonts w:ascii="Arial" w:hAnsi="Arial" w:cs="Arial"/>
          <w:i/>
          <w:noProof/>
          <w:sz w:val="22"/>
        </w:rPr>
        <w:t>et al.</w:t>
      </w:r>
      <w:r w:rsidRPr="00234F08">
        <w:rPr>
          <w:rFonts w:ascii="Arial" w:hAnsi="Arial" w:cs="Arial"/>
          <w:noProof/>
          <w:sz w:val="22"/>
        </w:rPr>
        <w:t xml:space="preserve"> (2025)</w:t>
      </w:r>
      <w:r w:rsidRPr="00234F08">
        <w:rPr>
          <w:rFonts w:ascii="Arial" w:hAnsi="Arial" w:cs="Arial"/>
          <w:sz w:val="22"/>
        </w:rPr>
        <w:fldChar w:fldCharType="end"/>
      </w:r>
      <w:r w:rsidRPr="00234F08">
        <w:rPr>
          <w:rFonts w:ascii="Arial" w:hAnsi="Arial" w:cs="Arial"/>
          <w:sz w:val="22"/>
        </w:rPr>
        <w:t xml:space="preserve"> noted</w:t>
      </w:r>
      <w:r w:rsidR="003137DC" w:rsidRPr="00234F08">
        <w:rPr>
          <w:rFonts w:ascii="Arial" w:hAnsi="Arial" w:cs="Arial"/>
          <w:sz w:val="22"/>
        </w:rPr>
        <w:t>, the role of informal carers in mediating digital access to older adults has been given little systematic focus, which future studies should immediately fill in</w:t>
      </w:r>
      <w:r w:rsidR="00CB53FB" w:rsidRPr="00234F08">
        <w:rPr>
          <w:rFonts w:ascii="Arial" w:hAnsi="Arial" w:cs="Arial"/>
          <w:sz w:val="22"/>
        </w:rPr>
        <w:t>.</w:t>
      </w:r>
    </w:p>
    <w:p w14:paraId="6F134395" w14:textId="416B2E43" w:rsidR="00093CA6" w:rsidRPr="00234F08" w:rsidRDefault="00234F08" w:rsidP="00234F08">
      <w:pPr>
        <w:pStyle w:val="Heading1"/>
        <w:rPr>
          <w:rFonts w:ascii="Arial" w:hAnsi="Arial" w:cs="Arial"/>
          <w:sz w:val="22"/>
          <w:szCs w:val="22"/>
        </w:rPr>
      </w:pPr>
      <w:bookmarkStart w:id="3" w:name="_Toc224229155"/>
      <w:r w:rsidRPr="00234F08">
        <w:rPr>
          <w:rFonts w:ascii="Arial" w:hAnsi="Arial" w:cs="Arial"/>
          <w:sz w:val="22"/>
          <w:szCs w:val="22"/>
        </w:rPr>
        <w:lastRenderedPageBreak/>
        <w:t>TASK 3: RESEARCH METHODOLOGIES</w:t>
      </w:r>
      <w:bookmarkEnd w:id="3"/>
    </w:p>
    <w:p w14:paraId="40044DA4" w14:textId="3428832B" w:rsidR="00F4158E" w:rsidRPr="00234F08" w:rsidRDefault="00F4158E" w:rsidP="00F4158E">
      <w:pPr>
        <w:rPr>
          <w:rFonts w:ascii="Arial" w:hAnsi="Arial" w:cs="Arial"/>
          <w:sz w:val="22"/>
        </w:rPr>
      </w:pPr>
      <w:r w:rsidRPr="00234F08">
        <w:rPr>
          <w:rFonts w:ascii="Arial" w:hAnsi="Arial" w:cs="Arial"/>
          <w:sz w:val="22"/>
        </w:rPr>
        <w:t xml:space="preserve">Research methodology refers to the systematic approach to designing, conducting, and </w:t>
      </w:r>
      <w:proofErr w:type="spellStart"/>
      <w:r w:rsidRPr="00234F08">
        <w:rPr>
          <w:rFonts w:ascii="Arial" w:hAnsi="Arial" w:cs="Arial"/>
          <w:sz w:val="22"/>
        </w:rPr>
        <w:t>analysing</w:t>
      </w:r>
      <w:proofErr w:type="spellEnd"/>
      <w:r w:rsidRPr="00234F08">
        <w:rPr>
          <w:rFonts w:ascii="Arial" w:hAnsi="Arial" w:cs="Arial"/>
          <w:sz w:val="22"/>
        </w:rPr>
        <w:t xml:space="preserve"> a study </w:t>
      </w:r>
      <w:r w:rsidR="00B045F8" w:rsidRPr="00234F08">
        <w:rPr>
          <w:rFonts w:ascii="Arial" w:hAnsi="Arial" w:cs="Arial"/>
          <w:sz w:val="22"/>
        </w:rPr>
        <w:fldChar w:fldCharType="begin" w:fldLock="1"/>
      </w:r>
      <w:r w:rsidR="00594635" w:rsidRPr="00234F08">
        <w:rPr>
          <w:rFonts w:ascii="Arial" w:hAnsi="Arial" w:cs="Arial"/>
          <w:sz w:val="22"/>
        </w:rPr>
        <w:instrText>ADDIN CSL_CITATION {"citationItems":[{"id":"ITEM-1","itemData":{"ISBN":"100317292X","author":[{"dropping-particle":"","family":"Silverman","given":"Robert Mark","non-dropping-particle":"","parse-names":false,"suffix":""},{"dropping-particle":"","family":"Patterson","given":"Kelly","non-dropping-particle":"","parse-names":false,"suffix":""}],"id":"ITEM-1","issued":{"date-parts":[["2021"]]},"publisher":"Routledge","title":"Qualitative research methods for community development","type":"book"},"uris":["http://www.mendeley.com/documents/?uuid=22cdd13f-3261-4ef1-bdae-5e37b9659d5f"]}],"mendeley":{"formattedCitation":"(Silverman and Patterson, 2021)","plainTextFormattedCitation":"(Silverman and Patterson, 2021)","previouslyFormattedCitation":"(Silverman and Patterson, 2021)"},"properties":{"noteIndex":0},"schema":"https://github.com/citation-style-language/schema/raw/master/csl-citation.json"}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(Silverman and Patterson, 2021)</w:t>
      </w:r>
      <w:r w:rsidR="00B045F8" w:rsidRPr="00234F08">
        <w:rPr>
          <w:rFonts w:ascii="Arial" w:hAnsi="Arial" w:cs="Arial"/>
          <w:sz w:val="22"/>
        </w:rPr>
        <w:fldChar w:fldCharType="end"/>
      </w:r>
      <w:r w:rsidRPr="00234F08">
        <w:rPr>
          <w:rFonts w:ascii="Arial" w:hAnsi="Arial" w:cs="Arial"/>
          <w:sz w:val="22"/>
        </w:rPr>
        <w:t xml:space="preserve">. In health and social care research, three main paradigms are identified. Quantitative research involves the use of numeric information and statistical testing to determine variables applied to large populations, such as the percentage of adults aged 65 and above who have never used an NHS online service. Qualitative research produces data that cannot be quantified, discovering the depths of experiences and perceptions by using techniques like interviews and focus groups </w:t>
      </w:r>
      <w:r w:rsidR="00B045F8" w:rsidRPr="00234F08">
        <w:rPr>
          <w:rFonts w:ascii="Arial" w:hAnsi="Arial" w:cs="Arial"/>
          <w:sz w:val="22"/>
        </w:rPr>
        <w:fldChar w:fldCharType="begin" w:fldLock="1"/>
      </w:r>
      <w:r w:rsidR="00B045F8" w:rsidRPr="00234F08">
        <w:rPr>
          <w:rFonts w:ascii="Arial" w:hAnsi="Arial" w:cs="Arial"/>
          <w:sz w:val="22"/>
        </w:rPr>
        <w:instrText>ADDIN CSL_CITATION {"citationItems":[{"id":"ITEM-1","itemData":{"DOI":"10.15577/jmt.2015.02.01.4","ISBN":"9780300110562","author":[{"dropping-particle":"","family":"Park","given":"Jeongeun","non-dropping-particle":"","parse-names":false,"suffix":""},{"dropping-particle":"","family":"Park","given":"Minhye","non-dropping-particle":"","parse-names":false,"suffix":""}],"container-title":"Journal of Marketing Thought","id":"ITEM-1","issue":"1","issued":{"date-parts":[["2016"]]},"page":"1 - 7","title":"Qualitative versus Quantitative Research Methods: Discovery or Justification?","type":"article-journal","volume":"3"},"uris":["http://www.mendeley.com/documents/?uuid=12fa6cb9-9d99-4b17-9891-73d326338103"]}],"mendeley":{"formattedCitation":"(Park and Park, 2016)","plainTextFormattedCitation":"(Park and Park, 2016)","previouslyFormattedCitation":"(Park and Park, 2016)"},"properties":{"noteIndex":0},"schema":"https://github.com/citation-style-language/schema/raw/master/csl-citation.json"}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(Park and Park, 2016)</w:t>
      </w:r>
      <w:r w:rsidR="00B045F8" w:rsidRPr="00234F08">
        <w:rPr>
          <w:rFonts w:ascii="Arial" w:hAnsi="Arial" w:cs="Arial"/>
          <w:sz w:val="22"/>
        </w:rPr>
        <w:fldChar w:fldCharType="end"/>
      </w:r>
      <w:r w:rsidRPr="00234F08">
        <w:rPr>
          <w:rFonts w:ascii="Arial" w:hAnsi="Arial" w:cs="Arial"/>
          <w:sz w:val="22"/>
        </w:rPr>
        <w:t xml:space="preserve">. Mixed-methods studies combine both paradigms in one study and rely on their strengths to generate more detailed and context-based results </w:t>
      </w:r>
      <w:r w:rsidR="00B045F8" w:rsidRPr="00234F08">
        <w:rPr>
          <w:rFonts w:ascii="Arial" w:hAnsi="Arial" w:cs="Arial"/>
          <w:sz w:val="22"/>
        </w:rPr>
        <w:fldChar w:fldCharType="begin" w:fldLock="1"/>
      </w:r>
      <w:r w:rsidR="00B045F8" w:rsidRPr="00234F08">
        <w:rPr>
          <w:rFonts w:ascii="Arial" w:hAnsi="Arial" w:cs="Arial"/>
          <w:sz w:val="22"/>
        </w:rPr>
        <w:instrText>ADDIN CSL_CITATION {"citationItems":[{"id":"ITEM-1","itemData":{"author":[{"dropping-particle":"","family":"Creswell","given":"John W","non-dropping-particle":"","parse-names":false,"suffix":""},{"dropping-particle":"","family":"Creswell","given":"J David","non-dropping-particle":"","parse-names":false,"suffix":""}],"edition":"6","id":"ITEM-1","issued":{"date-parts":[["2023"]]},"publisher":"Sage PP  - Los Angeles","title":"Research Design: Qualitative, Quantitative &amp; Mixed Methods Approaches","type":"book"},"uris":["http://www.mendeley.com/documents/?uuid=ccc7e982-fa07-49f0-b6dd-3c0deb2700af"]}],"mendeley":{"formattedCitation":"(Creswell and Creswell, 2023)","plainTextFormattedCitation":"(Creswell and Creswell, 2023)","previouslyFormattedCitation":"(Creswell and Creswell, 2023)"},"properties":{"noteIndex":0},"schema":"https://github.com/citation-style-language/schema/raw/master/csl-citation.json"}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(Creswell and Creswell, 2023)</w:t>
      </w:r>
      <w:r w:rsidR="00B045F8" w:rsidRPr="00234F08">
        <w:rPr>
          <w:rFonts w:ascii="Arial" w:hAnsi="Arial" w:cs="Arial"/>
          <w:sz w:val="22"/>
        </w:rPr>
        <w:fldChar w:fldCharType="end"/>
      </w:r>
      <w:r w:rsidRPr="00234F08">
        <w:rPr>
          <w:rFonts w:ascii="Arial" w:hAnsi="Arial" w:cs="Arial"/>
          <w:sz w:val="22"/>
        </w:rPr>
        <w:t>.</w:t>
      </w:r>
    </w:p>
    <w:p w14:paraId="440D67BC" w14:textId="51EAB355" w:rsidR="00093CA6" w:rsidRPr="00234F08" w:rsidRDefault="00F4158E" w:rsidP="00F4158E">
      <w:pPr>
        <w:rPr>
          <w:rFonts w:ascii="Arial" w:hAnsi="Arial" w:cs="Arial"/>
          <w:sz w:val="22"/>
        </w:rPr>
      </w:pPr>
      <w:r w:rsidRPr="00234F08">
        <w:rPr>
          <w:rFonts w:ascii="Arial" w:hAnsi="Arial" w:cs="Arial"/>
          <w:sz w:val="22"/>
        </w:rPr>
        <w:t xml:space="preserve">In the current study, the best and justifiable methodology is a qualitative approach. Semi-structured interviews are especially effective at revealing more about complex, context-specific phenomena </w:t>
      </w:r>
      <w:r w:rsidR="00B045F8" w:rsidRPr="00234F08">
        <w:rPr>
          <w:rFonts w:ascii="Arial" w:hAnsi="Arial" w:cs="Arial"/>
          <w:sz w:val="22"/>
        </w:rPr>
        <w:fldChar w:fldCharType="begin" w:fldLock="1"/>
      </w:r>
      <w:r w:rsidR="00B045F8" w:rsidRPr="00234F08">
        <w:rPr>
          <w:rFonts w:ascii="Arial" w:hAnsi="Arial" w:cs="Arial"/>
          <w:sz w:val="22"/>
        </w:rPr>
        <w:instrText>ADDIN CSL_CITATION {"citationItems":[{"id":"ITEM-1","itemData":{"ISBN":"100317292X","author":[{"dropping-particle":"","family":"Silverman","given":"Robert Mark","non-dropping-particle":"","parse-names":false,"suffix":""},{"dropping-particle":"","family":"Patterson","given":"Kelly","non-dropping-particle":"","parse-names":false,"suffix":""}],"id":"ITEM-1","issued":{"date-parts":[["2021"]]},"publisher":"Routledge","title":"Qualitative research methods for community development","type":"book"},"uris":["http://www.mendeley.com/documents/?uuid=22cdd13f-3261-4ef1-bdae-5e37b9659d5f"]}],"mendeley":{"formattedCitation":"(Silverman and Patterson, 2021)","plainTextFormattedCitation":"(Silverman and Patterson, 2021)","previouslyFormattedCitation":"(Silverman and Patterson, 2021)"},"properties":{"noteIndex":0},"schema":"https://github.com/citation-style-language/schema/raw/master/csl-citation.json"}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(Silverman and Patterson, 2021)</w:t>
      </w:r>
      <w:r w:rsidR="00B045F8" w:rsidRPr="00234F08">
        <w:rPr>
          <w:rFonts w:ascii="Arial" w:hAnsi="Arial" w:cs="Arial"/>
          <w:sz w:val="22"/>
        </w:rPr>
        <w:fldChar w:fldCharType="end"/>
      </w:r>
      <w:r w:rsidRPr="00234F08">
        <w:rPr>
          <w:rFonts w:ascii="Arial" w:hAnsi="Arial" w:cs="Arial"/>
          <w:sz w:val="22"/>
        </w:rPr>
        <w:t xml:space="preserve">, and digital exclusion is an exact phenomenon, predisposed by personal life experience, cognitive ability, and emotional interactions with technology. The quantitative approaches, although useful in defining the extent of exclusion, are insufficient to describe the causes of disengagement in older adults with digital health systems. </w:t>
      </w:r>
      <w:r w:rsidR="00594635" w:rsidRPr="00234F08">
        <w:rPr>
          <w:rFonts w:ascii="Arial" w:hAnsi="Arial" w:cs="Arial"/>
          <w:sz w:val="22"/>
        </w:rPr>
        <w:fldChar w:fldCharType="begin" w:fldLock="1"/>
      </w:r>
      <w:r w:rsidR="00594635" w:rsidRPr="00234F08">
        <w:rPr>
          <w:rFonts w:ascii="Arial" w:hAnsi="Arial" w:cs="Arial"/>
          <w:sz w:val="22"/>
        </w:rPr>
        <w:instrText>ADDIN CSL_CITATION {"citationItems":[{"id":"ITEM-1","itemData":{"DOI":"10.1186/s44247-025-00163-7","ISSN":"2731-684X","abstract":"Older persons’ use of digital technology is becoming more prominent due to society’s heavy reliance on mobile and web applications. A positive attitude has been detected among older persons regarding the use of mobile solutions. Digital technology is increasingly used in the provision of health and social care, which can help older persons continue to be independent, and in turn can contribute to older persons’ overall well-being and sense of safety. However, current digital technology has been found to be difficult for older persons. Additional explorations into older persons’ experiences using digital technology are therefore relevant.","author":[{"dropping-particle":"","family":"Emmesjö","given":"Lina","non-dropping-particle":"","parse-names":false,"suffix":""},{"dropping-particle":"","family":"Hallgren","given":"Jenny","non-dropping-particle":"","parse-names":false,"suffix":""},{"dropping-particle":"","family":"Gillsjö","given":"Catharina","non-dropping-particle":"","parse-names":false,"suffix":""}],"container-title":"BMC Digital Health","id":"ITEM-1","issue":"1","issued":{"date-parts":[["2025"]]},"page":"24","title":"Older adults’ digital technology experiences: a qualitative study","type":"article-journal","volume":"3"},"uris":["http://www.mendeley.com/documents/?uuid=c167c0d9-2ca7-4c33-834c-dd9d8b6f15b8"]}],"mendeley":{"formattedCitation":"(Emmesjö, Hallgren and Gillsjö, 2025)","manualFormatting":"Emmesjö, Hallgren and Gillsjö (2025)","plainTextFormattedCitation":"(Emmesjö, Hallgren and Gillsjö, 2025)","previouslyFormattedCitation":"(Emmesjö, Hallgren and Gillsjö, 2025)"},"properties":{"noteIndex":0},"schema":"https://github.com/citation-style-language/schema/raw/master/csl-citation.json"}</w:instrText>
      </w:r>
      <w:r w:rsidR="00594635" w:rsidRPr="00234F08">
        <w:rPr>
          <w:rFonts w:ascii="Arial" w:hAnsi="Arial" w:cs="Arial"/>
          <w:sz w:val="22"/>
        </w:rPr>
        <w:fldChar w:fldCharType="separate"/>
      </w:r>
      <w:r w:rsidR="00594635" w:rsidRPr="00234F08">
        <w:rPr>
          <w:rFonts w:ascii="Arial" w:hAnsi="Arial" w:cs="Arial"/>
          <w:noProof/>
          <w:sz w:val="22"/>
        </w:rPr>
        <w:t>Emmesjö, Hallgren and Gillsjö (2025)</w:t>
      </w:r>
      <w:r w:rsidR="00594635" w:rsidRPr="00234F08">
        <w:rPr>
          <w:rFonts w:ascii="Arial" w:hAnsi="Arial" w:cs="Arial"/>
          <w:sz w:val="22"/>
        </w:rPr>
        <w:fldChar w:fldCharType="end"/>
      </w:r>
      <w:r w:rsidRPr="00234F08">
        <w:rPr>
          <w:rFonts w:ascii="Arial" w:hAnsi="Arial" w:cs="Arial"/>
          <w:sz w:val="22"/>
        </w:rPr>
        <w:t xml:space="preserve"> show that the resistance of older adults to digital health is complex in its functional, psychological, and identity-based nature, which is a reality that requires the interpretive richness of a qualitative inquiry</w:t>
      </w:r>
      <w:r w:rsidR="00093CA6" w:rsidRPr="00234F08">
        <w:rPr>
          <w:rFonts w:ascii="Arial" w:hAnsi="Arial" w:cs="Arial"/>
          <w:sz w:val="22"/>
        </w:rPr>
        <w:t>.</w:t>
      </w:r>
    </w:p>
    <w:p w14:paraId="515180F2" w14:textId="62F33FD5" w:rsidR="00093CA6" w:rsidRPr="00234F08" w:rsidRDefault="00234F08" w:rsidP="00234F08">
      <w:pPr>
        <w:pStyle w:val="Heading1"/>
        <w:rPr>
          <w:rFonts w:ascii="Arial" w:hAnsi="Arial" w:cs="Arial"/>
          <w:sz w:val="22"/>
          <w:szCs w:val="22"/>
        </w:rPr>
      </w:pPr>
      <w:bookmarkStart w:id="4" w:name="_Toc224229156"/>
      <w:r w:rsidRPr="00234F08">
        <w:rPr>
          <w:rFonts w:ascii="Arial" w:hAnsi="Arial" w:cs="Arial"/>
          <w:sz w:val="22"/>
          <w:szCs w:val="22"/>
        </w:rPr>
        <w:t>TASK 4: DATA COLLECTION</w:t>
      </w:r>
      <w:bookmarkEnd w:id="4"/>
    </w:p>
    <w:p w14:paraId="561D30BC" w14:textId="11D3322A" w:rsidR="00F4158E" w:rsidRPr="00234F08" w:rsidRDefault="00F4158E" w:rsidP="00F4158E">
      <w:pPr>
        <w:rPr>
          <w:rFonts w:ascii="Arial" w:hAnsi="Arial" w:cs="Arial"/>
          <w:sz w:val="22"/>
        </w:rPr>
      </w:pPr>
      <w:r w:rsidRPr="00234F08">
        <w:rPr>
          <w:rFonts w:ascii="Arial" w:hAnsi="Arial" w:cs="Arial"/>
          <w:sz w:val="22"/>
        </w:rPr>
        <w:t xml:space="preserve">Primary data is defined as information that is collected by the researcher directly to serve the purposes of the research study, and secondary data is the information collected by others to serve other purposes and then to be reused in the new analysis </w:t>
      </w:r>
      <w:r w:rsidR="00594635" w:rsidRPr="00234F08">
        <w:rPr>
          <w:rFonts w:ascii="Arial" w:hAnsi="Arial" w:cs="Arial"/>
          <w:sz w:val="22"/>
        </w:rPr>
        <w:fldChar w:fldCharType="begin" w:fldLock="1"/>
      </w:r>
      <w:r w:rsidR="00534278" w:rsidRPr="00234F08">
        <w:rPr>
          <w:rFonts w:ascii="Arial" w:hAnsi="Arial" w:cs="Arial"/>
          <w:sz w:val="22"/>
        </w:rPr>
        <w:instrText>ADDIN CSL_CITATION {"citationItems":[{"id":"ITEM-1","itemData":{"author":[{"dropping-particle":"","family":"Creswell","given":"John W","non-dropping-particle":"","parse-names":false,"suffix":""},{"dropping-particle":"","family":"Creswell","given":"J David","non-dropping-particle":"","parse-names":false,"suffix":""}],"edition":"6","id":"ITEM-1","issued":{"date-parts":[["2023"]]},"publisher":"Sage PP  - Los Angeles","title":"Research Design: Qualitative, Quantitative &amp; Mixed Methods Approaches","type":"book"},"uris":["http://www.mendeley.com/documents/?uuid=ccc7e982-fa07-49f0-b6dd-3c0deb2700af"]}],"mendeley":{"formattedCitation":"(Creswell and Creswell, 2023)","plainTextFormattedCitation":"(Creswell and Creswell, 2023)","previouslyFormattedCitation":"(Creswell and Creswell, 2023)"},"properties":{"noteIndex":0},"schema":"https://github.com/citation-style-language/schema/raw/master/csl-citation.json"}</w:instrText>
      </w:r>
      <w:r w:rsidR="00594635" w:rsidRPr="00234F08">
        <w:rPr>
          <w:rFonts w:ascii="Arial" w:hAnsi="Arial" w:cs="Arial"/>
          <w:sz w:val="22"/>
        </w:rPr>
        <w:fldChar w:fldCharType="separate"/>
      </w:r>
      <w:r w:rsidR="00594635" w:rsidRPr="00234F08">
        <w:rPr>
          <w:rFonts w:ascii="Arial" w:hAnsi="Arial" w:cs="Arial"/>
          <w:noProof/>
          <w:sz w:val="22"/>
        </w:rPr>
        <w:t>(Creswell and Creswell, 2023)</w:t>
      </w:r>
      <w:r w:rsidR="00594635" w:rsidRPr="00234F08">
        <w:rPr>
          <w:rFonts w:ascii="Arial" w:hAnsi="Arial" w:cs="Arial"/>
          <w:sz w:val="22"/>
        </w:rPr>
        <w:fldChar w:fldCharType="end"/>
      </w:r>
      <w:r w:rsidRPr="00234F08">
        <w:rPr>
          <w:rFonts w:ascii="Arial" w:hAnsi="Arial" w:cs="Arial"/>
          <w:sz w:val="22"/>
        </w:rPr>
        <w:t>. The sources of secondary data in health and social care may be NHS Digital datasets or Age UK population surveys, but the primary data may be collected by creating original interviews or observations of service users or staff.</w:t>
      </w:r>
    </w:p>
    <w:p w14:paraId="0896F5A2" w14:textId="7925FADB" w:rsidR="00F4158E" w:rsidRPr="00234F08" w:rsidRDefault="00F4158E" w:rsidP="00F4158E">
      <w:pPr>
        <w:rPr>
          <w:rFonts w:ascii="Arial" w:hAnsi="Arial" w:cs="Arial"/>
          <w:sz w:val="22"/>
        </w:rPr>
      </w:pPr>
      <w:r w:rsidRPr="00234F08">
        <w:rPr>
          <w:rFonts w:ascii="Arial" w:hAnsi="Arial" w:cs="Arial"/>
          <w:sz w:val="22"/>
        </w:rPr>
        <w:t xml:space="preserve">In this case, semi-structured interviews with aged persons (65 years and above) are the most appropriate primary data collection method. The current secondary data fails to sufficiently represent the subjective, situated experience of digital exclusion in NHS service access, and </w:t>
      </w:r>
      <w:r w:rsidR="00594635" w:rsidRPr="00234F08">
        <w:rPr>
          <w:rFonts w:ascii="Arial" w:hAnsi="Arial" w:cs="Arial"/>
          <w:sz w:val="22"/>
        </w:rPr>
        <w:fldChar w:fldCharType="begin" w:fldLock="1"/>
      </w:r>
      <w:r w:rsidR="00594635" w:rsidRPr="00234F08">
        <w:rPr>
          <w:rFonts w:ascii="Arial" w:hAnsi="Arial" w:cs="Arial"/>
          <w:sz w:val="22"/>
        </w:rPr>
        <w:instrText>ADDIN CSL_CITATION {"citationItems":[{"id":"ITEM-1","itemData":{"DOI":"10.2196/70377","ISSN":"2561-7605 (Electronic)","PMID":"41468583","abstract":"BACKGROUND: Older adults make up the largest proportion of nonusers of the  internet. With the increasing digitalization of services, it is important to identify what interventions are effective at reducing digital exclusion in older adults. OBJECTIVE: We aimed to identify what evidence exists on the effectiveness of interventions to address digital exclusion in older adults. METHODS: This rapid review assessed the effectiveness of interventions to address digital exclusion in older adults aged 60 years or older. Searches were conducted in November 2023 across a range of databases and used supplementary search methods. Searches were limited to comparative studies published from 2018 onward in English. Data were analyzed using a narrative synthesis approach. RESULTS: A total of 21 studies were included that aimed to increase a range of digital literacy skills. Sample sizes ranged from 5 to 381. Intervention approaches varied considerably and were often multicomponent and undertaken in a variety of settings. There is evidence to suggest that a range of interventions can reduce physical, personal, and perceptual barriers and improve older adults' skills, knowledge, digital literacy, and perceived self-efficacy, reduce technophobia, and increase use of technology. Importantly, findings indicated improvements among a range of subpopulations, including those living in rural areas, at risk of social isolation, who are homebound, of lower socioeconomic groups, and individuals with visual impairment. To achieve improved and sustained digital inclusion in older adults, evidence suggests it may be important to ensure structural barriers, such as access to the internet and affordability of devices, are removed. However, all studies contained methodological limitations and may not be adequately powered to determine effectiveness. CONCLUSIONS: The evidence shows the potential benefits of interventions aimed at improving a range of digital skills and increasing technology use in older adults, which could help to address digital exclusion. The findings of this rapid review can inform the development and delivery of future interventions. However, it is important to consider the context in which the included interventions were used and the lack of certainty of the findings. This review also identified a lack of high-quality evidence, as all studies identified contained methodological limitations and may not have been adequately powered to determine effectiveness. In addi…","author":[{"dropping-particle":"","family":"Wale","given":"Alesha","non-dropping-particle":"","parse-names":false,"suffix":""},{"dropping-particle":"","family":"Everitt","given":"Jordan","non-dropping-particle":"","parse-names":false,"suffix":""},{"dropping-particle":"","family":"Ayres","given":"Toby","non-dropping-particle":"","parse-names":false,"suffix":""},{"dropping-particle":"","family":"Okolie","given":"Chukwudi","non-dropping-particle":"","parse-names":false,"suffix":""},{"dropping-particle":"","family":"Morgan","given":"Helen E","non-dropping-particle":"","parse-names":false,"suffix":""},{"dropping-particle":"","family":"Shaw","given":"Hannah","non-dropping-particle":"","parse-names":false,"suffix":""},{"dropping-particle":"","family":"Cooper","given":"Alison","non-dropping-particle":"","parse-names":false,"suffix":""},{"dropping-particle":"","family":"Edwards","given":"Adrian","non-dropping-particle":"","parse-names":false,"suffix":""},{"dropping-particle":"","family":"Lewis","given":"Ruth","non-dropping-particle":"","parse-names":false,"suffix":""}],"container-title":"JMIR aging","id":"ITEM-1","issued":{"date-parts":[["2025","12"]]},"language":"eng","page":"e70377","publisher-place":"Canada","title":"Effectiveness of Interventions for Addressing Digital Exclusion in Older Adults  in the Social Care Domain: Rapid Review.","type":"article-journal","volume":"8"},"uris":["http://www.mendeley.com/documents/?uuid=8943d745-2a3d-47f7-b4a3-9844424765b8"]}],"mendeley":{"formattedCitation":"(Wale &lt;i&gt;et al.&lt;/i&gt;, 2025)","manualFormatting":"Wale et al. (2025)","plainTextFormattedCitation":"(Wale et al., 2025)","previouslyFormattedCitation":"(Wale &lt;i&gt;et al.&lt;/i&gt;, 2025)"},"properties":{"noteIndex":0},"schema":"https://github.com/citation-style-language/schema/raw/master/csl-citation.json"}</w:instrText>
      </w:r>
      <w:r w:rsidR="00594635" w:rsidRPr="00234F08">
        <w:rPr>
          <w:rFonts w:ascii="Arial" w:hAnsi="Arial" w:cs="Arial"/>
          <w:sz w:val="22"/>
        </w:rPr>
        <w:fldChar w:fldCharType="separate"/>
      </w:r>
      <w:r w:rsidR="00594635" w:rsidRPr="00234F08">
        <w:rPr>
          <w:rFonts w:ascii="Arial" w:hAnsi="Arial" w:cs="Arial"/>
          <w:noProof/>
          <w:sz w:val="22"/>
        </w:rPr>
        <w:t xml:space="preserve">Wale </w:t>
      </w:r>
      <w:r w:rsidR="00594635" w:rsidRPr="00234F08">
        <w:rPr>
          <w:rFonts w:ascii="Arial" w:hAnsi="Arial" w:cs="Arial"/>
          <w:i/>
          <w:noProof/>
          <w:sz w:val="22"/>
        </w:rPr>
        <w:t>et al.</w:t>
      </w:r>
      <w:r w:rsidR="00594635" w:rsidRPr="00234F08">
        <w:rPr>
          <w:rFonts w:ascii="Arial" w:hAnsi="Arial" w:cs="Arial"/>
          <w:noProof/>
          <w:sz w:val="22"/>
        </w:rPr>
        <w:t xml:space="preserve"> (2025)</w:t>
      </w:r>
      <w:r w:rsidR="00594635" w:rsidRPr="00234F08">
        <w:rPr>
          <w:rFonts w:ascii="Arial" w:hAnsi="Arial" w:cs="Arial"/>
          <w:sz w:val="22"/>
        </w:rPr>
        <w:fldChar w:fldCharType="end"/>
      </w:r>
      <w:r w:rsidRPr="00234F08">
        <w:rPr>
          <w:rFonts w:ascii="Arial" w:hAnsi="Arial" w:cs="Arial"/>
          <w:sz w:val="22"/>
        </w:rPr>
        <w:t xml:space="preserve"> clearly state that this is a major shortcoming of the current evidence base. Semi-structured interviews are flexible but have the thematic consistency, allowing the participants to describe experiences in their words </w:t>
      </w:r>
      <w:r w:rsidR="00594635" w:rsidRPr="00234F08">
        <w:rPr>
          <w:rFonts w:ascii="Arial" w:hAnsi="Arial" w:cs="Arial"/>
          <w:sz w:val="22"/>
        </w:rPr>
        <w:fldChar w:fldCharType="begin" w:fldLock="1"/>
      </w:r>
      <w:r w:rsidR="00594635" w:rsidRPr="00234F08">
        <w:rPr>
          <w:rFonts w:ascii="Arial" w:hAnsi="Arial" w:cs="Arial"/>
          <w:sz w:val="22"/>
        </w:rPr>
        <w:instrText>ADDIN CSL_CITATION {"citationItems":[{"id":"ITEM-1","itemData":{"ISBN":"100317292X","author":[{"dropping-particle":"","family":"Silverman","given":"Robert Mark","non-dropping-particle":"","parse-names":false,"suffix":""},{"dropping-particle":"","family":"Patterson","given":"Kelly","non-dropping-particle":"","parse-names":false,"suffix":""}],"id":"ITEM-1","issued":{"date-parts":[["2021"]]},"publisher":"Routledge","title":"Qualitative research methods for community development","type":"book"},"uris":["http://www.mendeley.com/documents/?uuid=22cdd13f-3261-4ef1-bdae-5e37b9659d5f"]}],"mendeley":{"formattedCitation":"(Silverman and Patterson, 2021)","plainTextFormattedCitation":"(Silverman and Patterson, 2021)","previouslyFormattedCitation":"(Silverman and Patterson, 2021)"},"properties":{"noteIndex":0},"schema":"https://github.com/citation-style-language/schema/raw/master/csl-citation.json"}</w:instrText>
      </w:r>
      <w:r w:rsidR="00594635" w:rsidRPr="00234F08">
        <w:rPr>
          <w:rFonts w:ascii="Arial" w:hAnsi="Arial" w:cs="Arial"/>
          <w:sz w:val="22"/>
        </w:rPr>
        <w:fldChar w:fldCharType="separate"/>
      </w:r>
      <w:r w:rsidR="00594635" w:rsidRPr="00234F08">
        <w:rPr>
          <w:rFonts w:ascii="Arial" w:hAnsi="Arial" w:cs="Arial"/>
          <w:noProof/>
          <w:sz w:val="22"/>
        </w:rPr>
        <w:t>(Silverman and Patterson, 2021)</w:t>
      </w:r>
      <w:r w:rsidR="00594635" w:rsidRPr="00234F08">
        <w:rPr>
          <w:rFonts w:ascii="Arial" w:hAnsi="Arial" w:cs="Arial"/>
          <w:sz w:val="22"/>
        </w:rPr>
        <w:fldChar w:fldCharType="end"/>
      </w:r>
      <w:r w:rsidRPr="00234F08">
        <w:rPr>
          <w:rFonts w:ascii="Arial" w:hAnsi="Arial" w:cs="Arial"/>
          <w:sz w:val="22"/>
        </w:rPr>
        <w:t>.</w:t>
      </w:r>
    </w:p>
    <w:p w14:paraId="28E6E412" w14:textId="0F46C566" w:rsidR="00093CA6" w:rsidRPr="00234F08" w:rsidRDefault="00F4158E" w:rsidP="00F4158E">
      <w:pPr>
        <w:rPr>
          <w:rFonts w:ascii="Arial" w:hAnsi="Arial" w:cs="Arial"/>
          <w:sz w:val="22"/>
        </w:rPr>
      </w:pPr>
      <w:r w:rsidRPr="00234F08">
        <w:rPr>
          <w:rFonts w:ascii="Arial" w:hAnsi="Arial" w:cs="Arial"/>
          <w:sz w:val="22"/>
        </w:rPr>
        <w:lastRenderedPageBreak/>
        <w:t xml:space="preserve">This is the main benefit of such an approach: the richness and contextual specificity of the produced data, which allows authentic participant voice. Nevertheless, some difficulties are to be considered: the small samples could restrict the generalizability of the results; researcher bias presents a threat to the validity; and recruiting older adults with cognitive frailty or isolation begs significant questions regarding capacity, consent, and protection </w:t>
      </w:r>
      <w:r w:rsidR="00594635" w:rsidRPr="00234F08">
        <w:rPr>
          <w:rFonts w:ascii="Arial" w:hAnsi="Arial" w:cs="Arial"/>
          <w:sz w:val="22"/>
        </w:rPr>
        <w:fldChar w:fldCharType="begin" w:fldLock="1"/>
      </w:r>
      <w:r w:rsidR="00594635" w:rsidRPr="00234F08">
        <w:rPr>
          <w:rFonts w:ascii="Arial" w:hAnsi="Arial" w:cs="Arial"/>
          <w:sz w:val="22"/>
        </w:rPr>
        <w:instrText>ADDIN CSL_CITATION {"citationItems":[{"id":"ITEM-1","itemData":{"DOI":"10.1186/s44247-025-00163-7","ISSN":"2731-684X","abstract":"Older persons’ use of digital technology is becoming more prominent due to society’s heavy reliance on mobile and web applications. A positive attitude has been detected among older persons regarding the use of mobile solutions. Digital technology is increasingly used in the provision of health and social care, which can help older persons continue to be independent, and in turn can contribute to older persons’ overall well-being and sense of safety. However, current digital technology has been found to be difficult for older persons. Additional explorations into older persons’ experiences using digital technology are therefore relevant.","author":[{"dropping-particle":"","family":"Emmesjö","given":"Lina","non-dropping-particle":"","parse-names":false,"suffix":""},{"dropping-particle":"","family":"Hallgren","given":"Jenny","non-dropping-particle":"","parse-names":false,"suffix":""},{"dropping-particle":"","family":"Gillsjö","given":"Catharina","non-dropping-particle":"","parse-names":false,"suffix":""}],"container-title":"BMC Digital Health","id":"ITEM-1","issue":"1","issued":{"date-parts":[["2025"]]},"page":"24","title":"Older adults’ digital technology experiences: a qualitative study","type":"article-journal","volume":"3"},"uris":["http://www.mendeley.com/documents/?uuid=c167c0d9-2ca7-4c33-834c-dd9d8b6f15b8"]}],"mendeley":{"formattedCitation":"(Emmesjö, Hallgren and Gillsjö, 2025)","plainTextFormattedCitation":"(Emmesjö, Hallgren and Gillsjö, 2025)","previouslyFormattedCitation":"(Emmesjö, Hallgren and Gillsjö, 2025)"},"properties":{"noteIndex":0},"schema":"https://github.com/citation-style-language/schema/raw/master/csl-citation.json"}</w:instrText>
      </w:r>
      <w:r w:rsidR="00594635" w:rsidRPr="00234F08">
        <w:rPr>
          <w:rFonts w:ascii="Arial" w:hAnsi="Arial" w:cs="Arial"/>
          <w:sz w:val="22"/>
        </w:rPr>
        <w:fldChar w:fldCharType="separate"/>
      </w:r>
      <w:r w:rsidR="00594635" w:rsidRPr="00234F08">
        <w:rPr>
          <w:rFonts w:ascii="Arial" w:hAnsi="Arial" w:cs="Arial"/>
          <w:noProof/>
          <w:sz w:val="22"/>
        </w:rPr>
        <w:t>(Emmesjö, Hallgren and Gillsjö, 2025)</w:t>
      </w:r>
      <w:r w:rsidR="00594635" w:rsidRPr="00234F08">
        <w:rPr>
          <w:rFonts w:ascii="Arial" w:hAnsi="Arial" w:cs="Arial"/>
          <w:sz w:val="22"/>
        </w:rPr>
        <w:fldChar w:fldCharType="end"/>
      </w:r>
      <w:r w:rsidR="00093CA6" w:rsidRPr="00234F08">
        <w:rPr>
          <w:rFonts w:ascii="Arial" w:hAnsi="Arial" w:cs="Arial"/>
          <w:sz w:val="22"/>
        </w:rPr>
        <w:t>.</w:t>
      </w:r>
    </w:p>
    <w:p w14:paraId="65FCE541" w14:textId="6B3AEE4B" w:rsidR="00093CA6" w:rsidRPr="00234F08" w:rsidRDefault="00234F08" w:rsidP="00234F08">
      <w:pPr>
        <w:pStyle w:val="Heading1"/>
        <w:rPr>
          <w:rFonts w:ascii="Arial" w:hAnsi="Arial" w:cs="Arial"/>
          <w:sz w:val="22"/>
          <w:szCs w:val="22"/>
        </w:rPr>
      </w:pPr>
      <w:bookmarkStart w:id="5" w:name="_Toc224229157"/>
      <w:r w:rsidRPr="00234F08">
        <w:rPr>
          <w:rFonts w:ascii="Arial" w:hAnsi="Arial" w:cs="Arial"/>
          <w:sz w:val="22"/>
          <w:szCs w:val="22"/>
        </w:rPr>
        <w:t>CONCLUSION</w:t>
      </w:r>
      <w:bookmarkEnd w:id="5"/>
    </w:p>
    <w:p w14:paraId="65D53C49" w14:textId="0ABA5DCE" w:rsidR="00534278" w:rsidRPr="00234F08" w:rsidRDefault="00F4158E" w:rsidP="00093CA6">
      <w:pPr>
        <w:rPr>
          <w:rFonts w:ascii="Arial" w:hAnsi="Arial" w:cs="Arial"/>
          <w:sz w:val="22"/>
        </w:rPr>
      </w:pPr>
      <w:r w:rsidRPr="00234F08">
        <w:rPr>
          <w:rFonts w:ascii="Arial" w:hAnsi="Arial" w:cs="Arial"/>
          <w:sz w:val="22"/>
        </w:rPr>
        <w:t xml:space="preserve">Digital exclusion in older adults is one of the most acute and under-represented equity issues in the contemporary health and social care context in the UK. This report has outlined the magnitude and importance of the problem, critically assessed three major pieces of evidence, and supported the argument that a qualitative, primary data approach is the best model to explore it in a meaningful way. Age, lack of digital literacy, and </w:t>
      </w:r>
      <w:proofErr w:type="spellStart"/>
      <w:r w:rsidRPr="00234F08">
        <w:rPr>
          <w:rFonts w:ascii="Arial" w:hAnsi="Arial" w:cs="Arial"/>
          <w:sz w:val="22"/>
        </w:rPr>
        <w:t>institutionalised</w:t>
      </w:r>
      <w:proofErr w:type="spellEnd"/>
      <w:r w:rsidRPr="00234F08">
        <w:rPr>
          <w:rFonts w:ascii="Arial" w:hAnsi="Arial" w:cs="Arial"/>
          <w:sz w:val="22"/>
        </w:rPr>
        <w:t xml:space="preserve"> digital-first policy will interact to increase inequality among one of the most vulnerable groups in society. More rigorous, participant-</w:t>
      </w:r>
      <w:proofErr w:type="spellStart"/>
      <w:r w:rsidRPr="00234F08">
        <w:rPr>
          <w:rFonts w:ascii="Arial" w:hAnsi="Arial" w:cs="Arial"/>
          <w:sz w:val="22"/>
        </w:rPr>
        <w:t>centred</w:t>
      </w:r>
      <w:proofErr w:type="spellEnd"/>
      <w:r w:rsidRPr="00234F08">
        <w:rPr>
          <w:rFonts w:ascii="Arial" w:hAnsi="Arial" w:cs="Arial"/>
          <w:sz w:val="22"/>
        </w:rPr>
        <w:t xml:space="preserve"> studies, especially those that give a voice to underrepresented older adults, are necessary, however, to ensure that health and social care services can continue to be truly accessible to all.</w:t>
      </w:r>
    </w:p>
    <w:p w14:paraId="2AAD5578" w14:textId="77777777" w:rsidR="00534278" w:rsidRPr="00234F08" w:rsidRDefault="00534278">
      <w:pPr>
        <w:spacing w:line="259" w:lineRule="auto"/>
        <w:jc w:val="left"/>
        <w:rPr>
          <w:rFonts w:ascii="Arial" w:hAnsi="Arial" w:cs="Arial"/>
          <w:sz w:val="22"/>
        </w:rPr>
      </w:pPr>
      <w:r w:rsidRPr="00234F08">
        <w:rPr>
          <w:rFonts w:ascii="Arial" w:hAnsi="Arial" w:cs="Arial"/>
          <w:sz w:val="22"/>
        </w:rPr>
        <w:br w:type="page"/>
      </w:r>
    </w:p>
    <w:p w14:paraId="2B44D55F" w14:textId="676E8F30" w:rsidR="007C5767" w:rsidRPr="00234F08" w:rsidRDefault="00234F08" w:rsidP="00234F08">
      <w:pPr>
        <w:pStyle w:val="Heading1"/>
        <w:rPr>
          <w:rFonts w:ascii="Arial" w:hAnsi="Arial" w:cs="Arial"/>
          <w:sz w:val="22"/>
          <w:szCs w:val="22"/>
        </w:rPr>
      </w:pPr>
      <w:bookmarkStart w:id="6" w:name="_Toc224229158"/>
      <w:r w:rsidRPr="00234F08">
        <w:rPr>
          <w:rFonts w:ascii="Arial" w:hAnsi="Arial" w:cs="Arial"/>
          <w:sz w:val="22"/>
          <w:szCs w:val="22"/>
        </w:rPr>
        <w:lastRenderedPageBreak/>
        <w:t>REFERENCES</w:t>
      </w:r>
      <w:bookmarkEnd w:id="6"/>
    </w:p>
    <w:p w14:paraId="79BE6893" w14:textId="7588D32D" w:rsidR="001059A5" w:rsidRPr="00234F08" w:rsidRDefault="00534278"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sz w:val="22"/>
        </w:rPr>
        <w:fldChar w:fldCharType="begin" w:fldLock="1"/>
      </w:r>
      <w:r w:rsidRPr="00234F08">
        <w:rPr>
          <w:rFonts w:ascii="Arial" w:hAnsi="Arial" w:cs="Arial"/>
          <w:sz w:val="22"/>
        </w:rPr>
        <w:instrText xml:space="preserve">ADDIN Mendeley Bibliography CSL_BIBLIOGRAPHY </w:instrText>
      </w:r>
      <w:r w:rsidRPr="00234F08">
        <w:rPr>
          <w:rFonts w:ascii="Arial" w:hAnsi="Arial" w:cs="Arial"/>
          <w:sz w:val="22"/>
        </w:rPr>
        <w:fldChar w:fldCharType="separate"/>
      </w:r>
      <w:r w:rsidR="001059A5" w:rsidRPr="00234F08">
        <w:rPr>
          <w:rFonts w:ascii="Arial" w:hAnsi="Arial" w:cs="Arial"/>
          <w:noProof/>
          <w:kern w:val="0"/>
          <w:sz w:val="22"/>
        </w:rPr>
        <w:t xml:space="preserve">Age UK (2025) </w:t>
      </w:r>
      <w:r w:rsidR="001059A5" w:rsidRPr="00234F08">
        <w:rPr>
          <w:rFonts w:ascii="Arial" w:hAnsi="Arial" w:cs="Arial"/>
          <w:i/>
          <w:iCs/>
          <w:noProof/>
          <w:kern w:val="0"/>
          <w:sz w:val="22"/>
        </w:rPr>
        <w:t>Deprivation of liberty safeguards</w:t>
      </w:r>
      <w:r w:rsidR="001059A5" w:rsidRPr="00234F08">
        <w:rPr>
          <w:rFonts w:ascii="Arial" w:hAnsi="Arial" w:cs="Arial"/>
          <w:noProof/>
          <w:kern w:val="0"/>
          <w:sz w:val="22"/>
        </w:rPr>
        <w:t xml:space="preserve">, </w:t>
      </w:r>
      <w:r w:rsidR="001059A5" w:rsidRPr="00234F08">
        <w:rPr>
          <w:rFonts w:ascii="Arial" w:hAnsi="Arial" w:cs="Arial"/>
          <w:i/>
          <w:iCs/>
          <w:noProof/>
          <w:kern w:val="0"/>
          <w:sz w:val="22"/>
        </w:rPr>
        <w:t>A Companion to Criminal Justice, Mental Health &amp; Risk</w:t>
      </w:r>
      <w:r w:rsidR="001059A5" w:rsidRPr="00234F08">
        <w:rPr>
          <w:rFonts w:ascii="Arial" w:hAnsi="Arial" w:cs="Arial"/>
          <w:noProof/>
          <w:kern w:val="0"/>
          <w:sz w:val="22"/>
        </w:rPr>
        <w:t>. Available at: https://doi.org/10.1177/1755738019885398.</w:t>
      </w:r>
    </w:p>
    <w:p w14:paraId="18BED0F5"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AgeUK (2024) </w:t>
      </w:r>
      <w:r w:rsidRPr="00234F08">
        <w:rPr>
          <w:rFonts w:ascii="Arial" w:hAnsi="Arial" w:cs="Arial"/>
          <w:i/>
          <w:iCs/>
          <w:noProof/>
          <w:kern w:val="0"/>
          <w:sz w:val="22"/>
        </w:rPr>
        <w:t>Offline and Overlooked: Digital exclusion and its impact on older people</w:t>
      </w:r>
      <w:r w:rsidRPr="00234F08">
        <w:rPr>
          <w:rFonts w:ascii="Arial" w:hAnsi="Arial" w:cs="Arial"/>
          <w:noProof/>
          <w:kern w:val="0"/>
          <w:sz w:val="22"/>
        </w:rPr>
        <w:t>.</w:t>
      </w:r>
    </w:p>
    <w:p w14:paraId="6B62FCBA"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Creswell, J.W. and Creswell, J.D. (2023) </w:t>
      </w:r>
      <w:r w:rsidRPr="00234F08">
        <w:rPr>
          <w:rFonts w:ascii="Arial" w:hAnsi="Arial" w:cs="Arial"/>
          <w:i/>
          <w:iCs/>
          <w:noProof/>
          <w:kern w:val="0"/>
          <w:sz w:val="22"/>
        </w:rPr>
        <w:t>Research Design: Qualitative, Quantitative &amp; Mixed Methods Approaches</w:t>
      </w:r>
      <w:r w:rsidRPr="00234F08">
        <w:rPr>
          <w:rFonts w:ascii="Arial" w:hAnsi="Arial" w:cs="Arial"/>
          <w:noProof/>
          <w:kern w:val="0"/>
          <w:sz w:val="22"/>
        </w:rPr>
        <w:t>. 6th edn. Sage PP  - Los Angeles.</w:t>
      </w:r>
    </w:p>
    <w:p w14:paraId="4F864E7A"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Emmesjö, L., Hallgren, J. and Gillsjö, C. (2025) ‘Older adults’ digital technology experiences: a qualitative study’, </w:t>
      </w:r>
      <w:r w:rsidRPr="00234F08">
        <w:rPr>
          <w:rFonts w:ascii="Arial" w:hAnsi="Arial" w:cs="Arial"/>
          <w:i/>
          <w:iCs/>
          <w:noProof/>
          <w:kern w:val="0"/>
          <w:sz w:val="22"/>
        </w:rPr>
        <w:t>BMC Digital Health</w:t>
      </w:r>
      <w:r w:rsidRPr="00234F08">
        <w:rPr>
          <w:rFonts w:ascii="Arial" w:hAnsi="Arial" w:cs="Arial"/>
          <w:noProof/>
          <w:kern w:val="0"/>
          <w:sz w:val="22"/>
        </w:rPr>
        <w:t>, 3(1), p. 24. Available at: https://doi.org/10.1186/s44247-025-00163-7.</w:t>
      </w:r>
    </w:p>
    <w:p w14:paraId="6E7D6F2A"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Ge, H. </w:t>
      </w:r>
      <w:r w:rsidRPr="00234F08">
        <w:rPr>
          <w:rFonts w:ascii="Arial" w:hAnsi="Arial" w:cs="Arial"/>
          <w:i/>
          <w:iCs/>
          <w:noProof/>
          <w:kern w:val="0"/>
          <w:sz w:val="22"/>
        </w:rPr>
        <w:t>et al.</w:t>
      </w:r>
      <w:r w:rsidRPr="00234F08">
        <w:rPr>
          <w:rFonts w:ascii="Arial" w:hAnsi="Arial" w:cs="Arial"/>
          <w:noProof/>
          <w:kern w:val="0"/>
          <w:sz w:val="22"/>
        </w:rPr>
        <w:t xml:space="preserve"> (2025) ‘Digital exclusion in older adults: A scoping review’, </w:t>
      </w:r>
      <w:r w:rsidRPr="00234F08">
        <w:rPr>
          <w:rFonts w:ascii="Arial" w:hAnsi="Arial" w:cs="Arial"/>
          <w:i/>
          <w:iCs/>
          <w:noProof/>
          <w:kern w:val="0"/>
          <w:sz w:val="22"/>
        </w:rPr>
        <w:t>International Journal of Nursing Studies</w:t>
      </w:r>
      <w:r w:rsidRPr="00234F08">
        <w:rPr>
          <w:rFonts w:ascii="Arial" w:hAnsi="Arial" w:cs="Arial"/>
          <w:noProof/>
          <w:kern w:val="0"/>
          <w:sz w:val="22"/>
        </w:rPr>
        <w:t>, 168, p. 105082. Available at: https://doi.org/https://doi.org/10.1016/j.ijnurstu.2025.105082.</w:t>
      </w:r>
    </w:p>
    <w:p w14:paraId="5D1E9E16"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Hepburn, J., Williams, L. and McCann, L. (2025) ‘Barriers to and Facilitators of Digital Health Technology Adoption Among Older Adults With Chronic Diseases: Updated Systematic Review’, </w:t>
      </w:r>
      <w:r w:rsidRPr="00234F08">
        <w:rPr>
          <w:rFonts w:ascii="Arial" w:hAnsi="Arial" w:cs="Arial"/>
          <w:i/>
          <w:iCs/>
          <w:noProof/>
          <w:kern w:val="0"/>
          <w:sz w:val="22"/>
        </w:rPr>
        <w:t>JMIR Aging</w:t>
      </w:r>
      <w:r w:rsidRPr="00234F08">
        <w:rPr>
          <w:rFonts w:ascii="Arial" w:hAnsi="Arial" w:cs="Arial"/>
          <w:noProof/>
          <w:kern w:val="0"/>
          <w:sz w:val="22"/>
        </w:rPr>
        <w:t>, 8, p. e80000. Available at: https://doi.org/10.2196/80000.</w:t>
      </w:r>
    </w:p>
    <w:p w14:paraId="7AA38755"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Johnson, K. and Boland, B. (2019) ‘Adult Safeguarding under the Care Act 2014’, </w:t>
      </w:r>
      <w:r w:rsidRPr="00234F08">
        <w:rPr>
          <w:rFonts w:ascii="Arial" w:hAnsi="Arial" w:cs="Arial"/>
          <w:i/>
          <w:iCs/>
          <w:noProof/>
          <w:kern w:val="0"/>
          <w:sz w:val="22"/>
        </w:rPr>
        <w:t>BJPsych Bulletin</w:t>
      </w:r>
      <w:r w:rsidRPr="00234F08">
        <w:rPr>
          <w:rFonts w:ascii="Arial" w:hAnsi="Arial" w:cs="Arial"/>
          <w:noProof/>
          <w:kern w:val="0"/>
          <w:sz w:val="22"/>
        </w:rPr>
        <w:t>, 43(1), pp. 38–42. Available at: https://doi.org/10.1192/bjb.2018.71.</w:t>
      </w:r>
    </w:p>
    <w:p w14:paraId="6E8BC3CF"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Neve, G. </w:t>
      </w:r>
      <w:r w:rsidRPr="00234F08">
        <w:rPr>
          <w:rFonts w:ascii="Arial" w:hAnsi="Arial" w:cs="Arial"/>
          <w:i/>
          <w:iCs/>
          <w:noProof/>
          <w:kern w:val="0"/>
          <w:sz w:val="22"/>
        </w:rPr>
        <w:t>et al.</w:t>
      </w:r>
      <w:r w:rsidRPr="00234F08">
        <w:rPr>
          <w:rFonts w:ascii="Arial" w:hAnsi="Arial" w:cs="Arial"/>
          <w:noProof/>
          <w:kern w:val="0"/>
          <w:sz w:val="22"/>
        </w:rPr>
        <w:t xml:space="preserve"> (2020) ‘Digital health in primary care: risks and recommendations.’, </w:t>
      </w:r>
      <w:r w:rsidRPr="00234F08">
        <w:rPr>
          <w:rFonts w:ascii="Arial" w:hAnsi="Arial" w:cs="Arial"/>
          <w:i/>
          <w:iCs/>
          <w:noProof/>
          <w:kern w:val="0"/>
          <w:sz w:val="22"/>
        </w:rPr>
        <w:t>The British journal of general practice : the journal of the Royal College of  General Practitioners</w:t>
      </w:r>
      <w:r w:rsidRPr="00234F08">
        <w:rPr>
          <w:rFonts w:ascii="Arial" w:hAnsi="Arial" w:cs="Arial"/>
          <w:noProof/>
          <w:kern w:val="0"/>
          <w:sz w:val="22"/>
        </w:rPr>
        <w:t>, 70(701), pp. 609–610. Available at: https://doi.org/10.3399/bjgp20X713837.</w:t>
      </w:r>
    </w:p>
    <w:p w14:paraId="02E3C6D4"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NHS (2025) </w:t>
      </w:r>
      <w:r w:rsidRPr="00234F08">
        <w:rPr>
          <w:rFonts w:ascii="Arial" w:hAnsi="Arial" w:cs="Arial"/>
          <w:i/>
          <w:iCs/>
          <w:noProof/>
          <w:kern w:val="0"/>
          <w:sz w:val="22"/>
        </w:rPr>
        <w:t>10 Year Health Plan for En</w:t>
      </w:r>
      <w:bookmarkStart w:id="7" w:name="_GoBack"/>
      <w:bookmarkEnd w:id="7"/>
      <w:r w:rsidRPr="00234F08">
        <w:rPr>
          <w:rFonts w:ascii="Arial" w:hAnsi="Arial" w:cs="Arial"/>
          <w:i/>
          <w:iCs/>
          <w:noProof/>
          <w:kern w:val="0"/>
          <w:sz w:val="22"/>
        </w:rPr>
        <w:t>gland: Fit For the Future</w:t>
      </w:r>
      <w:r w:rsidRPr="00234F08">
        <w:rPr>
          <w:rFonts w:ascii="Arial" w:hAnsi="Arial" w:cs="Arial"/>
          <w:noProof/>
          <w:kern w:val="0"/>
          <w:sz w:val="22"/>
        </w:rPr>
        <w:t>. Available at: https://www.gov.uk/government/publications/10-year-health-plan-for-england-fit-for-the-future.</w:t>
      </w:r>
    </w:p>
    <w:p w14:paraId="774F5268"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Park, J. and Park, M. (2016) ‘Qualitative versus Quantitative Research Methods: Discovery or Justification?’, </w:t>
      </w:r>
      <w:r w:rsidRPr="00234F08">
        <w:rPr>
          <w:rFonts w:ascii="Arial" w:hAnsi="Arial" w:cs="Arial"/>
          <w:i/>
          <w:iCs/>
          <w:noProof/>
          <w:kern w:val="0"/>
          <w:sz w:val="22"/>
        </w:rPr>
        <w:t>Journal of Marketing Thought</w:t>
      </w:r>
      <w:r w:rsidRPr="00234F08">
        <w:rPr>
          <w:rFonts w:ascii="Arial" w:hAnsi="Arial" w:cs="Arial"/>
          <w:noProof/>
          <w:kern w:val="0"/>
          <w:sz w:val="22"/>
        </w:rPr>
        <w:t>, 3(1), pp. 1–7. Available at: https://doi.org/10.15577/jmt.2015.02.01.4.</w:t>
      </w:r>
    </w:p>
    <w:p w14:paraId="3919641C"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Silverman, R.M. and Patterson, K. (2021) </w:t>
      </w:r>
      <w:r w:rsidRPr="00234F08">
        <w:rPr>
          <w:rFonts w:ascii="Arial" w:hAnsi="Arial" w:cs="Arial"/>
          <w:i/>
          <w:iCs/>
          <w:noProof/>
          <w:kern w:val="0"/>
          <w:sz w:val="22"/>
        </w:rPr>
        <w:t>Qualitative research methods for community development</w:t>
      </w:r>
      <w:r w:rsidRPr="00234F08">
        <w:rPr>
          <w:rFonts w:ascii="Arial" w:hAnsi="Arial" w:cs="Arial"/>
          <w:noProof/>
          <w:kern w:val="0"/>
          <w:sz w:val="22"/>
        </w:rPr>
        <w:t>. Routledge.</w:t>
      </w:r>
    </w:p>
    <w:p w14:paraId="1E224830" w14:textId="77777777" w:rsidR="001059A5" w:rsidRPr="00234F08" w:rsidRDefault="001059A5" w:rsidP="00994876">
      <w:pPr>
        <w:widowControl w:val="0"/>
        <w:autoSpaceDE w:val="0"/>
        <w:autoSpaceDN w:val="0"/>
        <w:adjustRightInd w:val="0"/>
        <w:spacing w:line="240" w:lineRule="auto"/>
        <w:jc w:val="left"/>
        <w:rPr>
          <w:rFonts w:ascii="Arial" w:hAnsi="Arial" w:cs="Arial"/>
          <w:noProof/>
          <w:sz w:val="22"/>
        </w:rPr>
      </w:pPr>
      <w:r w:rsidRPr="00234F08">
        <w:rPr>
          <w:rFonts w:ascii="Arial" w:hAnsi="Arial" w:cs="Arial"/>
          <w:noProof/>
          <w:kern w:val="0"/>
          <w:sz w:val="22"/>
        </w:rPr>
        <w:t xml:space="preserve">Wale, A. </w:t>
      </w:r>
      <w:r w:rsidRPr="00234F08">
        <w:rPr>
          <w:rFonts w:ascii="Arial" w:hAnsi="Arial" w:cs="Arial"/>
          <w:i/>
          <w:iCs/>
          <w:noProof/>
          <w:kern w:val="0"/>
          <w:sz w:val="22"/>
        </w:rPr>
        <w:t>et al.</w:t>
      </w:r>
      <w:r w:rsidRPr="00234F08">
        <w:rPr>
          <w:rFonts w:ascii="Arial" w:hAnsi="Arial" w:cs="Arial"/>
          <w:noProof/>
          <w:kern w:val="0"/>
          <w:sz w:val="22"/>
        </w:rPr>
        <w:t xml:space="preserve"> (2025) ‘Effectiveness of Interventions for Addressing Digital Exclusion in Older Adults  in the Social Care Domain: Rapid Review.’, </w:t>
      </w:r>
      <w:r w:rsidRPr="00234F08">
        <w:rPr>
          <w:rFonts w:ascii="Arial" w:hAnsi="Arial" w:cs="Arial"/>
          <w:i/>
          <w:iCs/>
          <w:noProof/>
          <w:kern w:val="0"/>
          <w:sz w:val="22"/>
        </w:rPr>
        <w:t>JMIR aging</w:t>
      </w:r>
      <w:r w:rsidRPr="00234F08">
        <w:rPr>
          <w:rFonts w:ascii="Arial" w:hAnsi="Arial" w:cs="Arial"/>
          <w:noProof/>
          <w:kern w:val="0"/>
          <w:sz w:val="22"/>
        </w:rPr>
        <w:t>, 8, p. e70377. Available at: https://doi.org/10.2196/70377.</w:t>
      </w:r>
    </w:p>
    <w:p w14:paraId="0EED44F9" w14:textId="793E9516" w:rsidR="00534278" w:rsidRPr="00234F08" w:rsidRDefault="00534278" w:rsidP="00994876">
      <w:pPr>
        <w:spacing w:line="240" w:lineRule="auto"/>
        <w:jc w:val="left"/>
        <w:rPr>
          <w:rFonts w:ascii="Arial" w:hAnsi="Arial" w:cs="Arial"/>
          <w:sz w:val="22"/>
        </w:rPr>
      </w:pPr>
      <w:r w:rsidRPr="00234F08">
        <w:rPr>
          <w:rFonts w:ascii="Arial" w:hAnsi="Arial" w:cs="Arial"/>
          <w:sz w:val="22"/>
        </w:rPr>
        <w:fldChar w:fldCharType="end"/>
      </w:r>
    </w:p>
    <w:sectPr w:rsidR="00534278" w:rsidRPr="00234F0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ptos Display">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5767"/>
    <w:rsid w:val="00085EC5"/>
    <w:rsid w:val="00093CA6"/>
    <w:rsid w:val="001059A5"/>
    <w:rsid w:val="00137160"/>
    <w:rsid w:val="001852B6"/>
    <w:rsid w:val="00234F08"/>
    <w:rsid w:val="00262F6D"/>
    <w:rsid w:val="00275D61"/>
    <w:rsid w:val="002905C6"/>
    <w:rsid w:val="0030244F"/>
    <w:rsid w:val="003137DC"/>
    <w:rsid w:val="00410355"/>
    <w:rsid w:val="00502FB6"/>
    <w:rsid w:val="00534278"/>
    <w:rsid w:val="00561313"/>
    <w:rsid w:val="0058519F"/>
    <w:rsid w:val="00594635"/>
    <w:rsid w:val="005F5D97"/>
    <w:rsid w:val="007C5767"/>
    <w:rsid w:val="007D0297"/>
    <w:rsid w:val="0087381C"/>
    <w:rsid w:val="008A31EA"/>
    <w:rsid w:val="00967CB9"/>
    <w:rsid w:val="00994876"/>
    <w:rsid w:val="009E2ACC"/>
    <w:rsid w:val="00AC058F"/>
    <w:rsid w:val="00B045F8"/>
    <w:rsid w:val="00B450C4"/>
    <w:rsid w:val="00BD014B"/>
    <w:rsid w:val="00CB53FB"/>
    <w:rsid w:val="00D35DA7"/>
    <w:rsid w:val="00D44D1C"/>
    <w:rsid w:val="00D635C8"/>
    <w:rsid w:val="00EA66A6"/>
    <w:rsid w:val="00F4158E"/>
    <w:rsid w:val="00F63157"/>
    <w:rsid w:val="00FA1417"/>
    <w:rsid w:val="00FB40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639D8"/>
  <w15:chartTrackingRefBased/>
  <w15:docId w15:val="{6FD481C2-F5A0-48AE-9621-2D5B74F66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35C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34F08"/>
    <w:pPr>
      <w:keepNext/>
      <w:keepLines/>
      <w:spacing w:before="240" w:after="0"/>
      <w:outlineLvl w:val="0"/>
    </w:pPr>
    <w:rPr>
      <w:rFonts w:eastAsiaTheme="majorEastAsia" w:cstheme="majorBidi"/>
      <w:b/>
      <w:szCs w:val="32"/>
    </w:rPr>
  </w:style>
  <w:style w:type="paragraph" w:styleId="Heading2">
    <w:name w:val="heading 2"/>
    <w:link w:val="Heading2Char"/>
    <w:autoRedefine/>
    <w:uiPriority w:val="9"/>
    <w:unhideWhenUsed/>
    <w:qFormat/>
    <w:rsid w:val="00085EC5"/>
    <w:pPr>
      <w:spacing w:after="0" w:line="240" w:lineRule="auto"/>
      <w:jc w:val="center"/>
      <w:outlineLvl w:val="1"/>
    </w:pPr>
    <w:rPr>
      <w:rFonts w:ascii="Times New Roman" w:eastAsia="Times New Roman" w:hAnsi="Times New Roman" w:cs="Times New Roman"/>
      <w:b/>
      <w:kern w:val="0"/>
      <w:sz w:val="24"/>
      <w:szCs w:val="26"/>
      <w14:ligatures w14:val="none"/>
    </w:rPr>
  </w:style>
  <w:style w:type="paragraph" w:styleId="Heading3">
    <w:name w:val="heading 3"/>
    <w:basedOn w:val="Normal"/>
    <w:next w:val="Normal"/>
    <w:link w:val="Heading3Char"/>
    <w:autoRedefine/>
    <w:qFormat/>
    <w:rsid w:val="00137160"/>
    <w:pPr>
      <w:keepNext/>
      <w:keepLines/>
      <w:spacing w:before="40" w:after="0"/>
      <w:outlineLvl w:val="2"/>
    </w:pPr>
    <w:rPr>
      <w:rFonts w:eastAsia="Calibri" w:cs="Calibri"/>
      <w:b/>
      <w:szCs w:val="24"/>
    </w:rPr>
  </w:style>
  <w:style w:type="paragraph" w:styleId="Heading4">
    <w:name w:val="heading 4"/>
    <w:aliases w:val="List of Figures"/>
    <w:basedOn w:val="Normal"/>
    <w:link w:val="Heading4Char"/>
    <w:autoRedefine/>
    <w:qFormat/>
    <w:rsid w:val="007D0297"/>
    <w:pPr>
      <w:spacing w:line="240" w:lineRule="auto"/>
      <w:outlineLvl w:val="3"/>
    </w:pPr>
    <w:rPr>
      <w:sz w:val="20"/>
    </w:rPr>
  </w:style>
  <w:style w:type="paragraph" w:styleId="Heading5">
    <w:name w:val="heading 5"/>
    <w:basedOn w:val="Normal"/>
    <w:next w:val="Normal"/>
    <w:link w:val="Heading5Char"/>
    <w:uiPriority w:val="9"/>
    <w:semiHidden/>
    <w:unhideWhenUsed/>
    <w:qFormat/>
    <w:rsid w:val="007C5767"/>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7C576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C576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C576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C576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4F08"/>
    <w:rPr>
      <w:rFonts w:ascii="Times New Roman" w:eastAsiaTheme="majorEastAsia" w:hAnsi="Times New Roman" w:cstheme="majorBidi"/>
      <w:b/>
      <w:sz w:val="24"/>
      <w:szCs w:val="32"/>
    </w:rPr>
  </w:style>
  <w:style w:type="character" w:customStyle="1" w:styleId="Heading4Char">
    <w:name w:val="Heading 4 Char"/>
    <w:aliases w:val="List of Figures Char"/>
    <w:basedOn w:val="DefaultParagraphFont"/>
    <w:link w:val="Heading4"/>
    <w:rsid w:val="007D0297"/>
    <w:rPr>
      <w:rFonts w:ascii="Times New Roman" w:hAnsi="Times New Roman"/>
      <w:sz w:val="20"/>
    </w:rPr>
  </w:style>
  <w:style w:type="character" w:customStyle="1" w:styleId="Heading2Char">
    <w:name w:val="Heading 2 Char"/>
    <w:basedOn w:val="DefaultParagraphFont"/>
    <w:link w:val="Heading2"/>
    <w:uiPriority w:val="9"/>
    <w:rsid w:val="00085EC5"/>
    <w:rPr>
      <w:rFonts w:ascii="Times New Roman" w:eastAsia="Times New Roman" w:hAnsi="Times New Roman" w:cs="Times New Roman"/>
      <w:b/>
      <w:kern w:val="0"/>
      <w:sz w:val="24"/>
      <w:szCs w:val="26"/>
      <w14:ligatures w14:val="none"/>
    </w:rPr>
  </w:style>
  <w:style w:type="character" w:customStyle="1" w:styleId="Heading3Char">
    <w:name w:val="Heading 3 Char"/>
    <w:basedOn w:val="DefaultParagraphFont"/>
    <w:link w:val="Heading3"/>
    <w:rsid w:val="00137160"/>
    <w:rPr>
      <w:rFonts w:ascii="Times New Roman" w:eastAsia="Calibri" w:hAnsi="Times New Roman" w:cs="Calibri"/>
      <w:b/>
      <w:sz w:val="24"/>
      <w:szCs w:val="24"/>
    </w:rPr>
  </w:style>
  <w:style w:type="paragraph" w:customStyle="1" w:styleId="ListofTables">
    <w:name w:val="List of Tables"/>
    <w:basedOn w:val="Normal"/>
    <w:link w:val="ListofTablesChar"/>
    <w:autoRedefine/>
    <w:qFormat/>
    <w:rsid w:val="00410355"/>
    <w:pPr>
      <w:spacing w:after="0"/>
    </w:pPr>
    <w:rPr>
      <w:b/>
      <w:sz w:val="20"/>
    </w:rPr>
  </w:style>
  <w:style w:type="character" w:customStyle="1" w:styleId="ListofTablesChar">
    <w:name w:val="List of Tables Char"/>
    <w:basedOn w:val="DefaultParagraphFont"/>
    <w:link w:val="ListofTables"/>
    <w:rsid w:val="00410355"/>
    <w:rPr>
      <w:rFonts w:ascii="Times New Roman" w:hAnsi="Times New Roman"/>
      <w:b/>
      <w:sz w:val="20"/>
    </w:rPr>
  </w:style>
  <w:style w:type="character" w:customStyle="1" w:styleId="Heading5Char">
    <w:name w:val="Heading 5 Char"/>
    <w:basedOn w:val="DefaultParagraphFont"/>
    <w:link w:val="Heading5"/>
    <w:uiPriority w:val="9"/>
    <w:semiHidden/>
    <w:rsid w:val="007C5767"/>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7C5767"/>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C5767"/>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C5767"/>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C5767"/>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C57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57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576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57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5767"/>
    <w:pPr>
      <w:spacing w:before="160"/>
      <w:jc w:val="center"/>
    </w:pPr>
    <w:rPr>
      <w:i/>
      <w:iCs/>
      <w:color w:val="404040" w:themeColor="text1" w:themeTint="BF"/>
    </w:rPr>
  </w:style>
  <w:style w:type="character" w:customStyle="1" w:styleId="QuoteChar">
    <w:name w:val="Quote Char"/>
    <w:basedOn w:val="DefaultParagraphFont"/>
    <w:link w:val="Quote"/>
    <w:uiPriority w:val="29"/>
    <w:rsid w:val="007C5767"/>
    <w:rPr>
      <w:rFonts w:ascii="Times New Roman" w:hAnsi="Times New Roman"/>
      <w:i/>
      <w:iCs/>
      <w:color w:val="404040" w:themeColor="text1" w:themeTint="BF"/>
      <w:sz w:val="24"/>
    </w:rPr>
  </w:style>
  <w:style w:type="paragraph" w:styleId="ListParagraph">
    <w:name w:val="List Paragraph"/>
    <w:basedOn w:val="Normal"/>
    <w:uiPriority w:val="34"/>
    <w:qFormat/>
    <w:rsid w:val="007C5767"/>
    <w:pPr>
      <w:ind w:left="720"/>
      <w:contextualSpacing/>
    </w:pPr>
  </w:style>
  <w:style w:type="character" w:styleId="IntenseEmphasis">
    <w:name w:val="Intense Emphasis"/>
    <w:basedOn w:val="DefaultParagraphFont"/>
    <w:uiPriority w:val="21"/>
    <w:qFormat/>
    <w:rsid w:val="007C5767"/>
    <w:rPr>
      <w:i/>
      <w:iCs/>
      <w:color w:val="2E74B5" w:themeColor="accent1" w:themeShade="BF"/>
    </w:rPr>
  </w:style>
  <w:style w:type="paragraph" w:styleId="IntenseQuote">
    <w:name w:val="Intense Quote"/>
    <w:basedOn w:val="Normal"/>
    <w:next w:val="Normal"/>
    <w:link w:val="IntenseQuoteChar"/>
    <w:uiPriority w:val="30"/>
    <w:qFormat/>
    <w:rsid w:val="007C576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C5767"/>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7C5767"/>
    <w:rPr>
      <w:b/>
      <w:bCs/>
      <w:smallCaps/>
      <w:color w:val="2E74B5" w:themeColor="accent1" w:themeShade="BF"/>
      <w:spacing w:val="5"/>
    </w:rPr>
  </w:style>
  <w:style w:type="character" w:styleId="Hyperlink">
    <w:name w:val="Hyperlink"/>
    <w:basedOn w:val="DefaultParagraphFont"/>
    <w:uiPriority w:val="99"/>
    <w:unhideWhenUsed/>
    <w:rsid w:val="0058519F"/>
    <w:rPr>
      <w:color w:val="0563C1" w:themeColor="hyperlink"/>
      <w:u w:val="single"/>
    </w:rPr>
  </w:style>
  <w:style w:type="character" w:customStyle="1" w:styleId="UnresolvedMention">
    <w:name w:val="Unresolved Mention"/>
    <w:basedOn w:val="DefaultParagraphFont"/>
    <w:uiPriority w:val="99"/>
    <w:semiHidden/>
    <w:unhideWhenUsed/>
    <w:rsid w:val="0058519F"/>
    <w:rPr>
      <w:color w:val="605E5C"/>
      <w:shd w:val="clear" w:color="auto" w:fill="E1DFDD"/>
    </w:rPr>
  </w:style>
  <w:style w:type="paragraph" w:styleId="TOCHeading">
    <w:name w:val="TOC Heading"/>
    <w:basedOn w:val="Heading1"/>
    <w:next w:val="Normal"/>
    <w:uiPriority w:val="39"/>
    <w:unhideWhenUsed/>
    <w:qFormat/>
    <w:rsid w:val="00234F08"/>
    <w:pPr>
      <w:spacing w:line="259" w:lineRule="auto"/>
      <w:jc w:val="left"/>
      <w:outlineLvl w:val="9"/>
    </w:pPr>
    <w:rPr>
      <w:rFonts w:asciiTheme="majorHAnsi" w:hAnsiTheme="majorHAnsi"/>
      <w:b w:val="0"/>
      <w:color w:val="2E74B5" w:themeColor="accent1" w:themeShade="BF"/>
      <w:kern w:val="0"/>
      <w:sz w:val="32"/>
      <w14:ligatures w14:val="none"/>
    </w:rPr>
  </w:style>
  <w:style w:type="paragraph" w:styleId="TOC1">
    <w:name w:val="toc 1"/>
    <w:basedOn w:val="Normal"/>
    <w:next w:val="Normal"/>
    <w:autoRedefine/>
    <w:uiPriority w:val="39"/>
    <w:unhideWhenUsed/>
    <w:rsid w:val="00234F0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936187">
      <w:bodyDiv w:val="1"/>
      <w:marLeft w:val="0"/>
      <w:marRight w:val="0"/>
      <w:marTop w:val="0"/>
      <w:marBottom w:val="0"/>
      <w:divBdr>
        <w:top w:val="none" w:sz="0" w:space="0" w:color="auto"/>
        <w:left w:val="none" w:sz="0" w:space="0" w:color="auto"/>
        <w:bottom w:val="none" w:sz="0" w:space="0" w:color="auto"/>
        <w:right w:val="none" w:sz="0" w:space="0" w:color="auto"/>
      </w:divBdr>
    </w:div>
    <w:div w:id="149103453">
      <w:bodyDiv w:val="1"/>
      <w:marLeft w:val="0"/>
      <w:marRight w:val="0"/>
      <w:marTop w:val="0"/>
      <w:marBottom w:val="0"/>
      <w:divBdr>
        <w:top w:val="none" w:sz="0" w:space="0" w:color="auto"/>
        <w:left w:val="none" w:sz="0" w:space="0" w:color="auto"/>
        <w:bottom w:val="none" w:sz="0" w:space="0" w:color="auto"/>
        <w:right w:val="none" w:sz="0" w:space="0" w:color="auto"/>
      </w:divBdr>
    </w:div>
    <w:div w:id="220142553">
      <w:bodyDiv w:val="1"/>
      <w:marLeft w:val="0"/>
      <w:marRight w:val="0"/>
      <w:marTop w:val="0"/>
      <w:marBottom w:val="0"/>
      <w:divBdr>
        <w:top w:val="none" w:sz="0" w:space="0" w:color="auto"/>
        <w:left w:val="none" w:sz="0" w:space="0" w:color="auto"/>
        <w:bottom w:val="none" w:sz="0" w:space="0" w:color="auto"/>
        <w:right w:val="none" w:sz="0" w:space="0" w:color="auto"/>
      </w:divBdr>
    </w:div>
    <w:div w:id="464196980">
      <w:bodyDiv w:val="1"/>
      <w:marLeft w:val="0"/>
      <w:marRight w:val="0"/>
      <w:marTop w:val="0"/>
      <w:marBottom w:val="0"/>
      <w:divBdr>
        <w:top w:val="none" w:sz="0" w:space="0" w:color="auto"/>
        <w:left w:val="none" w:sz="0" w:space="0" w:color="auto"/>
        <w:bottom w:val="none" w:sz="0" w:space="0" w:color="auto"/>
        <w:right w:val="none" w:sz="0" w:space="0" w:color="auto"/>
      </w:divBdr>
    </w:div>
    <w:div w:id="613095674">
      <w:bodyDiv w:val="1"/>
      <w:marLeft w:val="0"/>
      <w:marRight w:val="0"/>
      <w:marTop w:val="0"/>
      <w:marBottom w:val="0"/>
      <w:divBdr>
        <w:top w:val="none" w:sz="0" w:space="0" w:color="auto"/>
        <w:left w:val="none" w:sz="0" w:space="0" w:color="auto"/>
        <w:bottom w:val="none" w:sz="0" w:space="0" w:color="auto"/>
        <w:right w:val="none" w:sz="0" w:space="0" w:color="auto"/>
      </w:divBdr>
    </w:div>
    <w:div w:id="635064806">
      <w:bodyDiv w:val="1"/>
      <w:marLeft w:val="0"/>
      <w:marRight w:val="0"/>
      <w:marTop w:val="0"/>
      <w:marBottom w:val="0"/>
      <w:divBdr>
        <w:top w:val="none" w:sz="0" w:space="0" w:color="auto"/>
        <w:left w:val="none" w:sz="0" w:space="0" w:color="auto"/>
        <w:bottom w:val="none" w:sz="0" w:space="0" w:color="auto"/>
        <w:right w:val="none" w:sz="0" w:space="0" w:color="auto"/>
      </w:divBdr>
    </w:div>
    <w:div w:id="1396972581">
      <w:bodyDiv w:val="1"/>
      <w:marLeft w:val="0"/>
      <w:marRight w:val="0"/>
      <w:marTop w:val="0"/>
      <w:marBottom w:val="0"/>
      <w:divBdr>
        <w:top w:val="none" w:sz="0" w:space="0" w:color="auto"/>
        <w:left w:val="none" w:sz="0" w:space="0" w:color="auto"/>
        <w:bottom w:val="none" w:sz="0" w:space="0" w:color="auto"/>
        <w:right w:val="none" w:sz="0" w:space="0" w:color="auto"/>
      </w:divBdr>
    </w:div>
    <w:div w:id="1449354731">
      <w:bodyDiv w:val="1"/>
      <w:marLeft w:val="0"/>
      <w:marRight w:val="0"/>
      <w:marTop w:val="0"/>
      <w:marBottom w:val="0"/>
      <w:divBdr>
        <w:top w:val="none" w:sz="0" w:space="0" w:color="auto"/>
        <w:left w:val="none" w:sz="0" w:space="0" w:color="auto"/>
        <w:bottom w:val="none" w:sz="0" w:space="0" w:color="auto"/>
        <w:right w:val="none" w:sz="0" w:space="0" w:color="auto"/>
      </w:divBdr>
      <w:divsChild>
        <w:div w:id="1905797065">
          <w:marLeft w:val="0"/>
          <w:marRight w:val="0"/>
          <w:marTop w:val="0"/>
          <w:marBottom w:val="0"/>
          <w:divBdr>
            <w:top w:val="none" w:sz="0" w:space="0" w:color="auto"/>
            <w:left w:val="none" w:sz="0" w:space="0" w:color="auto"/>
            <w:bottom w:val="none" w:sz="0" w:space="0" w:color="auto"/>
            <w:right w:val="none" w:sz="0" w:space="0" w:color="auto"/>
          </w:divBdr>
          <w:divsChild>
            <w:div w:id="1310014561">
              <w:marLeft w:val="0"/>
              <w:marRight w:val="0"/>
              <w:marTop w:val="0"/>
              <w:marBottom w:val="0"/>
              <w:divBdr>
                <w:top w:val="none" w:sz="0" w:space="0" w:color="auto"/>
                <w:left w:val="none" w:sz="0" w:space="0" w:color="auto"/>
                <w:bottom w:val="none" w:sz="0" w:space="0" w:color="auto"/>
                <w:right w:val="none" w:sz="0" w:space="0" w:color="auto"/>
              </w:divBdr>
            </w:div>
          </w:divsChild>
        </w:div>
        <w:div w:id="2040280551">
          <w:marLeft w:val="0"/>
          <w:marRight w:val="0"/>
          <w:marTop w:val="0"/>
          <w:marBottom w:val="0"/>
          <w:divBdr>
            <w:top w:val="none" w:sz="0" w:space="0" w:color="auto"/>
            <w:left w:val="none" w:sz="0" w:space="0" w:color="auto"/>
            <w:bottom w:val="none" w:sz="0" w:space="0" w:color="auto"/>
            <w:right w:val="none" w:sz="0" w:space="0" w:color="auto"/>
          </w:divBdr>
          <w:divsChild>
            <w:div w:id="1510758666">
              <w:marLeft w:val="0"/>
              <w:marRight w:val="0"/>
              <w:marTop w:val="0"/>
              <w:marBottom w:val="0"/>
              <w:divBdr>
                <w:top w:val="none" w:sz="0" w:space="0" w:color="auto"/>
                <w:left w:val="none" w:sz="0" w:space="0" w:color="auto"/>
                <w:bottom w:val="none" w:sz="0" w:space="0" w:color="auto"/>
                <w:right w:val="none" w:sz="0" w:space="0" w:color="auto"/>
              </w:divBdr>
            </w:div>
          </w:divsChild>
        </w:div>
        <w:div w:id="1343699783">
          <w:marLeft w:val="0"/>
          <w:marRight w:val="0"/>
          <w:marTop w:val="0"/>
          <w:marBottom w:val="0"/>
          <w:divBdr>
            <w:top w:val="none" w:sz="0" w:space="0" w:color="auto"/>
            <w:left w:val="none" w:sz="0" w:space="0" w:color="auto"/>
            <w:bottom w:val="none" w:sz="0" w:space="0" w:color="auto"/>
            <w:right w:val="none" w:sz="0" w:space="0" w:color="auto"/>
          </w:divBdr>
          <w:divsChild>
            <w:div w:id="57292923">
              <w:marLeft w:val="0"/>
              <w:marRight w:val="0"/>
              <w:marTop w:val="0"/>
              <w:marBottom w:val="0"/>
              <w:divBdr>
                <w:top w:val="none" w:sz="0" w:space="0" w:color="auto"/>
                <w:left w:val="none" w:sz="0" w:space="0" w:color="auto"/>
                <w:bottom w:val="none" w:sz="0" w:space="0" w:color="auto"/>
                <w:right w:val="none" w:sz="0" w:space="0" w:color="auto"/>
              </w:divBdr>
            </w:div>
          </w:divsChild>
        </w:div>
        <w:div w:id="857039432">
          <w:marLeft w:val="0"/>
          <w:marRight w:val="0"/>
          <w:marTop w:val="0"/>
          <w:marBottom w:val="0"/>
          <w:divBdr>
            <w:top w:val="none" w:sz="0" w:space="0" w:color="auto"/>
            <w:left w:val="none" w:sz="0" w:space="0" w:color="auto"/>
            <w:bottom w:val="none" w:sz="0" w:space="0" w:color="auto"/>
            <w:right w:val="none" w:sz="0" w:space="0" w:color="auto"/>
          </w:divBdr>
          <w:divsChild>
            <w:div w:id="987781598">
              <w:marLeft w:val="0"/>
              <w:marRight w:val="0"/>
              <w:marTop w:val="0"/>
              <w:marBottom w:val="0"/>
              <w:divBdr>
                <w:top w:val="none" w:sz="0" w:space="0" w:color="auto"/>
                <w:left w:val="none" w:sz="0" w:space="0" w:color="auto"/>
                <w:bottom w:val="none" w:sz="0" w:space="0" w:color="auto"/>
                <w:right w:val="none" w:sz="0" w:space="0" w:color="auto"/>
              </w:divBdr>
            </w:div>
          </w:divsChild>
        </w:div>
        <w:div w:id="1228682483">
          <w:marLeft w:val="0"/>
          <w:marRight w:val="0"/>
          <w:marTop w:val="0"/>
          <w:marBottom w:val="0"/>
          <w:divBdr>
            <w:top w:val="none" w:sz="0" w:space="0" w:color="auto"/>
            <w:left w:val="none" w:sz="0" w:space="0" w:color="auto"/>
            <w:bottom w:val="none" w:sz="0" w:space="0" w:color="auto"/>
            <w:right w:val="none" w:sz="0" w:space="0" w:color="auto"/>
          </w:divBdr>
          <w:divsChild>
            <w:div w:id="133521303">
              <w:marLeft w:val="0"/>
              <w:marRight w:val="0"/>
              <w:marTop w:val="0"/>
              <w:marBottom w:val="0"/>
              <w:divBdr>
                <w:top w:val="none" w:sz="0" w:space="0" w:color="auto"/>
                <w:left w:val="none" w:sz="0" w:space="0" w:color="auto"/>
                <w:bottom w:val="none" w:sz="0" w:space="0" w:color="auto"/>
                <w:right w:val="none" w:sz="0" w:space="0" w:color="auto"/>
              </w:divBdr>
            </w:div>
          </w:divsChild>
        </w:div>
        <w:div w:id="1573850748">
          <w:marLeft w:val="0"/>
          <w:marRight w:val="0"/>
          <w:marTop w:val="0"/>
          <w:marBottom w:val="0"/>
          <w:divBdr>
            <w:top w:val="none" w:sz="0" w:space="0" w:color="auto"/>
            <w:left w:val="none" w:sz="0" w:space="0" w:color="auto"/>
            <w:bottom w:val="none" w:sz="0" w:space="0" w:color="auto"/>
            <w:right w:val="none" w:sz="0" w:space="0" w:color="auto"/>
          </w:divBdr>
          <w:divsChild>
            <w:div w:id="1633167135">
              <w:marLeft w:val="0"/>
              <w:marRight w:val="0"/>
              <w:marTop w:val="0"/>
              <w:marBottom w:val="0"/>
              <w:divBdr>
                <w:top w:val="none" w:sz="0" w:space="0" w:color="auto"/>
                <w:left w:val="none" w:sz="0" w:space="0" w:color="auto"/>
                <w:bottom w:val="none" w:sz="0" w:space="0" w:color="auto"/>
                <w:right w:val="none" w:sz="0" w:space="0" w:color="auto"/>
              </w:divBdr>
            </w:div>
          </w:divsChild>
        </w:div>
        <w:div w:id="2082171731">
          <w:marLeft w:val="0"/>
          <w:marRight w:val="0"/>
          <w:marTop w:val="0"/>
          <w:marBottom w:val="0"/>
          <w:divBdr>
            <w:top w:val="none" w:sz="0" w:space="0" w:color="auto"/>
            <w:left w:val="none" w:sz="0" w:space="0" w:color="auto"/>
            <w:bottom w:val="none" w:sz="0" w:space="0" w:color="auto"/>
            <w:right w:val="none" w:sz="0" w:space="0" w:color="auto"/>
          </w:divBdr>
          <w:divsChild>
            <w:div w:id="1146051257">
              <w:marLeft w:val="0"/>
              <w:marRight w:val="0"/>
              <w:marTop w:val="0"/>
              <w:marBottom w:val="0"/>
              <w:divBdr>
                <w:top w:val="none" w:sz="0" w:space="0" w:color="auto"/>
                <w:left w:val="none" w:sz="0" w:space="0" w:color="auto"/>
                <w:bottom w:val="none" w:sz="0" w:space="0" w:color="auto"/>
                <w:right w:val="none" w:sz="0" w:space="0" w:color="auto"/>
              </w:divBdr>
            </w:div>
          </w:divsChild>
        </w:div>
        <w:div w:id="1599438202">
          <w:marLeft w:val="0"/>
          <w:marRight w:val="0"/>
          <w:marTop w:val="0"/>
          <w:marBottom w:val="0"/>
          <w:divBdr>
            <w:top w:val="none" w:sz="0" w:space="0" w:color="auto"/>
            <w:left w:val="none" w:sz="0" w:space="0" w:color="auto"/>
            <w:bottom w:val="none" w:sz="0" w:space="0" w:color="auto"/>
            <w:right w:val="none" w:sz="0" w:space="0" w:color="auto"/>
          </w:divBdr>
          <w:divsChild>
            <w:div w:id="74670009">
              <w:marLeft w:val="0"/>
              <w:marRight w:val="0"/>
              <w:marTop w:val="0"/>
              <w:marBottom w:val="0"/>
              <w:divBdr>
                <w:top w:val="none" w:sz="0" w:space="0" w:color="auto"/>
                <w:left w:val="none" w:sz="0" w:space="0" w:color="auto"/>
                <w:bottom w:val="none" w:sz="0" w:space="0" w:color="auto"/>
                <w:right w:val="none" w:sz="0" w:space="0" w:color="auto"/>
              </w:divBdr>
            </w:div>
          </w:divsChild>
        </w:div>
        <w:div w:id="1841771860">
          <w:marLeft w:val="0"/>
          <w:marRight w:val="0"/>
          <w:marTop w:val="0"/>
          <w:marBottom w:val="0"/>
          <w:divBdr>
            <w:top w:val="none" w:sz="0" w:space="0" w:color="auto"/>
            <w:left w:val="none" w:sz="0" w:space="0" w:color="auto"/>
            <w:bottom w:val="none" w:sz="0" w:space="0" w:color="auto"/>
            <w:right w:val="none" w:sz="0" w:space="0" w:color="auto"/>
          </w:divBdr>
          <w:divsChild>
            <w:div w:id="1314220602">
              <w:marLeft w:val="0"/>
              <w:marRight w:val="0"/>
              <w:marTop w:val="0"/>
              <w:marBottom w:val="0"/>
              <w:divBdr>
                <w:top w:val="none" w:sz="0" w:space="0" w:color="auto"/>
                <w:left w:val="none" w:sz="0" w:space="0" w:color="auto"/>
                <w:bottom w:val="none" w:sz="0" w:space="0" w:color="auto"/>
                <w:right w:val="none" w:sz="0" w:space="0" w:color="auto"/>
              </w:divBdr>
            </w:div>
          </w:divsChild>
        </w:div>
        <w:div w:id="71855464">
          <w:marLeft w:val="0"/>
          <w:marRight w:val="0"/>
          <w:marTop w:val="0"/>
          <w:marBottom w:val="0"/>
          <w:divBdr>
            <w:top w:val="none" w:sz="0" w:space="0" w:color="auto"/>
            <w:left w:val="none" w:sz="0" w:space="0" w:color="auto"/>
            <w:bottom w:val="none" w:sz="0" w:space="0" w:color="auto"/>
            <w:right w:val="none" w:sz="0" w:space="0" w:color="auto"/>
          </w:divBdr>
          <w:divsChild>
            <w:div w:id="2023700841">
              <w:marLeft w:val="0"/>
              <w:marRight w:val="0"/>
              <w:marTop w:val="0"/>
              <w:marBottom w:val="0"/>
              <w:divBdr>
                <w:top w:val="none" w:sz="0" w:space="0" w:color="auto"/>
                <w:left w:val="none" w:sz="0" w:space="0" w:color="auto"/>
                <w:bottom w:val="none" w:sz="0" w:space="0" w:color="auto"/>
                <w:right w:val="none" w:sz="0" w:space="0" w:color="auto"/>
              </w:divBdr>
            </w:div>
          </w:divsChild>
        </w:div>
        <w:div w:id="981076721">
          <w:marLeft w:val="0"/>
          <w:marRight w:val="0"/>
          <w:marTop w:val="0"/>
          <w:marBottom w:val="0"/>
          <w:divBdr>
            <w:top w:val="none" w:sz="0" w:space="0" w:color="auto"/>
            <w:left w:val="none" w:sz="0" w:space="0" w:color="auto"/>
            <w:bottom w:val="none" w:sz="0" w:space="0" w:color="auto"/>
            <w:right w:val="none" w:sz="0" w:space="0" w:color="auto"/>
          </w:divBdr>
          <w:divsChild>
            <w:div w:id="1284077604">
              <w:marLeft w:val="0"/>
              <w:marRight w:val="0"/>
              <w:marTop w:val="0"/>
              <w:marBottom w:val="0"/>
              <w:divBdr>
                <w:top w:val="none" w:sz="0" w:space="0" w:color="auto"/>
                <w:left w:val="none" w:sz="0" w:space="0" w:color="auto"/>
                <w:bottom w:val="none" w:sz="0" w:space="0" w:color="auto"/>
                <w:right w:val="none" w:sz="0" w:space="0" w:color="auto"/>
              </w:divBdr>
            </w:div>
          </w:divsChild>
        </w:div>
        <w:div w:id="1458766302">
          <w:marLeft w:val="0"/>
          <w:marRight w:val="0"/>
          <w:marTop w:val="0"/>
          <w:marBottom w:val="0"/>
          <w:divBdr>
            <w:top w:val="none" w:sz="0" w:space="0" w:color="auto"/>
            <w:left w:val="none" w:sz="0" w:space="0" w:color="auto"/>
            <w:bottom w:val="none" w:sz="0" w:space="0" w:color="auto"/>
            <w:right w:val="none" w:sz="0" w:space="0" w:color="auto"/>
          </w:divBdr>
          <w:divsChild>
            <w:div w:id="1095637616">
              <w:marLeft w:val="0"/>
              <w:marRight w:val="0"/>
              <w:marTop w:val="0"/>
              <w:marBottom w:val="0"/>
              <w:divBdr>
                <w:top w:val="none" w:sz="0" w:space="0" w:color="auto"/>
                <w:left w:val="none" w:sz="0" w:space="0" w:color="auto"/>
                <w:bottom w:val="none" w:sz="0" w:space="0" w:color="auto"/>
                <w:right w:val="none" w:sz="0" w:space="0" w:color="auto"/>
              </w:divBdr>
            </w:div>
          </w:divsChild>
        </w:div>
        <w:div w:id="1908689110">
          <w:marLeft w:val="0"/>
          <w:marRight w:val="0"/>
          <w:marTop w:val="0"/>
          <w:marBottom w:val="0"/>
          <w:divBdr>
            <w:top w:val="none" w:sz="0" w:space="0" w:color="auto"/>
            <w:left w:val="none" w:sz="0" w:space="0" w:color="auto"/>
            <w:bottom w:val="none" w:sz="0" w:space="0" w:color="auto"/>
            <w:right w:val="none" w:sz="0" w:space="0" w:color="auto"/>
          </w:divBdr>
          <w:divsChild>
            <w:div w:id="77097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483730">
      <w:bodyDiv w:val="1"/>
      <w:marLeft w:val="0"/>
      <w:marRight w:val="0"/>
      <w:marTop w:val="0"/>
      <w:marBottom w:val="0"/>
      <w:divBdr>
        <w:top w:val="none" w:sz="0" w:space="0" w:color="auto"/>
        <w:left w:val="none" w:sz="0" w:space="0" w:color="auto"/>
        <w:bottom w:val="none" w:sz="0" w:space="0" w:color="auto"/>
        <w:right w:val="none" w:sz="0" w:space="0" w:color="auto"/>
      </w:divBdr>
    </w:div>
    <w:div w:id="1529946780">
      <w:bodyDiv w:val="1"/>
      <w:marLeft w:val="0"/>
      <w:marRight w:val="0"/>
      <w:marTop w:val="0"/>
      <w:marBottom w:val="0"/>
      <w:divBdr>
        <w:top w:val="none" w:sz="0" w:space="0" w:color="auto"/>
        <w:left w:val="none" w:sz="0" w:space="0" w:color="auto"/>
        <w:bottom w:val="none" w:sz="0" w:space="0" w:color="auto"/>
        <w:right w:val="none" w:sz="0" w:space="0" w:color="auto"/>
      </w:divBdr>
    </w:div>
    <w:div w:id="1633051201">
      <w:bodyDiv w:val="1"/>
      <w:marLeft w:val="0"/>
      <w:marRight w:val="0"/>
      <w:marTop w:val="0"/>
      <w:marBottom w:val="0"/>
      <w:divBdr>
        <w:top w:val="none" w:sz="0" w:space="0" w:color="auto"/>
        <w:left w:val="none" w:sz="0" w:space="0" w:color="auto"/>
        <w:bottom w:val="none" w:sz="0" w:space="0" w:color="auto"/>
        <w:right w:val="none" w:sz="0" w:space="0" w:color="auto"/>
      </w:divBdr>
      <w:divsChild>
        <w:div w:id="1244489441">
          <w:marLeft w:val="0"/>
          <w:marRight w:val="0"/>
          <w:marTop w:val="0"/>
          <w:marBottom w:val="0"/>
          <w:divBdr>
            <w:top w:val="none" w:sz="0" w:space="0" w:color="auto"/>
            <w:left w:val="none" w:sz="0" w:space="0" w:color="auto"/>
            <w:bottom w:val="none" w:sz="0" w:space="0" w:color="auto"/>
            <w:right w:val="none" w:sz="0" w:space="0" w:color="auto"/>
          </w:divBdr>
          <w:divsChild>
            <w:div w:id="1479879725">
              <w:marLeft w:val="0"/>
              <w:marRight w:val="0"/>
              <w:marTop w:val="0"/>
              <w:marBottom w:val="0"/>
              <w:divBdr>
                <w:top w:val="none" w:sz="0" w:space="0" w:color="auto"/>
                <w:left w:val="none" w:sz="0" w:space="0" w:color="auto"/>
                <w:bottom w:val="none" w:sz="0" w:space="0" w:color="auto"/>
                <w:right w:val="none" w:sz="0" w:space="0" w:color="auto"/>
              </w:divBdr>
            </w:div>
          </w:divsChild>
        </w:div>
        <w:div w:id="31075629">
          <w:marLeft w:val="0"/>
          <w:marRight w:val="0"/>
          <w:marTop w:val="0"/>
          <w:marBottom w:val="0"/>
          <w:divBdr>
            <w:top w:val="none" w:sz="0" w:space="0" w:color="auto"/>
            <w:left w:val="none" w:sz="0" w:space="0" w:color="auto"/>
            <w:bottom w:val="none" w:sz="0" w:space="0" w:color="auto"/>
            <w:right w:val="none" w:sz="0" w:space="0" w:color="auto"/>
          </w:divBdr>
          <w:divsChild>
            <w:div w:id="1827278575">
              <w:marLeft w:val="0"/>
              <w:marRight w:val="0"/>
              <w:marTop w:val="0"/>
              <w:marBottom w:val="0"/>
              <w:divBdr>
                <w:top w:val="none" w:sz="0" w:space="0" w:color="auto"/>
                <w:left w:val="none" w:sz="0" w:space="0" w:color="auto"/>
                <w:bottom w:val="none" w:sz="0" w:space="0" w:color="auto"/>
                <w:right w:val="none" w:sz="0" w:space="0" w:color="auto"/>
              </w:divBdr>
            </w:div>
          </w:divsChild>
        </w:div>
        <w:div w:id="1518469913">
          <w:marLeft w:val="0"/>
          <w:marRight w:val="0"/>
          <w:marTop w:val="0"/>
          <w:marBottom w:val="0"/>
          <w:divBdr>
            <w:top w:val="none" w:sz="0" w:space="0" w:color="auto"/>
            <w:left w:val="none" w:sz="0" w:space="0" w:color="auto"/>
            <w:bottom w:val="none" w:sz="0" w:space="0" w:color="auto"/>
            <w:right w:val="none" w:sz="0" w:space="0" w:color="auto"/>
          </w:divBdr>
          <w:divsChild>
            <w:div w:id="698891384">
              <w:marLeft w:val="0"/>
              <w:marRight w:val="0"/>
              <w:marTop w:val="0"/>
              <w:marBottom w:val="0"/>
              <w:divBdr>
                <w:top w:val="none" w:sz="0" w:space="0" w:color="auto"/>
                <w:left w:val="none" w:sz="0" w:space="0" w:color="auto"/>
                <w:bottom w:val="none" w:sz="0" w:space="0" w:color="auto"/>
                <w:right w:val="none" w:sz="0" w:space="0" w:color="auto"/>
              </w:divBdr>
            </w:div>
          </w:divsChild>
        </w:div>
        <w:div w:id="1305084259">
          <w:marLeft w:val="0"/>
          <w:marRight w:val="0"/>
          <w:marTop w:val="0"/>
          <w:marBottom w:val="0"/>
          <w:divBdr>
            <w:top w:val="none" w:sz="0" w:space="0" w:color="auto"/>
            <w:left w:val="none" w:sz="0" w:space="0" w:color="auto"/>
            <w:bottom w:val="none" w:sz="0" w:space="0" w:color="auto"/>
            <w:right w:val="none" w:sz="0" w:space="0" w:color="auto"/>
          </w:divBdr>
          <w:divsChild>
            <w:div w:id="1312250625">
              <w:marLeft w:val="0"/>
              <w:marRight w:val="0"/>
              <w:marTop w:val="0"/>
              <w:marBottom w:val="0"/>
              <w:divBdr>
                <w:top w:val="none" w:sz="0" w:space="0" w:color="auto"/>
                <w:left w:val="none" w:sz="0" w:space="0" w:color="auto"/>
                <w:bottom w:val="none" w:sz="0" w:space="0" w:color="auto"/>
                <w:right w:val="none" w:sz="0" w:space="0" w:color="auto"/>
              </w:divBdr>
            </w:div>
          </w:divsChild>
        </w:div>
        <w:div w:id="838892093">
          <w:marLeft w:val="0"/>
          <w:marRight w:val="0"/>
          <w:marTop w:val="0"/>
          <w:marBottom w:val="0"/>
          <w:divBdr>
            <w:top w:val="none" w:sz="0" w:space="0" w:color="auto"/>
            <w:left w:val="none" w:sz="0" w:space="0" w:color="auto"/>
            <w:bottom w:val="none" w:sz="0" w:space="0" w:color="auto"/>
            <w:right w:val="none" w:sz="0" w:space="0" w:color="auto"/>
          </w:divBdr>
          <w:divsChild>
            <w:div w:id="1105617301">
              <w:marLeft w:val="0"/>
              <w:marRight w:val="0"/>
              <w:marTop w:val="0"/>
              <w:marBottom w:val="0"/>
              <w:divBdr>
                <w:top w:val="none" w:sz="0" w:space="0" w:color="auto"/>
                <w:left w:val="none" w:sz="0" w:space="0" w:color="auto"/>
                <w:bottom w:val="none" w:sz="0" w:space="0" w:color="auto"/>
                <w:right w:val="none" w:sz="0" w:space="0" w:color="auto"/>
              </w:divBdr>
            </w:div>
          </w:divsChild>
        </w:div>
        <w:div w:id="1202867185">
          <w:marLeft w:val="0"/>
          <w:marRight w:val="0"/>
          <w:marTop w:val="0"/>
          <w:marBottom w:val="0"/>
          <w:divBdr>
            <w:top w:val="none" w:sz="0" w:space="0" w:color="auto"/>
            <w:left w:val="none" w:sz="0" w:space="0" w:color="auto"/>
            <w:bottom w:val="none" w:sz="0" w:space="0" w:color="auto"/>
            <w:right w:val="none" w:sz="0" w:space="0" w:color="auto"/>
          </w:divBdr>
          <w:divsChild>
            <w:div w:id="843394630">
              <w:marLeft w:val="0"/>
              <w:marRight w:val="0"/>
              <w:marTop w:val="0"/>
              <w:marBottom w:val="0"/>
              <w:divBdr>
                <w:top w:val="none" w:sz="0" w:space="0" w:color="auto"/>
                <w:left w:val="none" w:sz="0" w:space="0" w:color="auto"/>
                <w:bottom w:val="none" w:sz="0" w:space="0" w:color="auto"/>
                <w:right w:val="none" w:sz="0" w:space="0" w:color="auto"/>
              </w:divBdr>
            </w:div>
          </w:divsChild>
        </w:div>
        <w:div w:id="153185205">
          <w:marLeft w:val="0"/>
          <w:marRight w:val="0"/>
          <w:marTop w:val="0"/>
          <w:marBottom w:val="0"/>
          <w:divBdr>
            <w:top w:val="none" w:sz="0" w:space="0" w:color="auto"/>
            <w:left w:val="none" w:sz="0" w:space="0" w:color="auto"/>
            <w:bottom w:val="none" w:sz="0" w:space="0" w:color="auto"/>
            <w:right w:val="none" w:sz="0" w:space="0" w:color="auto"/>
          </w:divBdr>
          <w:divsChild>
            <w:div w:id="1824464271">
              <w:marLeft w:val="0"/>
              <w:marRight w:val="0"/>
              <w:marTop w:val="0"/>
              <w:marBottom w:val="0"/>
              <w:divBdr>
                <w:top w:val="none" w:sz="0" w:space="0" w:color="auto"/>
                <w:left w:val="none" w:sz="0" w:space="0" w:color="auto"/>
                <w:bottom w:val="none" w:sz="0" w:space="0" w:color="auto"/>
                <w:right w:val="none" w:sz="0" w:space="0" w:color="auto"/>
              </w:divBdr>
            </w:div>
          </w:divsChild>
        </w:div>
        <w:div w:id="1441607612">
          <w:marLeft w:val="0"/>
          <w:marRight w:val="0"/>
          <w:marTop w:val="0"/>
          <w:marBottom w:val="0"/>
          <w:divBdr>
            <w:top w:val="none" w:sz="0" w:space="0" w:color="auto"/>
            <w:left w:val="none" w:sz="0" w:space="0" w:color="auto"/>
            <w:bottom w:val="none" w:sz="0" w:space="0" w:color="auto"/>
            <w:right w:val="none" w:sz="0" w:space="0" w:color="auto"/>
          </w:divBdr>
          <w:divsChild>
            <w:div w:id="557396397">
              <w:marLeft w:val="0"/>
              <w:marRight w:val="0"/>
              <w:marTop w:val="0"/>
              <w:marBottom w:val="0"/>
              <w:divBdr>
                <w:top w:val="none" w:sz="0" w:space="0" w:color="auto"/>
                <w:left w:val="none" w:sz="0" w:space="0" w:color="auto"/>
                <w:bottom w:val="none" w:sz="0" w:space="0" w:color="auto"/>
                <w:right w:val="none" w:sz="0" w:space="0" w:color="auto"/>
              </w:divBdr>
            </w:div>
          </w:divsChild>
        </w:div>
        <w:div w:id="304624956">
          <w:marLeft w:val="0"/>
          <w:marRight w:val="0"/>
          <w:marTop w:val="0"/>
          <w:marBottom w:val="0"/>
          <w:divBdr>
            <w:top w:val="none" w:sz="0" w:space="0" w:color="auto"/>
            <w:left w:val="none" w:sz="0" w:space="0" w:color="auto"/>
            <w:bottom w:val="none" w:sz="0" w:space="0" w:color="auto"/>
            <w:right w:val="none" w:sz="0" w:space="0" w:color="auto"/>
          </w:divBdr>
          <w:divsChild>
            <w:div w:id="1136214164">
              <w:marLeft w:val="0"/>
              <w:marRight w:val="0"/>
              <w:marTop w:val="0"/>
              <w:marBottom w:val="0"/>
              <w:divBdr>
                <w:top w:val="none" w:sz="0" w:space="0" w:color="auto"/>
                <w:left w:val="none" w:sz="0" w:space="0" w:color="auto"/>
                <w:bottom w:val="none" w:sz="0" w:space="0" w:color="auto"/>
                <w:right w:val="none" w:sz="0" w:space="0" w:color="auto"/>
              </w:divBdr>
            </w:div>
          </w:divsChild>
        </w:div>
        <w:div w:id="313074075">
          <w:marLeft w:val="0"/>
          <w:marRight w:val="0"/>
          <w:marTop w:val="0"/>
          <w:marBottom w:val="0"/>
          <w:divBdr>
            <w:top w:val="none" w:sz="0" w:space="0" w:color="auto"/>
            <w:left w:val="none" w:sz="0" w:space="0" w:color="auto"/>
            <w:bottom w:val="none" w:sz="0" w:space="0" w:color="auto"/>
            <w:right w:val="none" w:sz="0" w:space="0" w:color="auto"/>
          </w:divBdr>
          <w:divsChild>
            <w:div w:id="1725375614">
              <w:marLeft w:val="0"/>
              <w:marRight w:val="0"/>
              <w:marTop w:val="0"/>
              <w:marBottom w:val="0"/>
              <w:divBdr>
                <w:top w:val="none" w:sz="0" w:space="0" w:color="auto"/>
                <w:left w:val="none" w:sz="0" w:space="0" w:color="auto"/>
                <w:bottom w:val="none" w:sz="0" w:space="0" w:color="auto"/>
                <w:right w:val="none" w:sz="0" w:space="0" w:color="auto"/>
              </w:divBdr>
            </w:div>
          </w:divsChild>
        </w:div>
        <w:div w:id="485435014">
          <w:marLeft w:val="0"/>
          <w:marRight w:val="0"/>
          <w:marTop w:val="0"/>
          <w:marBottom w:val="0"/>
          <w:divBdr>
            <w:top w:val="none" w:sz="0" w:space="0" w:color="auto"/>
            <w:left w:val="none" w:sz="0" w:space="0" w:color="auto"/>
            <w:bottom w:val="none" w:sz="0" w:space="0" w:color="auto"/>
            <w:right w:val="none" w:sz="0" w:space="0" w:color="auto"/>
          </w:divBdr>
          <w:divsChild>
            <w:div w:id="1007365094">
              <w:marLeft w:val="0"/>
              <w:marRight w:val="0"/>
              <w:marTop w:val="0"/>
              <w:marBottom w:val="0"/>
              <w:divBdr>
                <w:top w:val="none" w:sz="0" w:space="0" w:color="auto"/>
                <w:left w:val="none" w:sz="0" w:space="0" w:color="auto"/>
                <w:bottom w:val="none" w:sz="0" w:space="0" w:color="auto"/>
                <w:right w:val="none" w:sz="0" w:space="0" w:color="auto"/>
              </w:divBdr>
            </w:div>
          </w:divsChild>
        </w:div>
        <w:div w:id="771121694">
          <w:marLeft w:val="0"/>
          <w:marRight w:val="0"/>
          <w:marTop w:val="0"/>
          <w:marBottom w:val="0"/>
          <w:divBdr>
            <w:top w:val="none" w:sz="0" w:space="0" w:color="auto"/>
            <w:left w:val="none" w:sz="0" w:space="0" w:color="auto"/>
            <w:bottom w:val="none" w:sz="0" w:space="0" w:color="auto"/>
            <w:right w:val="none" w:sz="0" w:space="0" w:color="auto"/>
          </w:divBdr>
          <w:divsChild>
            <w:div w:id="152449185">
              <w:marLeft w:val="0"/>
              <w:marRight w:val="0"/>
              <w:marTop w:val="0"/>
              <w:marBottom w:val="0"/>
              <w:divBdr>
                <w:top w:val="none" w:sz="0" w:space="0" w:color="auto"/>
                <w:left w:val="none" w:sz="0" w:space="0" w:color="auto"/>
                <w:bottom w:val="none" w:sz="0" w:space="0" w:color="auto"/>
                <w:right w:val="none" w:sz="0" w:space="0" w:color="auto"/>
              </w:divBdr>
            </w:div>
          </w:divsChild>
        </w:div>
        <w:div w:id="1801145949">
          <w:marLeft w:val="0"/>
          <w:marRight w:val="0"/>
          <w:marTop w:val="0"/>
          <w:marBottom w:val="0"/>
          <w:divBdr>
            <w:top w:val="none" w:sz="0" w:space="0" w:color="auto"/>
            <w:left w:val="none" w:sz="0" w:space="0" w:color="auto"/>
            <w:bottom w:val="none" w:sz="0" w:space="0" w:color="auto"/>
            <w:right w:val="none" w:sz="0" w:space="0" w:color="auto"/>
          </w:divBdr>
          <w:divsChild>
            <w:div w:id="1270160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644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E00121-172F-4903-9AFE-ED598C8B2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7822</Words>
  <Characters>44588</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2026-03-12T16:33:00Z</dcterms:created>
  <dcterms:modified xsi:type="dcterms:W3CDTF">2026-03-12T16:33:00Z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6th/7th edition</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12th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http://www.zotero.org/styles/modern-humanities-research-association</vt:lpwstr>
  </property>
  <property fmtid="{D5CDD505-2E9C-101B-9397-08002B2CF9AE}" pid="15" name="Mendeley Recent Style Name 6_1">
    <vt:lpwstr>Modern Humanities Research Association 3rd edition (note with bibliography)</vt:lpwstr>
  </property>
  <property fmtid="{D5CDD505-2E9C-101B-9397-08002B2CF9AE}" pid="16" name="Mendeley Recent Style Id 7_1">
    <vt:lpwstr>http://www.zotero.org/styles/modern-language-association</vt:lpwstr>
  </property>
  <property fmtid="{D5CDD505-2E9C-101B-9397-08002B2CF9AE}" pid="17" name="Mendeley Recent Style Name 7_1">
    <vt:lpwstr>Modern Language Association 9th edition</vt:lpwstr>
  </property>
  <property fmtid="{D5CDD505-2E9C-101B-9397-08002B2CF9AE}" pid="18" name="Mendeley Recent Style Id 8_1">
    <vt:lpwstr>http://www.zotero.org/styles/nature</vt:lpwstr>
  </property>
  <property fmtid="{D5CDD505-2E9C-101B-9397-08002B2CF9AE}" pid="19" name="Mendeley Recent Style Name 8_1">
    <vt:lpwstr>Nature</vt:lpwstr>
  </property>
  <property fmtid="{D5CDD505-2E9C-101B-9397-08002B2CF9AE}" pid="20" name="Mendeley Recent Style Id 9_1">
    <vt:lpwstr>http://www.zotero.org/styles/oscola</vt:lpwstr>
  </property>
  <property fmtid="{D5CDD505-2E9C-101B-9397-08002B2CF9AE}" pid="21" name="Mendeley Recent Style Name 9_1">
    <vt:lpwstr>OSCOLA (Oxford University Standard for Citation of Legal Authorities)</vt:lpwstr>
  </property>
  <property fmtid="{D5CDD505-2E9C-101B-9397-08002B2CF9AE}" pid="22" name="Mendeley Citation Style_1">
    <vt:lpwstr>http://www.zotero.org/styles/harvard-cite-them-right</vt:lpwstr>
  </property>
  <property fmtid="{D5CDD505-2E9C-101B-9397-08002B2CF9AE}" pid="23" name="Mendeley Document_1">
    <vt:lpwstr>True</vt:lpwstr>
  </property>
  <property fmtid="{D5CDD505-2E9C-101B-9397-08002B2CF9AE}" pid="24" name="Mendeley Unique User Id_1">
    <vt:lpwstr>f0960cc9-a3cc-319e-ac2a-f9ce876435fb</vt:lpwstr>
  </property>
</Properties>
</file>