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39C2F" w14:textId="7D834C55" w:rsidR="00FA4900" w:rsidRPr="00FA4900" w:rsidRDefault="00FA4900" w:rsidP="00FA4900">
      <w:pPr>
        <w:pBdr>
          <w:top w:val="nil"/>
          <w:left w:val="nil"/>
          <w:bottom w:val="nil"/>
          <w:right w:val="nil"/>
          <w:between w:val="nil"/>
        </w:pBdr>
        <w:jc w:val="center"/>
        <w:rPr>
          <w:rFonts w:eastAsia="Arial"/>
          <w:b/>
          <w:color w:val="000000"/>
          <w:sz w:val="32"/>
          <w:szCs w:val="32"/>
        </w:rPr>
      </w:pPr>
      <w:r w:rsidRPr="00FA4900">
        <w:rPr>
          <w:rFonts w:eastAsia="Arial"/>
          <w:b/>
          <w:color w:val="000000"/>
          <w:sz w:val="32"/>
          <w:szCs w:val="32"/>
        </w:rPr>
        <w:t>Student Journal</w:t>
      </w:r>
    </w:p>
    <w:p w14:paraId="3114582F" w14:textId="551660EC" w:rsidR="00FA4900" w:rsidRDefault="00FA4900" w:rsidP="00FA4900">
      <w:pPr>
        <w:pBdr>
          <w:top w:val="nil"/>
          <w:left w:val="nil"/>
          <w:bottom w:val="nil"/>
          <w:right w:val="nil"/>
          <w:between w:val="nil"/>
        </w:pBdr>
        <w:jc w:val="center"/>
        <w:rPr>
          <w:rFonts w:eastAsia="Arial"/>
          <w:b/>
          <w:color w:val="000000"/>
        </w:rPr>
      </w:pPr>
      <w:r>
        <w:rPr>
          <w:rFonts w:eastAsia="Arial"/>
          <w:b/>
          <w:color w:val="000000"/>
        </w:rPr>
        <w:t>Module name: Food &amp; Beverage Operations</w:t>
      </w:r>
    </w:p>
    <w:p w14:paraId="56912476" w14:textId="2A3A112C" w:rsidR="00FA4900" w:rsidRDefault="00FA4900" w:rsidP="00FA4900">
      <w:pPr>
        <w:pBdr>
          <w:top w:val="nil"/>
          <w:left w:val="nil"/>
          <w:bottom w:val="nil"/>
          <w:right w:val="nil"/>
          <w:between w:val="nil"/>
        </w:pBdr>
        <w:jc w:val="center"/>
        <w:rPr>
          <w:rFonts w:eastAsia="Arial"/>
          <w:b/>
          <w:color w:val="000000"/>
        </w:rPr>
      </w:pPr>
      <w:r>
        <w:rPr>
          <w:rFonts w:eastAsia="Arial"/>
          <w:b/>
          <w:color w:val="000000"/>
        </w:rPr>
        <w:t>Module no: BMIH4002</w:t>
      </w:r>
    </w:p>
    <w:p w14:paraId="10B1A053" w14:textId="012ABAB8" w:rsidR="00FA4900" w:rsidRDefault="00FA4900" w:rsidP="00FA4900">
      <w:pPr>
        <w:pBdr>
          <w:top w:val="nil"/>
          <w:left w:val="nil"/>
          <w:bottom w:val="nil"/>
          <w:right w:val="nil"/>
          <w:between w:val="nil"/>
        </w:pBdr>
        <w:jc w:val="center"/>
        <w:rPr>
          <w:rFonts w:eastAsia="Arial"/>
          <w:b/>
          <w:color w:val="000000"/>
        </w:rPr>
      </w:pPr>
      <w:r>
        <w:rPr>
          <w:rFonts w:eastAsia="Arial"/>
          <w:b/>
          <w:color w:val="000000"/>
        </w:rPr>
        <w:t xml:space="preserve">Student name: Ana-Maria </w:t>
      </w:r>
      <w:proofErr w:type="spellStart"/>
      <w:r>
        <w:rPr>
          <w:rFonts w:eastAsia="Arial"/>
          <w:b/>
          <w:color w:val="000000"/>
        </w:rPr>
        <w:t>Stoica</w:t>
      </w:r>
      <w:proofErr w:type="spellEnd"/>
    </w:p>
    <w:p w14:paraId="5F49C716" w14:textId="325A6E3D" w:rsidR="00FA4900" w:rsidRPr="00FA4900" w:rsidRDefault="00FA4900" w:rsidP="00FA4900">
      <w:pPr>
        <w:pBdr>
          <w:top w:val="nil"/>
          <w:left w:val="nil"/>
          <w:bottom w:val="nil"/>
          <w:right w:val="nil"/>
          <w:between w:val="nil"/>
        </w:pBdr>
        <w:jc w:val="center"/>
        <w:rPr>
          <w:rFonts w:eastAsia="Arial"/>
          <w:b/>
          <w:color w:val="000000"/>
        </w:rPr>
      </w:pPr>
      <w:r>
        <w:rPr>
          <w:rFonts w:eastAsia="Arial"/>
          <w:b/>
          <w:color w:val="000000"/>
        </w:rPr>
        <w:t>Student Id: 2210328</w:t>
      </w:r>
    </w:p>
    <w:p w14:paraId="0591CE1A" w14:textId="77777777" w:rsidR="00FA4900" w:rsidRDefault="00FA4900">
      <w:pPr>
        <w:pBdr>
          <w:top w:val="nil"/>
          <w:left w:val="nil"/>
          <w:bottom w:val="nil"/>
          <w:right w:val="nil"/>
          <w:between w:val="nil"/>
        </w:pBdr>
        <w:jc w:val="center"/>
        <w:rPr>
          <w:rFonts w:ascii="Arial" w:eastAsia="Arial" w:hAnsi="Arial" w:cs="Arial"/>
          <w:b/>
          <w:color w:val="000000"/>
        </w:rPr>
      </w:pPr>
    </w:p>
    <w:p w14:paraId="1BF98C2E" w14:textId="77777777" w:rsidR="00FA4900" w:rsidRDefault="00FA4900">
      <w:pPr>
        <w:pBdr>
          <w:top w:val="nil"/>
          <w:left w:val="nil"/>
          <w:bottom w:val="nil"/>
          <w:right w:val="nil"/>
          <w:between w:val="nil"/>
        </w:pBdr>
        <w:jc w:val="center"/>
        <w:rPr>
          <w:rFonts w:ascii="Arial" w:eastAsia="Arial" w:hAnsi="Arial" w:cs="Arial"/>
          <w:b/>
          <w:color w:val="000000"/>
        </w:rPr>
      </w:pPr>
    </w:p>
    <w:p w14:paraId="03B0A8B9" w14:textId="77777777" w:rsidR="00FA4900" w:rsidRDefault="00FA4900">
      <w:pPr>
        <w:pBdr>
          <w:top w:val="nil"/>
          <w:left w:val="nil"/>
          <w:bottom w:val="nil"/>
          <w:right w:val="nil"/>
          <w:between w:val="nil"/>
        </w:pBdr>
        <w:jc w:val="center"/>
        <w:rPr>
          <w:rFonts w:ascii="Arial" w:eastAsia="Arial" w:hAnsi="Arial" w:cs="Arial"/>
          <w:b/>
          <w:color w:val="000000"/>
        </w:rPr>
      </w:pPr>
    </w:p>
    <w:p w14:paraId="2121A031" w14:textId="77777777" w:rsidR="00FA4900" w:rsidRDefault="00FA4900">
      <w:pPr>
        <w:pBdr>
          <w:top w:val="nil"/>
          <w:left w:val="nil"/>
          <w:bottom w:val="nil"/>
          <w:right w:val="nil"/>
          <w:between w:val="nil"/>
        </w:pBdr>
        <w:jc w:val="center"/>
        <w:rPr>
          <w:rFonts w:ascii="Arial" w:eastAsia="Arial" w:hAnsi="Arial" w:cs="Arial"/>
          <w:b/>
          <w:color w:val="000000"/>
        </w:rPr>
      </w:pPr>
    </w:p>
    <w:p w14:paraId="21E13075" w14:textId="77777777" w:rsidR="00FA4900" w:rsidRDefault="00FA4900">
      <w:pPr>
        <w:pBdr>
          <w:top w:val="nil"/>
          <w:left w:val="nil"/>
          <w:bottom w:val="nil"/>
          <w:right w:val="nil"/>
          <w:between w:val="nil"/>
        </w:pBdr>
        <w:jc w:val="center"/>
        <w:rPr>
          <w:rFonts w:ascii="Arial" w:eastAsia="Arial" w:hAnsi="Arial" w:cs="Arial"/>
          <w:b/>
          <w:color w:val="000000"/>
        </w:rPr>
      </w:pPr>
    </w:p>
    <w:p w14:paraId="1FF74246" w14:textId="77777777" w:rsidR="00FA4900" w:rsidRDefault="00FA4900">
      <w:pPr>
        <w:pBdr>
          <w:top w:val="nil"/>
          <w:left w:val="nil"/>
          <w:bottom w:val="nil"/>
          <w:right w:val="nil"/>
          <w:between w:val="nil"/>
        </w:pBdr>
        <w:jc w:val="center"/>
        <w:rPr>
          <w:rFonts w:ascii="Arial" w:eastAsia="Arial" w:hAnsi="Arial" w:cs="Arial"/>
          <w:b/>
          <w:color w:val="000000"/>
        </w:rPr>
      </w:pPr>
    </w:p>
    <w:p w14:paraId="4B1F43D6" w14:textId="77777777" w:rsidR="00FA4900" w:rsidRDefault="00FA4900">
      <w:pPr>
        <w:pBdr>
          <w:top w:val="nil"/>
          <w:left w:val="nil"/>
          <w:bottom w:val="nil"/>
          <w:right w:val="nil"/>
          <w:between w:val="nil"/>
        </w:pBdr>
        <w:jc w:val="center"/>
        <w:rPr>
          <w:rFonts w:ascii="Arial" w:eastAsia="Arial" w:hAnsi="Arial" w:cs="Arial"/>
          <w:b/>
          <w:color w:val="000000"/>
        </w:rPr>
      </w:pPr>
    </w:p>
    <w:p w14:paraId="309E73B8" w14:textId="77777777" w:rsidR="00FA4900" w:rsidRDefault="00FA4900">
      <w:pPr>
        <w:pBdr>
          <w:top w:val="nil"/>
          <w:left w:val="nil"/>
          <w:bottom w:val="nil"/>
          <w:right w:val="nil"/>
          <w:between w:val="nil"/>
        </w:pBdr>
        <w:jc w:val="center"/>
        <w:rPr>
          <w:rFonts w:ascii="Arial" w:eastAsia="Arial" w:hAnsi="Arial" w:cs="Arial"/>
          <w:b/>
          <w:color w:val="000000"/>
        </w:rPr>
      </w:pPr>
    </w:p>
    <w:p w14:paraId="6A7BB148" w14:textId="77777777" w:rsidR="00FA4900" w:rsidRDefault="00FA4900">
      <w:pPr>
        <w:pBdr>
          <w:top w:val="nil"/>
          <w:left w:val="nil"/>
          <w:bottom w:val="nil"/>
          <w:right w:val="nil"/>
          <w:between w:val="nil"/>
        </w:pBdr>
        <w:jc w:val="center"/>
        <w:rPr>
          <w:rFonts w:ascii="Arial" w:eastAsia="Arial" w:hAnsi="Arial" w:cs="Arial"/>
          <w:b/>
          <w:color w:val="000000"/>
        </w:rPr>
      </w:pPr>
    </w:p>
    <w:p w14:paraId="7532C55A" w14:textId="77777777" w:rsidR="00FA4900" w:rsidRDefault="00FA4900">
      <w:pPr>
        <w:pBdr>
          <w:top w:val="nil"/>
          <w:left w:val="nil"/>
          <w:bottom w:val="nil"/>
          <w:right w:val="nil"/>
          <w:between w:val="nil"/>
        </w:pBdr>
        <w:jc w:val="center"/>
        <w:rPr>
          <w:rFonts w:ascii="Arial" w:eastAsia="Arial" w:hAnsi="Arial" w:cs="Arial"/>
          <w:b/>
          <w:color w:val="000000"/>
        </w:rPr>
      </w:pPr>
    </w:p>
    <w:p w14:paraId="5B95988B" w14:textId="77777777" w:rsidR="00FA4900" w:rsidRDefault="00FA4900">
      <w:pPr>
        <w:pBdr>
          <w:top w:val="nil"/>
          <w:left w:val="nil"/>
          <w:bottom w:val="nil"/>
          <w:right w:val="nil"/>
          <w:between w:val="nil"/>
        </w:pBdr>
        <w:jc w:val="center"/>
        <w:rPr>
          <w:rFonts w:ascii="Arial" w:eastAsia="Arial" w:hAnsi="Arial" w:cs="Arial"/>
          <w:b/>
          <w:color w:val="000000"/>
        </w:rPr>
      </w:pPr>
    </w:p>
    <w:p w14:paraId="3B8DB81C" w14:textId="77777777" w:rsidR="00FA4900" w:rsidRDefault="00FA4900">
      <w:pPr>
        <w:pBdr>
          <w:top w:val="nil"/>
          <w:left w:val="nil"/>
          <w:bottom w:val="nil"/>
          <w:right w:val="nil"/>
          <w:between w:val="nil"/>
        </w:pBdr>
        <w:jc w:val="center"/>
        <w:rPr>
          <w:rFonts w:ascii="Arial" w:eastAsia="Arial" w:hAnsi="Arial" w:cs="Arial"/>
          <w:b/>
          <w:color w:val="000000"/>
        </w:rPr>
      </w:pPr>
    </w:p>
    <w:p w14:paraId="1FDF9E66" w14:textId="77777777" w:rsidR="00FA4900" w:rsidRDefault="00FA4900">
      <w:pPr>
        <w:pBdr>
          <w:top w:val="nil"/>
          <w:left w:val="nil"/>
          <w:bottom w:val="nil"/>
          <w:right w:val="nil"/>
          <w:between w:val="nil"/>
        </w:pBdr>
        <w:jc w:val="center"/>
        <w:rPr>
          <w:rFonts w:ascii="Arial" w:eastAsia="Arial" w:hAnsi="Arial" w:cs="Arial"/>
          <w:b/>
          <w:color w:val="000000"/>
        </w:rPr>
      </w:pPr>
    </w:p>
    <w:p w14:paraId="1D59DCA8" w14:textId="77777777" w:rsidR="00FA4900" w:rsidRDefault="00FA4900">
      <w:pPr>
        <w:pBdr>
          <w:top w:val="nil"/>
          <w:left w:val="nil"/>
          <w:bottom w:val="nil"/>
          <w:right w:val="nil"/>
          <w:between w:val="nil"/>
        </w:pBdr>
        <w:jc w:val="center"/>
        <w:rPr>
          <w:rFonts w:ascii="Arial" w:eastAsia="Arial" w:hAnsi="Arial" w:cs="Arial"/>
          <w:b/>
          <w:color w:val="000000"/>
        </w:rPr>
      </w:pPr>
    </w:p>
    <w:p w14:paraId="20193203" w14:textId="77777777" w:rsidR="00FA4900" w:rsidRDefault="00FA4900">
      <w:pPr>
        <w:pBdr>
          <w:top w:val="nil"/>
          <w:left w:val="nil"/>
          <w:bottom w:val="nil"/>
          <w:right w:val="nil"/>
          <w:between w:val="nil"/>
        </w:pBdr>
        <w:jc w:val="center"/>
        <w:rPr>
          <w:rFonts w:ascii="Arial" w:eastAsia="Arial" w:hAnsi="Arial" w:cs="Arial"/>
          <w:b/>
          <w:color w:val="000000"/>
        </w:rPr>
      </w:pPr>
    </w:p>
    <w:p w14:paraId="7E1A3E07" w14:textId="77777777" w:rsidR="00FA4900" w:rsidRDefault="00FA4900">
      <w:pPr>
        <w:pBdr>
          <w:top w:val="nil"/>
          <w:left w:val="nil"/>
          <w:bottom w:val="nil"/>
          <w:right w:val="nil"/>
          <w:between w:val="nil"/>
        </w:pBdr>
        <w:jc w:val="center"/>
        <w:rPr>
          <w:rFonts w:ascii="Arial" w:eastAsia="Arial" w:hAnsi="Arial" w:cs="Arial"/>
          <w:b/>
          <w:color w:val="000000"/>
        </w:rPr>
      </w:pPr>
    </w:p>
    <w:p w14:paraId="25E30F56" w14:textId="77777777" w:rsidR="00FA4900" w:rsidRDefault="00FA4900">
      <w:pPr>
        <w:pBdr>
          <w:top w:val="nil"/>
          <w:left w:val="nil"/>
          <w:bottom w:val="nil"/>
          <w:right w:val="nil"/>
          <w:between w:val="nil"/>
        </w:pBdr>
        <w:jc w:val="center"/>
        <w:rPr>
          <w:rFonts w:ascii="Arial" w:eastAsia="Arial" w:hAnsi="Arial" w:cs="Arial"/>
          <w:b/>
          <w:color w:val="000000"/>
        </w:rPr>
      </w:pPr>
    </w:p>
    <w:p w14:paraId="56A9549F" w14:textId="77777777" w:rsidR="00FA4900" w:rsidRDefault="00FA4900">
      <w:pPr>
        <w:pBdr>
          <w:top w:val="nil"/>
          <w:left w:val="nil"/>
          <w:bottom w:val="nil"/>
          <w:right w:val="nil"/>
          <w:between w:val="nil"/>
        </w:pBdr>
        <w:jc w:val="center"/>
        <w:rPr>
          <w:rFonts w:ascii="Arial" w:eastAsia="Arial" w:hAnsi="Arial" w:cs="Arial"/>
          <w:b/>
          <w:color w:val="000000"/>
        </w:rPr>
      </w:pPr>
    </w:p>
    <w:p w14:paraId="23694F21" w14:textId="77777777" w:rsidR="00FA4900" w:rsidRDefault="00FA4900">
      <w:pPr>
        <w:pBdr>
          <w:top w:val="nil"/>
          <w:left w:val="nil"/>
          <w:bottom w:val="nil"/>
          <w:right w:val="nil"/>
          <w:between w:val="nil"/>
        </w:pBdr>
        <w:jc w:val="center"/>
        <w:rPr>
          <w:rFonts w:ascii="Arial" w:eastAsia="Arial" w:hAnsi="Arial" w:cs="Arial"/>
          <w:b/>
          <w:color w:val="000000"/>
        </w:rPr>
      </w:pPr>
    </w:p>
    <w:p w14:paraId="0D88F916" w14:textId="77777777" w:rsidR="00FA4900" w:rsidRDefault="00FA4900">
      <w:pPr>
        <w:pBdr>
          <w:top w:val="nil"/>
          <w:left w:val="nil"/>
          <w:bottom w:val="nil"/>
          <w:right w:val="nil"/>
          <w:between w:val="nil"/>
        </w:pBdr>
        <w:jc w:val="center"/>
        <w:rPr>
          <w:rFonts w:ascii="Arial" w:eastAsia="Arial" w:hAnsi="Arial" w:cs="Arial"/>
          <w:b/>
          <w:color w:val="000000"/>
        </w:rPr>
      </w:pPr>
    </w:p>
    <w:p w14:paraId="580C070C" w14:textId="77777777" w:rsidR="00FA4900" w:rsidRDefault="00FA4900">
      <w:pPr>
        <w:pBdr>
          <w:top w:val="nil"/>
          <w:left w:val="nil"/>
          <w:bottom w:val="nil"/>
          <w:right w:val="nil"/>
          <w:between w:val="nil"/>
        </w:pBdr>
        <w:jc w:val="center"/>
        <w:rPr>
          <w:rFonts w:ascii="Arial" w:eastAsia="Arial" w:hAnsi="Arial" w:cs="Arial"/>
          <w:b/>
          <w:color w:val="000000"/>
        </w:rPr>
      </w:pPr>
    </w:p>
    <w:p w14:paraId="00000004" w14:textId="5AC87A63" w:rsidR="00FA4514" w:rsidRDefault="005310FA">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 xml:space="preserve">Table of content </w:t>
      </w:r>
    </w:p>
    <w:sdt>
      <w:sdtPr>
        <w:id w:val="-1514372046"/>
        <w:docPartObj>
          <w:docPartGallery w:val="Table of Contents"/>
          <w:docPartUnique/>
        </w:docPartObj>
      </w:sdtPr>
      <w:sdtContent>
        <w:p w14:paraId="00000005" w14:textId="21EB5059" w:rsidR="00FA4514" w:rsidRDefault="005310FA">
          <w:pPr>
            <w:pBdr>
              <w:top w:val="nil"/>
              <w:left w:val="nil"/>
              <w:bottom w:val="nil"/>
              <w:right w:val="nil"/>
              <w:between w:val="nil"/>
            </w:pBdr>
            <w:tabs>
              <w:tab w:val="right" w:pos="9025"/>
            </w:tabs>
            <w:spacing w:before="80" w:line="240" w:lineRule="auto"/>
            <w:rPr>
              <w:noProof/>
              <w:color w:val="000000"/>
            </w:rPr>
          </w:pPr>
          <w:r>
            <w:fldChar w:fldCharType="begin"/>
          </w:r>
          <w:r>
            <w:instrText xml:space="preserve"> TOC \h \u \z </w:instrText>
          </w:r>
          <w:r>
            <w:fldChar w:fldCharType="separate"/>
          </w:r>
          <w:hyperlink w:anchor="_heading=h.2et92p0">
            <w:r>
              <w:rPr>
                <w:noProof/>
                <w:color w:val="000000"/>
              </w:rPr>
              <w:t>Week 1</w:t>
            </w:r>
          </w:hyperlink>
          <w:r>
            <w:rPr>
              <w:noProof/>
              <w:color w:val="000000"/>
            </w:rPr>
            <w:tab/>
          </w:r>
          <w:r>
            <w:rPr>
              <w:noProof/>
            </w:rPr>
            <w:fldChar w:fldCharType="begin"/>
          </w:r>
          <w:r>
            <w:rPr>
              <w:noProof/>
            </w:rPr>
            <w:instrText xml:space="preserve"> HYPERLINK \l "_heading=h.2et92p0" </w:instrText>
          </w:r>
          <w:r w:rsidR="00FA4900">
            <w:rPr>
              <w:noProof/>
            </w:rPr>
          </w:r>
          <w:r>
            <w:rPr>
              <w:noProof/>
            </w:rPr>
            <w:fldChar w:fldCharType="separate"/>
          </w:r>
          <w:r>
            <w:rPr>
              <w:noProof/>
              <w:color w:val="000000"/>
            </w:rPr>
            <w:t>3</w:t>
          </w:r>
        </w:p>
        <w:p w14:paraId="00000006" w14:textId="2DAA6954" w:rsidR="00FA4514" w:rsidRDefault="005310FA">
          <w:pPr>
            <w:pBdr>
              <w:top w:val="nil"/>
              <w:left w:val="nil"/>
              <w:bottom w:val="nil"/>
              <w:right w:val="nil"/>
              <w:between w:val="nil"/>
            </w:pBdr>
            <w:tabs>
              <w:tab w:val="right" w:pos="9025"/>
            </w:tabs>
            <w:spacing w:before="200" w:line="240" w:lineRule="auto"/>
            <w:rPr>
              <w:noProof/>
              <w:color w:val="000000"/>
            </w:rPr>
          </w:pPr>
          <w:r>
            <w:rPr>
              <w:noProof/>
            </w:rPr>
            <w:fldChar w:fldCharType="end"/>
          </w:r>
          <w:hyperlink w:anchor="_heading=h.tyjcwt">
            <w:r>
              <w:rPr>
                <w:noProof/>
                <w:color w:val="000000"/>
              </w:rPr>
              <w:t>Week 2</w:t>
            </w:r>
          </w:hyperlink>
          <w:r>
            <w:rPr>
              <w:noProof/>
              <w:color w:val="000000"/>
            </w:rPr>
            <w:tab/>
          </w:r>
          <w:r>
            <w:rPr>
              <w:noProof/>
            </w:rPr>
            <w:fldChar w:fldCharType="begin"/>
          </w:r>
          <w:r>
            <w:rPr>
              <w:noProof/>
            </w:rPr>
            <w:instrText xml:space="preserve"> HYPERLINK \l "_heading=h.tyjcwt" </w:instrText>
          </w:r>
          <w:r w:rsidR="00FA4900">
            <w:rPr>
              <w:noProof/>
            </w:rPr>
          </w:r>
          <w:r>
            <w:rPr>
              <w:noProof/>
            </w:rPr>
            <w:fldChar w:fldCharType="separate"/>
          </w:r>
          <w:r>
            <w:rPr>
              <w:noProof/>
              <w:color w:val="000000"/>
            </w:rPr>
            <w:t>3</w:t>
          </w:r>
        </w:p>
        <w:p w14:paraId="00000007" w14:textId="4356128B" w:rsidR="00FA4514" w:rsidRDefault="005310FA">
          <w:pPr>
            <w:pBdr>
              <w:top w:val="nil"/>
              <w:left w:val="nil"/>
              <w:bottom w:val="nil"/>
              <w:right w:val="nil"/>
              <w:between w:val="nil"/>
            </w:pBdr>
            <w:tabs>
              <w:tab w:val="right" w:pos="9025"/>
            </w:tabs>
            <w:spacing w:before="200" w:line="240" w:lineRule="auto"/>
            <w:rPr>
              <w:noProof/>
              <w:color w:val="000000"/>
            </w:rPr>
          </w:pPr>
          <w:r>
            <w:rPr>
              <w:noProof/>
            </w:rPr>
            <w:fldChar w:fldCharType="end"/>
          </w:r>
          <w:hyperlink w:anchor="_heading=h.1t3h5sf">
            <w:r>
              <w:rPr>
                <w:noProof/>
                <w:color w:val="000000"/>
              </w:rPr>
              <w:t>Week 3</w:t>
            </w:r>
          </w:hyperlink>
          <w:r>
            <w:rPr>
              <w:noProof/>
              <w:color w:val="000000"/>
            </w:rPr>
            <w:tab/>
          </w:r>
          <w:r>
            <w:rPr>
              <w:noProof/>
            </w:rPr>
            <w:fldChar w:fldCharType="begin"/>
          </w:r>
          <w:r>
            <w:rPr>
              <w:noProof/>
            </w:rPr>
            <w:instrText xml:space="preserve"> HYPERLINK \l "_heading=h.1t3h5sf" </w:instrText>
          </w:r>
          <w:r w:rsidR="00FA4900">
            <w:rPr>
              <w:noProof/>
            </w:rPr>
          </w:r>
          <w:r>
            <w:rPr>
              <w:noProof/>
            </w:rPr>
            <w:fldChar w:fldCharType="separate"/>
          </w:r>
          <w:r>
            <w:rPr>
              <w:noProof/>
              <w:color w:val="000000"/>
            </w:rPr>
            <w:t>3</w:t>
          </w:r>
        </w:p>
        <w:p w14:paraId="00000008" w14:textId="0CA8820A" w:rsidR="00FA4514" w:rsidRDefault="005310FA">
          <w:pPr>
            <w:pBdr>
              <w:top w:val="nil"/>
              <w:left w:val="nil"/>
              <w:bottom w:val="nil"/>
              <w:right w:val="nil"/>
              <w:between w:val="nil"/>
            </w:pBdr>
            <w:tabs>
              <w:tab w:val="right" w:pos="9025"/>
            </w:tabs>
            <w:spacing w:before="200" w:line="240" w:lineRule="auto"/>
            <w:rPr>
              <w:noProof/>
              <w:color w:val="000000"/>
            </w:rPr>
          </w:pPr>
          <w:r>
            <w:rPr>
              <w:noProof/>
            </w:rPr>
            <w:fldChar w:fldCharType="end"/>
          </w:r>
          <w:hyperlink w:anchor="_heading=h.4d34og8">
            <w:r>
              <w:rPr>
                <w:noProof/>
                <w:color w:val="000000"/>
              </w:rPr>
              <w:t>Week 4</w:t>
            </w:r>
          </w:hyperlink>
          <w:r>
            <w:rPr>
              <w:noProof/>
              <w:color w:val="000000"/>
            </w:rPr>
            <w:tab/>
          </w:r>
          <w:r>
            <w:rPr>
              <w:noProof/>
            </w:rPr>
            <w:fldChar w:fldCharType="begin"/>
          </w:r>
          <w:r>
            <w:rPr>
              <w:noProof/>
            </w:rPr>
            <w:instrText xml:space="preserve"> HYPERLINK \l "_heading=h.4d34og8" </w:instrText>
          </w:r>
          <w:r w:rsidR="00FA4900">
            <w:rPr>
              <w:noProof/>
            </w:rPr>
          </w:r>
          <w:r>
            <w:rPr>
              <w:noProof/>
            </w:rPr>
            <w:fldChar w:fldCharType="separate"/>
          </w:r>
          <w:r>
            <w:rPr>
              <w:noProof/>
              <w:color w:val="000000"/>
            </w:rPr>
            <w:t>4</w:t>
          </w:r>
        </w:p>
        <w:p w14:paraId="00000009" w14:textId="61A9161E" w:rsidR="00FA4514" w:rsidRDefault="005310FA">
          <w:pPr>
            <w:pBdr>
              <w:top w:val="nil"/>
              <w:left w:val="nil"/>
              <w:bottom w:val="nil"/>
              <w:right w:val="nil"/>
              <w:between w:val="nil"/>
            </w:pBdr>
            <w:tabs>
              <w:tab w:val="right" w:pos="9025"/>
            </w:tabs>
            <w:spacing w:before="200" w:line="240" w:lineRule="auto"/>
            <w:rPr>
              <w:noProof/>
              <w:color w:val="000000"/>
            </w:rPr>
          </w:pPr>
          <w:r>
            <w:rPr>
              <w:noProof/>
            </w:rPr>
            <w:fldChar w:fldCharType="end"/>
          </w:r>
          <w:r w:rsidR="00FA4900">
            <w:rPr>
              <w:noProof/>
            </w:rPr>
            <w:t>References</w:t>
          </w:r>
          <w:r>
            <w:rPr>
              <w:noProof/>
              <w:color w:val="000000"/>
            </w:rPr>
            <w:tab/>
          </w:r>
          <w:r>
            <w:rPr>
              <w:noProof/>
            </w:rPr>
            <w:fldChar w:fldCharType="begin"/>
          </w:r>
          <w:r>
            <w:rPr>
              <w:noProof/>
            </w:rPr>
            <w:instrText xml:space="preserve"> HYPERLINK \l "_heading=h.2s8eyo1" </w:instrText>
          </w:r>
          <w:r w:rsidR="00FA4900">
            <w:rPr>
              <w:noProof/>
            </w:rPr>
          </w:r>
          <w:r>
            <w:rPr>
              <w:noProof/>
            </w:rPr>
            <w:fldChar w:fldCharType="separate"/>
          </w:r>
          <w:r>
            <w:rPr>
              <w:noProof/>
              <w:color w:val="000000"/>
            </w:rPr>
            <w:t>4</w:t>
          </w:r>
        </w:p>
        <w:p w14:paraId="0000000A" w14:textId="3D1F7617" w:rsidR="00FA4514" w:rsidRDefault="005310FA">
          <w:pPr>
            <w:pBdr>
              <w:top w:val="nil"/>
              <w:left w:val="nil"/>
              <w:bottom w:val="nil"/>
              <w:right w:val="nil"/>
              <w:between w:val="nil"/>
            </w:pBdr>
            <w:tabs>
              <w:tab w:val="right" w:pos="9025"/>
            </w:tabs>
            <w:spacing w:before="200" w:after="80" w:line="240" w:lineRule="auto"/>
            <w:rPr>
              <w:color w:val="000000"/>
            </w:rPr>
          </w:pPr>
          <w:r>
            <w:rPr>
              <w:noProof/>
            </w:rPr>
            <w:fldChar w:fldCharType="end"/>
          </w:r>
          <w:r>
            <w:fldChar w:fldCharType="end"/>
          </w:r>
        </w:p>
      </w:sdtContent>
    </w:sdt>
    <w:p w14:paraId="0000000B" w14:textId="77777777" w:rsidR="00FA4514" w:rsidRDefault="00FA4514">
      <w:pPr>
        <w:pBdr>
          <w:top w:val="nil"/>
          <w:left w:val="nil"/>
          <w:bottom w:val="nil"/>
          <w:right w:val="nil"/>
          <w:between w:val="nil"/>
        </w:pBdr>
        <w:rPr>
          <w:rFonts w:ascii="Arial" w:eastAsia="Arial" w:hAnsi="Arial" w:cs="Arial"/>
          <w:color w:val="000000"/>
        </w:rPr>
      </w:pPr>
    </w:p>
    <w:p w14:paraId="0000000C" w14:textId="77777777" w:rsidR="00FA4514" w:rsidRDefault="00FA4514">
      <w:pPr>
        <w:pBdr>
          <w:top w:val="nil"/>
          <w:left w:val="nil"/>
          <w:bottom w:val="nil"/>
          <w:right w:val="nil"/>
          <w:between w:val="nil"/>
        </w:pBdr>
        <w:rPr>
          <w:rFonts w:ascii="Arial" w:eastAsia="Arial" w:hAnsi="Arial" w:cs="Arial"/>
          <w:color w:val="000000"/>
        </w:rPr>
      </w:pPr>
    </w:p>
    <w:p w14:paraId="0000000D" w14:textId="77777777" w:rsidR="00FA4514" w:rsidRDefault="005310FA">
      <w:pPr>
        <w:pStyle w:val="Titlu1"/>
        <w:rPr>
          <w:rFonts w:ascii="Arial" w:eastAsia="Arial" w:hAnsi="Arial" w:cs="Arial"/>
        </w:rPr>
      </w:pPr>
      <w:bookmarkStart w:id="0" w:name="_heading=h.3znysh7" w:colFirst="0" w:colLast="0"/>
      <w:bookmarkEnd w:id="0"/>
      <w:r>
        <w:br w:type="page"/>
      </w:r>
    </w:p>
    <w:p w14:paraId="0000000E" w14:textId="77777777" w:rsidR="00FA4514" w:rsidRDefault="005310FA">
      <w:pPr>
        <w:pStyle w:val="Titlu1"/>
        <w:rPr>
          <w:rFonts w:ascii="Arial" w:eastAsia="Arial" w:hAnsi="Arial" w:cs="Arial"/>
        </w:rPr>
      </w:pPr>
      <w:bookmarkStart w:id="1" w:name="_heading=h.2et92p0" w:colFirst="0" w:colLast="0"/>
      <w:bookmarkEnd w:id="1"/>
      <w:r>
        <w:rPr>
          <w:rFonts w:ascii="Arial" w:eastAsia="Arial" w:hAnsi="Arial" w:cs="Arial"/>
        </w:rPr>
        <w:lastRenderedPageBreak/>
        <w:t>Week 1</w:t>
      </w:r>
    </w:p>
    <w:p w14:paraId="0000000F" w14:textId="77777777" w:rsidR="00FA4514" w:rsidRDefault="005310FA">
      <w:pPr>
        <w:pBdr>
          <w:top w:val="nil"/>
          <w:left w:val="nil"/>
          <w:bottom w:val="nil"/>
          <w:right w:val="nil"/>
          <w:between w:val="nil"/>
        </w:pBdr>
        <w:rPr>
          <w:rFonts w:ascii="Arial" w:eastAsia="Arial" w:hAnsi="Arial" w:cs="Arial"/>
          <w:color w:val="000000"/>
        </w:rPr>
      </w:pPr>
      <w:r>
        <w:rPr>
          <w:rFonts w:ascii="Arial" w:eastAsia="Arial" w:hAnsi="Arial" w:cs="Arial"/>
          <w:color w:val="000000"/>
        </w:rPr>
        <w:t>In the first week I was introduced to the module as well as the tutor of the session. I was able to meet up with my classmates and make new friends. I was taught how to use different tools and resources for the term. I was also taught what to expect and what was expected of me from my tutors. I was given information on what I would be learning in the next 10 weeks of the day. I was also made aware of how to write reflections and why it is essential. One of the skills which was really essential for me was the use of communication skills in the first week. Communication skills allow an individual to share information with others (</w:t>
      </w:r>
      <w:proofErr w:type="spellStart"/>
      <w:r>
        <w:rPr>
          <w:rFonts w:ascii="Arial" w:eastAsia="Arial" w:hAnsi="Arial" w:cs="Arial"/>
          <w:color w:val="000000"/>
        </w:rPr>
        <w:t>Alexakis</w:t>
      </w:r>
      <w:proofErr w:type="spellEnd"/>
      <w:r>
        <w:rPr>
          <w:rFonts w:ascii="Arial" w:eastAsia="Arial" w:hAnsi="Arial" w:cs="Arial"/>
          <w:color w:val="000000"/>
        </w:rPr>
        <w:t xml:space="preserve"> and Jiang, 2019). It allowed me to meet my new friends and classmates. It also enabled me to communicate with my teachers for the session. </w:t>
      </w:r>
    </w:p>
    <w:p w14:paraId="00000010" w14:textId="77777777" w:rsidR="00FA4514" w:rsidRDefault="005310FA">
      <w:pPr>
        <w:pStyle w:val="Titlu1"/>
        <w:rPr>
          <w:rFonts w:ascii="Arial" w:eastAsia="Arial" w:hAnsi="Arial" w:cs="Arial"/>
        </w:rPr>
      </w:pPr>
      <w:bookmarkStart w:id="2" w:name="_heading=h.tyjcwt" w:colFirst="0" w:colLast="0"/>
      <w:bookmarkEnd w:id="2"/>
      <w:r>
        <w:rPr>
          <w:rFonts w:ascii="Arial" w:eastAsia="Arial" w:hAnsi="Arial" w:cs="Arial"/>
        </w:rPr>
        <w:t>Week 2</w:t>
      </w:r>
    </w:p>
    <w:p w14:paraId="00000011" w14:textId="519397AA" w:rsidR="00FA4514" w:rsidRDefault="005310FA">
      <w:pPr>
        <w:pBdr>
          <w:top w:val="nil"/>
          <w:left w:val="nil"/>
          <w:bottom w:val="nil"/>
          <w:right w:val="nil"/>
          <w:between w:val="nil"/>
        </w:pBdr>
        <w:rPr>
          <w:rFonts w:ascii="Arial" w:eastAsia="Arial" w:hAnsi="Arial" w:cs="Arial"/>
          <w:color w:val="000000"/>
        </w:rPr>
      </w:pPr>
      <w:bookmarkStart w:id="3" w:name="_heading=h.3dy6vkm" w:colFirst="0" w:colLast="0"/>
      <w:bookmarkEnd w:id="3"/>
      <w:r>
        <w:rPr>
          <w:rFonts w:ascii="Arial" w:eastAsia="Arial" w:hAnsi="Arial" w:cs="Arial"/>
          <w:color w:val="000000"/>
        </w:rPr>
        <w:t>With the completion of second week I was able to list roles and responsibilities of the front of house within food and beverage operations. The roles and responsibilities include ushering diners to their tables and providing them with menus and the list goes on (Walker, 2017). I was able to tell the difference between “commercial operations” from “noncommercial operations” (Cousins, 2020). For instance, “</w:t>
      </w:r>
      <w:r w:rsidR="002E0E82">
        <w:rPr>
          <w:rFonts w:ascii="Arial" w:eastAsia="Arial" w:hAnsi="Arial" w:cs="Arial"/>
          <w:color w:val="000000"/>
        </w:rPr>
        <w:t>noncommercial</w:t>
      </w:r>
      <w:r>
        <w:rPr>
          <w:rFonts w:ascii="Arial" w:eastAsia="Arial" w:hAnsi="Arial" w:cs="Arial"/>
          <w:color w:val="000000"/>
        </w:rPr>
        <w:t xml:space="preserve"> operations” refers to putting forth a good tasting food in a short period of time as customers are busy. Whereas, “commercial operations” are more time taking and elegant (Johnston, 2012).  Then I learnt about how different </w:t>
      </w:r>
      <w:proofErr w:type="spellStart"/>
      <w:r>
        <w:rPr>
          <w:rFonts w:ascii="Arial" w:eastAsia="Arial" w:hAnsi="Arial" w:cs="Arial"/>
          <w:color w:val="000000"/>
        </w:rPr>
        <w:t>organisations</w:t>
      </w:r>
      <w:proofErr w:type="spellEnd"/>
      <w:r>
        <w:rPr>
          <w:rFonts w:ascii="Arial" w:eastAsia="Arial" w:hAnsi="Arial" w:cs="Arial"/>
          <w:color w:val="000000"/>
        </w:rPr>
        <w:t xml:space="preserve"> fulfil the needs of the customers. Furthermore, I also learned about the importance of customer retention in the </w:t>
      </w:r>
      <w:proofErr w:type="spellStart"/>
      <w:r>
        <w:rPr>
          <w:rFonts w:ascii="Arial" w:eastAsia="Arial" w:hAnsi="Arial" w:cs="Arial"/>
          <w:color w:val="000000"/>
        </w:rPr>
        <w:t>organisation</w:t>
      </w:r>
      <w:proofErr w:type="spellEnd"/>
      <w:r>
        <w:rPr>
          <w:rFonts w:ascii="Arial" w:eastAsia="Arial" w:hAnsi="Arial" w:cs="Arial"/>
          <w:color w:val="000000"/>
        </w:rPr>
        <w:t xml:space="preserve">. Customer retention enables </w:t>
      </w:r>
      <w:proofErr w:type="spellStart"/>
      <w:r>
        <w:rPr>
          <w:rFonts w:ascii="Arial" w:eastAsia="Arial" w:hAnsi="Arial" w:cs="Arial"/>
          <w:color w:val="000000"/>
        </w:rPr>
        <w:t>organisations</w:t>
      </w:r>
      <w:proofErr w:type="spellEnd"/>
      <w:r>
        <w:rPr>
          <w:rFonts w:ascii="Arial" w:eastAsia="Arial" w:hAnsi="Arial" w:cs="Arial"/>
          <w:color w:val="000000"/>
        </w:rPr>
        <w:t xml:space="preserve"> to reduce employee turnover and keep the skilled employees to themselves. I was able to tell the differences between the hard skills and soft skills related to the food and beverage industries. Soft skills </w:t>
      </w:r>
      <w:r w:rsidR="002E0E82">
        <w:rPr>
          <w:rFonts w:ascii="Arial" w:eastAsia="Arial" w:hAnsi="Arial" w:cs="Arial"/>
          <w:color w:val="000000"/>
        </w:rPr>
        <w:t>refer</w:t>
      </w:r>
      <w:r>
        <w:rPr>
          <w:rFonts w:ascii="Arial" w:eastAsia="Arial" w:hAnsi="Arial" w:cs="Arial"/>
          <w:color w:val="000000"/>
        </w:rPr>
        <w:t xml:space="preserve"> to skills including problem solving, critical thinking and the list goes on (Wood, 2013). The list of hard skills includes kitchen, inventory skills and the list goes on. </w:t>
      </w:r>
    </w:p>
    <w:p w14:paraId="00000012" w14:textId="77777777" w:rsidR="00FA4514" w:rsidRDefault="005310FA">
      <w:pPr>
        <w:pStyle w:val="Titlu1"/>
        <w:rPr>
          <w:rFonts w:ascii="Arial" w:eastAsia="Arial" w:hAnsi="Arial" w:cs="Arial"/>
        </w:rPr>
      </w:pPr>
      <w:bookmarkStart w:id="4" w:name="_heading=h.1t3h5sf" w:colFirst="0" w:colLast="0"/>
      <w:bookmarkEnd w:id="4"/>
      <w:r>
        <w:rPr>
          <w:rFonts w:ascii="Arial" w:eastAsia="Arial" w:hAnsi="Arial" w:cs="Arial"/>
        </w:rPr>
        <w:t>Week 3</w:t>
      </w:r>
    </w:p>
    <w:p w14:paraId="00000013" w14:textId="1C065A4F" w:rsidR="00FA4514" w:rsidRDefault="005310FA">
      <w:pPr>
        <w:pBdr>
          <w:top w:val="nil"/>
          <w:left w:val="nil"/>
          <w:bottom w:val="nil"/>
          <w:right w:val="nil"/>
          <w:between w:val="nil"/>
        </w:pBdr>
        <w:rPr>
          <w:rFonts w:ascii="Arial" w:eastAsia="Arial" w:hAnsi="Arial" w:cs="Arial"/>
          <w:color w:val="000000"/>
        </w:rPr>
      </w:pPr>
      <w:r>
        <w:rPr>
          <w:rFonts w:ascii="Arial" w:eastAsia="Arial" w:hAnsi="Arial" w:cs="Arial"/>
          <w:color w:val="000000"/>
        </w:rPr>
        <w:t>In week 3 the session covered the licensing act along with different types of services. The Licensing Act 2003 was made by the government of the UK regarding the sale and supply of alcohol (</w:t>
      </w:r>
      <w:proofErr w:type="spellStart"/>
      <w:r>
        <w:rPr>
          <w:rFonts w:ascii="Arial" w:eastAsia="Arial" w:hAnsi="Arial" w:cs="Arial"/>
          <w:color w:val="000000"/>
        </w:rPr>
        <w:t>Motarjemi</w:t>
      </w:r>
      <w:proofErr w:type="spellEnd"/>
      <w:r>
        <w:rPr>
          <w:rFonts w:ascii="Arial" w:eastAsia="Arial" w:hAnsi="Arial" w:cs="Arial"/>
          <w:color w:val="000000"/>
        </w:rPr>
        <w:t xml:space="preserve"> and </w:t>
      </w:r>
      <w:proofErr w:type="spellStart"/>
      <w:r>
        <w:rPr>
          <w:rFonts w:ascii="Arial" w:eastAsia="Arial" w:hAnsi="Arial" w:cs="Arial"/>
          <w:color w:val="000000"/>
        </w:rPr>
        <w:t>Lelieveld</w:t>
      </w:r>
      <w:proofErr w:type="spellEnd"/>
      <w:r>
        <w:rPr>
          <w:rFonts w:ascii="Arial" w:eastAsia="Arial" w:hAnsi="Arial" w:cs="Arial"/>
          <w:color w:val="000000"/>
        </w:rPr>
        <w:t xml:space="preserve">, 2014). There were other lessons </w:t>
      </w:r>
      <w:r>
        <w:rPr>
          <w:rFonts w:ascii="Arial" w:eastAsia="Arial" w:hAnsi="Arial" w:cs="Arial"/>
          <w:color w:val="000000"/>
        </w:rPr>
        <w:lastRenderedPageBreak/>
        <w:t xml:space="preserve">regarding the steps of services and different staff responsibilities. I learned that the responsible service of alcohol comes under the staff’s responsibility. </w:t>
      </w:r>
      <w:r w:rsidR="002E0E82">
        <w:rPr>
          <w:rFonts w:ascii="Arial" w:eastAsia="Arial" w:hAnsi="Arial" w:cs="Arial"/>
          <w:color w:val="000000"/>
        </w:rPr>
        <w:t>Furthermore,</w:t>
      </w:r>
      <w:r>
        <w:rPr>
          <w:rFonts w:ascii="Arial" w:eastAsia="Arial" w:hAnsi="Arial" w:cs="Arial"/>
          <w:color w:val="000000"/>
        </w:rPr>
        <w:t xml:space="preserve"> I was also able to learn more about </w:t>
      </w:r>
      <w:r>
        <w:rPr>
          <w:rFonts w:ascii="Arial" w:eastAsia="Arial" w:hAnsi="Arial" w:cs="Arial"/>
          <w:color w:val="4A86E8"/>
        </w:rPr>
        <w:t>laws surrounding the sale of alcohol</w:t>
      </w:r>
      <w:r>
        <w:rPr>
          <w:rFonts w:ascii="Arial" w:eastAsia="Arial" w:hAnsi="Arial" w:cs="Arial"/>
        </w:rPr>
        <w:t>.</w:t>
      </w:r>
      <w:r>
        <w:rPr>
          <w:rFonts w:ascii="Arial" w:eastAsia="Arial" w:hAnsi="Arial" w:cs="Arial"/>
          <w:color w:val="000000"/>
        </w:rPr>
        <w:t xml:space="preserve"> The most interesting lesson that I learned was about </w:t>
      </w:r>
      <w:r>
        <w:rPr>
          <w:rFonts w:ascii="Arial" w:eastAsia="Arial" w:hAnsi="Arial" w:cs="Arial"/>
          <w:color w:val="4A86E8"/>
        </w:rPr>
        <w:t>the different types of services there are and where they can be found</w:t>
      </w:r>
      <w:r>
        <w:rPr>
          <w:rFonts w:ascii="Arial" w:eastAsia="Arial" w:hAnsi="Arial" w:cs="Arial"/>
          <w:color w:val="000000"/>
        </w:rPr>
        <w:t>.</w:t>
      </w:r>
      <w:r>
        <w:rPr>
          <w:rFonts w:ascii="Arial" w:eastAsia="Arial" w:hAnsi="Arial" w:cs="Arial"/>
        </w:rPr>
        <w:t xml:space="preserve"> </w:t>
      </w:r>
      <w:r w:rsidR="002E0E82">
        <w:rPr>
          <w:rFonts w:ascii="Arial" w:eastAsia="Arial" w:hAnsi="Arial" w:cs="Arial"/>
          <w:color w:val="4A86E8"/>
        </w:rPr>
        <w:t>Additionally,</w:t>
      </w:r>
      <w:r>
        <w:rPr>
          <w:rFonts w:ascii="Arial" w:eastAsia="Arial" w:hAnsi="Arial" w:cs="Arial"/>
          <w:color w:val="4A86E8"/>
        </w:rPr>
        <w:t xml:space="preserve"> I was able to learn about restaurant management. Effective management of restaurants refers to the overseeing simultaneous operations which includes kitchen, service staff, marketing, daily operation and the list goes on.</w:t>
      </w:r>
      <w:r>
        <w:rPr>
          <w:rFonts w:ascii="Arial" w:eastAsia="Arial" w:hAnsi="Arial" w:cs="Arial"/>
          <w:color w:val="000000"/>
        </w:rPr>
        <w:t xml:space="preserve"> The licensing act was something I never knew about along with the staff’s responsibilities of the service of alcohol. </w:t>
      </w:r>
    </w:p>
    <w:p w14:paraId="00000014" w14:textId="77777777" w:rsidR="00FA4514" w:rsidRDefault="005310FA">
      <w:pPr>
        <w:pStyle w:val="Titlu1"/>
        <w:rPr>
          <w:rFonts w:ascii="Arial" w:eastAsia="Arial" w:hAnsi="Arial" w:cs="Arial"/>
        </w:rPr>
      </w:pPr>
      <w:bookmarkStart w:id="5" w:name="_heading=h.4d34og8" w:colFirst="0" w:colLast="0"/>
      <w:bookmarkEnd w:id="5"/>
      <w:r>
        <w:rPr>
          <w:rFonts w:ascii="Arial" w:eastAsia="Arial" w:hAnsi="Arial" w:cs="Arial"/>
        </w:rPr>
        <w:t>Week 4</w:t>
      </w:r>
    </w:p>
    <w:p w14:paraId="00000015" w14:textId="1886A9FE" w:rsidR="00FA4514" w:rsidRDefault="005310FA">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Week 4 was by far the most interesting session of my journey till date. It included a discussion on menu formation along with the importance of a menu. I learned that there are different types of menus. The different types of menus include “a la carte menus”, “static menus”, “du jour menus”, “cycle menus”, and “fixed menus”. I also learned about how to develop a </w:t>
      </w:r>
      <w:r w:rsidR="002E0E82">
        <w:rPr>
          <w:rFonts w:ascii="Arial" w:eastAsia="Arial" w:hAnsi="Arial" w:cs="Arial"/>
          <w:color w:val="000000"/>
        </w:rPr>
        <w:t>menu for</w:t>
      </w:r>
      <w:r>
        <w:rPr>
          <w:rFonts w:ascii="Arial" w:eastAsia="Arial" w:hAnsi="Arial" w:cs="Arial"/>
          <w:color w:val="000000"/>
        </w:rPr>
        <w:t xml:space="preserve"> a restaurant. I learned about how laws are used during the manufacturing of the menu. I learned how the allergen statement also has to be included in the menu statements on which dishes might contain allergens (</w:t>
      </w:r>
      <w:proofErr w:type="spellStart"/>
      <w:r>
        <w:rPr>
          <w:rFonts w:ascii="Arial" w:eastAsia="Arial" w:hAnsi="Arial" w:cs="Arial"/>
          <w:color w:val="000000"/>
        </w:rPr>
        <w:t>Zutshi</w:t>
      </w:r>
      <w:proofErr w:type="spellEnd"/>
      <w:r>
        <w:rPr>
          <w:rFonts w:ascii="Arial" w:eastAsia="Arial" w:hAnsi="Arial" w:cs="Arial"/>
          <w:color w:val="000000"/>
        </w:rPr>
        <w:t xml:space="preserve">, 2019). The session also taught me about the menu psychology along with seasonal menus. Seasonal menus refer to the changes in the meals every week and they are cooked freshly every day. </w:t>
      </w:r>
    </w:p>
    <w:p w14:paraId="00000017" w14:textId="5243D9C6" w:rsidR="00FA4514" w:rsidRDefault="005310FA">
      <w:pPr>
        <w:pBdr>
          <w:top w:val="nil"/>
          <w:left w:val="nil"/>
          <w:bottom w:val="nil"/>
          <w:right w:val="nil"/>
          <w:between w:val="nil"/>
        </w:pBdr>
        <w:rPr>
          <w:rFonts w:ascii="Arial" w:eastAsia="Arial" w:hAnsi="Arial" w:cs="Arial"/>
          <w:color w:val="000000"/>
        </w:rPr>
      </w:pPr>
      <w:bookmarkStart w:id="6" w:name="_heading=h.2s8eyo1" w:colFirst="0" w:colLast="0"/>
      <w:bookmarkEnd w:id="6"/>
      <w:r>
        <w:br w:type="page"/>
      </w:r>
    </w:p>
    <w:p w14:paraId="00000018" w14:textId="77777777" w:rsidR="00FA4514" w:rsidRDefault="005310FA">
      <w:pPr>
        <w:pStyle w:val="Titlu1"/>
        <w:rPr>
          <w:rFonts w:ascii="Arial" w:eastAsia="Arial" w:hAnsi="Arial" w:cs="Arial"/>
        </w:rPr>
      </w:pPr>
      <w:bookmarkStart w:id="7" w:name="_heading=h.17dp8vu" w:colFirst="0" w:colLast="0"/>
      <w:bookmarkEnd w:id="7"/>
      <w:r>
        <w:rPr>
          <w:rFonts w:ascii="Arial" w:eastAsia="Arial" w:hAnsi="Arial" w:cs="Arial"/>
        </w:rPr>
        <w:lastRenderedPageBreak/>
        <w:t>References</w:t>
      </w:r>
    </w:p>
    <w:p w14:paraId="00000019" w14:textId="77777777" w:rsidR="00FA4514" w:rsidRDefault="005310FA">
      <w:pPr>
        <w:pBdr>
          <w:top w:val="nil"/>
          <w:left w:val="nil"/>
          <w:bottom w:val="nil"/>
          <w:right w:val="nil"/>
          <w:between w:val="nil"/>
        </w:pBdr>
        <w:rPr>
          <w:rFonts w:ascii="Arial" w:eastAsia="Arial" w:hAnsi="Arial" w:cs="Arial"/>
          <w:color w:val="000000"/>
        </w:rPr>
      </w:pPr>
      <w:proofErr w:type="spellStart"/>
      <w:r>
        <w:rPr>
          <w:rFonts w:ascii="Arial" w:eastAsia="Arial" w:hAnsi="Arial" w:cs="Arial"/>
          <w:color w:val="222222"/>
          <w:highlight w:val="white"/>
        </w:rPr>
        <w:t>Alexakis</w:t>
      </w:r>
      <w:proofErr w:type="spellEnd"/>
      <w:r>
        <w:rPr>
          <w:rFonts w:ascii="Arial" w:eastAsia="Arial" w:hAnsi="Arial" w:cs="Arial"/>
          <w:color w:val="222222"/>
          <w:highlight w:val="white"/>
        </w:rPr>
        <w:t xml:space="preserve">, G. and Jiang, L., (2019) Industry competencies and the optimal hospitality management curriculum: an empirical study. </w:t>
      </w:r>
      <w:r>
        <w:rPr>
          <w:rFonts w:ascii="Arial" w:eastAsia="Arial" w:hAnsi="Arial" w:cs="Arial"/>
          <w:i/>
          <w:color w:val="222222"/>
          <w:highlight w:val="white"/>
        </w:rPr>
        <w:t>Journal of Hospitality &amp; Tourism Education</w:t>
      </w:r>
      <w:r>
        <w:rPr>
          <w:rFonts w:ascii="Arial" w:eastAsia="Arial" w:hAnsi="Arial" w:cs="Arial"/>
          <w:color w:val="222222"/>
          <w:highlight w:val="white"/>
        </w:rPr>
        <w:t xml:space="preserve">, </w:t>
      </w:r>
      <w:r>
        <w:rPr>
          <w:rFonts w:ascii="Arial" w:eastAsia="Arial" w:hAnsi="Arial" w:cs="Arial"/>
          <w:i/>
          <w:color w:val="222222"/>
          <w:highlight w:val="white"/>
        </w:rPr>
        <w:t>31</w:t>
      </w:r>
      <w:r>
        <w:rPr>
          <w:rFonts w:ascii="Arial" w:eastAsia="Arial" w:hAnsi="Arial" w:cs="Arial"/>
          <w:color w:val="222222"/>
          <w:highlight w:val="white"/>
        </w:rPr>
        <w:t>(4), pp.210-220.</w:t>
      </w:r>
    </w:p>
    <w:p w14:paraId="0000001A" w14:textId="77777777" w:rsidR="00FA4514" w:rsidRDefault="005310FA">
      <w:pPr>
        <w:pBdr>
          <w:top w:val="nil"/>
          <w:left w:val="nil"/>
          <w:bottom w:val="nil"/>
          <w:right w:val="nil"/>
          <w:between w:val="nil"/>
        </w:pBdr>
        <w:rPr>
          <w:rFonts w:ascii="Arial" w:eastAsia="Arial" w:hAnsi="Arial" w:cs="Arial"/>
          <w:color w:val="000000"/>
        </w:rPr>
      </w:pPr>
      <w:proofErr w:type="spellStart"/>
      <w:r>
        <w:rPr>
          <w:rFonts w:ascii="Arial" w:eastAsia="Arial" w:hAnsi="Arial" w:cs="Arial"/>
          <w:color w:val="000000"/>
        </w:rPr>
        <w:t>Boussard</w:t>
      </w:r>
      <w:proofErr w:type="spellEnd"/>
      <w:r>
        <w:rPr>
          <w:rFonts w:ascii="Arial" w:eastAsia="Arial" w:hAnsi="Arial" w:cs="Arial"/>
          <w:color w:val="000000"/>
        </w:rPr>
        <w:t>, S (2021) Food and Beverage Management in the Luxury Hotel Industry. New York: Business Expert Press.</w:t>
      </w:r>
    </w:p>
    <w:p w14:paraId="0000001B" w14:textId="77777777" w:rsidR="00FA4514" w:rsidRDefault="005310FA">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Cousins, J. (2020) Food and beverage service. 9th ed. London: </w:t>
      </w:r>
      <w:r>
        <w:rPr>
          <w:rFonts w:ascii="Arial" w:eastAsia="Arial" w:hAnsi="Arial" w:cs="Arial"/>
          <w:i/>
          <w:color w:val="000000"/>
        </w:rPr>
        <w:t>Hodder Education Group</w:t>
      </w:r>
      <w:r>
        <w:rPr>
          <w:rFonts w:ascii="Arial" w:eastAsia="Arial" w:hAnsi="Arial" w:cs="Arial"/>
          <w:color w:val="000000"/>
        </w:rPr>
        <w:t>.</w:t>
      </w:r>
    </w:p>
    <w:p w14:paraId="0000001C" w14:textId="77777777" w:rsidR="00FA4514" w:rsidRDefault="005310FA">
      <w:pPr>
        <w:pBdr>
          <w:top w:val="nil"/>
          <w:left w:val="nil"/>
          <w:bottom w:val="nil"/>
          <w:right w:val="nil"/>
          <w:between w:val="nil"/>
        </w:pBdr>
        <w:rPr>
          <w:rFonts w:ascii="Arial" w:eastAsia="Arial" w:hAnsi="Arial" w:cs="Arial"/>
          <w:color w:val="000000"/>
        </w:rPr>
      </w:pPr>
      <w:r>
        <w:rPr>
          <w:rFonts w:ascii="Arial" w:eastAsia="Arial" w:hAnsi="Arial" w:cs="Arial"/>
          <w:color w:val="000000"/>
        </w:rPr>
        <w:t>Johnston, R. (2012) Service operations management : improving service delivery. 4th ed. Harlow, England: Pearson.</w:t>
      </w:r>
    </w:p>
    <w:p w14:paraId="0000001D" w14:textId="77777777" w:rsidR="00FA4514" w:rsidRDefault="005310FA">
      <w:pPr>
        <w:pBdr>
          <w:top w:val="nil"/>
          <w:left w:val="nil"/>
          <w:bottom w:val="nil"/>
          <w:right w:val="nil"/>
          <w:between w:val="nil"/>
        </w:pBdr>
        <w:rPr>
          <w:rFonts w:ascii="Arial" w:eastAsia="Arial" w:hAnsi="Arial" w:cs="Arial"/>
          <w:color w:val="000000"/>
        </w:rPr>
      </w:pPr>
      <w:proofErr w:type="spellStart"/>
      <w:r>
        <w:rPr>
          <w:rFonts w:ascii="Arial" w:eastAsia="Arial" w:hAnsi="Arial" w:cs="Arial"/>
          <w:color w:val="000000"/>
        </w:rPr>
        <w:t>Motarjemi</w:t>
      </w:r>
      <w:proofErr w:type="spellEnd"/>
      <w:r>
        <w:rPr>
          <w:rFonts w:ascii="Arial" w:eastAsia="Arial" w:hAnsi="Arial" w:cs="Arial"/>
          <w:color w:val="000000"/>
        </w:rPr>
        <w:t xml:space="preserve">, Y and </w:t>
      </w:r>
      <w:proofErr w:type="spellStart"/>
      <w:r>
        <w:rPr>
          <w:rFonts w:ascii="Arial" w:eastAsia="Arial" w:hAnsi="Arial" w:cs="Arial"/>
          <w:color w:val="000000"/>
        </w:rPr>
        <w:t>Lelieveld</w:t>
      </w:r>
      <w:proofErr w:type="spellEnd"/>
      <w:r>
        <w:rPr>
          <w:rFonts w:ascii="Arial" w:eastAsia="Arial" w:hAnsi="Arial" w:cs="Arial"/>
          <w:color w:val="000000"/>
        </w:rPr>
        <w:t>, H (2014) Food safety management : a practical guide for the food industry. Illustrated edition. Amsterdam: Academic Press.</w:t>
      </w:r>
    </w:p>
    <w:p w14:paraId="0000001E" w14:textId="77777777" w:rsidR="00FA4514" w:rsidRDefault="005310FA">
      <w:pPr>
        <w:pBdr>
          <w:top w:val="nil"/>
          <w:left w:val="nil"/>
          <w:bottom w:val="nil"/>
          <w:right w:val="nil"/>
          <w:between w:val="nil"/>
        </w:pBdr>
        <w:rPr>
          <w:rFonts w:ascii="Arial" w:eastAsia="Arial" w:hAnsi="Arial" w:cs="Arial"/>
          <w:color w:val="000000"/>
        </w:rPr>
      </w:pPr>
      <w:r>
        <w:rPr>
          <w:rFonts w:ascii="Arial" w:eastAsia="Arial" w:hAnsi="Arial" w:cs="Arial"/>
          <w:color w:val="000000"/>
        </w:rPr>
        <w:t>Walker, J (2017) Introduction to Hospitality. Harlow: Pearson Education Limited.</w:t>
      </w:r>
    </w:p>
    <w:p w14:paraId="0000001F" w14:textId="77777777" w:rsidR="00FA4514" w:rsidRDefault="005310FA">
      <w:pPr>
        <w:pBdr>
          <w:top w:val="nil"/>
          <w:left w:val="nil"/>
          <w:bottom w:val="nil"/>
          <w:right w:val="nil"/>
          <w:between w:val="nil"/>
        </w:pBdr>
        <w:rPr>
          <w:rFonts w:ascii="Arial" w:eastAsia="Arial" w:hAnsi="Arial" w:cs="Arial"/>
          <w:color w:val="000000"/>
        </w:rPr>
      </w:pPr>
      <w:r>
        <w:rPr>
          <w:rFonts w:ascii="Arial" w:eastAsia="Arial" w:hAnsi="Arial" w:cs="Arial"/>
          <w:color w:val="000000"/>
        </w:rPr>
        <w:t>Wood, R. (2013) Key Concepts in Hospitality Management. London: Sage</w:t>
      </w:r>
    </w:p>
    <w:p w14:paraId="00000020" w14:textId="77777777" w:rsidR="00FA4514" w:rsidRDefault="005310FA">
      <w:pPr>
        <w:pBdr>
          <w:top w:val="nil"/>
          <w:left w:val="nil"/>
          <w:bottom w:val="nil"/>
          <w:right w:val="nil"/>
          <w:between w:val="nil"/>
        </w:pBdr>
        <w:rPr>
          <w:rFonts w:ascii="Arial" w:eastAsia="Arial" w:hAnsi="Arial" w:cs="Arial"/>
          <w:color w:val="000000"/>
        </w:rPr>
      </w:pPr>
      <w:proofErr w:type="spellStart"/>
      <w:r>
        <w:rPr>
          <w:rFonts w:ascii="Arial" w:eastAsia="Arial" w:hAnsi="Arial" w:cs="Arial"/>
          <w:color w:val="000000"/>
        </w:rPr>
        <w:t>Zutshi</w:t>
      </w:r>
      <w:proofErr w:type="spellEnd"/>
      <w:r>
        <w:rPr>
          <w:rFonts w:ascii="Arial" w:eastAsia="Arial" w:hAnsi="Arial" w:cs="Arial"/>
          <w:color w:val="000000"/>
        </w:rPr>
        <w:t xml:space="preserve">, A. (2019) ‘How to develop well-informed and assured teams to embed food safety compliance in the UK catering and hospitality industry’, </w:t>
      </w:r>
      <w:r>
        <w:rPr>
          <w:rFonts w:ascii="Arial" w:eastAsia="Arial" w:hAnsi="Arial" w:cs="Arial"/>
          <w:i/>
          <w:color w:val="000000"/>
        </w:rPr>
        <w:t>Perspectives in Public Health</w:t>
      </w:r>
      <w:r>
        <w:rPr>
          <w:rFonts w:ascii="Arial" w:eastAsia="Arial" w:hAnsi="Arial" w:cs="Arial"/>
          <w:color w:val="000000"/>
        </w:rPr>
        <w:t>, 139(6), pp. 294–295.</w:t>
      </w:r>
    </w:p>
    <w:sectPr w:rsidR="00FA4514">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2D432" w14:textId="77777777" w:rsidR="00A46856" w:rsidRDefault="00A46856">
      <w:pPr>
        <w:spacing w:after="0" w:line="240" w:lineRule="auto"/>
      </w:pPr>
      <w:r>
        <w:separator/>
      </w:r>
    </w:p>
  </w:endnote>
  <w:endnote w:type="continuationSeparator" w:id="0">
    <w:p w14:paraId="60D3E078" w14:textId="77777777" w:rsidR="00A46856" w:rsidRDefault="00A46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1" w14:textId="1A4BC4CD" w:rsidR="00FA4514" w:rsidRDefault="005310FA">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2E0E82">
      <w:rPr>
        <w:noProof/>
        <w:color w:val="000000"/>
      </w:rPr>
      <w:t>1</w:t>
    </w:r>
    <w:r>
      <w:rPr>
        <w:color w:val="000000"/>
      </w:rPr>
      <w:fldChar w:fldCharType="end"/>
    </w:r>
  </w:p>
  <w:p w14:paraId="00000022" w14:textId="77777777" w:rsidR="00FA4514" w:rsidRDefault="00FA4514">
    <w:pPr>
      <w:widowControl w:val="0"/>
      <w:pBdr>
        <w:top w:val="nil"/>
        <w:left w:val="nil"/>
        <w:bottom w:val="nil"/>
        <w:right w:val="nil"/>
        <w:between w:val="nil"/>
      </w:pBdr>
      <w:spacing w:after="0" w:line="276" w:lineRule="auto"/>
      <w:jc w:val="lef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0C651" w14:textId="77777777" w:rsidR="00A46856" w:rsidRDefault="00A46856">
      <w:pPr>
        <w:spacing w:after="0" w:line="240" w:lineRule="auto"/>
      </w:pPr>
      <w:r>
        <w:separator/>
      </w:r>
    </w:p>
  </w:footnote>
  <w:footnote w:type="continuationSeparator" w:id="0">
    <w:p w14:paraId="27AAEA5C" w14:textId="77777777" w:rsidR="00A46856" w:rsidRDefault="00A468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514"/>
    <w:rsid w:val="002E0E82"/>
    <w:rsid w:val="005310FA"/>
    <w:rsid w:val="00A46856"/>
    <w:rsid w:val="00FA4514"/>
    <w:rsid w:val="00FA49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C7D07"/>
  <w15:docId w15:val="{C676FB12-6AF6-4626-816B-EF153093E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1"/>
    <w:next w:val="Normal1"/>
    <w:rsid w:val="0069179A"/>
    <w:pPr>
      <w:keepNext/>
      <w:keepLines/>
      <w:outlineLvl w:val="0"/>
    </w:pPr>
    <w:rPr>
      <w:b/>
    </w:rPr>
  </w:style>
  <w:style w:type="paragraph" w:styleId="Titlu2">
    <w:name w:val="heading 2"/>
    <w:basedOn w:val="Normal1"/>
    <w:next w:val="Normal1"/>
    <w:rsid w:val="0069179A"/>
    <w:pPr>
      <w:keepNext/>
      <w:keepLines/>
      <w:spacing w:before="360" w:after="120"/>
      <w:outlineLvl w:val="1"/>
    </w:pPr>
    <w:rPr>
      <w:sz w:val="32"/>
      <w:szCs w:val="32"/>
    </w:rPr>
  </w:style>
  <w:style w:type="paragraph" w:styleId="Titlu3">
    <w:name w:val="heading 3"/>
    <w:basedOn w:val="Normal1"/>
    <w:next w:val="Normal1"/>
    <w:rsid w:val="0069179A"/>
    <w:pPr>
      <w:keepNext/>
      <w:keepLines/>
      <w:spacing w:before="320" w:after="80"/>
      <w:outlineLvl w:val="2"/>
    </w:pPr>
    <w:rPr>
      <w:color w:val="434343"/>
      <w:sz w:val="28"/>
      <w:szCs w:val="28"/>
    </w:rPr>
  </w:style>
  <w:style w:type="paragraph" w:styleId="Titlu4">
    <w:name w:val="heading 4"/>
    <w:basedOn w:val="Normal1"/>
    <w:next w:val="Normal1"/>
    <w:rsid w:val="0069179A"/>
    <w:pPr>
      <w:keepNext/>
      <w:keepLines/>
      <w:spacing w:before="280" w:after="80"/>
      <w:outlineLvl w:val="3"/>
    </w:pPr>
    <w:rPr>
      <w:color w:val="666666"/>
    </w:rPr>
  </w:style>
  <w:style w:type="paragraph" w:styleId="Titlu5">
    <w:name w:val="heading 5"/>
    <w:basedOn w:val="Normal1"/>
    <w:next w:val="Normal1"/>
    <w:rsid w:val="0069179A"/>
    <w:pPr>
      <w:keepNext/>
      <w:keepLines/>
      <w:spacing w:before="240" w:after="80"/>
      <w:outlineLvl w:val="4"/>
    </w:pPr>
    <w:rPr>
      <w:color w:val="666666"/>
      <w:sz w:val="22"/>
      <w:szCs w:val="22"/>
    </w:rPr>
  </w:style>
  <w:style w:type="paragraph" w:styleId="Titlu6">
    <w:name w:val="heading 6"/>
    <w:basedOn w:val="Normal1"/>
    <w:next w:val="Normal1"/>
    <w:rsid w:val="0069179A"/>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1"/>
    <w:next w:val="Normal1"/>
    <w:rsid w:val="0069179A"/>
    <w:pPr>
      <w:keepNext/>
      <w:keepLines/>
      <w:jc w:val="center"/>
    </w:pPr>
    <w:rPr>
      <w:rFonts w:ascii="Arial" w:eastAsia="Arial" w:hAnsi="Arial" w:cs="Arial"/>
      <w:b/>
      <w:sz w:val="32"/>
      <w:szCs w:val="32"/>
      <w:u w:val="single"/>
    </w:rPr>
  </w:style>
  <w:style w:type="paragraph" w:customStyle="1" w:styleId="Normal1">
    <w:name w:val="Normal1"/>
    <w:rsid w:val="0069179A"/>
  </w:style>
  <w:style w:type="paragraph" w:styleId="Subtitlu">
    <w:name w:val="Subtitle"/>
    <w:basedOn w:val="Normal"/>
    <w:next w:val="Normal"/>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TextnBalon">
    <w:name w:val="Balloon Text"/>
    <w:basedOn w:val="Normal"/>
    <w:link w:val="TextnBalonCaracter"/>
    <w:uiPriority w:val="99"/>
    <w:semiHidden/>
    <w:unhideWhenUsed/>
    <w:rsid w:val="003D75E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D75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dZmitcluHe0mLDe0s+md+4RpJJw==">AMUW2mWWwilQGwqC+15AWvTZKyw1IDJ/FzOoJqmqaPttAXahFCzPwzVLeERz0c1vgEv7hSRTixzHFDbz32jI867Y8WpS0K0mcFa3JCOcq+2I4uyxlfgIRNbszRKvpXoKUGZ+ta/rLCkKRcyN66ljpCtIXd2VuxUwHptppEi6KYTpAU050RjVsr6JBMeKI9p7sdnp6FyJJq7xfmix8TVWS2NWwgt4uJeK/tiIKjbhBl0xTW2XJ9U3DuIbZWw4Nx6ZqSc95078UqZh/rtOV/l5+oIl02E5A2bt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803</Words>
  <Characters>4579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Mira Darie</cp:lastModifiedBy>
  <cp:revision>3</cp:revision>
  <dcterms:created xsi:type="dcterms:W3CDTF">2023-01-27T12:16:00Z</dcterms:created>
  <dcterms:modified xsi:type="dcterms:W3CDTF">2023-02-01T17:01:00Z</dcterms:modified>
</cp:coreProperties>
</file>