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2F05E2AE" w:rsidR="007D1947" w:rsidRDefault="00E81FE8" w:rsidP="00E81FE8">
          <w:pPr>
            <w:pStyle w:val="NoSpacing"/>
            <w:spacing w:before="1540" w:after="240"/>
            <w:rPr>
              <w:color w:val="5B9BD5" w:themeColor="accent1"/>
            </w:rPr>
          </w:pPr>
          <w:r>
            <w:rPr>
              <w:rFonts w:eastAsiaTheme="minorHAnsi"/>
              <w:color w:val="5B9BD5" w:themeColor="accent1"/>
              <w:lang w:val="en-GB"/>
            </w:rPr>
            <w:t xml:space="preserve">                                                                   </w:t>
          </w:r>
          <w:r w:rsidR="007D1947">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2085BC9" w14:textId="6DD551CD" w:rsidR="007D1947" w:rsidRDefault="002C483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MARRIOTT INTERNATIONAL INC.</w:t>
          </w:r>
        </w:p>
        <w:p w14:paraId="65B5E730" w14:textId="7D95D156" w:rsidR="007D1947" w:rsidRDefault="002C4836">
          <w:pPr>
            <w:pStyle w:val="NoSpacing"/>
            <w:jc w:val="center"/>
            <w:rPr>
              <w:color w:val="5B9BD5" w:themeColor="accent1"/>
              <w:sz w:val="28"/>
              <w:szCs w:val="28"/>
            </w:rPr>
          </w:pPr>
          <w:r>
            <w:rPr>
              <w:color w:val="5B9BD5" w:themeColor="accent1"/>
              <w:sz w:val="28"/>
              <w:szCs w:val="28"/>
            </w:rPr>
            <w:t>Financial Statements</w:t>
          </w:r>
        </w:p>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31C0A" w14:textId="7590A5B7" w:rsidR="007D1947" w:rsidRDefault="007D1947">
                                <w:pPr>
                                  <w:pStyle w:val="NoSpacing"/>
                                  <w:spacing w:after="40"/>
                                  <w:jc w:val="center"/>
                                  <w:rPr>
                                    <w:caps/>
                                    <w:color w:val="5B9BD5" w:themeColor="accent1"/>
                                    <w:sz w:val="28"/>
                                    <w:szCs w:val="28"/>
                                  </w:rPr>
                                </w:pPr>
                              </w:p>
                              <w:p w14:paraId="53078492" w14:textId="1B9D1DE5" w:rsidR="007D1947" w:rsidRDefault="004A11F6">
                                <w:pPr>
                                  <w:pStyle w:val="NoSpacing"/>
                                  <w:jc w:val="center"/>
                                  <w:rPr>
                                    <w:color w:val="5B9BD5" w:themeColor="accent1"/>
                                  </w:rPr>
                                </w:pPr>
                                <w:r>
                                  <w:rPr>
                                    <w:caps/>
                                    <w:color w:val="5B9BD5" w:themeColor="accent1"/>
                                    <w:lang w:val="en-GB"/>
                                  </w:rPr>
                                  <w:t>University of Wales Trinity Saint David</w:t>
                                </w:r>
                              </w:p>
                              <w:p w14:paraId="6275C62E" w14:textId="49326147" w:rsidR="007D1947" w:rsidRDefault="007D1947">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8731C0A" w14:textId="7590A5B7" w:rsidR="007D1947" w:rsidRDefault="007D1947">
                          <w:pPr>
                            <w:pStyle w:val="NoSpacing"/>
                            <w:spacing w:after="40"/>
                            <w:jc w:val="center"/>
                            <w:rPr>
                              <w:caps/>
                              <w:color w:val="5B9BD5" w:themeColor="accent1"/>
                              <w:sz w:val="28"/>
                              <w:szCs w:val="28"/>
                            </w:rPr>
                          </w:pPr>
                        </w:p>
                        <w:p w14:paraId="53078492" w14:textId="1B9D1DE5" w:rsidR="007D1947" w:rsidRDefault="004A11F6">
                          <w:pPr>
                            <w:pStyle w:val="NoSpacing"/>
                            <w:jc w:val="center"/>
                            <w:rPr>
                              <w:color w:val="5B9BD5" w:themeColor="accent1"/>
                            </w:rPr>
                          </w:pPr>
                          <w:r>
                            <w:rPr>
                              <w:caps/>
                              <w:color w:val="5B9BD5" w:themeColor="accent1"/>
                              <w:lang w:val="en-GB"/>
                            </w:rPr>
                            <w:t>University of Wales Trinity Saint David</w:t>
                          </w:r>
                        </w:p>
                        <w:p w14:paraId="6275C62E" w14:textId="49326147" w:rsidR="007D1947" w:rsidRDefault="007D1947">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F14963" w14:textId="5ECE2532" w:rsidR="007D1947" w:rsidRDefault="0002751D" w:rsidP="002C4836">
          <w:pPr>
            <w:pStyle w:val="Heading1"/>
          </w:pPr>
          <w:r>
            <w:t>Madalina Floriana Popescu (2024553)</w:t>
          </w:r>
          <w:r w:rsidR="007D1947">
            <w:br w:type="page"/>
          </w:r>
          <w:bookmarkStart w:id="0" w:name="_Toc120795821"/>
          <w:r w:rsidR="007D1947">
            <w:lastRenderedPageBreak/>
            <w:t>Executive Summary</w:t>
          </w:r>
          <w:bookmarkEnd w:id="0"/>
        </w:p>
        <w:p w14:paraId="55CC788F" w14:textId="2F67CADB" w:rsidR="002C4836" w:rsidRDefault="002C4836" w:rsidP="002C4836"/>
        <w:p w14:paraId="3EEE5E5A" w14:textId="6A6A89BD" w:rsidR="00172ED7"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It has been noted in the hospitality industry that it is essential to evaluate an organization's exhibition, consequently, the objective of this study is to break down the financial ratios of an organization by dissecting its presentation. The analysis is focused on the organization's non-financial execution, which will act as an aid for grasping the impending monetary execution.</w:t>
          </w:r>
        </w:p>
        <w:p w14:paraId="59A680BB" w14:textId="4201A22D" w:rsidR="00172ED7"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The principal objective of ratio analysis is to characterize the three measurements of productivity, liquidity, and gearing at Marriott International Inc. This report's goal is to distinguish the organization's points of weakness and foster answers to help it keep up with trust in its financial execution. The probabilistic examinations' discoveries show a decrease in income from 2020 to 2021.</w:t>
          </w:r>
        </w:p>
        <w:p w14:paraId="63A55E33" w14:textId="5F63593F" w:rsidR="00172ED7"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Whether or whether the corporation can pay its obligations and advantages relies upon what the liquidity ratio recommends. The gearing ratio is a dubious mark of the organization's financial solidity. The information I got has a 5-year time span structure too, but the outcomes compared don't make sense of why the patterns exist. Before viable strategies can be set up to advance the organization, the corporation would have to send more information to make the analysis more precise.</w:t>
          </w:r>
        </w:p>
        <w:p w14:paraId="5A1BA351" w14:textId="77777777" w:rsidR="00172ED7"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The organization of the ratio analysis for hotel management empowers future employees who want to avoid different financial situations by gathering relevant facts.</w:t>
          </w:r>
        </w:p>
        <w:p w14:paraId="3BDDFC64" w14:textId="71553DA1" w:rsidR="002C4836"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While considering the adequacy of ratio analysis, there is an equivalent dispersion of aids and limitations, but by fathoming the benefits and limitations, the organization's utilization of the data might be taken to the next level.</w:t>
          </w:r>
        </w:p>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2C1983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7F927D0" w14:textId="77777777" w:rsidR="007D1947" w:rsidRDefault="007D1947">
              <w:pPr>
                <w:pStyle w:val="TOCHeading"/>
              </w:pPr>
              <w:r>
                <w:t>Table of Contents</w:t>
              </w:r>
            </w:p>
            <w:p w14:paraId="0CF9B517" w14:textId="43BE2E8D" w:rsidR="009E2EB5" w:rsidRDefault="007D1947">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20795821" w:history="1">
                <w:r w:rsidR="009E2EB5" w:rsidRPr="00DE24AF">
                  <w:rPr>
                    <w:rStyle w:val="Hyperlink"/>
                    <w:noProof/>
                  </w:rPr>
                  <w:t>Executive Summary</w:t>
                </w:r>
                <w:r w:rsidR="009E2EB5">
                  <w:rPr>
                    <w:noProof/>
                    <w:webHidden/>
                  </w:rPr>
                  <w:tab/>
                </w:r>
                <w:r w:rsidR="009E2EB5">
                  <w:rPr>
                    <w:noProof/>
                    <w:webHidden/>
                  </w:rPr>
                  <w:fldChar w:fldCharType="begin"/>
                </w:r>
                <w:r w:rsidR="009E2EB5">
                  <w:rPr>
                    <w:noProof/>
                    <w:webHidden/>
                  </w:rPr>
                  <w:instrText xml:space="preserve"> PAGEREF _Toc120795821 \h </w:instrText>
                </w:r>
                <w:r w:rsidR="009E2EB5">
                  <w:rPr>
                    <w:noProof/>
                    <w:webHidden/>
                  </w:rPr>
                </w:r>
                <w:r w:rsidR="009E2EB5">
                  <w:rPr>
                    <w:noProof/>
                    <w:webHidden/>
                  </w:rPr>
                  <w:fldChar w:fldCharType="separate"/>
                </w:r>
                <w:r w:rsidR="009E2EB5">
                  <w:rPr>
                    <w:noProof/>
                    <w:webHidden/>
                  </w:rPr>
                  <w:t>1</w:t>
                </w:r>
                <w:r w:rsidR="009E2EB5">
                  <w:rPr>
                    <w:noProof/>
                    <w:webHidden/>
                  </w:rPr>
                  <w:fldChar w:fldCharType="end"/>
                </w:r>
              </w:hyperlink>
            </w:p>
            <w:p w14:paraId="62A4DEF6" w14:textId="18313F96" w:rsidR="009E2EB5" w:rsidRDefault="00000000">
              <w:pPr>
                <w:pStyle w:val="TOC1"/>
                <w:tabs>
                  <w:tab w:val="right" w:leader="dot" w:pos="9016"/>
                </w:tabs>
                <w:rPr>
                  <w:rFonts w:eastAsiaTheme="minorEastAsia"/>
                  <w:noProof/>
                  <w:lang w:val="en-IN" w:eastAsia="en-IN"/>
                </w:rPr>
              </w:pPr>
              <w:hyperlink w:anchor="_Toc120795822" w:history="1">
                <w:r w:rsidR="009E2EB5" w:rsidRPr="00DE24AF">
                  <w:rPr>
                    <w:rStyle w:val="Hyperlink"/>
                    <w:noProof/>
                  </w:rPr>
                  <w:t>Introduction</w:t>
                </w:r>
                <w:r w:rsidR="009E2EB5">
                  <w:rPr>
                    <w:noProof/>
                    <w:webHidden/>
                  </w:rPr>
                  <w:tab/>
                </w:r>
                <w:r w:rsidR="009E2EB5">
                  <w:rPr>
                    <w:noProof/>
                    <w:webHidden/>
                  </w:rPr>
                  <w:fldChar w:fldCharType="begin"/>
                </w:r>
                <w:r w:rsidR="009E2EB5">
                  <w:rPr>
                    <w:noProof/>
                    <w:webHidden/>
                  </w:rPr>
                  <w:instrText xml:space="preserve"> PAGEREF _Toc120795822 \h </w:instrText>
                </w:r>
                <w:r w:rsidR="009E2EB5">
                  <w:rPr>
                    <w:noProof/>
                    <w:webHidden/>
                  </w:rPr>
                </w:r>
                <w:r w:rsidR="009E2EB5">
                  <w:rPr>
                    <w:noProof/>
                    <w:webHidden/>
                  </w:rPr>
                  <w:fldChar w:fldCharType="separate"/>
                </w:r>
                <w:r w:rsidR="009E2EB5">
                  <w:rPr>
                    <w:noProof/>
                    <w:webHidden/>
                  </w:rPr>
                  <w:t>3</w:t>
                </w:r>
                <w:r w:rsidR="009E2EB5">
                  <w:rPr>
                    <w:noProof/>
                    <w:webHidden/>
                  </w:rPr>
                  <w:fldChar w:fldCharType="end"/>
                </w:r>
              </w:hyperlink>
            </w:p>
            <w:p w14:paraId="6A0A78A1" w14:textId="22238457" w:rsidR="009E2EB5" w:rsidRDefault="00000000">
              <w:pPr>
                <w:pStyle w:val="TOC1"/>
                <w:tabs>
                  <w:tab w:val="right" w:leader="dot" w:pos="9016"/>
                </w:tabs>
                <w:rPr>
                  <w:rFonts w:eastAsiaTheme="minorEastAsia"/>
                  <w:noProof/>
                  <w:lang w:val="en-IN" w:eastAsia="en-IN"/>
                </w:rPr>
              </w:pPr>
              <w:hyperlink w:anchor="_Toc120795823" w:history="1">
                <w:r w:rsidR="009E2EB5" w:rsidRPr="00DE24AF">
                  <w:rPr>
                    <w:rStyle w:val="Hyperlink"/>
                    <w:noProof/>
                  </w:rPr>
                  <w:t>Financial Analysis Trends</w:t>
                </w:r>
                <w:r w:rsidR="009E2EB5">
                  <w:rPr>
                    <w:noProof/>
                    <w:webHidden/>
                  </w:rPr>
                  <w:tab/>
                </w:r>
                <w:r w:rsidR="009E2EB5">
                  <w:rPr>
                    <w:noProof/>
                    <w:webHidden/>
                  </w:rPr>
                  <w:fldChar w:fldCharType="begin"/>
                </w:r>
                <w:r w:rsidR="009E2EB5">
                  <w:rPr>
                    <w:noProof/>
                    <w:webHidden/>
                  </w:rPr>
                  <w:instrText xml:space="preserve"> PAGEREF _Toc120795823 \h </w:instrText>
                </w:r>
                <w:r w:rsidR="009E2EB5">
                  <w:rPr>
                    <w:noProof/>
                    <w:webHidden/>
                  </w:rPr>
                </w:r>
                <w:r w:rsidR="009E2EB5">
                  <w:rPr>
                    <w:noProof/>
                    <w:webHidden/>
                  </w:rPr>
                  <w:fldChar w:fldCharType="separate"/>
                </w:r>
                <w:r w:rsidR="009E2EB5">
                  <w:rPr>
                    <w:noProof/>
                    <w:webHidden/>
                  </w:rPr>
                  <w:t>6</w:t>
                </w:r>
                <w:r w:rsidR="009E2EB5">
                  <w:rPr>
                    <w:noProof/>
                    <w:webHidden/>
                  </w:rPr>
                  <w:fldChar w:fldCharType="end"/>
                </w:r>
              </w:hyperlink>
            </w:p>
            <w:p w14:paraId="2EC29C98" w14:textId="788529FC" w:rsidR="009E2EB5" w:rsidRDefault="00000000">
              <w:pPr>
                <w:pStyle w:val="TOC2"/>
                <w:tabs>
                  <w:tab w:val="right" w:leader="dot" w:pos="9016"/>
                </w:tabs>
                <w:rPr>
                  <w:rFonts w:eastAsiaTheme="minorEastAsia"/>
                  <w:noProof/>
                  <w:lang w:val="en-IN" w:eastAsia="en-IN"/>
                </w:rPr>
              </w:pPr>
              <w:hyperlink w:anchor="_Toc120795824" w:history="1">
                <w:r w:rsidR="009E2EB5" w:rsidRPr="00DE24AF">
                  <w:rPr>
                    <w:rStyle w:val="Hyperlink"/>
                    <w:noProof/>
                  </w:rPr>
                  <w:t>Profitability</w:t>
                </w:r>
                <w:r w:rsidR="009E2EB5">
                  <w:rPr>
                    <w:noProof/>
                    <w:webHidden/>
                  </w:rPr>
                  <w:tab/>
                </w:r>
                <w:r w:rsidR="009E2EB5">
                  <w:rPr>
                    <w:noProof/>
                    <w:webHidden/>
                  </w:rPr>
                  <w:fldChar w:fldCharType="begin"/>
                </w:r>
                <w:r w:rsidR="009E2EB5">
                  <w:rPr>
                    <w:noProof/>
                    <w:webHidden/>
                  </w:rPr>
                  <w:instrText xml:space="preserve"> PAGEREF _Toc120795824 \h </w:instrText>
                </w:r>
                <w:r w:rsidR="009E2EB5">
                  <w:rPr>
                    <w:noProof/>
                    <w:webHidden/>
                  </w:rPr>
                </w:r>
                <w:r w:rsidR="009E2EB5">
                  <w:rPr>
                    <w:noProof/>
                    <w:webHidden/>
                  </w:rPr>
                  <w:fldChar w:fldCharType="separate"/>
                </w:r>
                <w:r w:rsidR="009E2EB5">
                  <w:rPr>
                    <w:noProof/>
                    <w:webHidden/>
                  </w:rPr>
                  <w:t>6</w:t>
                </w:r>
                <w:r w:rsidR="009E2EB5">
                  <w:rPr>
                    <w:noProof/>
                    <w:webHidden/>
                  </w:rPr>
                  <w:fldChar w:fldCharType="end"/>
                </w:r>
              </w:hyperlink>
            </w:p>
            <w:p w14:paraId="7AFE4077" w14:textId="2F730BB1" w:rsidR="009E2EB5" w:rsidRDefault="00000000">
              <w:pPr>
                <w:pStyle w:val="TOC2"/>
                <w:tabs>
                  <w:tab w:val="right" w:leader="dot" w:pos="9016"/>
                </w:tabs>
                <w:rPr>
                  <w:rFonts w:eastAsiaTheme="minorEastAsia"/>
                  <w:noProof/>
                  <w:lang w:val="en-IN" w:eastAsia="en-IN"/>
                </w:rPr>
              </w:pPr>
              <w:hyperlink w:anchor="_Toc120795825" w:history="1">
                <w:r w:rsidR="009E2EB5" w:rsidRPr="00DE24AF">
                  <w:rPr>
                    <w:rStyle w:val="Hyperlink"/>
                    <w:noProof/>
                  </w:rPr>
                  <w:t>Liquidity</w:t>
                </w:r>
                <w:r w:rsidR="009E2EB5">
                  <w:rPr>
                    <w:noProof/>
                    <w:webHidden/>
                  </w:rPr>
                  <w:tab/>
                </w:r>
                <w:r w:rsidR="009E2EB5">
                  <w:rPr>
                    <w:noProof/>
                    <w:webHidden/>
                  </w:rPr>
                  <w:fldChar w:fldCharType="begin"/>
                </w:r>
                <w:r w:rsidR="009E2EB5">
                  <w:rPr>
                    <w:noProof/>
                    <w:webHidden/>
                  </w:rPr>
                  <w:instrText xml:space="preserve"> PAGEREF _Toc120795825 \h </w:instrText>
                </w:r>
                <w:r w:rsidR="009E2EB5">
                  <w:rPr>
                    <w:noProof/>
                    <w:webHidden/>
                  </w:rPr>
                </w:r>
                <w:r w:rsidR="009E2EB5">
                  <w:rPr>
                    <w:noProof/>
                    <w:webHidden/>
                  </w:rPr>
                  <w:fldChar w:fldCharType="separate"/>
                </w:r>
                <w:r w:rsidR="009E2EB5">
                  <w:rPr>
                    <w:noProof/>
                    <w:webHidden/>
                  </w:rPr>
                  <w:t>6</w:t>
                </w:r>
                <w:r w:rsidR="009E2EB5">
                  <w:rPr>
                    <w:noProof/>
                    <w:webHidden/>
                  </w:rPr>
                  <w:fldChar w:fldCharType="end"/>
                </w:r>
              </w:hyperlink>
            </w:p>
            <w:p w14:paraId="06FC1FDA" w14:textId="1D134F7C" w:rsidR="009E2EB5" w:rsidRDefault="00000000">
              <w:pPr>
                <w:pStyle w:val="TOC2"/>
                <w:tabs>
                  <w:tab w:val="right" w:leader="dot" w:pos="9016"/>
                </w:tabs>
                <w:rPr>
                  <w:rFonts w:eastAsiaTheme="minorEastAsia"/>
                  <w:noProof/>
                  <w:lang w:val="en-IN" w:eastAsia="en-IN"/>
                </w:rPr>
              </w:pPr>
              <w:hyperlink w:anchor="_Toc120795826" w:history="1">
                <w:r w:rsidR="009E2EB5" w:rsidRPr="00DE24AF">
                  <w:rPr>
                    <w:rStyle w:val="Hyperlink"/>
                    <w:noProof/>
                  </w:rPr>
                  <w:t>Gearing</w:t>
                </w:r>
                <w:r w:rsidR="009E2EB5">
                  <w:rPr>
                    <w:noProof/>
                    <w:webHidden/>
                  </w:rPr>
                  <w:tab/>
                </w:r>
                <w:r w:rsidR="009E2EB5">
                  <w:rPr>
                    <w:noProof/>
                    <w:webHidden/>
                  </w:rPr>
                  <w:fldChar w:fldCharType="begin"/>
                </w:r>
                <w:r w:rsidR="009E2EB5">
                  <w:rPr>
                    <w:noProof/>
                    <w:webHidden/>
                  </w:rPr>
                  <w:instrText xml:space="preserve"> PAGEREF _Toc120795826 \h </w:instrText>
                </w:r>
                <w:r w:rsidR="009E2EB5">
                  <w:rPr>
                    <w:noProof/>
                    <w:webHidden/>
                  </w:rPr>
                </w:r>
                <w:r w:rsidR="009E2EB5">
                  <w:rPr>
                    <w:noProof/>
                    <w:webHidden/>
                  </w:rPr>
                  <w:fldChar w:fldCharType="separate"/>
                </w:r>
                <w:r w:rsidR="009E2EB5">
                  <w:rPr>
                    <w:noProof/>
                    <w:webHidden/>
                  </w:rPr>
                  <w:t>7</w:t>
                </w:r>
                <w:r w:rsidR="009E2EB5">
                  <w:rPr>
                    <w:noProof/>
                    <w:webHidden/>
                  </w:rPr>
                  <w:fldChar w:fldCharType="end"/>
                </w:r>
              </w:hyperlink>
            </w:p>
            <w:p w14:paraId="115EA32C" w14:textId="6C740AC5" w:rsidR="009E2EB5" w:rsidRDefault="00000000">
              <w:pPr>
                <w:pStyle w:val="TOC1"/>
                <w:tabs>
                  <w:tab w:val="right" w:leader="dot" w:pos="9016"/>
                </w:tabs>
                <w:rPr>
                  <w:rFonts w:eastAsiaTheme="minorEastAsia"/>
                  <w:noProof/>
                  <w:lang w:val="en-IN" w:eastAsia="en-IN"/>
                </w:rPr>
              </w:pPr>
              <w:hyperlink w:anchor="_Toc120795827" w:history="1">
                <w:r w:rsidR="009E2EB5" w:rsidRPr="00DE24AF">
                  <w:rPr>
                    <w:rStyle w:val="Hyperlink"/>
                    <w:noProof/>
                  </w:rPr>
                  <w:t>Knowledge from Ratio Analysis</w:t>
                </w:r>
                <w:r w:rsidR="009E2EB5">
                  <w:rPr>
                    <w:noProof/>
                    <w:webHidden/>
                  </w:rPr>
                  <w:tab/>
                </w:r>
                <w:r w:rsidR="009E2EB5">
                  <w:rPr>
                    <w:noProof/>
                    <w:webHidden/>
                  </w:rPr>
                  <w:fldChar w:fldCharType="begin"/>
                </w:r>
                <w:r w:rsidR="009E2EB5">
                  <w:rPr>
                    <w:noProof/>
                    <w:webHidden/>
                  </w:rPr>
                  <w:instrText xml:space="preserve"> PAGEREF _Toc120795827 \h </w:instrText>
                </w:r>
                <w:r w:rsidR="009E2EB5">
                  <w:rPr>
                    <w:noProof/>
                    <w:webHidden/>
                  </w:rPr>
                </w:r>
                <w:r w:rsidR="009E2EB5">
                  <w:rPr>
                    <w:noProof/>
                    <w:webHidden/>
                  </w:rPr>
                  <w:fldChar w:fldCharType="separate"/>
                </w:r>
                <w:r w:rsidR="009E2EB5">
                  <w:rPr>
                    <w:noProof/>
                    <w:webHidden/>
                  </w:rPr>
                  <w:t>7</w:t>
                </w:r>
                <w:r w:rsidR="009E2EB5">
                  <w:rPr>
                    <w:noProof/>
                    <w:webHidden/>
                  </w:rPr>
                  <w:fldChar w:fldCharType="end"/>
                </w:r>
              </w:hyperlink>
            </w:p>
            <w:p w14:paraId="76A69291" w14:textId="48553CB9" w:rsidR="009E2EB5" w:rsidRDefault="00000000">
              <w:pPr>
                <w:pStyle w:val="TOC1"/>
                <w:tabs>
                  <w:tab w:val="right" w:leader="dot" w:pos="9016"/>
                </w:tabs>
                <w:rPr>
                  <w:rFonts w:eastAsiaTheme="minorEastAsia"/>
                  <w:noProof/>
                  <w:lang w:val="en-IN" w:eastAsia="en-IN"/>
                </w:rPr>
              </w:pPr>
              <w:hyperlink w:anchor="_Toc120795828" w:history="1">
                <w:r w:rsidR="009E2EB5" w:rsidRPr="00DE24AF">
                  <w:rPr>
                    <w:rStyle w:val="Hyperlink"/>
                    <w:noProof/>
                  </w:rPr>
                  <w:t>Benefits and Limitations of Ratio Analysis</w:t>
                </w:r>
                <w:r w:rsidR="009E2EB5">
                  <w:rPr>
                    <w:noProof/>
                    <w:webHidden/>
                  </w:rPr>
                  <w:tab/>
                </w:r>
                <w:r w:rsidR="009E2EB5">
                  <w:rPr>
                    <w:noProof/>
                    <w:webHidden/>
                  </w:rPr>
                  <w:fldChar w:fldCharType="begin"/>
                </w:r>
                <w:r w:rsidR="009E2EB5">
                  <w:rPr>
                    <w:noProof/>
                    <w:webHidden/>
                  </w:rPr>
                  <w:instrText xml:space="preserve"> PAGEREF _Toc120795828 \h </w:instrText>
                </w:r>
                <w:r w:rsidR="009E2EB5">
                  <w:rPr>
                    <w:noProof/>
                    <w:webHidden/>
                  </w:rPr>
                </w:r>
                <w:r w:rsidR="009E2EB5">
                  <w:rPr>
                    <w:noProof/>
                    <w:webHidden/>
                  </w:rPr>
                  <w:fldChar w:fldCharType="separate"/>
                </w:r>
                <w:r w:rsidR="009E2EB5">
                  <w:rPr>
                    <w:noProof/>
                    <w:webHidden/>
                  </w:rPr>
                  <w:t>8</w:t>
                </w:r>
                <w:r w:rsidR="009E2EB5">
                  <w:rPr>
                    <w:noProof/>
                    <w:webHidden/>
                  </w:rPr>
                  <w:fldChar w:fldCharType="end"/>
                </w:r>
              </w:hyperlink>
            </w:p>
            <w:p w14:paraId="6F51BEBB" w14:textId="7BE43ED3" w:rsidR="009E2EB5" w:rsidRDefault="00000000">
              <w:pPr>
                <w:pStyle w:val="TOC1"/>
                <w:tabs>
                  <w:tab w:val="right" w:leader="dot" w:pos="9016"/>
                </w:tabs>
                <w:rPr>
                  <w:rFonts w:eastAsiaTheme="minorEastAsia"/>
                  <w:noProof/>
                  <w:lang w:val="en-IN" w:eastAsia="en-IN"/>
                </w:rPr>
              </w:pPr>
              <w:hyperlink w:anchor="_Toc120795829" w:history="1">
                <w:r w:rsidR="009E2EB5" w:rsidRPr="00DE24AF">
                  <w:rPr>
                    <w:rStyle w:val="Hyperlink"/>
                    <w:noProof/>
                  </w:rPr>
                  <w:t>Conclusion</w:t>
                </w:r>
                <w:r w:rsidR="009E2EB5">
                  <w:rPr>
                    <w:noProof/>
                    <w:webHidden/>
                  </w:rPr>
                  <w:tab/>
                </w:r>
                <w:r w:rsidR="009E2EB5">
                  <w:rPr>
                    <w:noProof/>
                    <w:webHidden/>
                  </w:rPr>
                  <w:fldChar w:fldCharType="begin"/>
                </w:r>
                <w:r w:rsidR="009E2EB5">
                  <w:rPr>
                    <w:noProof/>
                    <w:webHidden/>
                  </w:rPr>
                  <w:instrText xml:space="preserve"> PAGEREF _Toc120795829 \h </w:instrText>
                </w:r>
                <w:r w:rsidR="009E2EB5">
                  <w:rPr>
                    <w:noProof/>
                    <w:webHidden/>
                  </w:rPr>
                </w:r>
                <w:r w:rsidR="009E2EB5">
                  <w:rPr>
                    <w:noProof/>
                    <w:webHidden/>
                  </w:rPr>
                  <w:fldChar w:fldCharType="separate"/>
                </w:r>
                <w:r w:rsidR="009E2EB5">
                  <w:rPr>
                    <w:noProof/>
                    <w:webHidden/>
                  </w:rPr>
                  <w:t>9</w:t>
                </w:r>
                <w:r w:rsidR="009E2EB5">
                  <w:rPr>
                    <w:noProof/>
                    <w:webHidden/>
                  </w:rPr>
                  <w:fldChar w:fldCharType="end"/>
                </w:r>
              </w:hyperlink>
            </w:p>
            <w:p w14:paraId="2E0F0817" w14:textId="41D56443" w:rsidR="009E2EB5" w:rsidRDefault="00000000">
              <w:pPr>
                <w:pStyle w:val="TOC1"/>
                <w:tabs>
                  <w:tab w:val="right" w:leader="dot" w:pos="9016"/>
                </w:tabs>
                <w:rPr>
                  <w:rFonts w:eastAsiaTheme="minorEastAsia"/>
                  <w:noProof/>
                  <w:lang w:val="en-IN" w:eastAsia="en-IN"/>
                </w:rPr>
              </w:pPr>
              <w:hyperlink w:anchor="_Toc120795830" w:history="1">
                <w:r w:rsidR="009E2EB5" w:rsidRPr="00DE24AF">
                  <w:rPr>
                    <w:rStyle w:val="Hyperlink"/>
                    <w:noProof/>
                  </w:rPr>
                  <w:t>Bibliography</w:t>
                </w:r>
                <w:r w:rsidR="009E2EB5">
                  <w:rPr>
                    <w:noProof/>
                    <w:webHidden/>
                  </w:rPr>
                  <w:tab/>
                </w:r>
                <w:r w:rsidR="009E2EB5">
                  <w:rPr>
                    <w:noProof/>
                    <w:webHidden/>
                  </w:rPr>
                  <w:fldChar w:fldCharType="begin"/>
                </w:r>
                <w:r w:rsidR="009E2EB5">
                  <w:rPr>
                    <w:noProof/>
                    <w:webHidden/>
                  </w:rPr>
                  <w:instrText xml:space="preserve"> PAGEREF _Toc120795830 \h </w:instrText>
                </w:r>
                <w:r w:rsidR="009E2EB5">
                  <w:rPr>
                    <w:noProof/>
                    <w:webHidden/>
                  </w:rPr>
                </w:r>
                <w:r w:rsidR="009E2EB5">
                  <w:rPr>
                    <w:noProof/>
                    <w:webHidden/>
                  </w:rPr>
                  <w:fldChar w:fldCharType="separate"/>
                </w:r>
                <w:r w:rsidR="009E2EB5">
                  <w:rPr>
                    <w:noProof/>
                    <w:webHidden/>
                  </w:rPr>
                  <w:t>10</w:t>
                </w:r>
                <w:r w:rsidR="009E2EB5">
                  <w:rPr>
                    <w:noProof/>
                    <w:webHidden/>
                  </w:rPr>
                  <w:fldChar w:fldCharType="end"/>
                </w:r>
              </w:hyperlink>
            </w:p>
            <w:p w14:paraId="5849B348" w14:textId="55C1894F" w:rsidR="007D1947" w:rsidRDefault="007D1947">
              <w:r>
                <w:rPr>
                  <w:b/>
                  <w:bCs/>
                  <w:noProof/>
                </w:rPr>
                <w:fldChar w:fldCharType="end"/>
              </w:r>
              <w:r w:rsidR="009E2EB5">
                <w:rPr>
                  <w:b/>
                  <w:bCs/>
                  <w:noProof/>
                </w:rPr>
                <w:t xml:space="preserve"> </w:t>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7793AFE1" w14:textId="77777777" w:rsidR="007D1947" w:rsidRDefault="007D1947"/>
        <w:p w14:paraId="77CF37E8" w14:textId="77777777" w:rsidR="007D1947" w:rsidRDefault="007D1947"/>
        <w:p w14:paraId="63A0B225" w14:textId="77777777" w:rsidR="007D1947" w:rsidRDefault="007D1947"/>
        <w:p w14:paraId="26DF20D1" w14:textId="77777777" w:rsidR="007D1947" w:rsidRDefault="007D1947"/>
        <w:p w14:paraId="58FAB091" w14:textId="77777777" w:rsidR="007D1947" w:rsidRDefault="007D1947"/>
        <w:p w14:paraId="24547ED3" w14:textId="77777777" w:rsidR="007D1947" w:rsidRDefault="007D1947"/>
        <w:p w14:paraId="58921774" w14:textId="77777777" w:rsidR="007D1947" w:rsidRDefault="007D1947"/>
        <w:p w14:paraId="779A9CD2" w14:textId="77777777" w:rsidR="007D1947" w:rsidRDefault="007D1947"/>
        <w:p w14:paraId="521E26EC" w14:textId="77777777" w:rsidR="007D1947" w:rsidRDefault="007D1947" w:rsidP="007D1947">
          <w:pPr>
            <w:pStyle w:val="Heading1"/>
          </w:pPr>
          <w:bookmarkStart w:id="1" w:name="_Toc120795822"/>
          <w:r>
            <w:lastRenderedPageBreak/>
            <w:t>Introduction</w:t>
          </w:r>
          <w:bookmarkEnd w:id="1"/>
        </w:p>
        <w:p w14:paraId="5344B2AD" w14:textId="0163A4FA" w:rsidR="004A11F6" w:rsidRDefault="004A11F6" w:rsidP="007D1947"/>
        <w:p w14:paraId="66BCAB30" w14:textId="0CC37518" w:rsidR="00172ED7" w:rsidRPr="009E2EB5" w:rsidRDefault="00172ED7" w:rsidP="009E2EB5">
          <w:pPr>
            <w:spacing w:line="360" w:lineRule="auto"/>
            <w:jc w:val="both"/>
            <w:rPr>
              <w:rFonts w:ascii="Arial" w:hAnsi="Arial" w:cs="Arial"/>
              <w:sz w:val="24"/>
              <w:szCs w:val="24"/>
            </w:rPr>
          </w:pPr>
          <w:r w:rsidRPr="009E2EB5">
            <w:rPr>
              <w:rFonts w:ascii="Arial" w:hAnsi="Arial" w:cs="Arial"/>
              <w:sz w:val="24"/>
              <w:szCs w:val="24"/>
            </w:rPr>
            <w:t xml:space="preserve">Marriott International, Inc. manages and licenses timeshare, private, and hotel resources. It goes through the accompanying business areas: Asia Pacific, North America, North America Restricted Help, and Other Global. Extravagance and premium brands with areas in the US and Canada are included in the North American full administration portion. The U.S. and Canada's chosen properties make up the North American Restricted Help portion. The Asia Pacific district is the fragment's essential area of concentration. Its properties in the Middle East, Africa, Europe, and the Caribbean are totally included in the Other Global class. The business' headquarters are in Bethesda, Maryland, and they were laid out in 1927 by J. </w:t>
          </w:r>
          <w:r w:rsidR="00987051" w:rsidRPr="009E2EB5">
            <w:rPr>
              <w:rFonts w:ascii="Arial" w:hAnsi="Arial" w:cs="Arial"/>
              <w:sz w:val="24"/>
              <w:szCs w:val="24"/>
            </w:rPr>
            <w:t>Willard</w:t>
          </w:r>
          <w:r w:rsidRPr="009E2EB5">
            <w:rPr>
              <w:rFonts w:ascii="Arial" w:hAnsi="Arial" w:cs="Arial"/>
              <w:sz w:val="24"/>
              <w:szCs w:val="24"/>
            </w:rPr>
            <w:t xml:space="preserve"> Marriott and Alice Sheets Marriott</w:t>
          </w:r>
          <w:r w:rsidR="00987051" w:rsidRPr="009E2EB5">
            <w:rPr>
              <w:rFonts w:ascii="Arial" w:hAnsi="Arial" w:cs="Arial"/>
              <w:sz w:val="24"/>
              <w:szCs w:val="24"/>
            </w:rPr>
            <w:t xml:space="preserve"> (Neves, 2022).</w:t>
          </w:r>
        </w:p>
        <w:p w14:paraId="1DBF1BD6" w14:textId="2108DBA7"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 xml:space="preserve">By introducing measurably critical information at the foreordained level goal, the consolidation targets exhibit a high achievement rate. This could be related to </w:t>
          </w:r>
          <w:r w:rsidR="009E2EB5">
            <w:rPr>
              <w:rFonts w:ascii="Arial" w:hAnsi="Arial" w:cs="Arial"/>
              <w:sz w:val="24"/>
              <w:szCs w:val="24"/>
            </w:rPr>
            <w:t xml:space="preserve">Marriott’s </w:t>
          </w:r>
          <w:r w:rsidRPr="009E2EB5">
            <w:rPr>
              <w:rFonts w:ascii="Arial" w:hAnsi="Arial" w:cs="Arial"/>
              <w:sz w:val="24"/>
              <w:szCs w:val="24"/>
            </w:rPr>
            <w:t>back-testing of the hotels' ability to accurately calculate the data, indicating that a previous model like this could be used by the hotel to assist with delivering an assistant choice that will maintain the right instruments and gear to recognize the hotels' ratio over the last two years.</w:t>
          </w:r>
        </w:p>
        <w:p w14:paraId="479BB124" w14:textId="0BC1F4D5"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One of the main abilities for chiefs in the hospitality area is having the option to perceive how the hotel proficiently manages and evaluates its income and expenses</w:t>
          </w:r>
          <w:r w:rsidR="00987051" w:rsidRPr="009E2EB5">
            <w:rPr>
              <w:rFonts w:ascii="Arial" w:hAnsi="Arial" w:cs="Arial"/>
              <w:sz w:val="24"/>
              <w:szCs w:val="24"/>
            </w:rPr>
            <w:t xml:space="preserve"> (Catana and Toma, 2021).</w:t>
          </w:r>
        </w:p>
        <w:p w14:paraId="3AE78819" w14:textId="77777777"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The outcome of the hotel operations will be uncovered by following along with their monetary benefits. In the event that the ratio is accurately offset or, on the other hand, assuming the income should be increased in one ratio setting before the other, this will give direction on the most proficient method to keep up with consumer loyalty. For financial measurements, the hotel's benefits will be investigated both inside and remotely by brokers, financial offices, and financial backers.</w:t>
          </w:r>
        </w:p>
        <w:p w14:paraId="5F5CEEA3" w14:textId="5A321285"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 xml:space="preserve">Finding errors in the hotel's presentation and project results is the objective while breaking down the financial information. The initial step is to decide on the three ratios that will be utilized to break down the information: (1) profitability ratios, (2) liquidity ratios, and (3) gearing ratios. By separating and contrasting real operations with the </w:t>
          </w:r>
          <w:r w:rsidRPr="009E2EB5">
            <w:rPr>
              <w:rFonts w:ascii="Arial" w:hAnsi="Arial" w:cs="Arial"/>
              <w:sz w:val="24"/>
              <w:szCs w:val="24"/>
            </w:rPr>
            <w:lastRenderedPageBreak/>
            <w:t>historical backdrop of the past two years, one can evaluate the adequacy of laid-out financial plans or forecasts.</w:t>
          </w:r>
        </w:p>
        <w:p w14:paraId="0B3BCEF7" w14:textId="77777777"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Significant parts of financial analysis include finding the distinctions, as well as sorting out their degree and underlying drivers.</w:t>
          </w:r>
        </w:p>
        <w:p w14:paraId="107F94DA" w14:textId="73ECE3B6" w:rsidR="009416BE"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The advancement of the hotel's prosperity is not entirely settled by the financial analysis that thinks about the hotel's two years of operation. Using rates as a device for characterizing the financial exhibition of the association, the ratios will help survey and assess the adjustment of the financial results. surveying current financial performance and utilizing patterns</w:t>
          </w:r>
          <w:r w:rsidR="00987051" w:rsidRPr="009E2EB5">
            <w:rPr>
              <w:rFonts w:ascii="Arial" w:hAnsi="Arial" w:cs="Arial"/>
              <w:sz w:val="24"/>
              <w:szCs w:val="24"/>
            </w:rPr>
            <w:t xml:space="preserve"> (Correia, 2022).</w:t>
          </w:r>
        </w:p>
        <w:p w14:paraId="2D845E85" w14:textId="097E2EBD" w:rsidR="00172ED7" w:rsidRPr="009E2EB5" w:rsidRDefault="009416BE" w:rsidP="009E2EB5">
          <w:pPr>
            <w:spacing w:line="360" w:lineRule="auto"/>
            <w:jc w:val="both"/>
            <w:rPr>
              <w:rFonts w:ascii="Arial" w:hAnsi="Arial" w:cs="Arial"/>
              <w:sz w:val="24"/>
              <w:szCs w:val="24"/>
            </w:rPr>
          </w:pPr>
          <w:r w:rsidRPr="009E2EB5">
            <w:rPr>
              <w:rFonts w:ascii="Arial" w:hAnsi="Arial" w:cs="Arial"/>
              <w:sz w:val="24"/>
              <w:szCs w:val="24"/>
            </w:rPr>
            <w:t>The need for outside information to evaluate their presentation is the reason for the financial analysis report. Nonetheless, this report will permit the organization to contrast its presentation with that of its rivals in the hotel area. It provides the company with successive operational information coordinated with their competitors and employs insignificant standard phrasing.</w:t>
          </w:r>
        </w:p>
        <w:p w14:paraId="06A8D0A7" w14:textId="77777777" w:rsidR="00172ED7" w:rsidRDefault="00172ED7" w:rsidP="007D1947"/>
        <w:p w14:paraId="0D878A77" w14:textId="77777777" w:rsidR="004A11F6" w:rsidRDefault="004A11F6" w:rsidP="007D1947"/>
        <w:p w14:paraId="23D7B520" w14:textId="77777777" w:rsidR="004A11F6" w:rsidRDefault="004A11F6" w:rsidP="007D1947"/>
        <w:tbl>
          <w:tblPr>
            <w:tblStyle w:val="TableGrid"/>
            <w:tblW w:w="0" w:type="auto"/>
            <w:tblLook w:val="04A0" w:firstRow="1" w:lastRow="0" w:firstColumn="1" w:lastColumn="0" w:noHBand="0" w:noVBand="1"/>
          </w:tblPr>
          <w:tblGrid>
            <w:gridCol w:w="1798"/>
            <w:gridCol w:w="1512"/>
            <w:gridCol w:w="2853"/>
            <w:gridCol w:w="2853"/>
          </w:tblGrid>
          <w:tr w:rsidR="009416BE" w14:paraId="60D77017" w14:textId="77777777" w:rsidTr="009747CB">
            <w:tc>
              <w:tcPr>
                <w:tcW w:w="2182" w:type="dxa"/>
              </w:tcPr>
              <w:p w14:paraId="730D99D2"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Formula </w:t>
                </w:r>
              </w:p>
            </w:tc>
            <w:tc>
              <w:tcPr>
                <w:tcW w:w="2042" w:type="dxa"/>
              </w:tcPr>
              <w:p w14:paraId="6BD2FC2E"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Ratio </w:t>
                </w:r>
              </w:p>
            </w:tc>
            <w:tc>
              <w:tcPr>
                <w:tcW w:w="2396" w:type="dxa"/>
              </w:tcPr>
              <w:p w14:paraId="18216A53" w14:textId="329B0BCF" w:rsidR="009416BE" w:rsidRPr="009E2EB5" w:rsidRDefault="009416BE" w:rsidP="00D234A5">
                <w:pPr>
                  <w:rPr>
                    <w:rFonts w:ascii="Arial" w:hAnsi="Arial" w:cs="Arial"/>
                    <w:sz w:val="24"/>
                    <w:szCs w:val="24"/>
                  </w:rPr>
                </w:pPr>
                <w:r w:rsidRPr="009E2EB5">
                  <w:rPr>
                    <w:rFonts w:ascii="Arial" w:hAnsi="Arial" w:cs="Arial"/>
                    <w:sz w:val="24"/>
                    <w:szCs w:val="24"/>
                  </w:rPr>
                  <w:t>202</w:t>
                </w:r>
                <w:r w:rsidR="009C5927" w:rsidRPr="009E2EB5">
                  <w:rPr>
                    <w:rFonts w:ascii="Arial" w:hAnsi="Arial" w:cs="Arial"/>
                    <w:sz w:val="24"/>
                    <w:szCs w:val="24"/>
                  </w:rPr>
                  <w:t>1</w:t>
                </w:r>
              </w:p>
            </w:tc>
            <w:tc>
              <w:tcPr>
                <w:tcW w:w="2396" w:type="dxa"/>
              </w:tcPr>
              <w:p w14:paraId="54F89E22" w14:textId="6191BE3B" w:rsidR="009416BE" w:rsidRPr="009E2EB5" w:rsidRDefault="009416BE" w:rsidP="00D234A5">
                <w:pPr>
                  <w:rPr>
                    <w:rFonts w:ascii="Arial" w:hAnsi="Arial" w:cs="Arial"/>
                    <w:sz w:val="24"/>
                    <w:szCs w:val="24"/>
                  </w:rPr>
                </w:pPr>
                <w:r w:rsidRPr="009E2EB5">
                  <w:rPr>
                    <w:rFonts w:ascii="Arial" w:hAnsi="Arial" w:cs="Arial"/>
                    <w:sz w:val="24"/>
                    <w:szCs w:val="24"/>
                  </w:rPr>
                  <w:t>202</w:t>
                </w:r>
                <w:r w:rsidR="009C5927" w:rsidRPr="009E2EB5">
                  <w:rPr>
                    <w:rFonts w:ascii="Arial" w:hAnsi="Arial" w:cs="Arial"/>
                    <w:sz w:val="24"/>
                    <w:szCs w:val="24"/>
                  </w:rPr>
                  <w:t>0</w:t>
                </w:r>
              </w:p>
            </w:tc>
          </w:tr>
          <w:tr w:rsidR="009416BE" w14:paraId="39DA02E5" w14:textId="77777777" w:rsidTr="009747CB">
            <w:tc>
              <w:tcPr>
                <w:tcW w:w="2182" w:type="dxa"/>
              </w:tcPr>
              <w:p w14:paraId="43F41838" w14:textId="77777777" w:rsidR="009416BE" w:rsidRPr="009E2EB5" w:rsidRDefault="009416BE" w:rsidP="00D234A5">
                <w:pPr>
                  <w:rPr>
                    <w:rFonts w:ascii="Arial" w:hAnsi="Arial" w:cs="Arial"/>
                    <w:sz w:val="24"/>
                    <w:szCs w:val="24"/>
                  </w:rPr>
                </w:pPr>
                <w:r w:rsidRPr="009E2EB5">
                  <w:rPr>
                    <w:rFonts w:ascii="Arial" w:hAnsi="Arial" w:cs="Arial"/>
                    <w:sz w:val="24"/>
                    <w:szCs w:val="24"/>
                  </w:rPr>
                  <w:t>Gross profits/sales x 100</w:t>
                </w:r>
              </w:p>
            </w:tc>
            <w:tc>
              <w:tcPr>
                <w:tcW w:w="2042" w:type="dxa"/>
              </w:tcPr>
              <w:p w14:paraId="0651EB79"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Gross profit </w:t>
                </w:r>
              </w:p>
            </w:tc>
            <w:tc>
              <w:tcPr>
                <w:tcW w:w="2396" w:type="dxa"/>
              </w:tcPr>
              <w:p w14:paraId="0FC32D3E" w14:textId="1B59F6E1" w:rsidR="009416BE" w:rsidRPr="009E2EB5" w:rsidRDefault="009416BE" w:rsidP="00D234A5">
                <w:pPr>
                  <w:rPr>
                    <w:rFonts w:ascii="Arial" w:hAnsi="Arial" w:cs="Arial"/>
                    <w:sz w:val="24"/>
                    <w:szCs w:val="24"/>
                  </w:rPr>
                </w:pPr>
                <w:r w:rsidRPr="009E2EB5">
                  <w:rPr>
                    <w:rFonts w:ascii="Arial" w:hAnsi="Arial" w:cs="Arial"/>
                    <w:sz w:val="24"/>
                    <w:szCs w:val="24"/>
                  </w:rPr>
                  <w:t>2</w:t>
                </w:r>
                <w:r w:rsidR="00430EAD" w:rsidRPr="009E2EB5">
                  <w:rPr>
                    <w:rFonts w:ascii="Arial" w:hAnsi="Arial" w:cs="Arial"/>
                    <w:sz w:val="24"/>
                    <w:szCs w:val="24"/>
                  </w:rPr>
                  <w:t>801</w:t>
                </w:r>
                <w:r w:rsidRPr="009E2EB5">
                  <w:rPr>
                    <w:rFonts w:ascii="Arial" w:hAnsi="Arial" w:cs="Arial"/>
                    <w:sz w:val="24"/>
                    <w:szCs w:val="24"/>
                  </w:rPr>
                  <w:t>/</w:t>
                </w:r>
                <w:r w:rsidR="00430EAD" w:rsidRPr="009E2EB5">
                  <w:rPr>
                    <w:rFonts w:ascii="Arial" w:hAnsi="Arial" w:cs="Arial"/>
                    <w:sz w:val="24"/>
                    <w:szCs w:val="24"/>
                  </w:rPr>
                  <w:t>13857</w:t>
                </w:r>
                <w:r w:rsidRPr="009E2EB5">
                  <w:rPr>
                    <w:rFonts w:ascii="Arial" w:hAnsi="Arial" w:cs="Arial"/>
                    <w:sz w:val="24"/>
                    <w:szCs w:val="24"/>
                  </w:rPr>
                  <w:t>x100</w:t>
                </w:r>
              </w:p>
              <w:p w14:paraId="4DAB6469" w14:textId="676D8903" w:rsidR="009416BE" w:rsidRPr="009E2EB5" w:rsidRDefault="009416BE" w:rsidP="00D234A5">
                <w:pPr>
                  <w:rPr>
                    <w:rFonts w:ascii="Arial" w:hAnsi="Arial" w:cs="Arial"/>
                    <w:sz w:val="24"/>
                    <w:szCs w:val="24"/>
                  </w:rPr>
                </w:pPr>
                <w:r w:rsidRPr="009E2EB5">
                  <w:rPr>
                    <w:rFonts w:ascii="Arial" w:hAnsi="Arial" w:cs="Arial"/>
                    <w:sz w:val="24"/>
                    <w:szCs w:val="24"/>
                  </w:rPr>
                  <w:t>=2</w:t>
                </w:r>
                <w:r w:rsidR="00430EAD" w:rsidRPr="009E2EB5">
                  <w:rPr>
                    <w:rFonts w:ascii="Arial" w:hAnsi="Arial" w:cs="Arial"/>
                    <w:sz w:val="24"/>
                    <w:szCs w:val="24"/>
                  </w:rPr>
                  <w:t>0.21</w:t>
                </w:r>
              </w:p>
            </w:tc>
            <w:tc>
              <w:tcPr>
                <w:tcW w:w="2396" w:type="dxa"/>
              </w:tcPr>
              <w:p w14:paraId="4337F586" w14:textId="4B01851A" w:rsidR="009416BE" w:rsidRPr="009E2EB5" w:rsidRDefault="009416BE" w:rsidP="00D234A5">
                <w:pPr>
                  <w:rPr>
                    <w:rFonts w:ascii="Arial" w:hAnsi="Arial" w:cs="Arial"/>
                    <w:sz w:val="24"/>
                    <w:szCs w:val="24"/>
                  </w:rPr>
                </w:pPr>
                <w:r w:rsidRPr="009E2EB5">
                  <w:rPr>
                    <w:rFonts w:ascii="Arial" w:hAnsi="Arial" w:cs="Arial"/>
                    <w:sz w:val="24"/>
                    <w:szCs w:val="24"/>
                  </w:rPr>
                  <w:t>1</w:t>
                </w:r>
                <w:r w:rsidR="00430EAD" w:rsidRPr="009E2EB5">
                  <w:rPr>
                    <w:rFonts w:ascii="Arial" w:hAnsi="Arial" w:cs="Arial"/>
                    <w:sz w:val="24"/>
                    <w:szCs w:val="24"/>
                  </w:rPr>
                  <w:t>459</w:t>
                </w:r>
                <w:r w:rsidRPr="009E2EB5">
                  <w:rPr>
                    <w:rFonts w:ascii="Arial" w:hAnsi="Arial" w:cs="Arial"/>
                    <w:sz w:val="24"/>
                    <w:szCs w:val="24"/>
                  </w:rPr>
                  <w:t>/</w:t>
                </w:r>
                <w:r w:rsidR="00430EAD" w:rsidRPr="009E2EB5">
                  <w:rPr>
                    <w:rFonts w:ascii="Arial" w:hAnsi="Arial" w:cs="Arial"/>
                    <w:sz w:val="24"/>
                    <w:szCs w:val="24"/>
                  </w:rPr>
                  <w:t>10571</w:t>
                </w:r>
                <w:r w:rsidRPr="009E2EB5">
                  <w:rPr>
                    <w:rFonts w:ascii="Arial" w:hAnsi="Arial" w:cs="Arial"/>
                    <w:sz w:val="24"/>
                    <w:szCs w:val="24"/>
                  </w:rPr>
                  <w:t>x100</w:t>
                </w:r>
              </w:p>
              <w:p w14:paraId="54D2E64D" w14:textId="34A70B76" w:rsidR="009416BE" w:rsidRPr="009E2EB5" w:rsidRDefault="009416BE" w:rsidP="00D234A5">
                <w:pPr>
                  <w:rPr>
                    <w:rFonts w:ascii="Arial" w:hAnsi="Arial" w:cs="Arial"/>
                    <w:sz w:val="24"/>
                    <w:szCs w:val="24"/>
                  </w:rPr>
                </w:pPr>
                <w:r w:rsidRPr="009E2EB5">
                  <w:rPr>
                    <w:rFonts w:ascii="Arial" w:hAnsi="Arial" w:cs="Arial"/>
                    <w:sz w:val="24"/>
                    <w:szCs w:val="24"/>
                  </w:rPr>
                  <w:t>=1</w:t>
                </w:r>
                <w:r w:rsidR="00430EAD" w:rsidRPr="009E2EB5">
                  <w:rPr>
                    <w:rFonts w:ascii="Arial" w:hAnsi="Arial" w:cs="Arial"/>
                    <w:sz w:val="24"/>
                    <w:szCs w:val="24"/>
                  </w:rPr>
                  <w:t>3.80</w:t>
                </w:r>
              </w:p>
            </w:tc>
          </w:tr>
          <w:tr w:rsidR="009416BE" w14:paraId="73070D4D" w14:textId="77777777" w:rsidTr="009747CB">
            <w:tc>
              <w:tcPr>
                <w:tcW w:w="2182" w:type="dxa"/>
              </w:tcPr>
              <w:p w14:paraId="7BADECBF" w14:textId="77777777" w:rsidR="009416BE" w:rsidRPr="009E2EB5" w:rsidRDefault="009416BE" w:rsidP="00D234A5">
                <w:pPr>
                  <w:rPr>
                    <w:rFonts w:ascii="Arial" w:hAnsi="Arial" w:cs="Arial"/>
                    <w:sz w:val="24"/>
                    <w:szCs w:val="24"/>
                  </w:rPr>
                </w:pPr>
                <w:r w:rsidRPr="009E2EB5">
                  <w:rPr>
                    <w:rFonts w:ascii="Arial" w:hAnsi="Arial" w:cs="Arial"/>
                    <w:sz w:val="24"/>
                    <w:szCs w:val="24"/>
                  </w:rPr>
                  <w:t>Net profits of the year/sales x100</w:t>
                </w:r>
              </w:p>
            </w:tc>
            <w:tc>
              <w:tcPr>
                <w:tcW w:w="2042" w:type="dxa"/>
              </w:tcPr>
              <w:p w14:paraId="5A604842"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Net profit </w:t>
                </w:r>
              </w:p>
            </w:tc>
            <w:tc>
              <w:tcPr>
                <w:tcW w:w="2396" w:type="dxa"/>
              </w:tcPr>
              <w:p w14:paraId="3AC0E2F8" w14:textId="6EDFFE15" w:rsidR="009416BE" w:rsidRPr="009E2EB5" w:rsidRDefault="00430EAD" w:rsidP="00D234A5">
                <w:pPr>
                  <w:rPr>
                    <w:rFonts w:ascii="Arial" w:hAnsi="Arial" w:cs="Arial"/>
                    <w:sz w:val="24"/>
                    <w:szCs w:val="24"/>
                  </w:rPr>
                </w:pPr>
                <w:r w:rsidRPr="009E2EB5">
                  <w:rPr>
                    <w:rFonts w:ascii="Arial" w:hAnsi="Arial" w:cs="Arial"/>
                    <w:sz w:val="24"/>
                    <w:szCs w:val="24"/>
                  </w:rPr>
                  <w:t>1099</w:t>
                </w:r>
                <w:r w:rsidR="009416BE" w:rsidRPr="009E2EB5">
                  <w:rPr>
                    <w:rFonts w:ascii="Arial" w:hAnsi="Arial" w:cs="Arial"/>
                    <w:sz w:val="24"/>
                    <w:szCs w:val="24"/>
                  </w:rPr>
                  <w:t>/</w:t>
                </w:r>
                <w:r w:rsidRPr="009E2EB5">
                  <w:rPr>
                    <w:rFonts w:ascii="Arial" w:hAnsi="Arial" w:cs="Arial"/>
                    <w:sz w:val="24"/>
                    <w:szCs w:val="24"/>
                  </w:rPr>
                  <w:t>13857</w:t>
                </w:r>
                <w:r w:rsidR="009416BE" w:rsidRPr="009E2EB5">
                  <w:rPr>
                    <w:rFonts w:ascii="Arial" w:hAnsi="Arial" w:cs="Arial"/>
                    <w:sz w:val="24"/>
                    <w:szCs w:val="24"/>
                  </w:rPr>
                  <w:t>x100</w:t>
                </w:r>
              </w:p>
              <w:p w14:paraId="14D01984" w14:textId="753B466E" w:rsidR="009416BE" w:rsidRPr="009E2EB5" w:rsidRDefault="009416BE" w:rsidP="00D234A5">
                <w:pPr>
                  <w:rPr>
                    <w:rFonts w:ascii="Arial" w:hAnsi="Arial" w:cs="Arial"/>
                    <w:sz w:val="24"/>
                    <w:szCs w:val="24"/>
                  </w:rPr>
                </w:pPr>
                <w:r w:rsidRPr="009E2EB5">
                  <w:rPr>
                    <w:rFonts w:ascii="Arial" w:hAnsi="Arial" w:cs="Arial"/>
                    <w:sz w:val="24"/>
                    <w:szCs w:val="24"/>
                  </w:rPr>
                  <w:t>=</w:t>
                </w:r>
                <w:r w:rsidR="00430EAD" w:rsidRPr="009E2EB5">
                  <w:rPr>
                    <w:rFonts w:ascii="Arial" w:hAnsi="Arial" w:cs="Arial"/>
                    <w:sz w:val="24"/>
                    <w:szCs w:val="24"/>
                  </w:rPr>
                  <w:t>7.9</w:t>
                </w:r>
              </w:p>
            </w:tc>
            <w:tc>
              <w:tcPr>
                <w:tcW w:w="2396" w:type="dxa"/>
              </w:tcPr>
              <w:p w14:paraId="0E6F9321" w14:textId="6B56E116" w:rsidR="009416BE" w:rsidRPr="009E2EB5" w:rsidRDefault="00430EAD" w:rsidP="00D234A5">
                <w:pPr>
                  <w:rPr>
                    <w:rFonts w:ascii="Arial" w:hAnsi="Arial" w:cs="Arial"/>
                    <w:sz w:val="24"/>
                    <w:szCs w:val="24"/>
                  </w:rPr>
                </w:pPr>
                <w:r w:rsidRPr="009E2EB5">
                  <w:rPr>
                    <w:rFonts w:ascii="Arial" w:hAnsi="Arial" w:cs="Arial"/>
                    <w:sz w:val="24"/>
                    <w:szCs w:val="24"/>
                  </w:rPr>
                  <w:t>-267</w:t>
                </w:r>
                <w:r w:rsidR="009416BE" w:rsidRPr="009E2EB5">
                  <w:rPr>
                    <w:rFonts w:ascii="Arial" w:hAnsi="Arial" w:cs="Arial"/>
                    <w:sz w:val="24"/>
                    <w:szCs w:val="24"/>
                  </w:rPr>
                  <w:t>/</w:t>
                </w:r>
                <w:r w:rsidRPr="009E2EB5">
                  <w:rPr>
                    <w:rFonts w:ascii="Arial" w:hAnsi="Arial" w:cs="Arial"/>
                    <w:sz w:val="24"/>
                    <w:szCs w:val="24"/>
                  </w:rPr>
                  <w:t>10571</w:t>
                </w:r>
                <w:r w:rsidR="009416BE" w:rsidRPr="009E2EB5">
                  <w:rPr>
                    <w:rFonts w:ascii="Arial" w:hAnsi="Arial" w:cs="Arial"/>
                    <w:sz w:val="24"/>
                    <w:szCs w:val="24"/>
                  </w:rPr>
                  <w:t>x100</w:t>
                </w:r>
              </w:p>
              <w:p w14:paraId="696C18FA" w14:textId="37F4B362" w:rsidR="009416BE" w:rsidRPr="009E2EB5" w:rsidRDefault="009416BE" w:rsidP="00D234A5">
                <w:pPr>
                  <w:rPr>
                    <w:rFonts w:ascii="Arial" w:hAnsi="Arial" w:cs="Arial"/>
                    <w:sz w:val="24"/>
                    <w:szCs w:val="24"/>
                  </w:rPr>
                </w:pPr>
                <w:r w:rsidRPr="009E2EB5">
                  <w:rPr>
                    <w:rFonts w:ascii="Arial" w:hAnsi="Arial" w:cs="Arial"/>
                    <w:sz w:val="24"/>
                    <w:szCs w:val="24"/>
                  </w:rPr>
                  <w:t>=</w:t>
                </w:r>
                <w:r w:rsidR="00430EAD" w:rsidRPr="009E2EB5">
                  <w:rPr>
                    <w:rFonts w:ascii="Arial" w:hAnsi="Arial" w:cs="Arial"/>
                    <w:sz w:val="24"/>
                    <w:szCs w:val="24"/>
                  </w:rPr>
                  <w:t xml:space="preserve"> -2.5</w:t>
                </w:r>
              </w:p>
            </w:tc>
          </w:tr>
          <w:tr w:rsidR="009416BE" w14:paraId="6BA996A6" w14:textId="77777777" w:rsidTr="009747CB">
            <w:tc>
              <w:tcPr>
                <w:tcW w:w="2182" w:type="dxa"/>
              </w:tcPr>
              <w:p w14:paraId="7096450C" w14:textId="77777777" w:rsidR="009416BE" w:rsidRPr="009E2EB5" w:rsidRDefault="009416BE" w:rsidP="00D234A5">
                <w:pPr>
                  <w:rPr>
                    <w:rFonts w:ascii="Arial" w:hAnsi="Arial" w:cs="Arial"/>
                    <w:sz w:val="24"/>
                    <w:szCs w:val="24"/>
                  </w:rPr>
                </w:pPr>
                <w:r w:rsidRPr="009E2EB5">
                  <w:rPr>
                    <w:rFonts w:ascii="Arial" w:hAnsi="Arial" w:cs="Arial"/>
                    <w:sz w:val="24"/>
                    <w:szCs w:val="24"/>
                  </w:rPr>
                  <w:t>Net profits of the year + loan interest / total assets less current liability x100</w:t>
                </w:r>
              </w:p>
            </w:tc>
            <w:tc>
              <w:tcPr>
                <w:tcW w:w="2042" w:type="dxa"/>
              </w:tcPr>
              <w:p w14:paraId="4FE3C3C9" w14:textId="77777777" w:rsidR="009416BE" w:rsidRPr="009E2EB5" w:rsidRDefault="009416BE" w:rsidP="00D234A5">
                <w:pPr>
                  <w:rPr>
                    <w:rFonts w:ascii="Arial" w:hAnsi="Arial" w:cs="Arial"/>
                    <w:sz w:val="24"/>
                    <w:szCs w:val="24"/>
                  </w:rPr>
                </w:pPr>
                <w:r w:rsidRPr="009E2EB5">
                  <w:rPr>
                    <w:rFonts w:ascii="Arial" w:hAnsi="Arial" w:cs="Arial"/>
                    <w:sz w:val="24"/>
                    <w:szCs w:val="24"/>
                  </w:rPr>
                  <w:t>ROCE</w:t>
                </w:r>
              </w:p>
            </w:tc>
            <w:tc>
              <w:tcPr>
                <w:tcW w:w="2396" w:type="dxa"/>
              </w:tcPr>
              <w:p w14:paraId="6FDADB8B" w14:textId="75049CF7" w:rsidR="009416BE" w:rsidRPr="009E2EB5" w:rsidRDefault="00430EAD" w:rsidP="00D234A5">
                <w:pPr>
                  <w:rPr>
                    <w:rFonts w:ascii="Arial" w:hAnsi="Arial" w:cs="Arial"/>
                    <w:sz w:val="24"/>
                    <w:szCs w:val="24"/>
                  </w:rPr>
                </w:pPr>
                <w:r w:rsidRPr="009E2EB5">
                  <w:rPr>
                    <w:rFonts w:ascii="Arial" w:hAnsi="Arial" w:cs="Arial"/>
                    <w:sz w:val="24"/>
                    <w:szCs w:val="24"/>
                  </w:rPr>
                  <w:t>109</w:t>
                </w:r>
                <w:r w:rsidR="0038486A" w:rsidRPr="009E2EB5">
                  <w:rPr>
                    <w:rFonts w:ascii="Arial" w:hAnsi="Arial" w:cs="Arial"/>
                    <w:sz w:val="24"/>
                    <w:szCs w:val="24"/>
                  </w:rPr>
                  <w:t>9</w:t>
                </w:r>
                <w:proofErr w:type="gramStart"/>
                <w:r w:rsidR="009416BE" w:rsidRPr="009E2EB5">
                  <w:rPr>
                    <w:rFonts w:ascii="Arial" w:hAnsi="Arial" w:cs="Arial"/>
                    <w:sz w:val="24"/>
                    <w:szCs w:val="24"/>
                  </w:rPr>
                  <w:t>/</w:t>
                </w:r>
                <w:r w:rsidR="0038486A" w:rsidRPr="009E2EB5">
                  <w:rPr>
                    <w:rFonts w:ascii="Arial" w:hAnsi="Arial" w:cs="Arial"/>
                    <w:sz w:val="24"/>
                    <w:szCs w:val="24"/>
                  </w:rPr>
                  <w:t>(</w:t>
                </w:r>
                <w:proofErr w:type="gramEnd"/>
                <w:r w:rsidR="0038486A" w:rsidRPr="009E2EB5">
                  <w:rPr>
                    <w:rFonts w:ascii="Arial" w:hAnsi="Arial" w:cs="Arial"/>
                    <w:sz w:val="24"/>
                    <w:szCs w:val="24"/>
                  </w:rPr>
                  <w:t>21927-6407)</w:t>
                </w:r>
                <w:r w:rsidR="009416BE" w:rsidRPr="009E2EB5">
                  <w:rPr>
                    <w:rFonts w:ascii="Arial" w:hAnsi="Arial" w:cs="Arial"/>
                    <w:sz w:val="24"/>
                    <w:szCs w:val="24"/>
                  </w:rPr>
                  <w:t>x100</w:t>
                </w:r>
              </w:p>
              <w:p w14:paraId="3A25686B" w14:textId="589D8D32" w:rsidR="009416BE" w:rsidRPr="009E2EB5" w:rsidRDefault="009416BE" w:rsidP="00D234A5">
                <w:pPr>
                  <w:rPr>
                    <w:rFonts w:ascii="Arial" w:hAnsi="Arial" w:cs="Arial"/>
                    <w:sz w:val="24"/>
                    <w:szCs w:val="24"/>
                  </w:rPr>
                </w:pPr>
                <w:r w:rsidRPr="009E2EB5">
                  <w:rPr>
                    <w:rFonts w:ascii="Arial" w:hAnsi="Arial" w:cs="Arial"/>
                    <w:sz w:val="24"/>
                    <w:szCs w:val="24"/>
                  </w:rPr>
                  <w:t>=</w:t>
                </w:r>
                <w:r w:rsidR="0038486A" w:rsidRPr="009E2EB5">
                  <w:rPr>
                    <w:rFonts w:ascii="Arial" w:hAnsi="Arial" w:cs="Arial"/>
                    <w:sz w:val="24"/>
                    <w:szCs w:val="24"/>
                  </w:rPr>
                  <w:t>1099/15520*100=7.08</w:t>
                </w:r>
              </w:p>
            </w:tc>
            <w:tc>
              <w:tcPr>
                <w:tcW w:w="2396" w:type="dxa"/>
              </w:tcPr>
              <w:p w14:paraId="4823B3B4" w14:textId="6C7A6CE4" w:rsidR="009416BE" w:rsidRPr="009E2EB5" w:rsidRDefault="00430EAD" w:rsidP="00D234A5">
                <w:pPr>
                  <w:rPr>
                    <w:rFonts w:ascii="Arial" w:hAnsi="Arial" w:cs="Arial"/>
                    <w:sz w:val="24"/>
                    <w:szCs w:val="24"/>
                  </w:rPr>
                </w:pPr>
                <w:r w:rsidRPr="009E2EB5">
                  <w:rPr>
                    <w:rFonts w:ascii="Arial" w:hAnsi="Arial" w:cs="Arial"/>
                    <w:sz w:val="24"/>
                    <w:szCs w:val="24"/>
                  </w:rPr>
                  <w:t>-267</w:t>
                </w:r>
                <w:proofErr w:type="gramStart"/>
                <w:r w:rsidR="009416BE" w:rsidRPr="009E2EB5">
                  <w:rPr>
                    <w:rFonts w:ascii="Arial" w:hAnsi="Arial" w:cs="Arial"/>
                    <w:sz w:val="24"/>
                    <w:szCs w:val="24"/>
                  </w:rPr>
                  <w:t>/</w:t>
                </w:r>
                <w:r w:rsidR="0038486A" w:rsidRPr="009E2EB5">
                  <w:rPr>
                    <w:rFonts w:ascii="Arial" w:hAnsi="Arial" w:cs="Arial"/>
                    <w:sz w:val="24"/>
                    <w:szCs w:val="24"/>
                  </w:rPr>
                  <w:t>(</w:t>
                </w:r>
                <w:proofErr w:type="gramEnd"/>
                <w:r w:rsidR="0038486A" w:rsidRPr="009E2EB5">
                  <w:rPr>
                    <w:rFonts w:ascii="Arial" w:hAnsi="Arial" w:cs="Arial"/>
                    <w:sz w:val="24"/>
                    <w:szCs w:val="24"/>
                  </w:rPr>
                  <w:t>24701-5752)</w:t>
                </w:r>
                <w:r w:rsidR="009416BE" w:rsidRPr="009E2EB5">
                  <w:rPr>
                    <w:rFonts w:ascii="Arial" w:hAnsi="Arial" w:cs="Arial"/>
                    <w:sz w:val="24"/>
                    <w:szCs w:val="24"/>
                  </w:rPr>
                  <w:t>x100</w:t>
                </w:r>
              </w:p>
              <w:p w14:paraId="2F67E4E4" w14:textId="77777777" w:rsidR="009416BE" w:rsidRPr="009E2EB5" w:rsidRDefault="009416BE" w:rsidP="00D234A5">
                <w:pPr>
                  <w:rPr>
                    <w:rFonts w:ascii="Arial" w:hAnsi="Arial" w:cs="Arial"/>
                    <w:sz w:val="24"/>
                    <w:szCs w:val="24"/>
                  </w:rPr>
                </w:pPr>
                <w:r w:rsidRPr="009E2EB5">
                  <w:rPr>
                    <w:rFonts w:ascii="Arial" w:hAnsi="Arial" w:cs="Arial"/>
                    <w:sz w:val="24"/>
                    <w:szCs w:val="24"/>
                  </w:rPr>
                  <w:t>=</w:t>
                </w:r>
                <w:r w:rsidR="0038486A" w:rsidRPr="009E2EB5">
                  <w:rPr>
                    <w:rFonts w:ascii="Arial" w:hAnsi="Arial" w:cs="Arial"/>
                    <w:sz w:val="24"/>
                    <w:szCs w:val="24"/>
                  </w:rPr>
                  <w:t xml:space="preserve"> -267/18949*100</w:t>
                </w:r>
              </w:p>
              <w:p w14:paraId="1CB1CA46" w14:textId="15070A42" w:rsidR="0038486A" w:rsidRPr="009E2EB5" w:rsidRDefault="0038486A" w:rsidP="00D234A5">
                <w:pPr>
                  <w:rPr>
                    <w:rFonts w:ascii="Arial" w:hAnsi="Arial" w:cs="Arial"/>
                    <w:sz w:val="24"/>
                    <w:szCs w:val="24"/>
                  </w:rPr>
                </w:pPr>
                <w:r w:rsidRPr="009E2EB5">
                  <w:rPr>
                    <w:rFonts w:ascii="Arial" w:hAnsi="Arial" w:cs="Arial"/>
                    <w:sz w:val="24"/>
                    <w:szCs w:val="24"/>
                  </w:rPr>
                  <w:t>= -1.3</w:t>
                </w:r>
              </w:p>
            </w:tc>
          </w:tr>
          <w:tr w:rsidR="009416BE" w14:paraId="483E98AB" w14:textId="77777777" w:rsidTr="009747CB">
            <w:tc>
              <w:tcPr>
                <w:tcW w:w="2182" w:type="dxa"/>
              </w:tcPr>
              <w:p w14:paraId="6405597C"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Sales/total assets less current liability </w:t>
                </w:r>
              </w:p>
            </w:tc>
            <w:tc>
              <w:tcPr>
                <w:tcW w:w="2042" w:type="dxa"/>
              </w:tcPr>
              <w:p w14:paraId="3C46DB90" w14:textId="77777777" w:rsidR="009416BE" w:rsidRPr="009E2EB5" w:rsidRDefault="009416BE" w:rsidP="00D234A5">
                <w:pPr>
                  <w:rPr>
                    <w:rFonts w:ascii="Arial" w:hAnsi="Arial" w:cs="Arial"/>
                    <w:sz w:val="24"/>
                    <w:szCs w:val="24"/>
                  </w:rPr>
                </w:pPr>
                <w:r w:rsidRPr="009E2EB5">
                  <w:rPr>
                    <w:rFonts w:ascii="Arial" w:hAnsi="Arial" w:cs="Arial"/>
                    <w:sz w:val="24"/>
                    <w:szCs w:val="24"/>
                  </w:rPr>
                  <w:t>Total assets turnover</w:t>
                </w:r>
              </w:p>
            </w:tc>
            <w:tc>
              <w:tcPr>
                <w:tcW w:w="2396" w:type="dxa"/>
              </w:tcPr>
              <w:p w14:paraId="05620446" w14:textId="1FD1A229" w:rsidR="009416BE" w:rsidRPr="009E2EB5" w:rsidRDefault="0038486A" w:rsidP="00D234A5">
                <w:pPr>
                  <w:rPr>
                    <w:rFonts w:ascii="Arial" w:hAnsi="Arial" w:cs="Arial"/>
                    <w:sz w:val="24"/>
                    <w:szCs w:val="24"/>
                  </w:rPr>
                </w:pPr>
                <w:r w:rsidRPr="009E2EB5">
                  <w:rPr>
                    <w:rFonts w:ascii="Arial" w:hAnsi="Arial" w:cs="Arial"/>
                    <w:sz w:val="24"/>
                    <w:szCs w:val="24"/>
                  </w:rPr>
                  <w:t>13857</w:t>
                </w:r>
                <w:r w:rsidR="009416BE" w:rsidRPr="009E2EB5">
                  <w:rPr>
                    <w:rFonts w:ascii="Arial" w:hAnsi="Arial" w:cs="Arial"/>
                    <w:sz w:val="24"/>
                    <w:szCs w:val="24"/>
                  </w:rPr>
                  <w:t>/</w:t>
                </w:r>
                <w:r w:rsidRPr="009E2EB5">
                  <w:rPr>
                    <w:rFonts w:ascii="Arial" w:hAnsi="Arial" w:cs="Arial"/>
                    <w:sz w:val="24"/>
                    <w:szCs w:val="24"/>
                  </w:rPr>
                  <w:t>15520</w:t>
                </w:r>
              </w:p>
              <w:p w14:paraId="1C4AA68E" w14:textId="3F88107C" w:rsidR="009416BE" w:rsidRPr="009E2EB5" w:rsidRDefault="009416BE" w:rsidP="00D234A5">
                <w:pPr>
                  <w:rPr>
                    <w:rFonts w:ascii="Arial" w:hAnsi="Arial" w:cs="Arial"/>
                    <w:sz w:val="24"/>
                    <w:szCs w:val="24"/>
                  </w:rPr>
                </w:pPr>
                <w:r w:rsidRPr="009E2EB5">
                  <w:rPr>
                    <w:rFonts w:ascii="Arial" w:hAnsi="Arial" w:cs="Arial"/>
                    <w:sz w:val="24"/>
                    <w:szCs w:val="24"/>
                  </w:rPr>
                  <w:t>=</w:t>
                </w:r>
                <w:r w:rsidR="0024055A" w:rsidRPr="009E2EB5">
                  <w:rPr>
                    <w:rFonts w:ascii="Arial" w:hAnsi="Arial" w:cs="Arial"/>
                    <w:sz w:val="24"/>
                    <w:szCs w:val="24"/>
                  </w:rPr>
                  <w:t>0.89</w:t>
                </w:r>
                <w:r w:rsidRPr="009E2EB5">
                  <w:rPr>
                    <w:rFonts w:ascii="Arial" w:hAnsi="Arial" w:cs="Arial"/>
                    <w:sz w:val="24"/>
                    <w:szCs w:val="24"/>
                  </w:rPr>
                  <w:t xml:space="preserve"> days </w:t>
                </w:r>
              </w:p>
            </w:tc>
            <w:tc>
              <w:tcPr>
                <w:tcW w:w="2396" w:type="dxa"/>
              </w:tcPr>
              <w:p w14:paraId="76E4671B" w14:textId="1CFE115D" w:rsidR="009416BE" w:rsidRPr="009E2EB5" w:rsidRDefault="0038486A" w:rsidP="00D234A5">
                <w:pPr>
                  <w:rPr>
                    <w:rFonts w:ascii="Arial" w:hAnsi="Arial" w:cs="Arial"/>
                    <w:sz w:val="24"/>
                    <w:szCs w:val="24"/>
                  </w:rPr>
                </w:pPr>
                <w:r w:rsidRPr="009E2EB5">
                  <w:rPr>
                    <w:rFonts w:ascii="Arial" w:hAnsi="Arial" w:cs="Arial"/>
                    <w:sz w:val="24"/>
                    <w:szCs w:val="24"/>
                  </w:rPr>
                  <w:t>10</w:t>
                </w:r>
                <w:r w:rsidR="0024055A" w:rsidRPr="009E2EB5">
                  <w:rPr>
                    <w:rFonts w:ascii="Arial" w:hAnsi="Arial" w:cs="Arial"/>
                    <w:sz w:val="24"/>
                    <w:szCs w:val="24"/>
                  </w:rPr>
                  <w:t>571</w:t>
                </w:r>
                <w:r w:rsidR="009416BE" w:rsidRPr="009E2EB5">
                  <w:rPr>
                    <w:rFonts w:ascii="Arial" w:hAnsi="Arial" w:cs="Arial"/>
                    <w:sz w:val="24"/>
                    <w:szCs w:val="24"/>
                  </w:rPr>
                  <w:t>/</w:t>
                </w:r>
                <w:r w:rsidR="0024055A" w:rsidRPr="009E2EB5">
                  <w:rPr>
                    <w:rFonts w:ascii="Arial" w:hAnsi="Arial" w:cs="Arial"/>
                    <w:sz w:val="24"/>
                    <w:szCs w:val="24"/>
                  </w:rPr>
                  <w:t>18949</w:t>
                </w:r>
              </w:p>
              <w:p w14:paraId="335468A0" w14:textId="30E14554" w:rsidR="009416BE" w:rsidRPr="009E2EB5" w:rsidRDefault="009416BE" w:rsidP="00D234A5">
                <w:pPr>
                  <w:rPr>
                    <w:rFonts w:ascii="Arial" w:hAnsi="Arial" w:cs="Arial"/>
                    <w:sz w:val="24"/>
                    <w:szCs w:val="24"/>
                  </w:rPr>
                </w:pPr>
                <w:r w:rsidRPr="009E2EB5">
                  <w:rPr>
                    <w:rFonts w:ascii="Arial" w:hAnsi="Arial" w:cs="Arial"/>
                    <w:sz w:val="24"/>
                    <w:szCs w:val="24"/>
                  </w:rPr>
                  <w:t>=</w:t>
                </w:r>
                <w:r w:rsidR="0024055A" w:rsidRPr="009E2EB5">
                  <w:rPr>
                    <w:rFonts w:ascii="Arial" w:hAnsi="Arial" w:cs="Arial"/>
                    <w:sz w:val="24"/>
                    <w:szCs w:val="24"/>
                  </w:rPr>
                  <w:t xml:space="preserve">0.57 </w:t>
                </w:r>
                <w:r w:rsidRPr="009E2EB5">
                  <w:rPr>
                    <w:rFonts w:ascii="Arial" w:hAnsi="Arial" w:cs="Arial"/>
                    <w:sz w:val="24"/>
                    <w:szCs w:val="24"/>
                  </w:rPr>
                  <w:t xml:space="preserve">days </w:t>
                </w:r>
              </w:p>
            </w:tc>
          </w:tr>
          <w:tr w:rsidR="009416BE" w14:paraId="3D02790D" w14:textId="77777777" w:rsidTr="009747CB">
            <w:tc>
              <w:tcPr>
                <w:tcW w:w="2182" w:type="dxa"/>
              </w:tcPr>
              <w:p w14:paraId="2473AA18" w14:textId="32ADBE39" w:rsidR="009416BE" w:rsidRPr="009E2EB5" w:rsidRDefault="009416BE" w:rsidP="00D234A5">
                <w:pPr>
                  <w:rPr>
                    <w:rFonts w:ascii="Arial" w:hAnsi="Arial" w:cs="Arial"/>
                    <w:sz w:val="24"/>
                    <w:szCs w:val="24"/>
                  </w:rPr>
                </w:pPr>
                <w:r w:rsidRPr="009E2EB5">
                  <w:rPr>
                    <w:rFonts w:ascii="Arial" w:hAnsi="Arial" w:cs="Arial"/>
                    <w:sz w:val="24"/>
                    <w:szCs w:val="24"/>
                  </w:rPr>
                  <w:t xml:space="preserve">Sales/ </w:t>
                </w:r>
                <w:r w:rsidR="0024055A" w:rsidRPr="009E2EB5">
                  <w:rPr>
                    <w:rFonts w:ascii="Arial" w:hAnsi="Arial" w:cs="Arial"/>
                    <w:sz w:val="24"/>
                    <w:szCs w:val="24"/>
                  </w:rPr>
                  <w:t>Working Capital</w:t>
                </w:r>
                <w:r w:rsidRPr="009E2EB5">
                  <w:rPr>
                    <w:rFonts w:ascii="Arial" w:hAnsi="Arial" w:cs="Arial"/>
                    <w:sz w:val="24"/>
                    <w:szCs w:val="24"/>
                  </w:rPr>
                  <w:t xml:space="preserve"> </w:t>
                </w:r>
              </w:p>
            </w:tc>
            <w:tc>
              <w:tcPr>
                <w:tcW w:w="2042" w:type="dxa"/>
              </w:tcPr>
              <w:p w14:paraId="0451299F" w14:textId="77777777" w:rsidR="009416BE" w:rsidRPr="009E2EB5" w:rsidRDefault="009416BE" w:rsidP="00D234A5">
                <w:pPr>
                  <w:rPr>
                    <w:rFonts w:ascii="Arial" w:hAnsi="Arial" w:cs="Arial"/>
                    <w:sz w:val="24"/>
                    <w:szCs w:val="24"/>
                  </w:rPr>
                </w:pPr>
                <w:r w:rsidRPr="009E2EB5">
                  <w:rPr>
                    <w:rFonts w:ascii="Arial" w:hAnsi="Arial" w:cs="Arial"/>
                    <w:sz w:val="24"/>
                    <w:szCs w:val="24"/>
                  </w:rPr>
                  <w:t>Working capital turnover</w:t>
                </w:r>
              </w:p>
            </w:tc>
            <w:tc>
              <w:tcPr>
                <w:tcW w:w="2396" w:type="dxa"/>
              </w:tcPr>
              <w:p w14:paraId="38B67681" w14:textId="3331530B" w:rsidR="009416BE" w:rsidRPr="009E2EB5" w:rsidRDefault="0024055A" w:rsidP="00D234A5">
                <w:pPr>
                  <w:rPr>
                    <w:rFonts w:ascii="Arial" w:hAnsi="Arial" w:cs="Arial"/>
                    <w:sz w:val="24"/>
                    <w:szCs w:val="24"/>
                  </w:rPr>
                </w:pPr>
                <w:r w:rsidRPr="009E2EB5">
                  <w:rPr>
                    <w:rFonts w:ascii="Arial" w:hAnsi="Arial" w:cs="Arial"/>
                    <w:sz w:val="24"/>
                    <w:szCs w:val="24"/>
                  </w:rPr>
                  <w:t>13857</w:t>
                </w:r>
                <w:proofErr w:type="gramStart"/>
                <w:r w:rsidRPr="009E2EB5">
                  <w:rPr>
                    <w:rFonts w:ascii="Arial" w:hAnsi="Arial" w:cs="Arial"/>
                    <w:sz w:val="24"/>
                    <w:szCs w:val="24"/>
                  </w:rPr>
                  <w:t>/(</w:t>
                </w:r>
                <w:proofErr w:type="gramEnd"/>
                <w:r w:rsidRPr="009E2EB5">
                  <w:rPr>
                    <w:rFonts w:ascii="Arial" w:hAnsi="Arial" w:cs="Arial"/>
                    <w:sz w:val="24"/>
                    <w:szCs w:val="24"/>
                  </w:rPr>
                  <w:t>3626-6407)</w:t>
                </w:r>
              </w:p>
              <w:p w14:paraId="4AED001D" w14:textId="1EDA3D40" w:rsidR="009416BE" w:rsidRPr="009E2EB5" w:rsidRDefault="009416BE" w:rsidP="00D234A5">
                <w:pPr>
                  <w:rPr>
                    <w:rFonts w:ascii="Arial" w:hAnsi="Arial" w:cs="Arial"/>
                    <w:sz w:val="24"/>
                    <w:szCs w:val="24"/>
                  </w:rPr>
                </w:pPr>
                <w:r w:rsidRPr="009E2EB5">
                  <w:rPr>
                    <w:rFonts w:ascii="Arial" w:hAnsi="Arial" w:cs="Arial"/>
                    <w:sz w:val="24"/>
                    <w:szCs w:val="24"/>
                  </w:rPr>
                  <w:t>=</w:t>
                </w:r>
                <w:r w:rsidR="0024055A" w:rsidRPr="009E2EB5">
                  <w:rPr>
                    <w:rFonts w:ascii="Arial" w:hAnsi="Arial" w:cs="Arial"/>
                    <w:sz w:val="24"/>
                    <w:szCs w:val="24"/>
                  </w:rPr>
                  <w:t>13857/-2781= -4.98</w:t>
                </w:r>
              </w:p>
            </w:tc>
            <w:tc>
              <w:tcPr>
                <w:tcW w:w="2396" w:type="dxa"/>
              </w:tcPr>
              <w:p w14:paraId="48EB0A20" w14:textId="77777777" w:rsidR="009416BE" w:rsidRPr="009E2EB5" w:rsidRDefault="0024055A" w:rsidP="0024055A">
                <w:pPr>
                  <w:rPr>
                    <w:rFonts w:ascii="Arial" w:hAnsi="Arial" w:cs="Arial"/>
                    <w:sz w:val="24"/>
                    <w:szCs w:val="24"/>
                  </w:rPr>
                </w:pPr>
                <w:r w:rsidRPr="009E2EB5">
                  <w:rPr>
                    <w:rFonts w:ascii="Arial" w:hAnsi="Arial" w:cs="Arial"/>
                    <w:sz w:val="24"/>
                    <w:szCs w:val="24"/>
                  </w:rPr>
                  <w:t>10571</w:t>
                </w:r>
                <w:proofErr w:type="gramStart"/>
                <w:r w:rsidRPr="009E2EB5">
                  <w:rPr>
                    <w:rFonts w:ascii="Arial" w:hAnsi="Arial" w:cs="Arial"/>
                    <w:sz w:val="24"/>
                    <w:szCs w:val="24"/>
                  </w:rPr>
                  <w:t>/(</w:t>
                </w:r>
                <w:proofErr w:type="gramEnd"/>
                <w:r w:rsidRPr="009E2EB5">
                  <w:rPr>
                    <w:rFonts w:ascii="Arial" w:hAnsi="Arial" w:cs="Arial"/>
                    <w:sz w:val="24"/>
                    <w:szCs w:val="24"/>
                  </w:rPr>
                  <w:t>2825-5752)</w:t>
                </w:r>
                <w:r w:rsidR="009416BE" w:rsidRPr="009E2EB5">
                  <w:rPr>
                    <w:rFonts w:ascii="Arial" w:hAnsi="Arial" w:cs="Arial"/>
                    <w:sz w:val="24"/>
                    <w:szCs w:val="24"/>
                  </w:rPr>
                  <w:t>=</w:t>
                </w:r>
              </w:p>
              <w:p w14:paraId="4C6AEC92" w14:textId="3C8F1281" w:rsidR="0024055A" w:rsidRPr="009E2EB5" w:rsidRDefault="0024055A" w:rsidP="0024055A">
                <w:pPr>
                  <w:rPr>
                    <w:rFonts w:ascii="Arial" w:hAnsi="Arial" w:cs="Arial"/>
                    <w:sz w:val="24"/>
                    <w:szCs w:val="24"/>
                  </w:rPr>
                </w:pPr>
                <w:r w:rsidRPr="009E2EB5">
                  <w:rPr>
                    <w:rFonts w:ascii="Arial" w:hAnsi="Arial" w:cs="Arial"/>
                    <w:sz w:val="24"/>
                    <w:szCs w:val="24"/>
                  </w:rPr>
                  <w:t xml:space="preserve">10571/-2927= </w:t>
                </w:r>
                <w:r w:rsidR="00284502" w:rsidRPr="009E2EB5">
                  <w:rPr>
                    <w:rFonts w:ascii="Arial" w:hAnsi="Arial" w:cs="Arial"/>
                    <w:sz w:val="24"/>
                    <w:szCs w:val="24"/>
                  </w:rPr>
                  <w:t>-3.6</w:t>
                </w:r>
              </w:p>
            </w:tc>
          </w:tr>
          <w:tr w:rsidR="009416BE" w14:paraId="2780CB44" w14:textId="77777777" w:rsidTr="009747CB">
            <w:tc>
              <w:tcPr>
                <w:tcW w:w="2182" w:type="dxa"/>
              </w:tcPr>
              <w:p w14:paraId="22EACF20" w14:textId="77777777" w:rsidR="009416BE" w:rsidRPr="009E2EB5" w:rsidRDefault="009416BE" w:rsidP="00D234A5">
                <w:pPr>
                  <w:rPr>
                    <w:rFonts w:ascii="Arial" w:hAnsi="Arial" w:cs="Arial"/>
                    <w:sz w:val="24"/>
                    <w:szCs w:val="24"/>
                  </w:rPr>
                </w:pPr>
                <w:r w:rsidRPr="009E2EB5">
                  <w:rPr>
                    <w:rFonts w:ascii="Arial" w:hAnsi="Arial" w:cs="Arial"/>
                    <w:sz w:val="24"/>
                    <w:szCs w:val="24"/>
                  </w:rPr>
                  <w:t>Current assets total/current liabilities total</w:t>
                </w:r>
              </w:p>
            </w:tc>
            <w:tc>
              <w:tcPr>
                <w:tcW w:w="2042" w:type="dxa"/>
              </w:tcPr>
              <w:p w14:paraId="2518CB94"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Current ratio </w:t>
                </w:r>
              </w:p>
            </w:tc>
            <w:tc>
              <w:tcPr>
                <w:tcW w:w="2396" w:type="dxa"/>
              </w:tcPr>
              <w:p w14:paraId="712D870A" w14:textId="77777777" w:rsidR="000E4770" w:rsidRPr="009E2EB5" w:rsidRDefault="000E4770" w:rsidP="000E4770">
                <w:pPr>
                  <w:rPr>
                    <w:rFonts w:ascii="Arial" w:hAnsi="Arial" w:cs="Arial"/>
                    <w:sz w:val="24"/>
                    <w:szCs w:val="24"/>
                  </w:rPr>
                </w:pPr>
                <w:r w:rsidRPr="009E2EB5">
                  <w:rPr>
                    <w:rFonts w:ascii="Arial" w:hAnsi="Arial" w:cs="Arial"/>
                    <w:sz w:val="24"/>
                    <w:szCs w:val="24"/>
                  </w:rPr>
                  <w:t>3626/6407</w:t>
                </w:r>
              </w:p>
              <w:p w14:paraId="7AA26D63" w14:textId="77777777" w:rsidR="000E4770" w:rsidRPr="009E2EB5" w:rsidRDefault="000E4770" w:rsidP="000E4770">
                <w:pPr>
                  <w:rPr>
                    <w:rFonts w:ascii="Arial" w:hAnsi="Arial" w:cs="Arial"/>
                    <w:sz w:val="24"/>
                    <w:szCs w:val="24"/>
                  </w:rPr>
                </w:pPr>
                <w:r w:rsidRPr="009E2EB5">
                  <w:rPr>
                    <w:rFonts w:ascii="Arial" w:hAnsi="Arial" w:cs="Arial"/>
                    <w:sz w:val="24"/>
                    <w:szCs w:val="24"/>
                  </w:rPr>
                  <w:t>=0.56</w:t>
                </w:r>
              </w:p>
              <w:p w14:paraId="0AA0381E" w14:textId="4B7241C6" w:rsidR="009416BE" w:rsidRPr="009E2EB5" w:rsidRDefault="009416BE" w:rsidP="00D234A5">
                <w:pPr>
                  <w:rPr>
                    <w:rFonts w:ascii="Arial" w:hAnsi="Arial" w:cs="Arial"/>
                    <w:sz w:val="24"/>
                    <w:szCs w:val="24"/>
                  </w:rPr>
                </w:pPr>
              </w:p>
            </w:tc>
            <w:tc>
              <w:tcPr>
                <w:tcW w:w="2396" w:type="dxa"/>
              </w:tcPr>
              <w:p w14:paraId="16C052F3" w14:textId="77777777" w:rsidR="000E4770" w:rsidRPr="009E2EB5" w:rsidRDefault="000E4770" w:rsidP="000E4770">
                <w:pPr>
                  <w:rPr>
                    <w:rFonts w:ascii="Arial" w:hAnsi="Arial" w:cs="Arial"/>
                    <w:sz w:val="24"/>
                    <w:szCs w:val="24"/>
                  </w:rPr>
                </w:pPr>
                <w:r w:rsidRPr="009E2EB5">
                  <w:rPr>
                    <w:rFonts w:ascii="Arial" w:hAnsi="Arial" w:cs="Arial"/>
                    <w:sz w:val="24"/>
                    <w:szCs w:val="24"/>
                  </w:rPr>
                  <w:t>2825/5752</w:t>
                </w:r>
              </w:p>
              <w:p w14:paraId="67043561" w14:textId="6B3AF576" w:rsidR="000E4770" w:rsidRPr="009E2EB5" w:rsidRDefault="000E4770" w:rsidP="000E4770">
                <w:pPr>
                  <w:rPr>
                    <w:rFonts w:ascii="Arial" w:hAnsi="Arial" w:cs="Arial"/>
                    <w:sz w:val="24"/>
                    <w:szCs w:val="24"/>
                  </w:rPr>
                </w:pPr>
                <w:r w:rsidRPr="009E2EB5">
                  <w:rPr>
                    <w:rFonts w:ascii="Arial" w:hAnsi="Arial" w:cs="Arial"/>
                    <w:sz w:val="24"/>
                    <w:szCs w:val="24"/>
                  </w:rPr>
                  <w:t>=0.49</w:t>
                </w:r>
              </w:p>
            </w:tc>
          </w:tr>
          <w:tr w:rsidR="009416BE" w14:paraId="64726608" w14:textId="77777777" w:rsidTr="009747CB">
            <w:tc>
              <w:tcPr>
                <w:tcW w:w="2182" w:type="dxa"/>
              </w:tcPr>
              <w:p w14:paraId="1302C14E" w14:textId="77777777" w:rsidR="009416BE" w:rsidRPr="009E2EB5" w:rsidRDefault="009416BE" w:rsidP="00D234A5">
                <w:pPr>
                  <w:rPr>
                    <w:rFonts w:ascii="Arial" w:hAnsi="Arial" w:cs="Arial"/>
                    <w:sz w:val="24"/>
                    <w:szCs w:val="24"/>
                  </w:rPr>
                </w:pPr>
                <w:r w:rsidRPr="009E2EB5">
                  <w:rPr>
                    <w:rFonts w:ascii="Arial" w:hAnsi="Arial" w:cs="Arial"/>
                    <w:sz w:val="24"/>
                    <w:szCs w:val="24"/>
                  </w:rPr>
                  <w:lastRenderedPageBreak/>
                  <w:t>Current assets total – stock / current liabilities total</w:t>
                </w:r>
              </w:p>
            </w:tc>
            <w:tc>
              <w:tcPr>
                <w:tcW w:w="2042" w:type="dxa"/>
              </w:tcPr>
              <w:p w14:paraId="6BBE7964"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Quick ratio </w:t>
                </w:r>
              </w:p>
            </w:tc>
            <w:tc>
              <w:tcPr>
                <w:tcW w:w="2396" w:type="dxa"/>
              </w:tcPr>
              <w:p w14:paraId="0543EA0B" w14:textId="40ADCB1B" w:rsidR="009416BE" w:rsidRPr="009E2EB5" w:rsidRDefault="000E4770" w:rsidP="00D234A5">
                <w:pPr>
                  <w:rPr>
                    <w:rFonts w:ascii="Arial" w:hAnsi="Arial" w:cs="Arial"/>
                    <w:sz w:val="24"/>
                    <w:szCs w:val="24"/>
                  </w:rPr>
                </w:pPr>
                <w:r w:rsidRPr="009E2EB5">
                  <w:rPr>
                    <w:rFonts w:ascii="Arial" w:hAnsi="Arial" w:cs="Arial"/>
                    <w:sz w:val="24"/>
                    <w:szCs w:val="24"/>
                  </w:rPr>
                  <w:t>3626-0</w:t>
                </w:r>
                <w:r w:rsidR="009416BE" w:rsidRPr="009E2EB5">
                  <w:rPr>
                    <w:rFonts w:ascii="Arial" w:hAnsi="Arial" w:cs="Arial"/>
                    <w:sz w:val="24"/>
                    <w:szCs w:val="24"/>
                  </w:rPr>
                  <w:t>/</w:t>
                </w:r>
                <w:r w:rsidRPr="009E2EB5">
                  <w:rPr>
                    <w:rFonts w:ascii="Arial" w:hAnsi="Arial" w:cs="Arial"/>
                    <w:sz w:val="24"/>
                    <w:szCs w:val="24"/>
                  </w:rPr>
                  <w:t>6407</w:t>
                </w:r>
              </w:p>
              <w:p w14:paraId="19764D17" w14:textId="65B45DB2" w:rsidR="009416BE" w:rsidRPr="009E2EB5" w:rsidRDefault="009416BE" w:rsidP="00D234A5">
                <w:pPr>
                  <w:rPr>
                    <w:rFonts w:ascii="Arial" w:hAnsi="Arial" w:cs="Arial"/>
                    <w:sz w:val="24"/>
                    <w:szCs w:val="24"/>
                  </w:rPr>
                </w:pPr>
                <w:r w:rsidRPr="009E2EB5">
                  <w:rPr>
                    <w:rFonts w:ascii="Arial" w:hAnsi="Arial" w:cs="Arial"/>
                    <w:sz w:val="24"/>
                    <w:szCs w:val="24"/>
                  </w:rPr>
                  <w:t>=</w:t>
                </w:r>
                <w:r w:rsidR="000E4770" w:rsidRPr="009E2EB5">
                  <w:rPr>
                    <w:rFonts w:ascii="Arial" w:hAnsi="Arial" w:cs="Arial"/>
                    <w:sz w:val="24"/>
                    <w:szCs w:val="24"/>
                  </w:rPr>
                  <w:t>0.56</w:t>
                </w:r>
              </w:p>
            </w:tc>
            <w:tc>
              <w:tcPr>
                <w:tcW w:w="2396" w:type="dxa"/>
              </w:tcPr>
              <w:p w14:paraId="6A781B75" w14:textId="010A09EB" w:rsidR="009416BE" w:rsidRPr="009E2EB5" w:rsidRDefault="009416BE" w:rsidP="00D234A5">
                <w:pPr>
                  <w:rPr>
                    <w:rFonts w:ascii="Arial" w:hAnsi="Arial" w:cs="Arial"/>
                    <w:sz w:val="24"/>
                    <w:szCs w:val="24"/>
                  </w:rPr>
                </w:pPr>
                <w:r w:rsidRPr="009E2EB5">
                  <w:rPr>
                    <w:rFonts w:ascii="Arial" w:hAnsi="Arial" w:cs="Arial"/>
                    <w:sz w:val="24"/>
                    <w:szCs w:val="24"/>
                  </w:rPr>
                  <w:t>2</w:t>
                </w:r>
                <w:r w:rsidR="000E4770" w:rsidRPr="009E2EB5">
                  <w:rPr>
                    <w:rFonts w:ascii="Arial" w:hAnsi="Arial" w:cs="Arial"/>
                    <w:sz w:val="24"/>
                    <w:szCs w:val="24"/>
                  </w:rPr>
                  <w:t>825-0/5752</w:t>
                </w:r>
              </w:p>
              <w:p w14:paraId="1CC248DF" w14:textId="01CDD106" w:rsidR="009416BE" w:rsidRPr="009E2EB5" w:rsidRDefault="009416BE" w:rsidP="00D234A5">
                <w:pPr>
                  <w:rPr>
                    <w:rFonts w:ascii="Arial" w:hAnsi="Arial" w:cs="Arial"/>
                    <w:sz w:val="24"/>
                    <w:szCs w:val="24"/>
                  </w:rPr>
                </w:pPr>
                <w:r w:rsidRPr="009E2EB5">
                  <w:rPr>
                    <w:rFonts w:ascii="Arial" w:hAnsi="Arial" w:cs="Arial"/>
                    <w:sz w:val="24"/>
                    <w:szCs w:val="24"/>
                  </w:rPr>
                  <w:t>=</w:t>
                </w:r>
                <w:r w:rsidR="000E4770" w:rsidRPr="009E2EB5">
                  <w:rPr>
                    <w:rFonts w:ascii="Arial" w:hAnsi="Arial" w:cs="Arial"/>
                    <w:sz w:val="24"/>
                    <w:szCs w:val="24"/>
                  </w:rPr>
                  <w:t>0.49</w:t>
                </w:r>
              </w:p>
            </w:tc>
          </w:tr>
          <w:tr w:rsidR="009416BE" w14:paraId="120D127C" w14:textId="77777777" w:rsidTr="009747CB">
            <w:tc>
              <w:tcPr>
                <w:tcW w:w="2182" w:type="dxa"/>
              </w:tcPr>
              <w:p w14:paraId="490E98DC"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(Total current liabilities +bank </w:t>
                </w:r>
                <w:proofErr w:type="gramStart"/>
                <w:r w:rsidRPr="009E2EB5">
                  <w:rPr>
                    <w:rFonts w:ascii="Arial" w:hAnsi="Arial" w:cs="Arial"/>
                    <w:sz w:val="24"/>
                    <w:szCs w:val="24"/>
                  </w:rPr>
                  <w:t>loan )</w:t>
                </w:r>
                <w:proofErr w:type="gramEnd"/>
                <w:r w:rsidRPr="009E2EB5">
                  <w:rPr>
                    <w:rFonts w:ascii="Arial" w:hAnsi="Arial" w:cs="Arial"/>
                    <w:sz w:val="24"/>
                    <w:szCs w:val="24"/>
                  </w:rPr>
                  <w:t xml:space="preserve">( total current assets + fixed assets ) answers divided by one another </w:t>
                </w:r>
              </w:p>
            </w:tc>
            <w:tc>
              <w:tcPr>
                <w:tcW w:w="2042" w:type="dxa"/>
              </w:tcPr>
              <w:p w14:paraId="500B1466" w14:textId="77777777" w:rsidR="009416BE" w:rsidRPr="009E2EB5" w:rsidRDefault="009416BE" w:rsidP="00D234A5">
                <w:pPr>
                  <w:rPr>
                    <w:rFonts w:ascii="Arial" w:hAnsi="Arial" w:cs="Arial"/>
                    <w:sz w:val="24"/>
                    <w:szCs w:val="24"/>
                  </w:rPr>
                </w:pPr>
                <w:r w:rsidRPr="009E2EB5">
                  <w:rPr>
                    <w:rFonts w:ascii="Arial" w:hAnsi="Arial" w:cs="Arial"/>
                    <w:sz w:val="24"/>
                    <w:szCs w:val="24"/>
                  </w:rPr>
                  <w:t xml:space="preserve">Debt days </w:t>
                </w:r>
              </w:p>
            </w:tc>
            <w:tc>
              <w:tcPr>
                <w:tcW w:w="2396" w:type="dxa"/>
              </w:tcPr>
              <w:p w14:paraId="541A7D26" w14:textId="457E0EB0" w:rsidR="009416BE" w:rsidRPr="009E2EB5" w:rsidRDefault="009416BE" w:rsidP="00D234A5">
                <w:pPr>
                  <w:rPr>
                    <w:rFonts w:ascii="Arial" w:hAnsi="Arial" w:cs="Arial"/>
                    <w:sz w:val="24"/>
                    <w:szCs w:val="24"/>
                  </w:rPr>
                </w:pPr>
                <w:r w:rsidRPr="009E2EB5">
                  <w:rPr>
                    <w:rFonts w:ascii="Arial" w:hAnsi="Arial" w:cs="Arial"/>
                    <w:sz w:val="24"/>
                    <w:szCs w:val="24"/>
                  </w:rPr>
                  <w:t>(</w:t>
                </w:r>
                <w:r w:rsidR="009747CB" w:rsidRPr="009E2EB5">
                  <w:rPr>
                    <w:rFonts w:ascii="Arial" w:hAnsi="Arial" w:cs="Arial"/>
                    <w:sz w:val="24"/>
                    <w:szCs w:val="24"/>
                  </w:rPr>
                  <w:t>6407</w:t>
                </w:r>
                <w:r w:rsidRPr="009E2EB5">
                  <w:rPr>
                    <w:rFonts w:ascii="Arial" w:hAnsi="Arial" w:cs="Arial"/>
                    <w:sz w:val="24"/>
                    <w:szCs w:val="24"/>
                  </w:rPr>
                  <w:t>+</w:t>
                </w:r>
                <w:r w:rsidR="009747CB" w:rsidRPr="009E2EB5">
                  <w:rPr>
                    <w:rFonts w:ascii="Arial" w:hAnsi="Arial" w:cs="Arial"/>
                    <w:sz w:val="24"/>
                    <w:szCs w:val="24"/>
                  </w:rPr>
                  <w:t>0</w:t>
                </w:r>
                <w:r w:rsidRPr="009E2EB5">
                  <w:rPr>
                    <w:rFonts w:ascii="Arial" w:hAnsi="Arial" w:cs="Arial"/>
                    <w:sz w:val="24"/>
                    <w:szCs w:val="24"/>
                  </w:rPr>
                  <w:t>=</w:t>
                </w:r>
                <w:r w:rsidR="009747CB" w:rsidRPr="009E2EB5">
                  <w:rPr>
                    <w:rFonts w:ascii="Arial" w:hAnsi="Arial" w:cs="Arial"/>
                    <w:sz w:val="24"/>
                    <w:szCs w:val="24"/>
                  </w:rPr>
                  <w:t>6407</w:t>
                </w:r>
                <w:r w:rsidRPr="009E2EB5">
                  <w:rPr>
                    <w:rFonts w:ascii="Arial" w:hAnsi="Arial" w:cs="Arial"/>
                    <w:sz w:val="24"/>
                    <w:szCs w:val="24"/>
                  </w:rPr>
                  <w:t>)</w:t>
                </w:r>
              </w:p>
              <w:p w14:paraId="173FEA75" w14:textId="467D483D" w:rsidR="009416BE" w:rsidRPr="009E2EB5" w:rsidRDefault="009416BE" w:rsidP="00D234A5">
                <w:pPr>
                  <w:rPr>
                    <w:rFonts w:ascii="Arial" w:hAnsi="Arial" w:cs="Arial"/>
                    <w:sz w:val="24"/>
                    <w:szCs w:val="24"/>
                  </w:rPr>
                </w:pPr>
                <w:r w:rsidRPr="009E2EB5">
                  <w:rPr>
                    <w:rFonts w:ascii="Arial" w:hAnsi="Arial" w:cs="Arial"/>
                    <w:sz w:val="24"/>
                    <w:szCs w:val="24"/>
                  </w:rPr>
                  <w:t>(</w:t>
                </w:r>
                <w:r w:rsidR="009747CB" w:rsidRPr="009E2EB5">
                  <w:rPr>
                    <w:rFonts w:ascii="Arial" w:hAnsi="Arial" w:cs="Arial"/>
                    <w:sz w:val="24"/>
                    <w:szCs w:val="24"/>
                  </w:rPr>
                  <w:t>3626</w:t>
                </w:r>
                <w:r w:rsidRPr="009E2EB5">
                  <w:rPr>
                    <w:rFonts w:ascii="Arial" w:hAnsi="Arial" w:cs="Arial"/>
                    <w:sz w:val="24"/>
                    <w:szCs w:val="24"/>
                  </w:rPr>
                  <w:t>+</w:t>
                </w:r>
                <w:r w:rsidR="009747CB" w:rsidRPr="009E2EB5">
                  <w:rPr>
                    <w:rFonts w:ascii="Arial" w:hAnsi="Arial" w:cs="Arial"/>
                    <w:sz w:val="24"/>
                    <w:szCs w:val="24"/>
                  </w:rPr>
                  <w:t>1503+387+17999</w:t>
                </w:r>
                <w:r w:rsidRPr="009E2EB5">
                  <w:rPr>
                    <w:rFonts w:ascii="Arial" w:hAnsi="Arial" w:cs="Arial"/>
                    <w:sz w:val="24"/>
                    <w:szCs w:val="24"/>
                  </w:rPr>
                  <w:t xml:space="preserve"> = </w:t>
                </w:r>
                <w:r w:rsidR="009747CB" w:rsidRPr="009E2EB5">
                  <w:rPr>
                    <w:rFonts w:ascii="Arial" w:hAnsi="Arial" w:cs="Arial"/>
                    <w:sz w:val="24"/>
                    <w:szCs w:val="24"/>
                  </w:rPr>
                  <w:t>23515</w:t>
                </w:r>
                <w:r w:rsidRPr="009E2EB5">
                  <w:rPr>
                    <w:rFonts w:ascii="Arial" w:hAnsi="Arial" w:cs="Arial"/>
                    <w:sz w:val="24"/>
                    <w:szCs w:val="24"/>
                  </w:rPr>
                  <w:t>)</w:t>
                </w:r>
              </w:p>
              <w:p w14:paraId="0A124135" w14:textId="1D1CA1F4" w:rsidR="009416BE" w:rsidRPr="009E2EB5" w:rsidRDefault="009747CB" w:rsidP="00D234A5">
                <w:pPr>
                  <w:rPr>
                    <w:rFonts w:ascii="Arial" w:hAnsi="Arial" w:cs="Arial"/>
                    <w:sz w:val="24"/>
                    <w:szCs w:val="24"/>
                  </w:rPr>
                </w:pPr>
                <w:r w:rsidRPr="009E2EB5">
                  <w:rPr>
                    <w:rFonts w:ascii="Arial" w:hAnsi="Arial" w:cs="Arial"/>
                    <w:sz w:val="24"/>
                    <w:szCs w:val="24"/>
                  </w:rPr>
                  <w:t>6407</w:t>
                </w:r>
                <w:r w:rsidR="009416BE" w:rsidRPr="009E2EB5">
                  <w:rPr>
                    <w:rFonts w:ascii="Arial" w:hAnsi="Arial" w:cs="Arial"/>
                    <w:sz w:val="24"/>
                    <w:szCs w:val="24"/>
                  </w:rPr>
                  <w:t>/</w:t>
                </w:r>
                <w:r w:rsidRPr="009E2EB5">
                  <w:rPr>
                    <w:rFonts w:ascii="Arial" w:hAnsi="Arial" w:cs="Arial"/>
                    <w:sz w:val="24"/>
                    <w:szCs w:val="24"/>
                  </w:rPr>
                  <w:t>23515</w:t>
                </w:r>
                <w:r w:rsidR="009416BE" w:rsidRPr="009E2EB5">
                  <w:rPr>
                    <w:rFonts w:ascii="Arial" w:hAnsi="Arial" w:cs="Arial"/>
                    <w:sz w:val="24"/>
                    <w:szCs w:val="24"/>
                  </w:rPr>
                  <w:t xml:space="preserve"> = 0.2</w:t>
                </w:r>
                <w:r w:rsidRPr="009E2EB5">
                  <w:rPr>
                    <w:rFonts w:ascii="Arial" w:hAnsi="Arial" w:cs="Arial"/>
                    <w:sz w:val="24"/>
                    <w:szCs w:val="24"/>
                  </w:rPr>
                  <w:t>7</w:t>
                </w:r>
              </w:p>
            </w:tc>
            <w:tc>
              <w:tcPr>
                <w:tcW w:w="2396" w:type="dxa"/>
              </w:tcPr>
              <w:p w14:paraId="795C324B" w14:textId="44230B29" w:rsidR="009416BE" w:rsidRPr="009E2EB5" w:rsidRDefault="009416BE" w:rsidP="00D234A5">
                <w:pPr>
                  <w:rPr>
                    <w:rFonts w:ascii="Arial" w:hAnsi="Arial" w:cs="Arial"/>
                    <w:sz w:val="24"/>
                    <w:szCs w:val="24"/>
                  </w:rPr>
                </w:pPr>
                <w:r w:rsidRPr="009E2EB5">
                  <w:rPr>
                    <w:rFonts w:ascii="Arial" w:hAnsi="Arial" w:cs="Arial"/>
                    <w:sz w:val="24"/>
                    <w:szCs w:val="24"/>
                  </w:rPr>
                  <w:t>(</w:t>
                </w:r>
                <w:r w:rsidR="009747CB" w:rsidRPr="009E2EB5">
                  <w:rPr>
                    <w:rFonts w:ascii="Arial" w:hAnsi="Arial" w:cs="Arial"/>
                    <w:sz w:val="24"/>
                    <w:szCs w:val="24"/>
                  </w:rPr>
                  <w:t>5752</w:t>
                </w:r>
                <w:r w:rsidRPr="009E2EB5">
                  <w:rPr>
                    <w:rFonts w:ascii="Arial" w:hAnsi="Arial" w:cs="Arial"/>
                    <w:sz w:val="24"/>
                    <w:szCs w:val="24"/>
                  </w:rPr>
                  <w:t>+</w:t>
                </w:r>
                <w:r w:rsidR="009747CB" w:rsidRPr="009E2EB5">
                  <w:rPr>
                    <w:rFonts w:ascii="Arial" w:hAnsi="Arial" w:cs="Arial"/>
                    <w:sz w:val="24"/>
                    <w:szCs w:val="24"/>
                  </w:rPr>
                  <w:t>0</w:t>
                </w:r>
                <w:r w:rsidRPr="009E2EB5">
                  <w:rPr>
                    <w:rFonts w:ascii="Arial" w:hAnsi="Arial" w:cs="Arial"/>
                    <w:sz w:val="24"/>
                    <w:szCs w:val="24"/>
                  </w:rPr>
                  <w:t>=</w:t>
                </w:r>
                <w:r w:rsidR="009747CB" w:rsidRPr="009E2EB5">
                  <w:rPr>
                    <w:rFonts w:ascii="Arial" w:hAnsi="Arial" w:cs="Arial"/>
                    <w:sz w:val="24"/>
                    <w:szCs w:val="24"/>
                  </w:rPr>
                  <w:t>5752</w:t>
                </w:r>
                <w:r w:rsidRPr="009E2EB5">
                  <w:rPr>
                    <w:rFonts w:ascii="Arial" w:hAnsi="Arial" w:cs="Arial"/>
                    <w:sz w:val="24"/>
                    <w:szCs w:val="24"/>
                  </w:rPr>
                  <w:t>)</w:t>
                </w:r>
              </w:p>
              <w:p w14:paraId="61024F3F" w14:textId="17EB18CA" w:rsidR="009416BE" w:rsidRPr="009E2EB5" w:rsidRDefault="009416BE" w:rsidP="00D234A5">
                <w:pPr>
                  <w:rPr>
                    <w:rFonts w:ascii="Arial" w:hAnsi="Arial" w:cs="Arial"/>
                    <w:sz w:val="24"/>
                    <w:szCs w:val="24"/>
                  </w:rPr>
                </w:pPr>
                <w:r w:rsidRPr="009E2EB5">
                  <w:rPr>
                    <w:rFonts w:ascii="Arial" w:hAnsi="Arial" w:cs="Arial"/>
                    <w:sz w:val="24"/>
                    <w:szCs w:val="24"/>
                  </w:rPr>
                  <w:t>(2</w:t>
                </w:r>
                <w:r w:rsidR="009747CB" w:rsidRPr="009E2EB5">
                  <w:rPr>
                    <w:rFonts w:ascii="Arial" w:hAnsi="Arial" w:cs="Arial"/>
                    <w:sz w:val="24"/>
                    <w:szCs w:val="24"/>
                  </w:rPr>
                  <w:t>825</w:t>
                </w:r>
                <w:r w:rsidRPr="009E2EB5">
                  <w:rPr>
                    <w:rFonts w:ascii="Arial" w:hAnsi="Arial" w:cs="Arial"/>
                    <w:sz w:val="24"/>
                    <w:szCs w:val="24"/>
                  </w:rPr>
                  <w:t>+1</w:t>
                </w:r>
                <w:r w:rsidR="009747CB" w:rsidRPr="009E2EB5">
                  <w:rPr>
                    <w:rFonts w:ascii="Arial" w:hAnsi="Arial" w:cs="Arial"/>
                    <w:sz w:val="24"/>
                    <w:szCs w:val="24"/>
                  </w:rPr>
                  <w:t>514+422+18164</w:t>
                </w:r>
                <w:r w:rsidRPr="009E2EB5">
                  <w:rPr>
                    <w:rFonts w:ascii="Arial" w:hAnsi="Arial" w:cs="Arial"/>
                    <w:sz w:val="24"/>
                    <w:szCs w:val="24"/>
                  </w:rPr>
                  <w:t xml:space="preserve"> =</w:t>
                </w:r>
                <w:r w:rsidR="009747CB" w:rsidRPr="009E2EB5">
                  <w:rPr>
                    <w:rFonts w:ascii="Arial" w:hAnsi="Arial" w:cs="Arial"/>
                    <w:sz w:val="24"/>
                    <w:szCs w:val="24"/>
                  </w:rPr>
                  <w:t>22925</w:t>
                </w:r>
                <w:r w:rsidRPr="009E2EB5">
                  <w:rPr>
                    <w:rFonts w:ascii="Arial" w:hAnsi="Arial" w:cs="Arial"/>
                    <w:sz w:val="24"/>
                    <w:szCs w:val="24"/>
                  </w:rPr>
                  <w:t>)</w:t>
                </w:r>
              </w:p>
              <w:p w14:paraId="30A70239" w14:textId="7D51B97F" w:rsidR="009416BE" w:rsidRPr="009E2EB5" w:rsidRDefault="009747CB" w:rsidP="00D234A5">
                <w:pPr>
                  <w:rPr>
                    <w:rFonts w:ascii="Arial" w:hAnsi="Arial" w:cs="Arial"/>
                    <w:sz w:val="24"/>
                    <w:szCs w:val="24"/>
                  </w:rPr>
                </w:pPr>
                <w:r w:rsidRPr="009E2EB5">
                  <w:rPr>
                    <w:rFonts w:ascii="Arial" w:hAnsi="Arial" w:cs="Arial"/>
                    <w:sz w:val="24"/>
                    <w:szCs w:val="24"/>
                  </w:rPr>
                  <w:t>5752</w:t>
                </w:r>
                <w:r w:rsidR="009416BE" w:rsidRPr="009E2EB5">
                  <w:rPr>
                    <w:rFonts w:ascii="Arial" w:hAnsi="Arial" w:cs="Arial"/>
                    <w:sz w:val="24"/>
                    <w:szCs w:val="24"/>
                  </w:rPr>
                  <w:t>/</w:t>
                </w:r>
                <w:r w:rsidRPr="009E2EB5">
                  <w:rPr>
                    <w:rFonts w:ascii="Arial" w:hAnsi="Arial" w:cs="Arial"/>
                    <w:sz w:val="24"/>
                    <w:szCs w:val="24"/>
                  </w:rPr>
                  <w:t>22925</w:t>
                </w:r>
                <w:r w:rsidR="009416BE" w:rsidRPr="009E2EB5">
                  <w:rPr>
                    <w:rFonts w:ascii="Arial" w:hAnsi="Arial" w:cs="Arial"/>
                    <w:sz w:val="24"/>
                    <w:szCs w:val="24"/>
                  </w:rPr>
                  <w:t>=0.2</w:t>
                </w:r>
                <w:r w:rsidRPr="009E2EB5">
                  <w:rPr>
                    <w:rFonts w:ascii="Arial" w:hAnsi="Arial" w:cs="Arial"/>
                    <w:sz w:val="24"/>
                    <w:szCs w:val="24"/>
                  </w:rPr>
                  <w:t>5</w:t>
                </w:r>
              </w:p>
            </w:tc>
          </w:tr>
        </w:tbl>
        <w:p w14:paraId="254C4174" w14:textId="77777777" w:rsidR="004A11F6" w:rsidRDefault="004A11F6" w:rsidP="007D1947"/>
        <w:p w14:paraId="7977B4C9" w14:textId="1831AE6C" w:rsidR="004A11F6" w:rsidRDefault="009E2EB5" w:rsidP="009E2EB5">
          <w:pPr>
            <w:jc w:val="center"/>
          </w:pPr>
          <w:r>
            <w:rPr>
              <w:noProof/>
            </w:rPr>
            <w:drawing>
              <wp:inline distT="0" distB="0" distL="0" distR="0" wp14:anchorId="27FCE28F" wp14:editId="44C90B86">
                <wp:extent cx="4584700" cy="2755900"/>
                <wp:effectExtent l="76200" t="76200" r="139700" b="139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E5B5B2" w14:textId="77777777" w:rsidR="009E2EB5" w:rsidRDefault="009E2EB5">
          <w:pPr>
            <w:rPr>
              <w:rFonts w:asciiTheme="majorHAnsi" w:eastAsiaTheme="majorEastAsia" w:hAnsiTheme="majorHAnsi" w:cstheme="majorBidi"/>
              <w:color w:val="2E74B5" w:themeColor="accent1" w:themeShade="BF"/>
              <w:sz w:val="32"/>
              <w:szCs w:val="32"/>
            </w:rPr>
          </w:pPr>
          <w:r>
            <w:br w:type="page"/>
          </w:r>
        </w:p>
        <w:p w14:paraId="65D911F3" w14:textId="6FCBDCE2" w:rsidR="004A11F6" w:rsidRDefault="004D519C" w:rsidP="004D519C">
          <w:pPr>
            <w:pStyle w:val="Heading1"/>
          </w:pPr>
          <w:bookmarkStart w:id="2" w:name="_Toc120795823"/>
          <w:r>
            <w:lastRenderedPageBreak/>
            <w:t>Financial Analysis Trends</w:t>
          </w:r>
          <w:bookmarkEnd w:id="2"/>
        </w:p>
        <w:p w14:paraId="31921F49" w14:textId="77777777" w:rsidR="00284F1F" w:rsidRPr="00284F1F" w:rsidRDefault="00284F1F" w:rsidP="00284F1F"/>
        <w:p w14:paraId="4DC6FCCD" w14:textId="77777777" w:rsidR="004D519C" w:rsidRDefault="004D519C" w:rsidP="004D519C">
          <w:pPr>
            <w:pStyle w:val="Heading2"/>
          </w:pPr>
          <w:bookmarkStart w:id="3" w:name="_Toc120795824"/>
          <w:r>
            <w:t>Profitability</w:t>
          </w:r>
          <w:bookmarkEnd w:id="3"/>
        </w:p>
        <w:p w14:paraId="5FFB1754" w14:textId="77777777" w:rsidR="004F118F" w:rsidRDefault="004F118F" w:rsidP="004F118F">
          <w:pPr>
            <w:pStyle w:val="Heading2"/>
            <w:rPr>
              <w:rFonts w:asciiTheme="minorHAnsi" w:eastAsiaTheme="minorHAnsi" w:hAnsiTheme="minorHAnsi" w:cstheme="minorBidi"/>
              <w:color w:val="auto"/>
              <w:sz w:val="22"/>
              <w:szCs w:val="22"/>
            </w:rPr>
          </w:pPr>
        </w:p>
        <w:p w14:paraId="18821A93" w14:textId="2566B6B2" w:rsidR="004F118F" w:rsidRPr="009E2EB5" w:rsidRDefault="004F118F" w:rsidP="009E2EB5">
          <w:pPr>
            <w:spacing w:line="360" w:lineRule="auto"/>
            <w:jc w:val="both"/>
            <w:rPr>
              <w:rFonts w:ascii="Arial" w:hAnsi="Arial" w:cs="Arial"/>
              <w:sz w:val="24"/>
              <w:szCs w:val="24"/>
            </w:rPr>
          </w:pPr>
          <w:r w:rsidRPr="009E2EB5">
            <w:rPr>
              <w:rFonts w:ascii="Arial" w:hAnsi="Arial" w:cs="Arial"/>
              <w:sz w:val="24"/>
              <w:szCs w:val="24"/>
            </w:rPr>
            <w:t>The capacity of the organization to create a fitting degree of revenue and the pace of return on investment are not entirely settled by profitability proportions. "In the first place, proportions that show a firm monetary establishment and the effectiveness with which an organization deals with its resources</w:t>
          </w:r>
          <w:r w:rsidR="00987051" w:rsidRPr="009E2EB5">
            <w:rPr>
              <w:rFonts w:ascii="Arial" w:hAnsi="Arial" w:cs="Arial"/>
              <w:sz w:val="24"/>
              <w:szCs w:val="24"/>
            </w:rPr>
            <w:t xml:space="preserve"> (Chiang, et al, 2021).</w:t>
          </w:r>
        </w:p>
        <w:p w14:paraId="39668076" w14:textId="77777777" w:rsidR="009E2EB5" w:rsidRPr="009E2EB5" w:rsidRDefault="009E2EB5" w:rsidP="009E2EB5">
          <w:pPr>
            <w:spacing w:line="360" w:lineRule="auto"/>
            <w:jc w:val="both"/>
            <w:rPr>
              <w:rFonts w:ascii="Arial" w:hAnsi="Arial" w:cs="Arial"/>
              <w:sz w:val="24"/>
              <w:szCs w:val="24"/>
            </w:rPr>
          </w:pPr>
        </w:p>
        <w:p w14:paraId="2FBEB1AB" w14:textId="7925C794" w:rsidR="004F118F" w:rsidRPr="009E2EB5" w:rsidRDefault="004F118F" w:rsidP="009E2EB5">
          <w:pPr>
            <w:spacing w:line="360" w:lineRule="auto"/>
            <w:jc w:val="both"/>
            <w:rPr>
              <w:rFonts w:ascii="Arial" w:hAnsi="Arial" w:cs="Arial"/>
              <w:sz w:val="24"/>
              <w:szCs w:val="24"/>
            </w:rPr>
          </w:pPr>
          <w:r w:rsidRPr="009E2EB5">
            <w:rPr>
              <w:rFonts w:ascii="Arial" w:hAnsi="Arial" w:cs="Arial"/>
              <w:sz w:val="24"/>
              <w:szCs w:val="24"/>
            </w:rPr>
            <w:t>The aftereffects of the profitability proportion, which centers around five proportions in Figure 2, show that the (1) net profit margin has ascended by practically 10%, exhibiting that the business is actually being run. (2) The deals bring in revenue and additionally show an expansion in gross profits of 6.41%. The business is expected to achieve the 40% objective margin. (3) The ROCE has increased by more than 8%, which is helpful on the grounds that it shows the amount of the revenue is directly connected with the expenses of the resources that are claimed. Since the revenue is better than average, it shows that the business properties are being utilized capably. The working capital turnover has likewise diminished by 1.63% because of the efficiency proportion, which outlines how creatively resources are being utilized in a good way as the revenues have moved inside the year, as per the information on resource turnover, which expanded to 0.56 days in 2021 from 2020</w:t>
          </w:r>
          <w:r w:rsidR="00987051" w:rsidRPr="009E2EB5">
            <w:rPr>
              <w:rFonts w:ascii="Arial" w:hAnsi="Arial" w:cs="Arial"/>
              <w:sz w:val="24"/>
              <w:szCs w:val="24"/>
            </w:rPr>
            <w:t xml:space="preserve"> (Zou, et al, 2021).</w:t>
          </w:r>
        </w:p>
        <w:p w14:paraId="0306175A" w14:textId="77777777" w:rsidR="004F118F" w:rsidRDefault="004F118F" w:rsidP="004F118F">
          <w:pPr>
            <w:pStyle w:val="Heading2"/>
            <w:rPr>
              <w:rFonts w:asciiTheme="minorHAnsi" w:eastAsiaTheme="minorHAnsi" w:hAnsiTheme="minorHAnsi" w:cstheme="minorBidi"/>
              <w:color w:val="auto"/>
              <w:sz w:val="22"/>
              <w:szCs w:val="22"/>
            </w:rPr>
          </w:pPr>
        </w:p>
        <w:p w14:paraId="6CD58C45" w14:textId="41B2CA42" w:rsidR="004D519C" w:rsidRDefault="004D519C" w:rsidP="004F118F">
          <w:pPr>
            <w:pStyle w:val="Heading2"/>
          </w:pPr>
          <w:bookmarkStart w:id="4" w:name="_Toc120795825"/>
          <w:r>
            <w:t>Liquidity</w:t>
          </w:r>
          <w:bookmarkEnd w:id="4"/>
        </w:p>
        <w:p w14:paraId="2049DAF9" w14:textId="77777777" w:rsidR="00392330" w:rsidRDefault="00392330" w:rsidP="004D519C">
          <w:pPr>
            <w:pStyle w:val="Heading2"/>
            <w:rPr>
              <w:rFonts w:asciiTheme="minorHAnsi" w:eastAsiaTheme="minorHAnsi" w:hAnsiTheme="minorHAnsi" w:cstheme="minorBidi"/>
              <w:color w:val="auto"/>
              <w:sz w:val="22"/>
              <w:szCs w:val="22"/>
            </w:rPr>
          </w:pPr>
        </w:p>
        <w:p w14:paraId="265F94F6" w14:textId="7D1032AF" w:rsidR="00392330" w:rsidRPr="009E2EB5" w:rsidRDefault="00392330" w:rsidP="009E2EB5">
          <w:pPr>
            <w:spacing w:line="360" w:lineRule="auto"/>
            <w:jc w:val="both"/>
            <w:rPr>
              <w:rFonts w:ascii="Arial" w:hAnsi="Arial" w:cs="Arial"/>
              <w:sz w:val="24"/>
              <w:szCs w:val="24"/>
            </w:rPr>
          </w:pPr>
          <w:r w:rsidRPr="009E2EB5">
            <w:rPr>
              <w:rFonts w:ascii="Arial" w:hAnsi="Arial" w:cs="Arial"/>
              <w:sz w:val="24"/>
              <w:szCs w:val="24"/>
            </w:rPr>
            <w:t xml:space="preserve">The liquidity ratio is pivotal for monetary examination since it focuses on instalment commitments by representing more affordable and indebted individuals' costs, which can be more for a momentary credit than for a drawn-out commitment. The estimations required in this part for the ratio displayed in figure 2 are as follows: (1) The quick ratio, which is equivalent to the current ratio on the grounds that Marriott Global Inc. holds no stock, (2) A higher current ratio of 0.56. At the point when the monetary investigation is done, it will show whether the organization has sufficient money on hand to meet its obligations on time and cover its costs. Current resources that have a place in the organization are on one side of the liquidity ratio scale, while arranged </w:t>
          </w:r>
          <w:r w:rsidRPr="009E2EB5">
            <w:rPr>
              <w:rFonts w:ascii="Arial" w:hAnsi="Arial" w:cs="Arial"/>
              <w:sz w:val="24"/>
              <w:szCs w:val="24"/>
            </w:rPr>
            <w:lastRenderedPageBreak/>
            <w:t>instalments for current liabilities are on the other. Receivables from the target market's clients and the arrangement of completed products will be remembered for the money resources indefinitely. For the business to stay in business and make money, the instalment commitments should be maintained. To safeguard equilibrium and create a gain, the organization should be paid expeditiously and keep up with development portions under a long-term obligation</w:t>
          </w:r>
          <w:r w:rsidR="00987051" w:rsidRPr="009E2EB5">
            <w:rPr>
              <w:rFonts w:ascii="Arial" w:hAnsi="Arial" w:cs="Arial"/>
              <w:sz w:val="24"/>
              <w:szCs w:val="24"/>
            </w:rPr>
            <w:t xml:space="preserve"> (Jihadi, et al, 2021).</w:t>
          </w:r>
        </w:p>
        <w:p w14:paraId="792AA29B" w14:textId="77777777" w:rsidR="00392330" w:rsidRDefault="00392330" w:rsidP="004D519C">
          <w:pPr>
            <w:pStyle w:val="Heading2"/>
            <w:rPr>
              <w:rFonts w:asciiTheme="minorHAnsi" w:eastAsiaTheme="minorHAnsi" w:hAnsiTheme="minorHAnsi" w:cstheme="minorBidi"/>
              <w:color w:val="auto"/>
              <w:sz w:val="22"/>
              <w:szCs w:val="22"/>
            </w:rPr>
          </w:pPr>
        </w:p>
        <w:p w14:paraId="76DC4E55" w14:textId="57BFD3C3" w:rsidR="004D519C" w:rsidRDefault="004D519C" w:rsidP="004D519C">
          <w:pPr>
            <w:pStyle w:val="Heading2"/>
          </w:pPr>
          <w:bookmarkStart w:id="5" w:name="_Toc120795826"/>
          <w:r w:rsidRPr="004D519C">
            <w:t>Gearing</w:t>
          </w:r>
          <w:bookmarkEnd w:id="5"/>
        </w:p>
        <w:p w14:paraId="752BBBC6" w14:textId="3F2F9B39" w:rsidR="00392330" w:rsidRDefault="00392330" w:rsidP="00392330"/>
        <w:p w14:paraId="2062C1DC" w14:textId="04B284F1" w:rsidR="00392330" w:rsidRPr="009E2EB5" w:rsidRDefault="00392330" w:rsidP="009E2EB5">
          <w:pPr>
            <w:spacing w:line="360" w:lineRule="auto"/>
            <w:jc w:val="both"/>
            <w:rPr>
              <w:rFonts w:ascii="Arial" w:hAnsi="Arial" w:cs="Arial"/>
              <w:sz w:val="24"/>
              <w:szCs w:val="24"/>
            </w:rPr>
          </w:pPr>
          <w:r w:rsidRPr="009E2EB5">
            <w:rPr>
              <w:rFonts w:ascii="Arial" w:hAnsi="Arial" w:cs="Arial"/>
              <w:sz w:val="24"/>
              <w:szCs w:val="24"/>
            </w:rPr>
            <w:t>The gearing ratio inspects the monetary ties connected with capital, obligations, or assets that the business has acquired from lessors, like banks, and so forth. The key idea is to recognize monetary control, which establishes the organization's accomplishments that may be subsidized by investor cash rather than loaned boss capital. (1) Debt days moved to 0.27, which is certainly not a decent sign, as displayed in Figure 2. Taking everything into account, the gearing ratio will be assessed in view of the degree of monetary control, which will affirm the degree to which the organization's operations are upheld by value capital as opposed to debt holder funding</w:t>
          </w:r>
          <w:r w:rsidR="00987051" w:rsidRPr="009E2EB5">
            <w:rPr>
              <w:rFonts w:ascii="Arial" w:hAnsi="Arial" w:cs="Arial"/>
              <w:sz w:val="24"/>
              <w:szCs w:val="24"/>
            </w:rPr>
            <w:t xml:space="preserve"> (Kwon. Jo and Min, 2021).</w:t>
          </w:r>
        </w:p>
        <w:p w14:paraId="1BC46195" w14:textId="77777777" w:rsidR="00392330" w:rsidRPr="00392330" w:rsidRDefault="00392330" w:rsidP="00392330"/>
        <w:p w14:paraId="09989BFE" w14:textId="36CBD05D" w:rsidR="00E81FE8" w:rsidRDefault="00AA2A91" w:rsidP="00E81FE8">
          <w:pPr>
            <w:pStyle w:val="Heading1"/>
          </w:pPr>
          <w:bookmarkStart w:id="6" w:name="_Toc120795827"/>
          <w:r>
            <w:t>Knowledge from Ratio Analysis</w:t>
          </w:r>
          <w:bookmarkEnd w:id="6"/>
        </w:p>
        <w:p w14:paraId="387B588D" w14:textId="2C9863B9" w:rsidR="00A4211D"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Stock assessments and devaluation techniques could screw with the monetary records and modify appraisals among organizations utilizing different secretarial strategies. Vulnerability One firm might rethink a sizeable piece of its useful devices, yet the resources might be underestimated in contrast with exchanges since the re-appropriated resources may consistently fail to meet expectations on the asset report. However, if the obligation is not used to satisfy the understanding risk, renting can significantly recover both the obligation and turnover rates. Moreover, in the event that a specific ratio is, by the same token, "bad" or "upstanding," taking a far-reaching perspective on it is testing. For example, a high current ratio can demonstrate areas of strength for a condition that gives off the impression of being moral, yet an excess of money is terrible on the grounds that the bank's additional money is known to adversely affect profit</w:t>
          </w:r>
          <w:r w:rsidR="00987051" w:rsidRPr="009E2EB5">
            <w:rPr>
              <w:rFonts w:ascii="Arial" w:hAnsi="Arial" w:cs="Arial"/>
              <w:sz w:val="24"/>
              <w:szCs w:val="24"/>
            </w:rPr>
            <w:t xml:space="preserve"> (Haralayya, 2021).</w:t>
          </w:r>
        </w:p>
        <w:p w14:paraId="0913DFDA" w14:textId="6C53C404" w:rsidR="00987051"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lastRenderedPageBreak/>
            <w:t>In like manner, a positive secure resource gross income ratio can show either an organization that utilizes resources or one that is undercapitalized and misses the mark on assets to procure an adequate number of resources. It is hard to decide which organizations are left since, by breaking down their ratios, a few organizations can show up strong while others can show up "degenerate." However, mathematical estimations will be used to assess the properties of the set ratios</w:t>
          </w:r>
          <w:r w:rsidR="00987051" w:rsidRPr="009E2EB5">
            <w:rPr>
              <w:rFonts w:ascii="Arial" w:hAnsi="Arial" w:cs="Arial"/>
              <w:sz w:val="24"/>
              <w:szCs w:val="24"/>
            </w:rPr>
            <w:t xml:space="preserve"> (Siddiquie, 2021).</w:t>
          </w:r>
        </w:p>
        <w:p w14:paraId="6F00D829" w14:textId="539D4D53" w:rsidR="00A4211D"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Various financial backers, including banks, use mathematical techniques to dissect an organization's monetary ratios, the foundation of their examination, and characterize the organization as delivering toward their likelihood of progress as experiencing financial difficulty. Examination of productivity ratios is helpful, yet experts should know about these difficulties</w:t>
          </w:r>
          <w:r w:rsidR="00987051" w:rsidRPr="009E2EB5">
            <w:rPr>
              <w:rFonts w:ascii="Arial" w:hAnsi="Arial" w:cs="Arial"/>
              <w:sz w:val="24"/>
              <w:szCs w:val="24"/>
            </w:rPr>
            <w:t xml:space="preserve"> (Torkashvand, et al, 2021).</w:t>
          </w:r>
        </w:p>
        <w:p w14:paraId="44055248" w14:textId="0E718CEA" w:rsidR="00E81FE8"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Ratio assessment On the other hand, when applied legitimately and with good direction, practical reasoning can give significant insights into the organization's operations.</w:t>
          </w:r>
        </w:p>
        <w:p w14:paraId="6F79F50F" w14:textId="77777777" w:rsidR="00AA2A91" w:rsidRDefault="00AA2A91" w:rsidP="00AA2A91"/>
        <w:p w14:paraId="34BB229B" w14:textId="05E2B91E" w:rsidR="00AA2A91" w:rsidRDefault="00AA2A91" w:rsidP="00AA2A91">
          <w:pPr>
            <w:pStyle w:val="Heading1"/>
          </w:pPr>
          <w:bookmarkStart w:id="7" w:name="_Toc120795828"/>
          <w:r>
            <w:t>Benefits and Limitations of Ratio Analysis</w:t>
          </w:r>
          <w:bookmarkEnd w:id="7"/>
        </w:p>
        <w:p w14:paraId="65E473A9" w14:textId="77777777" w:rsidR="009E2EB5" w:rsidRPr="009E2EB5" w:rsidRDefault="009E2EB5" w:rsidP="009E2EB5"/>
        <w:p w14:paraId="3EE87C95" w14:textId="64EF4C82" w:rsidR="004D519C" w:rsidRPr="009E2EB5" w:rsidRDefault="00E81FE8" w:rsidP="009E2EB5">
          <w:pPr>
            <w:spacing w:line="360" w:lineRule="auto"/>
            <w:jc w:val="both"/>
            <w:rPr>
              <w:rFonts w:ascii="Arial" w:hAnsi="Arial" w:cs="Arial"/>
              <w:sz w:val="24"/>
              <w:szCs w:val="24"/>
            </w:rPr>
          </w:pPr>
          <w:r w:rsidRPr="009E2EB5">
            <w:rPr>
              <w:rFonts w:ascii="Arial" w:hAnsi="Arial" w:cs="Arial"/>
              <w:sz w:val="24"/>
              <w:szCs w:val="24"/>
            </w:rPr>
            <w:t>The benefits and drawbacks of the technique are as follows: (1) when the businesses are utilizing proportions to help an investigation, controller, and assist with further developing the organization's firm; (2) the credit indicators, which center around the organizations' bank credit majors or credit chiefs, who look at proportions to decide the organization's capacity to pay its overdue debts; and (3) stock indicators, whose essential center is the fixation of the organization's adequacy and movement expectations</w:t>
          </w:r>
          <w:r w:rsidR="00987051" w:rsidRPr="009E2EB5">
            <w:rPr>
              <w:rFonts w:ascii="Arial" w:hAnsi="Arial" w:cs="Arial"/>
              <w:sz w:val="24"/>
              <w:szCs w:val="24"/>
            </w:rPr>
            <w:t xml:space="preserve"> (Maheshwari, Maheshwari and Maheshwari, 2021).</w:t>
          </w:r>
          <w:r w:rsidRPr="009E2EB5">
            <w:rPr>
              <w:rFonts w:ascii="Arial" w:hAnsi="Arial" w:cs="Arial"/>
              <w:sz w:val="24"/>
              <w:szCs w:val="24"/>
            </w:rPr>
            <w:t>The proportional examination gives helpful data on the activities and financial condition of the organization, yet it has constraints. Most organizations strive to perform better than expected (despite the fact that half choose to go above and half underneath the middle), as achieving normal execution isn't intrinsically upright. It's better in the chief's proportions, planned for cutting edge execution.</w:t>
          </w:r>
        </w:p>
        <w:p w14:paraId="78002955" w14:textId="77777777" w:rsidR="00AA2A91" w:rsidRDefault="00AA2A91" w:rsidP="004D519C"/>
        <w:p w14:paraId="393E8D7A" w14:textId="77777777" w:rsidR="00AA2A91" w:rsidRDefault="00AA2A91" w:rsidP="004D519C"/>
        <w:p w14:paraId="66B2906D" w14:textId="77777777" w:rsidR="00AA2A91" w:rsidRDefault="00AA2A91" w:rsidP="004D519C"/>
        <w:p w14:paraId="637ECABC" w14:textId="16761ADC" w:rsidR="00AA2A91" w:rsidRDefault="00AA2A91" w:rsidP="00AA2A91">
          <w:pPr>
            <w:pStyle w:val="Heading1"/>
          </w:pPr>
          <w:bookmarkStart w:id="8" w:name="_Toc120795829"/>
          <w:r>
            <w:t>Conclusion</w:t>
          </w:r>
          <w:bookmarkEnd w:id="8"/>
        </w:p>
        <w:p w14:paraId="4BF125F0" w14:textId="7D4954FB" w:rsidR="00A4211D" w:rsidRDefault="00A4211D" w:rsidP="00A4211D"/>
        <w:p w14:paraId="2773FC07" w14:textId="77777777" w:rsidR="00A4211D"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The ratio examination in the review shows that despite the fact that the organization produced OK incomes in 2021 and had less extraordinary credit, it gathered more obligations. with a low financing cost, in any case. The organization's likelihood ratio shows a critical development in compensation and fixes. evidence that the corporation is promoting its income in deterioration stock rather than more in repair, resulting in an increase in protection Notwithstanding, the business is sure about the rates, auto costs, terrible obligations, and credit revenue, which have either kept up with something similar or seen a decrease in income. All in all, the probability ratio of the year's net benefit has diminished because of lower gross benefits.</w:t>
          </w:r>
        </w:p>
        <w:p w14:paraId="27987156" w14:textId="77777777" w:rsidR="00A4211D"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Because everything is more affordable, the liquidity ratio is more under water and less in credit. The outfitting ratio expanded its getting; however, the bank's drawn-out risk stayed steady as the organization's stocks and deals rose.</w:t>
          </w:r>
        </w:p>
        <w:p w14:paraId="014E1780" w14:textId="1E40AD16" w:rsidR="00A4211D" w:rsidRPr="009E2EB5" w:rsidRDefault="00A4211D" w:rsidP="009E2EB5">
          <w:pPr>
            <w:spacing w:line="360" w:lineRule="auto"/>
            <w:jc w:val="both"/>
            <w:rPr>
              <w:rFonts w:ascii="Arial" w:hAnsi="Arial" w:cs="Arial"/>
              <w:sz w:val="24"/>
              <w:szCs w:val="24"/>
            </w:rPr>
          </w:pPr>
          <w:r w:rsidRPr="009E2EB5">
            <w:rPr>
              <w:rFonts w:ascii="Arial" w:hAnsi="Arial" w:cs="Arial"/>
              <w:sz w:val="24"/>
              <w:szCs w:val="24"/>
            </w:rPr>
            <w:t>The deals from 2020 to 2021 were empowering for the organization's possibilities. The suitable offices have promoted the income. The eventual fate of the business will profit from these presentations. To tackle this issue, new stock should be requested, which will bring down fixes and protection expenses and allow for increment deals to take care of the organization's obligations.</w:t>
          </w:r>
        </w:p>
        <w:p w14:paraId="12347926" w14:textId="77777777" w:rsidR="00AA2A91" w:rsidRDefault="00AA2A91" w:rsidP="00AA2A91"/>
        <w:p w14:paraId="02185B09" w14:textId="77777777" w:rsidR="00AA2A91" w:rsidRDefault="00AA2A91" w:rsidP="00AA2A91"/>
        <w:p w14:paraId="7B690C88" w14:textId="77777777" w:rsidR="00AA2A91" w:rsidRDefault="00AA2A91" w:rsidP="00AA2A91"/>
        <w:p w14:paraId="0812BA51" w14:textId="77777777" w:rsidR="00AA2A91" w:rsidRDefault="00AA2A91" w:rsidP="00AA2A91"/>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642DF8DC" w14:textId="77777777" w:rsidR="00AA2A91" w:rsidRDefault="00AA2A91" w:rsidP="00AA2A91"/>
        <w:p w14:paraId="52B10D93" w14:textId="77777777" w:rsidR="00AA2A91" w:rsidRDefault="00AA2A91" w:rsidP="00AA2A91"/>
        <w:p w14:paraId="6D62B1B1" w14:textId="77777777" w:rsidR="00AA2A91" w:rsidRDefault="00AA2A91" w:rsidP="00AA2A91"/>
        <w:p w14:paraId="7E47C5B6" w14:textId="77777777" w:rsidR="00AA2A91" w:rsidRDefault="00AA2A91" w:rsidP="00AA2A91"/>
        <w:p w14:paraId="403DF109" w14:textId="77777777" w:rsidR="00AA2A91" w:rsidRPr="00AA2A91" w:rsidRDefault="00AA2A91" w:rsidP="00AA2A91">
          <w:pPr>
            <w:pStyle w:val="Heading1"/>
          </w:pPr>
          <w:bookmarkStart w:id="9" w:name="_Toc120795830"/>
          <w:r>
            <w:t>Bibliography</w:t>
          </w:r>
          <w:bookmarkEnd w:id="9"/>
        </w:p>
        <w:p w14:paraId="3F66BD42"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Catana, Ş.A. and Toma, S.G., (2021). Entrepreneurship in the hospitality industry. Case study: Marriott International. </w:t>
          </w:r>
          <w:r w:rsidRPr="009E2EB5">
            <w:rPr>
              <w:rFonts w:ascii="Arial" w:hAnsi="Arial" w:cs="Arial"/>
              <w:i/>
              <w:iCs/>
              <w:color w:val="222222"/>
              <w:sz w:val="24"/>
              <w:szCs w:val="24"/>
              <w:shd w:val="clear" w:color="auto" w:fill="FFFFFF"/>
            </w:rPr>
            <w:t>SEA-Practical Application of Science</w:t>
          </w:r>
          <w:r w:rsidRPr="009E2EB5">
            <w:rPr>
              <w:rFonts w:ascii="Arial" w:hAnsi="Arial" w:cs="Arial"/>
              <w:color w:val="222222"/>
              <w:sz w:val="24"/>
              <w:szCs w:val="24"/>
              <w:shd w:val="clear" w:color="auto" w:fill="FFFFFF"/>
            </w:rPr>
            <w:t>, (27), pp.221-225.</w:t>
          </w:r>
        </w:p>
        <w:p w14:paraId="63776098"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Chiang, F., Greve, P., Mazdiyasni, O., Wada, Y. and AghaKouchak, A., (2021). A multivariate conditional probability ratio framework for the detection and attribution of compound climate extremes. </w:t>
          </w:r>
          <w:r w:rsidRPr="009E2EB5">
            <w:rPr>
              <w:rFonts w:ascii="Arial" w:hAnsi="Arial" w:cs="Arial"/>
              <w:i/>
              <w:iCs/>
              <w:color w:val="222222"/>
              <w:sz w:val="24"/>
              <w:szCs w:val="24"/>
              <w:shd w:val="clear" w:color="auto" w:fill="FFFFFF"/>
            </w:rPr>
            <w:t>Geophysical Research Letters</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48</w:t>
          </w:r>
          <w:r w:rsidRPr="009E2EB5">
            <w:rPr>
              <w:rFonts w:ascii="Arial" w:hAnsi="Arial" w:cs="Arial"/>
              <w:color w:val="222222"/>
              <w:sz w:val="24"/>
              <w:szCs w:val="24"/>
              <w:shd w:val="clear" w:color="auto" w:fill="FFFFFF"/>
            </w:rPr>
            <w:t xml:space="preserve">(15), </w:t>
          </w:r>
          <w:proofErr w:type="gramStart"/>
          <w:r w:rsidRPr="009E2EB5">
            <w:rPr>
              <w:rFonts w:ascii="Arial" w:hAnsi="Arial" w:cs="Arial"/>
              <w:color w:val="222222"/>
              <w:sz w:val="24"/>
              <w:szCs w:val="24"/>
              <w:shd w:val="clear" w:color="auto" w:fill="FFFFFF"/>
            </w:rPr>
            <w:t>p.e</w:t>
          </w:r>
          <w:proofErr w:type="gramEnd"/>
          <w:r w:rsidRPr="009E2EB5">
            <w:rPr>
              <w:rFonts w:ascii="Arial" w:hAnsi="Arial" w:cs="Arial"/>
              <w:color w:val="222222"/>
              <w:sz w:val="24"/>
              <w:szCs w:val="24"/>
              <w:shd w:val="clear" w:color="auto" w:fill="FFFFFF"/>
            </w:rPr>
            <w:t>2021GL094361.</w:t>
          </w:r>
        </w:p>
        <w:p w14:paraId="75C19C54"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lang w:val="en-IN"/>
            </w:rPr>
            <w:t>Correia, H.F.P.R.N., (2022). </w:t>
          </w:r>
          <w:r w:rsidRPr="009E2EB5">
            <w:rPr>
              <w:rFonts w:ascii="Arial" w:hAnsi="Arial" w:cs="Arial"/>
              <w:i/>
              <w:iCs/>
              <w:color w:val="222222"/>
              <w:sz w:val="24"/>
              <w:szCs w:val="24"/>
              <w:shd w:val="clear" w:color="auto" w:fill="FFFFFF"/>
            </w:rPr>
            <w:t>Marriott international inc. equity research-consolidating a leading position amid recovery</w:t>
          </w:r>
          <w:r w:rsidRPr="009E2EB5">
            <w:rPr>
              <w:rFonts w:ascii="Arial" w:hAnsi="Arial" w:cs="Arial"/>
              <w:color w:val="222222"/>
              <w:sz w:val="24"/>
              <w:szCs w:val="24"/>
              <w:shd w:val="clear" w:color="auto" w:fill="FFFFFF"/>
            </w:rPr>
            <w:t> (Doctoral dissertation).</w:t>
          </w:r>
        </w:p>
        <w:p w14:paraId="1F973F0C"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Haralayya, B., (2021). Ratio Analysis at NSSK, Bidar. </w:t>
          </w:r>
          <w:r w:rsidRPr="009E2EB5">
            <w:rPr>
              <w:rFonts w:ascii="Arial" w:hAnsi="Arial" w:cs="Arial"/>
              <w:i/>
              <w:iCs/>
              <w:color w:val="222222"/>
              <w:sz w:val="24"/>
              <w:szCs w:val="24"/>
              <w:shd w:val="clear" w:color="auto" w:fill="FFFFFF"/>
            </w:rPr>
            <w:t>Iconic Research And Engineering Journals</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4</w:t>
          </w:r>
          <w:r w:rsidRPr="009E2EB5">
            <w:rPr>
              <w:rFonts w:ascii="Arial" w:hAnsi="Arial" w:cs="Arial"/>
              <w:color w:val="222222"/>
              <w:sz w:val="24"/>
              <w:szCs w:val="24"/>
              <w:shd w:val="clear" w:color="auto" w:fill="FFFFFF"/>
            </w:rPr>
            <w:t>(12), pp.170-182.</w:t>
          </w:r>
        </w:p>
        <w:p w14:paraId="085A8502"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Jihadi, M., VILANTIKA, E., HASHEMI, S.M., Arifin, Z., BACHTIAR, Y. and Sholichah, F., (2021). The effect of liquidity, leverage, and profitability on firm value: Empirical evidence from Indonesia. </w:t>
          </w:r>
          <w:r w:rsidRPr="009E2EB5">
            <w:rPr>
              <w:rFonts w:ascii="Arial" w:hAnsi="Arial" w:cs="Arial"/>
              <w:i/>
              <w:iCs/>
              <w:color w:val="222222"/>
              <w:sz w:val="24"/>
              <w:szCs w:val="24"/>
              <w:shd w:val="clear" w:color="auto" w:fill="FFFFFF"/>
            </w:rPr>
            <w:t>The Journal of Asian Finance, Economics and Business</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8</w:t>
          </w:r>
          <w:r w:rsidRPr="009E2EB5">
            <w:rPr>
              <w:rFonts w:ascii="Arial" w:hAnsi="Arial" w:cs="Arial"/>
              <w:color w:val="222222"/>
              <w:sz w:val="24"/>
              <w:szCs w:val="24"/>
              <w:shd w:val="clear" w:color="auto" w:fill="FFFFFF"/>
            </w:rPr>
            <w:t>(3), pp.423-431.</w:t>
          </w:r>
        </w:p>
        <w:p w14:paraId="13AD4272"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Kwon, K., Jo, J. and Min, S., (2021). Multi-objective gear ratio and shifting pattern optimization of multi-speed transmissions for electric vehicles considering variable transmission efficiency. </w:t>
          </w:r>
          <w:r w:rsidRPr="009E2EB5">
            <w:rPr>
              <w:rFonts w:ascii="Arial" w:hAnsi="Arial" w:cs="Arial"/>
              <w:i/>
              <w:iCs/>
              <w:color w:val="222222"/>
              <w:sz w:val="24"/>
              <w:szCs w:val="24"/>
              <w:shd w:val="clear" w:color="auto" w:fill="FFFFFF"/>
            </w:rPr>
            <w:t>Energy</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236</w:t>
          </w:r>
          <w:r w:rsidRPr="009E2EB5">
            <w:rPr>
              <w:rFonts w:ascii="Arial" w:hAnsi="Arial" w:cs="Arial"/>
              <w:color w:val="222222"/>
              <w:sz w:val="24"/>
              <w:szCs w:val="24"/>
              <w:shd w:val="clear" w:color="auto" w:fill="FFFFFF"/>
            </w:rPr>
            <w:t>, p.121419.</w:t>
          </w:r>
        </w:p>
        <w:p w14:paraId="78DAC309" w14:textId="77777777" w:rsidR="008C1440" w:rsidRPr="009E2EB5" w:rsidRDefault="008C1440" w:rsidP="009E2EB5">
          <w:pPr>
            <w:spacing w:line="360" w:lineRule="auto"/>
            <w:jc w:val="both"/>
            <w:rPr>
              <w:rFonts w:ascii="Arial" w:hAnsi="Arial" w:cs="Arial"/>
              <w:sz w:val="24"/>
              <w:szCs w:val="24"/>
            </w:rPr>
          </w:pPr>
          <w:r w:rsidRPr="009E2EB5">
            <w:rPr>
              <w:rFonts w:ascii="Arial" w:hAnsi="Arial" w:cs="Arial"/>
              <w:color w:val="222222"/>
              <w:sz w:val="24"/>
              <w:szCs w:val="24"/>
              <w:shd w:val="clear" w:color="auto" w:fill="FFFFFF"/>
            </w:rPr>
            <w:t>Maheshwari, S.N., Maheshwari, S.K. and Maheshwari, M.S.K., (2021). </w:t>
          </w:r>
          <w:r w:rsidRPr="009E2EB5">
            <w:rPr>
              <w:rFonts w:ascii="Arial" w:hAnsi="Arial" w:cs="Arial"/>
              <w:i/>
              <w:iCs/>
              <w:color w:val="222222"/>
              <w:sz w:val="24"/>
              <w:szCs w:val="24"/>
              <w:shd w:val="clear" w:color="auto" w:fill="FFFFFF"/>
            </w:rPr>
            <w:t>Principles of Management Accounting</w:t>
          </w:r>
          <w:r w:rsidRPr="009E2EB5">
            <w:rPr>
              <w:rFonts w:ascii="Arial" w:hAnsi="Arial" w:cs="Arial"/>
              <w:color w:val="222222"/>
              <w:sz w:val="24"/>
              <w:szCs w:val="24"/>
              <w:shd w:val="clear" w:color="auto" w:fill="FFFFFF"/>
            </w:rPr>
            <w:t>. Sultan Chand &amp; Sons.</w:t>
          </w:r>
        </w:p>
        <w:p w14:paraId="7B79363D"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Neves, D.D., (2022). </w:t>
          </w:r>
          <w:r w:rsidRPr="009E2EB5">
            <w:rPr>
              <w:rFonts w:ascii="Arial" w:hAnsi="Arial" w:cs="Arial"/>
              <w:i/>
              <w:iCs/>
              <w:color w:val="222222"/>
              <w:sz w:val="24"/>
              <w:szCs w:val="24"/>
              <w:shd w:val="clear" w:color="auto" w:fill="FFFFFF"/>
            </w:rPr>
            <w:t>Marriott international inc. equity research-the hotel Giant´ s recovery</w:t>
          </w:r>
          <w:r w:rsidRPr="009E2EB5">
            <w:rPr>
              <w:rFonts w:ascii="Arial" w:hAnsi="Arial" w:cs="Arial"/>
              <w:color w:val="222222"/>
              <w:sz w:val="24"/>
              <w:szCs w:val="24"/>
              <w:shd w:val="clear" w:color="auto" w:fill="FFFFFF"/>
            </w:rPr>
            <w:t> (Doctoral dissertation).</w:t>
          </w:r>
        </w:p>
        <w:p w14:paraId="7422B9AB"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Siddiquie, A., (2021). Agent banking, CSR analysis, Ratio analysis (2018 and 2020) before and after COVID 19 situation in Mutual Trust Bank.</w:t>
          </w:r>
        </w:p>
        <w:p w14:paraId="7339CA88"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lastRenderedPageBreak/>
            <w:t>Torkashvand, M., Neshat, A., Javadi, S. and Yousefi, H., (2021). DRASTIC framework improvement using stepwise weight assessment ratio analysis (SWARA) and combination of genetic algorithm and entropy. </w:t>
          </w:r>
          <w:r w:rsidRPr="009E2EB5">
            <w:rPr>
              <w:rFonts w:ascii="Arial" w:hAnsi="Arial" w:cs="Arial"/>
              <w:i/>
              <w:iCs/>
              <w:color w:val="222222"/>
              <w:sz w:val="24"/>
              <w:szCs w:val="24"/>
              <w:shd w:val="clear" w:color="auto" w:fill="FFFFFF"/>
            </w:rPr>
            <w:t>Environmental Science and Pollution Research</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28</w:t>
          </w:r>
          <w:r w:rsidRPr="009E2EB5">
            <w:rPr>
              <w:rFonts w:ascii="Arial" w:hAnsi="Arial" w:cs="Arial"/>
              <w:color w:val="222222"/>
              <w:sz w:val="24"/>
              <w:szCs w:val="24"/>
              <w:shd w:val="clear" w:color="auto" w:fill="FFFFFF"/>
            </w:rPr>
            <w:t>(34), pp.46704-46724.</w:t>
          </w:r>
        </w:p>
        <w:p w14:paraId="0B1BB587" w14:textId="77777777" w:rsidR="008C1440" w:rsidRPr="009E2EB5" w:rsidRDefault="008C1440" w:rsidP="009E2EB5">
          <w:pPr>
            <w:spacing w:line="360" w:lineRule="auto"/>
            <w:jc w:val="both"/>
            <w:rPr>
              <w:rFonts w:ascii="Arial" w:hAnsi="Arial" w:cs="Arial"/>
              <w:color w:val="222222"/>
              <w:sz w:val="24"/>
              <w:szCs w:val="24"/>
              <w:shd w:val="clear" w:color="auto" w:fill="FFFFFF"/>
            </w:rPr>
          </w:pPr>
          <w:r w:rsidRPr="009E2EB5">
            <w:rPr>
              <w:rFonts w:ascii="Arial" w:hAnsi="Arial" w:cs="Arial"/>
              <w:color w:val="222222"/>
              <w:sz w:val="24"/>
              <w:szCs w:val="24"/>
              <w:shd w:val="clear" w:color="auto" w:fill="FFFFFF"/>
            </w:rPr>
            <w:t>Zou, S., Zhao, W., Wang, C. and Chen, F., (2021). Fault detection strategy of vehicle wheel angle signal via long short-term memory network and improved sequential probability ratio test. </w:t>
          </w:r>
          <w:r w:rsidRPr="009E2EB5">
            <w:rPr>
              <w:rFonts w:ascii="Arial" w:hAnsi="Arial" w:cs="Arial"/>
              <w:i/>
              <w:iCs/>
              <w:color w:val="222222"/>
              <w:sz w:val="24"/>
              <w:szCs w:val="24"/>
              <w:shd w:val="clear" w:color="auto" w:fill="FFFFFF"/>
            </w:rPr>
            <w:t>IEEE Sensors Journal</w:t>
          </w:r>
          <w:r w:rsidRPr="009E2EB5">
            <w:rPr>
              <w:rFonts w:ascii="Arial" w:hAnsi="Arial" w:cs="Arial"/>
              <w:color w:val="222222"/>
              <w:sz w:val="24"/>
              <w:szCs w:val="24"/>
              <w:shd w:val="clear" w:color="auto" w:fill="FFFFFF"/>
            </w:rPr>
            <w:t>, </w:t>
          </w:r>
          <w:r w:rsidRPr="009E2EB5">
            <w:rPr>
              <w:rFonts w:ascii="Arial" w:hAnsi="Arial" w:cs="Arial"/>
              <w:i/>
              <w:iCs/>
              <w:color w:val="222222"/>
              <w:sz w:val="24"/>
              <w:szCs w:val="24"/>
              <w:shd w:val="clear" w:color="auto" w:fill="FFFFFF"/>
            </w:rPr>
            <w:t>21</w:t>
          </w:r>
          <w:r w:rsidRPr="009E2EB5">
            <w:rPr>
              <w:rFonts w:ascii="Arial" w:hAnsi="Arial" w:cs="Arial"/>
              <w:color w:val="222222"/>
              <w:sz w:val="24"/>
              <w:szCs w:val="24"/>
              <w:shd w:val="clear" w:color="auto" w:fill="FFFFFF"/>
            </w:rPr>
            <w:t>(15), pp.17290-17299.</w:t>
          </w:r>
        </w:p>
        <w:p w14:paraId="2354BBC4" w14:textId="77777777" w:rsidR="004A11F6" w:rsidRPr="007D1947" w:rsidRDefault="004A11F6" w:rsidP="007D1947"/>
        <w:p w14:paraId="7365803E" w14:textId="77777777" w:rsidR="00392330" w:rsidRDefault="00000000"/>
      </w:sdtContent>
    </w:sdt>
    <w:p w14:paraId="04B40B59" w14:textId="4AE239BB" w:rsidR="00CA09F3" w:rsidRDefault="00392330">
      <w:r>
        <w:t xml:space="preserve">  </w:t>
      </w:r>
    </w:p>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C6E7F" w14:textId="77777777" w:rsidR="00500350" w:rsidRDefault="00500350" w:rsidP="004A6F3F">
      <w:pPr>
        <w:spacing w:after="0" w:line="240" w:lineRule="auto"/>
      </w:pPr>
      <w:r>
        <w:separator/>
      </w:r>
    </w:p>
  </w:endnote>
  <w:endnote w:type="continuationSeparator" w:id="0">
    <w:p w14:paraId="69F87D86" w14:textId="77777777" w:rsidR="00500350" w:rsidRDefault="00500350" w:rsidP="004A6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56796" w14:textId="77777777" w:rsidR="00500350" w:rsidRDefault="00500350" w:rsidP="004A6F3F">
      <w:pPr>
        <w:spacing w:after="0" w:line="240" w:lineRule="auto"/>
      </w:pPr>
      <w:r>
        <w:separator/>
      </w:r>
    </w:p>
  </w:footnote>
  <w:footnote w:type="continuationSeparator" w:id="0">
    <w:p w14:paraId="47F6D19B" w14:textId="77777777" w:rsidR="00500350" w:rsidRDefault="00500350" w:rsidP="004A6F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751D"/>
    <w:rsid w:val="000C070D"/>
    <w:rsid w:val="000E4770"/>
    <w:rsid w:val="00115B96"/>
    <w:rsid w:val="00172ED7"/>
    <w:rsid w:val="0024055A"/>
    <w:rsid w:val="00284502"/>
    <w:rsid w:val="00284F1F"/>
    <w:rsid w:val="002C4836"/>
    <w:rsid w:val="00324CCD"/>
    <w:rsid w:val="0038486A"/>
    <w:rsid w:val="00392330"/>
    <w:rsid w:val="00430EAD"/>
    <w:rsid w:val="004A11F6"/>
    <w:rsid w:val="004A6F3F"/>
    <w:rsid w:val="004D519C"/>
    <w:rsid w:val="004F118F"/>
    <w:rsid w:val="00500350"/>
    <w:rsid w:val="00663179"/>
    <w:rsid w:val="006A1618"/>
    <w:rsid w:val="007D1947"/>
    <w:rsid w:val="007F63D7"/>
    <w:rsid w:val="008C1440"/>
    <w:rsid w:val="009416BE"/>
    <w:rsid w:val="009747CB"/>
    <w:rsid w:val="00987051"/>
    <w:rsid w:val="009C5927"/>
    <w:rsid w:val="009E2EB5"/>
    <w:rsid w:val="00A4211D"/>
    <w:rsid w:val="00AA2A91"/>
    <w:rsid w:val="00C71FB5"/>
    <w:rsid w:val="00CA09F3"/>
    <w:rsid w:val="00D43DF3"/>
    <w:rsid w:val="00D854A5"/>
    <w:rsid w:val="00E8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A3F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941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6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F3F"/>
  </w:style>
  <w:style w:type="paragraph" w:styleId="Footer">
    <w:name w:val="footer"/>
    <w:basedOn w:val="Normal"/>
    <w:link w:val="FooterChar"/>
    <w:uiPriority w:val="99"/>
    <w:unhideWhenUsed/>
    <w:rsid w:val="004A6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2548</Words>
  <Characters>14527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2022-12-01T08:37:00Z</dcterms:created>
  <dcterms:modified xsi:type="dcterms:W3CDTF">2022-12-06T09:46:00Z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7c22d82cb28c01c067d0db784d34264baf0ecc6072f046fd111af383ab60d1df</vt:lpwstr>
  </property>
</Properties>
</file>