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CEC7E" w14:textId="7525CD4C" w:rsidR="00827A37" w:rsidRDefault="00827A37" w:rsidP="00827A37">
      <w:pPr>
        <w:pStyle w:val="Title"/>
        <w:jc w:val="center"/>
      </w:pPr>
      <w:r>
        <w:rPr>
          <w:noProof/>
        </w:rPr>
        <w:fldChar w:fldCharType="begin"/>
      </w:r>
      <w:r>
        <w:rPr>
          <w:noProof/>
        </w:rPr>
        <w:instrText xml:space="preserve"> INCLUDEPICTURE  "https://encrypted-tbn0.gstatic.com/images?q=tbn:ANd9GcQrEgTFeN64ySJnKQJda8-t9eAsREGobN41GQ&amp;s" \* MERGEFORMATINET </w:instrText>
      </w:r>
      <w:r>
        <w:rPr>
          <w:noProof/>
        </w:rPr>
        <w:fldChar w:fldCharType="separate"/>
      </w:r>
      <w:r>
        <w:rPr>
          <w:noProof/>
        </w:rPr>
        <w:drawing>
          <wp:inline distT="0" distB="0" distL="0" distR="0" wp14:anchorId="214F8DBA" wp14:editId="5120DF5D">
            <wp:extent cx="2682875" cy="1064895"/>
            <wp:effectExtent l="0" t="0" r="9525" b="1905"/>
            <wp:docPr id="1409547147" name="Picture 2" descr="PREVENT Duty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ENT Duty Policy"/>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82875" cy="1064895"/>
                    </a:xfrm>
                    <a:prstGeom prst="rect">
                      <a:avLst/>
                    </a:prstGeom>
                    <a:noFill/>
                    <a:ln>
                      <a:noFill/>
                    </a:ln>
                  </pic:spPr>
                </pic:pic>
              </a:graphicData>
            </a:graphic>
          </wp:inline>
        </w:drawing>
      </w:r>
      <w:r>
        <w:rPr>
          <w:noProof/>
        </w:rPr>
        <w:fldChar w:fldCharType="end"/>
      </w:r>
    </w:p>
    <w:p w14:paraId="19096209" w14:textId="01AA086F" w:rsidR="00E9501B" w:rsidRPr="00E9501B" w:rsidRDefault="00827A37" w:rsidP="00E9501B">
      <w:pPr>
        <w:pStyle w:val="Title"/>
        <w:jc w:val="center"/>
        <w:rPr>
          <w:b/>
          <w:bCs/>
          <w:sz w:val="28"/>
          <w:szCs w:val="28"/>
        </w:rPr>
      </w:pPr>
      <w:r w:rsidRPr="00E9501B">
        <w:rPr>
          <w:b/>
          <w:bCs/>
        </w:rPr>
        <w:br/>
      </w:r>
    </w:p>
    <w:p w14:paraId="350A0608" w14:textId="77777777" w:rsidR="00E9501B" w:rsidRPr="00E07F51" w:rsidRDefault="00827A37" w:rsidP="00E9501B">
      <w:pPr>
        <w:jc w:val="center"/>
        <w:rPr>
          <w:rFonts w:eastAsia="Times New Roman"/>
          <w:b/>
          <w:bCs/>
          <w:sz w:val="28"/>
          <w:szCs w:val="28"/>
        </w:rPr>
      </w:pPr>
      <w:r>
        <w:rPr>
          <w:sz w:val="28"/>
          <w:szCs w:val="28"/>
        </w:rPr>
        <w:br/>
      </w:r>
      <w:r w:rsidR="00E9501B" w:rsidRPr="00E07F51">
        <w:rPr>
          <w:b/>
          <w:bCs/>
          <w:sz w:val="28"/>
          <w:szCs w:val="28"/>
        </w:rPr>
        <w:t>Programme: Ba (hons) Leadership and Management Skills for the Workplace</w:t>
      </w:r>
      <w:r w:rsidR="00E9501B" w:rsidRPr="00E07F51">
        <w:rPr>
          <w:b/>
          <w:bCs/>
          <w:sz w:val="28"/>
          <w:szCs w:val="28"/>
        </w:rPr>
        <w:br/>
        <w:t xml:space="preserve">Module: </w:t>
      </w:r>
      <w:r w:rsidR="00E9501B" w:rsidRPr="00E07F51">
        <w:rPr>
          <w:rFonts w:eastAsia="Times New Roman"/>
          <w:b/>
          <w:bCs/>
          <w:sz w:val="28"/>
          <w:szCs w:val="28"/>
        </w:rPr>
        <w:t>LCLM5001 Understanding and Engaging Stakeholders</w:t>
      </w:r>
    </w:p>
    <w:p w14:paraId="755BFF44" w14:textId="6504FE05" w:rsidR="00827A37" w:rsidRDefault="00E9501B" w:rsidP="00E9501B">
      <w:pPr>
        <w:pStyle w:val="Title"/>
        <w:jc w:val="center"/>
        <w:rPr>
          <w:sz w:val="28"/>
          <w:szCs w:val="28"/>
        </w:rPr>
      </w:pPr>
      <w:r w:rsidRPr="00E07F51">
        <w:rPr>
          <w:b/>
          <w:bCs/>
          <w:sz w:val="28"/>
          <w:szCs w:val="28"/>
        </w:rPr>
        <w:br/>
        <w:t>Assignment Title: Understanding the Importance of Stakeholder Engagement in Successful Commencement and Completion of Project</w:t>
      </w:r>
      <w:r w:rsidRPr="00E07F51">
        <w:rPr>
          <w:b/>
          <w:bCs/>
          <w:sz w:val="28"/>
          <w:szCs w:val="28"/>
        </w:rPr>
        <w:br/>
      </w:r>
      <w:r w:rsidR="00827A37">
        <w:rPr>
          <w:sz w:val="28"/>
          <w:szCs w:val="28"/>
        </w:rPr>
        <w:br/>
      </w:r>
      <w:r w:rsidR="00827A37">
        <w:rPr>
          <w:sz w:val="28"/>
          <w:szCs w:val="28"/>
        </w:rPr>
        <w:br/>
      </w:r>
      <w:r w:rsidR="00827A37" w:rsidRPr="00E9501B">
        <w:rPr>
          <w:rStyle w:val="s11"/>
          <w:b/>
          <w:bCs/>
          <w:color w:val="000000"/>
          <w:sz w:val="28"/>
          <w:szCs w:val="28"/>
        </w:rPr>
        <w:t>Student name: </w:t>
      </w:r>
      <w:r w:rsidRPr="00E9501B">
        <w:rPr>
          <w:b/>
          <w:bCs/>
          <w:color w:val="000000"/>
          <w:sz w:val="28"/>
          <w:szCs w:val="28"/>
        </w:rPr>
        <w:t xml:space="preserve"> </w:t>
      </w:r>
      <w:r>
        <w:rPr>
          <w:b/>
          <w:bCs/>
          <w:color w:val="000000"/>
          <w:sz w:val="28"/>
          <w:szCs w:val="28"/>
        </w:rPr>
        <w:t>Halima Hussein</w:t>
      </w:r>
      <w:r w:rsidR="00827A37" w:rsidRPr="00E9501B">
        <w:rPr>
          <w:b/>
          <w:bCs/>
          <w:color w:val="000000"/>
          <w:sz w:val="28"/>
          <w:szCs w:val="28"/>
        </w:rPr>
        <w:br/>
      </w:r>
      <w:r w:rsidR="00827A37" w:rsidRPr="00E9501B">
        <w:rPr>
          <w:rStyle w:val="s11"/>
          <w:b/>
          <w:bCs/>
          <w:color w:val="000000"/>
          <w:sz w:val="28"/>
          <w:szCs w:val="28"/>
        </w:rPr>
        <w:t xml:space="preserve">Student ID: </w:t>
      </w:r>
      <w:r w:rsidRPr="00E9501B">
        <w:rPr>
          <w:rStyle w:val="s11"/>
          <w:b/>
          <w:bCs/>
          <w:color w:val="000000"/>
          <w:sz w:val="28"/>
          <w:szCs w:val="28"/>
        </w:rPr>
        <w:t>2409649</w:t>
      </w:r>
    </w:p>
    <w:p w14:paraId="601D471C" w14:textId="1B8F82B8" w:rsidR="00CE3DC4" w:rsidRPr="004E6114" w:rsidRDefault="00CE3DC4" w:rsidP="00CE3DC4">
      <w:pPr>
        <w:jc w:val="center"/>
        <w:rPr>
          <w:b/>
          <w:bCs/>
          <w:sz w:val="32"/>
          <w:szCs w:val="28"/>
          <w:lang w:val="en-IN"/>
        </w:rPr>
      </w:pPr>
    </w:p>
    <w:p w14:paraId="0FC7C1E3" w14:textId="77777777" w:rsidR="004E6114" w:rsidRDefault="004E6114">
      <w:pPr>
        <w:spacing w:line="276" w:lineRule="auto"/>
        <w:jc w:val="left"/>
        <w:rPr>
          <w:lang w:val="en-IN"/>
        </w:rPr>
      </w:pPr>
      <w:r>
        <w:rPr>
          <w:lang w:val="en-IN"/>
        </w:rPr>
        <w:br w:type="page"/>
      </w:r>
    </w:p>
    <w:p w14:paraId="36BEDABC" w14:textId="1B34C892" w:rsidR="004E6114" w:rsidRPr="004E6114" w:rsidRDefault="004E6114" w:rsidP="004E6114">
      <w:pPr>
        <w:pStyle w:val="Heading1"/>
        <w:rPr>
          <w:lang w:val="en-IN"/>
        </w:rPr>
      </w:pPr>
      <w:bookmarkStart w:id="0" w:name="_Toc214102982"/>
      <w:r w:rsidRPr="004E6114">
        <w:rPr>
          <w:lang w:val="en-IN"/>
        </w:rPr>
        <w:t>Executive Summary</w:t>
      </w:r>
      <w:bookmarkEnd w:id="0"/>
    </w:p>
    <w:p w14:paraId="52DA3E81" w14:textId="77777777" w:rsidR="004E6114" w:rsidRPr="004E6114" w:rsidRDefault="004E6114" w:rsidP="004E6114">
      <w:pPr>
        <w:rPr>
          <w:lang w:val="en-IN"/>
        </w:rPr>
      </w:pPr>
      <w:r w:rsidRPr="004E6114">
        <w:rPr>
          <w:lang w:val="en-IN"/>
        </w:rPr>
        <w:t>This report examines stakeholder participation in the intended UK release of Fitbit Sense 3, an upcoming wearable that can monitor heart rate, oxygen saturation and sleep quality and stress trends. The discussion is critical of stakeholder identification, mapping and engagement processes that will lead to timely and successful product release. It examines how to balance the expectations of the stakeholders, reduce conflict, and maximise collaboration by using some models like SWOT, PESTLE, SMART, Matrix created by Mendelow, RACI, and the 4Cs Model (communication, coordination, cooperation, collaboration).</w:t>
      </w:r>
    </w:p>
    <w:p w14:paraId="199CBD66" w14:textId="77777777" w:rsidR="004E6114" w:rsidRPr="004E6114" w:rsidRDefault="004E6114" w:rsidP="004E6114">
      <w:pPr>
        <w:rPr>
          <w:lang w:val="en-IN"/>
        </w:rPr>
      </w:pPr>
      <w:r w:rsidRPr="004E6114">
        <w:rPr>
          <w:lang w:val="en-IN"/>
        </w:rPr>
        <w:t>The results also indicate that successful stakeholder engagement is directly related to innovation success, regulatory compliance, and consumer trust in healthcare technologies. It should be recommended to provide clear data-governance communication, increased co-creating workshops, and integrated digital collaboration platforms to remain in the satisfaction of stakeholders and perform in the long term on the market.</w:t>
      </w:r>
    </w:p>
    <w:p w14:paraId="036B4689" w14:textId="77777777" w:rsidR="004E6114" w:rsidRDefault="004E6114">
      <w:pPr>
        <w:spacing w:line="276" w:lineRule="auto"/>
        <w:jc w:val="left"/>
        <w:rPr>
          <w:lang w:val="en-IN"/>
        </w:rPr>
      </w:pPr>
      <w:r>
        <w:rPr>
          <w:lang w:val="en-IN"/>
        </w:rPr>
        <w:br w:type="page"/>
      </w:r>
    </w:p>
    <w:sdt>
      <w:sdtPr>
        <w:rPr>
          <w:rFonts w:ascii="Times New Roman" w:eastAsia="Arial" w:hAnsi="Times New Roman" w:cs="Times New Roman"/>
          <w:b/>
          <w:bCs/>
          <w:color w:val="000000" w:themeColor="text1"/>
          <w:sz w:val="28"/>
          <w:szCs w:val="28"/>
          <w:lang w:val="en-GB" w:eastAsia="en-IN"/>
        </w:rPr>
        <w:id w:val="-845025462"/>
        <w:docPartObj>
          <w:docPartGallery w:val="Table of Contents"/>
          <w:docPartUnique/>
        </w:docPartObj>
      </w:sdtPr>
      <w:sdtEndPr>
        <w:rPr>
          <w:rFonts w:ascii="Arial" w:hAnsi="Arial" w:cs="Arial"/>
          <w:noProof/>
          <w:sz w:val="22"/>
          <w:szCs w:val="22"/>
        </w:rPr>
      </w:sdtEndPr>
      <w:sdtContent>
        <w:p w14:paraId="524F5FB0" w14:textId="1993FA56" w:rsidR="00CE3DC4" w:rsidRPr="00CE3DC4" w:rsidRDefault="00CE3DC4" w:rsidP="00CE3DC4">
          <w:pPr>
            <w:pStyle w:val="TOCHeading"/>
            <w:spacing w:line="360" w:lineRule="auto"/>
            <w:jc w:val="center"/>
            <w:rPr>
              <w:rFonts w:ascii="Times New Roman" w:hAnsi="Times New Roman" w:cs="Times New Roman"/>
              <w:b/>
              <w:bCs/>
              <w:color w:val="000000" w:themeColor="text1"/>
              <w:sz w:val="28"/>
              <w:szCs w:val="28"/>
            </w:rPr>
          </w:pPr>
          <w:r w:rsidRPr="00CE3DC4">
            <w:rPr>
              <w:rFonts w:ascii="Times New Roman" w:hAnsi="Times New Roman" w:cs="Times New Roman"/>
              <w:b/>
              <w:bCs/>
              <w:color w:val="000000" w:themeColor="text1"/>
              <w:sz w:val="28"/>
              <w:szCs w:val="28"/>
            </w:rPr>
            <w:t>TABLE OF CONTENTS</w:t>
          </w:r>
        </w:p>
        <w:p w14:paraId="6F548E3A" w14:textId="26C63685" w:rsidR="000F701B" w:rsidRDefault="00CE3DC4">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r>
            <w:fldChar w:fldCharType="begin"/>
          </w:r>
          <w:r>
            <w:instrText xml:space="preserve"> TOC \o "1-3" \h \z \u </w:instrText>
          </w:r>
          <w:r>
            <w:fldChar w:fldCharType="separate"/>
          </w:r>
          <w:hyperlink w:anchor="_Toc214102982" w:history="1">
            <w:r w:rsidR="000F701B" w:rsidRPr="00C60A36">
              <w:rPr>
                <w:rStyle w:val="Hyperlink"/>
                <w:noProof/>
                <w:lang w:val="en-IN"/>
              </w:rPr>
              <w:t>Executive Summary</w:t>
            </w:r>
            <w:r w:rsidR="000F701B">
              <w:rPr>
                <w:noProof/>
                <w:webHidden/>
              </w:rPr>
              <w:tab/>
            </w:r>
            <w:r w:rsidR="000F701B">
              <w:rPr>
                <w:noProof/>
                <w:webHidden/>
              </w:rPr>
              <w:fldChar w:fldCharType="begin"/>
            </w:r>
            <w:r w:rsidR="000F701B">
              <w:rPr>
                <w:noProof/>
                <w:webHidden/>
              </w:rPr>
              <w:instrText xml:space="preserve"> PAGEREF _Toc214102982 \h </w:instrText>
            </w:r>
            <w:r w:rsidR="000F701B">
              <w:rPr>
                <w:noProof/>
                <w:webHidden/>
              </w:rPr>
            </w:r>
            <w:r w:rsidR="000F701B">
              <w:rPr>
                <w:noProof/>
                <w:webHidden/>
              </w:rPr>
              <w:fldChar w:fldCharType="separate"/>
            </w:r>
            <w:r w:rsidR="000F701B">
              <w:rPr>
                <w:noProof/>
                <w:webHidden/>
              </w:rPr>
              <w:t>2</w:t>
            </w:r>
            <w:r w:rsidR="000F701B">
              <w:rPr>
                <w:noProof/>
                <w:webHidden/>
              </w:rPr>
              <w:fldChar w:fldCharType="end"/>
            </w:r>
          </w:hyperlink>
        </w:p>
        <w:p w14:paraId="19E1324C" w14:textId="63DC6D34" w:rsidR="000F701B" w:rsidRDefault="000F701B">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hyperlink w:anchor="_Toc214102983" w:history="1">
            <w:r w:rsidRPr="00C60A36">
              <w:rPr>
                <w:rStyle w:val="Hyperlink"/>
                <w:noProof/>
                <w:lang w:val="en-IN"/>
              </w:rPr>
              <w:t>1. Introduction</w:t>
            </w:r>
            <w:r>
              <w:rPr>
                <w:noProof/>
                <w:webHidden/>
              </w:rPr>
              <w:tab/>
            </w:r>
            <w:r>
              <w:rPr>
                <w:noProof/>
                <w:webHidden/>
              </w:rPr>
              <w:fldChar w:fldCharType="begin"/>
            </w:r>
            <w:r>
              <w:rPr>
                <w:noProof/>
                <w:webHidden/>
              </w:rPr>
              <w:instrText xml:space="preserve"> PAGEREF _Toc214102983 \h </w:instrText>
            </w:r>
            <w:r>
              <w:rPr>
                <w:noProof/>
                <w:webHidden/>
              </w:rPr>
            </w:r>
            <w:r>
              <w:rPr>
                <w:noProof/>
                <w:webHidden/>
              </w:rPr>
              <w:fldChar w:fldCharType="separate"/>
            </w:r>
            <w:r>
              <w:rPr>
                <w:noProof/>
                <w:webHidden/>
              </w:rPr>
              <w:t>4</w:t>
            </w:r>
            <w:r>
              <w:rPr>
                <w:noProof/>
                <w:webHidden/>
              </w:rPr>
              <w:fldChar w:fldCharType="end"/>
            </w:r>
          </w:hyperlink>
        </w:p>
        <w:p w14:paraId="6F533E63" w14:textId="7C2022DB" w:rsidR="000F701B" w:rsidRDefault="000F701B">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hyperlink w:anchor="_Toc214102984" w:history="1">
            <w:r w:rsidRPr="00C60A36">
              <w:rPr>
                <w:rStyle w:val="Hyperlink"/>
                <w:noProof/>
                <w:lang w:val="en-IN"/>
              </w:rPr>
              <w:t>2. Situational Analysis: SWOT, PESTLE and SMART Objectives</w:t>
            </w:r>
            <w:r>
              <w:rPr>
                <w:noProof/>
                <w:webHidden/>
              </w:rPr>
              <w:tab/>
            </w:r>
            <w:r>
              <w:rPr>
                <w:noProof/>
                <w:webHidden/>
              </w:rPr>
              <w:fldChar w:fldCharType="begin"/>
            </w:r>
            <w:r>
              <w:rPr>
                <w:noProof/>
                <w:webHidden/>
              </w:rPr>
              <w:instrText xml:space="preserve"> PAGEREF _Toc214102984 \h </w:instrText>
            </w:r>
            <w:r>
              <w:rPr>
                <w:noProof/>
                <w:webHidden/>
              </w:rPr>
            </w:r>
            <w:r>
              <w:rPr>
                <w:noProof/>
                <w:webHidden/>
              </w:rPr>
              <w:fldChar w:fldCharType="separate"/>
            </w:r>
            <w:r>
              <w:rPr>
                <w:noProof/>
                <w:webHidden/>
              </w:rPr>
              <w:t>4</w:t>
            </w:r>
            <w:r>
              <w:rPr>
                <w:noProof/>
                <w:webHidden/>
              </w:rPr>
              <w:fldChar w:fldCharType="end"/>
            </w:r>
          </w:hyperlink>
        </w:p>
        <w:p w14:paraId="678D3F51" w14:textId="55C796F6" w:rsidR="000F701B" w:rsidRDefault="000F701B">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hyperlink w:anchor="_Toc214102985" w:history="1">
            <w:r w:rsidRPr="00C60A36">
              <w:rPr>
                <w:rStyle w:val="Hyperlink"/>
                <w:noProof/>
                <w:lang w:val="en-IN"/>
              </w:rPr>
              <w:t>3. Key Stakeholders</w:t>
            </w:r>
            <w:r>
              <w:rPr>
                <w:noProof/>
                <w:webHidden/>
              </w:rPr>
              <w:tab/>
            </w:r>
            <w:r>
              <w:rPr>
                <w:noProof/>
                <w:webHidden/>
              </w:rPr>
              <w:fldChar w:fldCharType="begin"/>
            </w:r>
            <w:r>
              <w:rPr>
                <w:noProof/>
                <w:webHidden/>
              </w:rPr>
              <w:instrText xml:space="preserve"> PAGEREF _Toc214102985 \h </w:instrText>
            </w:r>
            <w:r>
              <w:rPr>
                <w:noProof/>
                <w:webHidden/>
              </w:rPr>
            </w:r>
            <w:r>
              <w:rPr>
                <w:noProof/>
                <w:webHidden/>
              </w:rPr>
              <w:fldChar w:fldCharType="separate"/>
            </w:r>
            <w:r>
              <w:rPr>
                <w:noProof/>
                <w:webHidden/>
              </w:rPr>
              <w:t>6</w:t>
            </w:r>
            <w:r>
              <w:rPr>
                <w:noProof/>
                <w:webHidden/>
              </w:rPr>
              <w:fldChar w:fldCharType="end"/>
            </w:r>
          </w:hyperlink>
        </w:p>
        <w:p w14:paraId="30C3013C" w14:textId="7ECBD55D" w:rsidR="000F701B" w:rsidRDefault="000F701B">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hyperlink w:anchor="_Toc214102986" w:history="1">
            <w:r w:rsidRPr="00C60A36">
              <w:rPr>
                <w:rStyle w:val="Hyperlink"/>
                <w:noProof/>
                <w:lang w:val="en-IN"/>
              </w:rPr>
              <w:t>4. Roles, Responsibilities, Benefits and Challenges</w:t>
            </w:r>
            <w:r>
              <w:rPr>
                <w:noProof/>
                <w:webHidden/>
              </w:rPr>
              <w:tab/>
            </w:r>
            <w:r>
              <w:rPr>
                <w:noProof/>
                <w:webHidden/>
              </w:rPr>
              <w:fldChar w:fldCharType="begin"/>
            </w:r>
            <w:r>
              <w:rPr>
                <w:noProof/>
                <w:webHidden/>
              </w:rPr>
              <w:instrText xml:space="preserve"> PAGEREF _Toc214102986 \h </w:instrText>
            </w:r>
            <w:r>
              <w:rPr>
                <w:noProof/>
                <w:webHidden/>
              </w:rPr>
            </w:r>
            <w:r>
              <w:rPr>
                <w:noProof/>
                <w:webHidden/>
              </w:rPr>
              <w:fldChar w:fldCharType="separate"/>
            </w:r>
            <w:r>
              <w:rPr>
                <w:noProof/>
                <w:webHidden/>
              </w:rPr>
              <w:t>9</w:t>
            </w:r>
            <w:r>
              <w:rPr>
                <w:noProof/>
                <w:webHidden/>
              </w:rPr>
              <w:fldChar w:fldCharType="end"/>
            </w:r>
          </w:hyperlink>
        </w:p>
        <w:p w14:paraId="44132979" w14:textId="6A9276B4" w:rsidR="000F701B" w:rsidRDefault="000F701B">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hyperlink w:anchor="_Toc214102987" w:history="1">
            <w:r w:rsidRPr="00C60A36">
              <w:rPr>
                <w:rStyle w:val="Hyperlink"/>
                <w:noProof/>
                <w:lang w:val="en-IN"/>
              </w:rPr>
              <w:t>5. Stakeholder Engagement Frameworks</w:t>
            </w:r>
            <w:r>
              <w:rPr>
                <w:noProof/>
                <w:webHidden/>
              </w:rPr>
              <w:tab/>
            </w:r>
            <w:r>
              <w:rPr>
                <w:noProof/>
                <w:webHidden/>
              </w:rPr>
              <w:fldChar w:fldCharType="begin"/>
            </w:r>
            <w:r>
              <w:rPr>
                <w:noProof/>
                <w:webHidden/>
              </w:rPr>
              <w:instrText xml:space="preserve"> PAGEREF _Toc214102987 \h </w:instrText>
            </w:r>
            <w:r>
              <w:rPr>
                <w:noProof/>
                <w:webHidden/>
              </w:rPr>
            </w:r>
            <w:r>
              <w:rPr>
                <w:noProof/>
                <w:webHidden/>
              </w:rPr>
              <w:fldChar w:fldCharType="separate"/>
            </w:r>
            <w:r>
              <w:rPr>
                <w:noProof/>
                <w:webHidden/>
              </w:rPr>
              <w:t>10</w:t>
            </w:r>
            <w:r>
              <w:rPr>
                <w:noProof/>
                <w:webHidden/>
              </w:rPr>
              <w:fldChar w:fldCharType="end"/>
            </w:r>
          </w:hyperlink>
        </w:p>
        <w:p w14:paraId="2E2AD628" w14:textId="3E688327" w:rsidR="000F701B" w:rsidRDefault="000F701B">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hyperlink w:anchor="_Toc214102988" w:history="1">
            <w:r w:rsidRPr="00C60A36">
              <w:rPr>
                <w:rStyle w:val="Hyperlink"/>
                <w:noProof/>
                <w:lang w:val="en-IN"/>
              </w:rPr>
              <w:t>6. Engagement Process and Conflict Management</w:t>
            </w:r>
            <w:r>
              <w:rPr>
                <w:noProof/>
                <w:webHidden/>
              </w:rPr>
              <w:tab/>
            </w:r>
            <w:r>
              <w:rPr>
                <w:noProof/>
                <w:webHidden/>
              </w:rPr>
              <w:fldChar w:fldCharType="begin"/>
            </w:r>
            <w:r>
              <w:rPr>
                <w:noProof/>
                <w:webHidden/>
              </w:rPr>
              <w:instrText xml:space="preserve"> PAGEREF _Toc214102988 \h </w:instrText>
            </w:r>
            <w:r>
              <w:rPr>
                <w:noProof/>
                <w:webHidden/>
              </w:rPr>
            </w:r>
            <w:r>
              <w:rPr>
                <w:noProof/>
                <w:webHidden/>
              </w:rPr>
              <w:fldChar w:fldCharType="separate"/>
            </w:r>
            <w:r>
              <w:rPr>
                <w:noProof/>
                <w:webHidden/>
              </w:rPr>
              <w:t>13</w:t>
            </w:r>
            <w:r>
              <w:rPr>
                <w:noProof/>
                <w:webHidden/>
              </w:rPr>
              <w:fldChar w:fldCharType="end"/>
            </w:r>
          </w:hyperlink>
        </w:p>
        <w:p w14:paraId="3C669625" w14:textId="1B1B39A5" w:rsidR="000F701B" w:rsidRDefault="000F701B">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hyperlink w:anchor="_Toc214102989" w:history="1">
            <w:r w:rsidRPr="00C60A36">
              <w:rPr>
                <w:rStyle w:val="Hyperlink"/>
                <w:noProof/>
                <w:lang w:val="en-IN"/>
              </w:rPr>
              <w:t>7. Evaluation of Impact and Recommendations</w:t>
            </w:r>
            <w:r>
              <w:rPr>
                <w:noProof/>
                <w:webHidden/>
              </w:rPr>
              <w:tab/>
            </w:r>
            <w:r>
              <w:rPr>
                <w:noProof/>
                <w:webHidden/>
              </w:rPr>
              <w:fldChar w:fldCharType="begin"/>
            </w:r>
            <w:r>
              <w:rPr>
                <w:noProof/>
                <w:webHidden/>
              </w:rPr>
              <w:instrText xml:space="preserve"> PAGEREF _Toc214102989 \h </w:instrText>
            </w:r>
            <w:r>
              <w:rPr>
                <w:noProof/>
                <w:webHidden/>
              </w:rPr>
            </w:r>
            <w:r>
              <w:rPr>
                <w:noProof/>
                <w:webHidden/>
              </w:rPr>
              <w:fldChar w:fldCharType="separate"/>
            </w:r>
            <w:r>
              <w:rPr>
                <w:noProof/>
                <w:webHidden/>
              </w:rPr>
              <w:t>15</w:t>
            </w:r>
            <w:r>
              <w:rPr>
                <w:noProof/>
                <w:webHidden/>
              </w:rPr>
              <w:fldChar w:fldCharType="end"/>
            </w:r>
          </w:hyperlink>
        </w:p>
        <w:p w14:paraId="469AEC92" w14:textId="710455C3" w:rsidR="000F701B" w:rsidRDefault="000F701B">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hyperlink w:anchor="_Toc214102990" w:history="1">
            <w:r w:rsidRPr="00C60A36">
              <w:rPr>
                <w:rStyle w:val="Hyperlink"/>
                <w:noProof/>
                <w:lang w:val="en-IN"/>
              </w:rPr>
              <w:t>8. Conclusion</w:t>
            </w:r>
            <w:r>
              <w:rPr>
                <w:noProof/>
                <w:webHidden/>
              </w:rPr>
              <w:tab/>
            </w:r>
            <w:r>
              <w:rPr>
                <w:noProof/>
                <w:webHidden/>
              </w:rPr>
              <w:fldChar w:fldCharType="begin"/>
            </w:r>
            <w:r>
              <w:rPr>
                <w:noProof/>
                <w:webHidden/>
              </w:rPr>
              <w:instrText xml:space="preserve"> PAGEREF _Toc214102990 \h </w:instrText>
            </w:r>
            <w:r>
              <w:rPr>
                <w:noProof/>
                <w:webHidden/>
              </w:rPr>
            </w:r>
            <w:r>
              <w:rPr>
                <w:noProof/>
                <w:webHidden/>
              </w:rPr>
              <w:fldChar w:fldCharType="separate"/>
            </w:r>
            <w:r>
              <w:rPr>
                <w:noProof/>
                <w:webHidden/>
              </w:rPr>
              <w:t>17</w:t>
            </w:r>
            <w:r>
              <w:rPr>
                <w:noProof/>
                <w:webHidden/>
              </w:rPr>
              <w:fldChar w:fldCharType="end"/>
            </w:r>
          </w:hyperlink>
        </w:p>
        <w:p w14:paraId="407282CB" w14:textId="14B01007" w:rsidR="000F701B" w:rsidRDefault="000F701B">
          <w:pPr>
            <w:pStyle w:val="TOC1"/>
            <w:tabs>
              <w:tab w:val="right" w:leader="dot" w:pos="9019"/>
            </w:tabs>
            <w:rPr>
              <w:rFonts w:asciiTheme="minorHAnsi" w:eastAsiaTheme="minorEastAsia" w:hAnsiTheme="minorHAnsi" w:cstheme="minorBidi"/>
              <w:noProof/>
              <w:color w:val="auto"/>
              <w:kern w:val="2"/>
              <w:sz w:val="24"/>
              <w:szCs w:val="24"/>
              <w:lang w:val="en-IN"/>
              <w14:ligatures w14:val="standardContextual"/>
            </w:rPr>
          </w:pPr>
          <w:hyperlink w:anchor="_Toc214102991" w:history="1">
            <w:r w:rsidRPr="00C60A36">
              <w:rPr>
                <w:rStyle w:val="Hyperlink"/>
                <w:noProof/>
                <w:lang w:val="en-IN"/>
              </w:rPr>
              <w:t>References</w:t>
            </w:r>
            <w:r>
              <w:rPr>
                <w:noProof/>
                <w:webHidden/>
              </w:rPr>
              <w:tab/>
            </w:r>
            <w:r>
              <w:rPr>
                <w:noProof/>
                <w:webHidden/>
              </w:rPr>
              <w:fldChar w:fldCharType="begin"/>
            </w:r>
            <w:r>
              <w:rPr>
                <w:noProof/>
                <w:webHidden/>
              </w:rPr>
              <w:instrText xml:space="preserve"> PAGEREF _Toc214102991 \h </w:instrText>
            </w:r>
            <w:r>
              <w:rPr>
                <w:noProof/>
                <w:webHidden/>
              </w:rPr>
            </w:r>
            <w:r>
              <w:rPr>
                <w:noProof/>
                <w:webHidden/>
              </w:rPr>
              <w:fldChar w:fldCharType="separate"/>
            </w:r>
            <w:r>
              <w:rPr>
                <w:noProof/>
                <w:webHidden/>
              </w:rPr>
              <w:t>18</w:t>
            </w:r>
            <w:r>
              <w:rPr>
                <w:noProof/>
                <w:webHidden/>
              </w:rPr>
              <w:fldChar w:fldCharType="end"/>
            </w:r>
          </w:hyperlink>
        </w:p>
        <w:p w14:paraId="4A16CB16" w14:textId="041072DA" w:rsidR="00CE3DC4" w:rsidRDefault="00CE3DC4">
          <w:r>
            <w:rPr>
              <w:b/>
              <w:bCs/>
              <w:noProof/>
            </w:rPr>
            <w:fldChar w:fldCharType="end"/>
          </w:r>
        </w:p>
      </w:sdtContent>
    </w:sdt>
    <w:p w14:paraId="03596A77" w14:textId="77777777" w:rsidR="004E6114" w:rsidRDefault="004E6114">
      <w:pPr>
        <w:spacing w:line="276" w:lineRule="auto"/>
        <w:jc w:val="left"/>
        <w:rPr>
          <w:lang w:val="en-IN"/>
        </w:rPr>
      </w:pPr>
      <w:r>
        <w:rPr>
          <w:lang w:val="en-IN"/>
        </w:rPr>
        <w:br w:type="page"/>
      </w:r>
    </w:p>
    <w:p w14:paraId="2D1AA010" w14:textId="075918CC" w:rsidR="004E6114" w:rsidRPr="004E6114" w:rsidRDefault="00CD15B0" w:rsidP="004E6114">
      <w:pPr>
        <w:pStyle w:val="Heading1"/>
        <w:rPr>
          <w:lang w:val="en-IN"/>
        </w:rPr>
      </w:pPr>
      <w:bookmarkStart w:id="1" w:name="_Toc214102983"/>
      <w:r>
        <w:rPr>
          <w:lang w:val="en-IN"/>
        </w:rPr>
        <w:t>1</w:t>
      </w:r>
      <w:r w:rsidR="004E6114" w:rsidRPr="004E6114">
        <w:rPr>
          <w:lang w:val="en-IN"/>
        </w:rPr>
        <w:t>. Introduction</w:t>
      </w:r>
      <w:bookmarkEnd w:id="1"/>
    </w:p>
    <w:p w14:paraId="717B4D84" w14:textId="269096C1" w:rsidR="004E6114" w:rsidRPr="004E6114" w:rsidRDefault="004E6114" w:rsidP="004E6114">
      <w:pPr>
        <w:rPr>
          <w:lang w:val="en-IN"/>
        </w:rPr>
      </w:pPr>
      <w:r w:rsidRPr="004E6114">
        <w:rPr>
          <w:lang w:val="en-IN"/>
        </w:rPr>
        <w:t>Fitbit, a company that is a part of Google LLC, is one of the most successful innovators in wearable health technology in the world with over 37 million active users spread across the world and a market share of about 25% of the smartwatch market in the UK. The next significant innovation the company has implemented is the Fitbit Sense 3, which will be the next major digital health innovation. The Sense 3 is aimed at improving the integration of healthcare, which is why it will monitor all vital parameters continuously, including oxygen saturation (SpO2), electrocardiogram (ECG) measurements, stress levels, and AI-based wellness analytics. The functions are designed to enable users to make evidence-based health choices and assist healthcare providers in the preventive care and remote monitoring.</w:t>
      </w:r>
    </w:p>
    <w:p w14:paraId="2259BAA4" w14:textId="77777777" w:rsidR="004E6114" w:rsidRPr="004E6114" w:rsidRDefault="004E6114" w:rsidP="004E6114">
      <w:pPr>
        <w:rPr>
          <w:lang w:val="en-IN"/>
        </w:rPr>
      </w:pPr>
      <w:r w:rsidRPr="004E6114">
        <w:rPr>
          <w:lang w:val="en-IN"/>
        </w:rPr>
        <w:t>In order to enter the UK healthcare market successfully with this innovative device, Fitbit will be forced to work in close cooperation with a wide range of stakeholders, such as regulatory bodies, healthcare organisations, suppliers, consumers, and investors. These groups must coordinate well to address safety and compliance standards of the Medicines and Healthcare products Regulatory Agency (MHRA), ensure NHS Digital integration meets the requirements, and create consumer confidence in other areas of data protection and privacy. The role of each stakeholder group is different- regulators are needed to ensure compliance, healthcare partners help to get clinical validation, and consumers are the ones contributing to adoption based on trust and usability.</w:t>
      </w:r>
    </w:p>
    <w:p w14:paraId="6759D874" w14:textId="77777777" w:rsidR="004E6114" w:rsidRPr="004E6114" w:rsidRDefault="004E6114" w:rsidP="004E6114">
      <w:pPr>
        <w:rPr>
          <w:lang w:val="en-IN"/>
        </w:rPr>
      </w:pPr>
      <w:r w:rsidRPr="004E6114">
        <w:rPr>
          <w:lang w:val="en-IN"/>
        </w:rPr>
        <w:t>This report takes the point of view of a project manager who has the responsibility of facilitating the successful and prompt implementation of the Fitbit Sense 3 launch. It is a critical analysis of the mechanisms, models, and approaches to engage stakeholders needed to manage internal and external actors. Using the schemes of Matthew Mendelow's Matrix, RACI and the 4Cs Model, the report illustrates the effectiveness of organized engagement to improve the collaboration process, reduce the resistance, and align the project goals with the expectations of the stakeholders. Finally, it highlights the fact that stakeholder engagement is not a simple communication tool but a strategy, which is critical to the success of the innovation and long-term influence on the market.</w:t>
      </w:r>
    </w:p>
    <w:p w14:paraId="7CD1C0CA" w14:textId="74CCAE4C" w:rsidR="004E6114" w:rsidRPr="004E6114" w:rsidRDefault="004E6114" w:rsidP="004E6114">
      <w:pPr>
        <w:pStyle w:val="Heading1"/>
        <w:rPr>
          <w:lang w:val="en-IN"/>
        </w:rPr>
      </w:pPr>
      <w:bookmarkStart w:id="2" w:name="_Toc214102984"/>
      <w:r w:rsidRPr="004E6114">
        <w:rPr>
          <w:lang w:val="en-IN"/>
        </w:rPr>
        <w:t>2. Situational Analysis: SWOT, PESTLE and SMART Objectives</w:t>
      </w:r>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06"/>
        <w:gridCol w:w="4913"/>
      </w:tblGrid>
      <w:tr w:rsidR="004E6114" w:rsidRPr="004E6114" w14:paraId="4788819B" w14:textId="77777777" w:rsidTr="000F701B">
        <w:trPr>
          <w:trHeight w:val="515"/>
        </w:trPr>
        <w:tc>
          <w:tcPr>
            <w:tcW w:w="4106" w:type="dxa"/>
            <w:shd w:val="clear" w:color="auto" w:fill="F2DBDB" w:themeFill="accent2" w:themeFillTint="33"/>
            <w:tcMar>
              <w:top w:w="100" w:type="dxa"/>
              <w:left w:w="100" w:type="dxa"/>
              <w:bottom w:w="100" w:type="dxa"/>
              <w:right w:w="100" w:type="dxa"/>
            </w:tcMar>
            <w:hideMark/>
          </w:tcPr>
          <w:p w14:paraId="00A8E755" w14:textId="77777777" w:rsidR="004E6114" w:rsidRPr="004E6114" w:rsidRDefault="004E6114" w:rsidP="004E6114">
            <w:pPr>
              <w:jc w:val="center"/>
              <w:rPr>
                <w:lang w:val="en-IN"/>
              </w:rPr>
            </w:pPr>
            <w:r w:rsidRPr="004E6114">
              <w:rPr>
                <w:b/>
                <w:bCs/>
                <w:lang w:val="en-IN"/>
              </w:rPr>
              <w:t>Strengths</w:t>
            </w:r>
          </w:p>
        </w:tc>
        <w:tc>
          <w:tcPr>
            <w:tcW w:w="4913" w:type="dxa"/>
            <w:shd w:val="clear" w:color="auto" w:fill="F2DBDB" w:themeFill="accent2" w:themeFillTint="33"/>
            <w:tcMar>
              <w:top w:w="100" w:type="dxa"/>
              <w:left w:w="100" w:type="dxa"/>
              <w:bottom w:w="100" w:type="dxa"/>
              <w:right w:w="100" w:type="dxa"/>
            </w:tcMar>
            <w:hideMark/>
          </w:tcPr>
          <w:p w14:paraId="6ABF4A0B" w14:textId="77777777" w:rsidR="004E6114" w:rsidRPr="004E6114" w:rsidRDefault="004E6114" w:rsidP="004E6114">
            <w:pPr>
              <w:jc w:val="center"/>
              <w:rPr>
                <w:lang w:val="en-IN"/>
              </w:rPr>
            </w:pPr>
            <w:r w:rsidRPr="004E6114">
              <w:rPr>
                <w:b/>
                <w:bCs/>
                <w:lang w:val="en-IN"/>
              </w:rPr>
              <w:t>Weaknesses</w:t>
            </w:r>
          </w:p>
        </w:tc>
      </w:tr>
      <w:tr w:rsidR="004E6114" w:rsidRPr="004E6114" w14:paraId="52227406" w14:textId="77777777" w:rsidTr="000F701B">
        <w:trPr>
          <w:trHeight w:val="1100"/>
        </w:trPr>
        <w:tc>
          <w:tcPr>
            <w:tcW w:w="4106" w:type="dxa"/>
            <w:shd w:val="clear" w:color="auto" w:fill="FBD4B4" w:themeFill="accent6" w:themeFillTint="66"/>
            <w:tcMar>
              <w:top w:w="100" w:type="dxa"/>
              <w:left w:w="100" w:type="dxa"/>
              <w:bottom w:w="100" w:type="dxa"/>
              <w:right w:w="100" w:type="dxa"/>
            </w:tcMar>
            <w:hideMark/>
          </w:tcPr>
          <w:p w14:paraId="5AE0F50B" w14:textId="77777777" w:rsidR="004E6114" w:rsidRPr="004E6114" w:rsidRDefault="004E6114" w:rsidP="004E6114">
            <w:pPr>
              <w:rPr>
                <w:lang w:val="en-IN"/>
              </w:rPr>
            </w:pPr>
            <w:r w:rsidRPr="004E6114">
              <w:rPr>
                <w:lang w:val="en-IN"/>
              </w:rPr>
              <w:t>Strong brand under Google; advanced sensor accuracy; partnerships with NHS pilot programs.</w:t>
            </w:r>
          </w:p>
        </w:tc>
        <w:tc>
          <w:tcPr>
            <w:tcW w:w="4913" w:type="dxa"/>
            <w:shd w:val="clear" w:color="auto" w:fill="FBD4B4" w:themeFill="accent6" w:themeFillTint="66"/>
            <w:tcMar>
              <w:top w:w="100" w:type="dxa"/>
              <w:left w:w="100" w:type="dxa"/>
              <w:bottom w:w="100" w:type="dxa"/>
              <w:right w:w="100" w:type="dxa"/>
            </w:tcMar>
            <w:hideMark/>
          </w:tcPr>
          <w:p w14:paraId="032589C1" w14:textId="77777777" w:rsidR="004E6114" w:rsidRPr="004E6114" w:rsidRDefault="004E6114" w:rsidP="004E6114">
            <w:pPr>
              <w:rPr>
                <w:lang w:val="en-IN"/>
              </w:rPr>
            </w:pPr>
            <w:r w:rsidRPr="004E6114">
              <w:rPr>
                <w:lang w:val="en-IN"/>
              </w:rPr>
              <w:t>Dependence on Android ecosystem; concerns over data privacy and integration complexity.</w:t>
            </w:r>
          </w:p>
        </w:tc>
      </w:tr>
      <w:tr w:rsidR="004E6114" w:rsidRPr="004E6114" w14:paraId="76BF2C9D" w14:textId="77777777" w:rsidTr="000F701B">
        <w:trPr>
          <w:trHeight w:val="800"/>
        </w:trPr>
        <w:tc>
          <w:tcPr>
            <w:tcW w:w="4106" w:type="dxa"/>
            <w:shd w:val="clear" w:color="auto" w:fill="FBD4B4" w:themeFill="accent6" w:themeFillTint="66"/>
            <w:tcMar>
              <w:top w:w="100" w:type="dxa"/>
              <w:left w:w="100" w:type="dxa"/>
              <w:bottom w:w="100" w:type="dxa"/>
              <w:right w:w="100" w:type="dxa"/>
            </w:tcMar>
            <w:hideMark/>
          </w:tcPr>
          <w:p w14:paraId="0EC9EBE4" w14:textId="77777777" w:rsidR="004E6114" w:rsidRPr="004E6114" w:rsidRDefault="004E6114" w:rsidP="004E6114">
            <w:pPr>
              <w:rPr>
                <w:lang w:val="en-IN"/>
              </w:rPr>
            </w:pPr>
            <w:r w:rsidRPr="004E6114">
              <w:rPr>
                <w:lang w:val="en-IN"/>
              </w:rPr>
              <w:t>Broad consumer base; global distribution network.</w:t>
            </w:r>
          </w:p>
        </w:tc>
        <w:tc>
          <w:tcPr>
            <w:tcW w:w="4913" w:type="dxa"/>
            <w:shd w:val="clear" w:color="auto" w:fill="FBD4B4" w:themeFill="accent6" w:themeFillTint="66"/>
            <w:tcMar>
              <w:top w:w="100" w:type="dxa"/>
              <w:left w:w="100" w:type="dxa"/>
              <w:bottom w:w="100" w:type="dxa"/>
              <w:right w:w="100" w:type="dxa"/>
            </w:tcMar>
            <w:hideMark/>
          </w:tcPr>
          <w:p w14:paraId="736B4EE9" w14:textId="77777777" w:rsidR="004E6114" w:rsidRPr="004E6114" w:rsidRDefault="004E6114" w:rsidP="004E6114">
            <w:pPr>
              <w:rPr>
                <w:lang w:val="en-IN"/>
              </w:rPr>
            </w:pPr>
            <w:r w:rsidRPr="004E6114">
              <w:rPr>
                <w:lang w:val="en-IN"/>
              </w:rPr>
              <w:t>Limited differentiation vs Apple Watch Series 9; short battery life.</w:t>
            </w:r>
          </w:p>
        </w:tc>
      </w:tr>
      <w:tr w:rsidR="004E6114" w:rsidRPr="004E6114" w14:paraId="591F2352" w14:textId="77777777" w:rsidTr="000F701B">
        <w:trPr>
          <w:trHeight w:val="515"/>
        </w:trPr>
        <w:tc>
          <w:tcPr>
            <w:tcW w:w="4106" w:type="dxa"/>
            <w:shd w:val="clear" w:color="auto" w:fill="F2DBDB" w:themeFill="accent2" w:themeFillTint="33"/>
            <w:tcMar>
              <w:top w:w="100" w:type="dxa"/>
              <w:left w:w="100" w:type="dxa"/>
              <w:bottom w:w="100" w:type="dxa"/>
              <w:right w:w="100" w:type="dxa"/>
            </w:tcMar>
            <w:hideMark/>
          </w:tcPr>
          <w:p w14:paraId="1584DDB9" w14:textId="77777777" w:rsidR="004E6114" w:rsidRPr="004E6114" w:rsidRDefault="004E6114" w:rsidP="004E6114">
            <w:pPr>
              <w:jc w:val="center"/>
              <w:rPr>
                <w:lang w:val="en-IN"/>
              </w:rPr>
            </w:pPr>
            <w:r w:rsidRPr="004E6114">
              <w:rPr>
                <w:b/>
                <w:bCs/>
                <w:lang w:val="en-IN"/>
              </w:rPr>
              <w:t>Opportunities</w:t>
            </w:r>
          </w:p>
        </w:tc>
        <w:tc>
          <w:tcPr>
            <w:tcW w:w="4913" w:type="dxa"/>
            <w:shd w:val="clear" w:color="auto" w:fill="F2DBDB" w:themeFill="accent2" w:themeFillTint="33"/>
            <w:tcMar>
              <w:top w:w="100" w:type="dxa"/>
              <w:left w:w="100" w:type="dxa"/>
              <w:bottom w:w="100" w:type="dxa"/>
              <w:right w:w="100" w:type="dxa"/>
            </w:tcMar>
            <w:hideMark/>
          </w:tcPr>
          <w:p w14:paraId="253ABADB" w14:textId="77777777" w:rsidR="004E6114" w:rsidRPr="004E6114" w:rsidRDefault="004E6114" w:rsidP="004E6114">
            <w:pPr>
              <w:jc w:val="center"/>
              <w:rPr>
                <w:lang w:val="en-IN"/>
              </w:rPr>
            </w:pPr>
            <w:r w:rsidRPr="004E6114">
              <w:rPr>
                <w:b/>
                <w:bCs/>
                <w:lang w:val="en-IN"/>
              </w:rPr>
              <w:t>Threats</w:t>
            </w:r>
          </w:p>
        </w:tc>
      </w:tr>
      <w:tr w:rsidR="004E6114" w:rsidRPr="004E6114" w14:paraId="63161807" w14:textId="77777777" w:rsidTr="000F701B">
        <w:trPr>
          <w:trHeight w:val="800"/>
        </w:trPr>
        <w:tc>
          <w:tcPr>
            <w:tcW w:w="4106" w:type="dxa"/>
            <w:shd w:val="clear" w:color="auto" w:fill="FBD4B4" w:themeFill="accent6" w:themeFillTint="66"/>
            <w:tcMar>
              <w:top w:w="100" w:type="dxa"/>
              <w:left w:w="100" w:type="dxa"/>
              <w:bottom w:w="100" w:type="dxa"/>
              <w:right w:w="100" w:type="dxa"/>
            </w:tcMar>
            <w:hideMark/>
          </w:tcPr>
          <w:p w14:paraId="1A9AF0BC" w14:textId="77777777" w:rsidR="004E6114" w:rsidRPr="004E6114" w:rsidRDefault="004E6114" w:rsidP="004E6114">
            <w:pPr>
              <w:rPr>
                <w:lang w:val="en-IN"/>
              </w:rPr>
            </w:pPr>
            <w:r w:rsidRPr="004E6114">
              <w:rPr>
                <w:lang w:val="en-IN"/>
              </w:rPr>
              <w:t>Expansion in preventive healthcare; UK ageing population (19 % aged 65+ – ONS, 2024).</w:t>
            </w:r>
          </w:p>
        </w:tc>
        <w:tc>
          <w:tcPr>
            <w:tcW w:w="4913" w:type="dxa"/>
            <w:shd w:val="clear" w:color="auto" w:fill="FBD4B4" w:themeFill="accent6" w:themeFillTint="66"/>
            <w:tcMar>
              <w:top w:w="100" w:type="dxa"/>
              <w:left w:w="100" w:type="dxa"/>
              <w:bottom w:w="100" w:type="dxa"/>
              <w:right w:w="100" w:type="dxa"/>
            </w:tcMar>
            <w:hideMark/>
          </w:tcPr>
          <w:p w14:paraId="45121E02" w14:textId="77777777" w:rsidR="004E6114" w:rsidRPr="004E6114" w:rsidRDefault="004E6114" w:rsidP="004E6114">
            <w:pPr>
              <w:rPr>
                <w:lang w:val="en-IN"/>
              </w:rPr>
            </w:pPr>
            <w:r w:rsidRPr="004E6114">
              <w:rPr>
                <w:lang w:val="en-IN"/>
              </w:rPr>
              <w:t>Rapid competitor innovation; tightening UK GDPR and MHRA regulations.</w:t>
            </w:r>
          </w:p>
        </w:tc>
      </w:tr>
      <w:tr w:rsidR="004E6114" w:rsidRPr="004E6114" w14:paraId="1F8BB175" w14:textId="77777777" w:rsidTr="000F701B">
        <w:trPr>
          <w:trHeight w:val="515"/>
        </w:trPr>
        <w:tc>
          <w:tcPr>
            <w:tcW w:w="4106" w:type="dxa"/>
            <w:shd w:val="clear" w:color="auto" w:fill="FBD4B4" w:themeFill="accent6" w:themeFillTint="66"/>
            <w:tcMar>
              <w:top w:w="100" w:type="dxa"/>
              <w:left w:w="100" w:type="dxa"/>
              <w:bottom w:w="100" w:type="dxa"/>
              <w:right w:w="100" w:type="dxa"/>
            </w:tcMar>
            <w:hideMark/>
          </w:tcPr>
          <w:p w14:paraId="61A4B48F" w14:textId="77777777" w:rsidR="004E6114" w:rsidRPr="004E6114" w:rsidRDefault="004E6114" w:rsidP="004E6114">
            <w:pPr>
              <w:rPr>
                <w:lang w:val="en-IN"/>
              </w:rPr>
            </w:pPr>
            <w:r w:rsidRPr="004E6114">
              <w:rPr>
                <w:lang w:val="en-IN"/>
              </w:rPr>
              <w:t>Integration with tele-medicine services.</w:t>
            </w:r>
          </w:p>
        </w:tc>
        <w:tc>
          <w:tcPr>
            <w:tcW w:w="4913" w:type="dxa"/>
            <w:shd w:val="clear" w:color="auto" w:fill="FBD4B4" w:themeFill="accent6" w:themeFillTint="66"/>
            <w:tcMar>
              <w:top w:w="100" w:type="dxa"/>
              <w:left w:w="100" w:type="dxa"/>
              <w:bottom w:w="100" w:type="dxa"/>
              <w:right w:w="100" w:type="dxa"/>
            </w:tcMar>
            <w:hideMark/>
          </w:tcPr>
          <w:p w14:paraId="06AFC0FF" w14:textId="77777777" w:rsidR="004E6114" w:rsidRPr="004E6114" w:rsidRDefault="004E6114" w:rsidP="004E6114">
            <w:pPr>
              <w:rPr>
                <w:lang w:val="en-IN"/>
              </w:rPr>
            </w:pPr>
            <w:r w:rsidRPr="004E6114">
              <w:rPr>
                <w:lang w:val="en-IN"/>
              </w:rPr>
              <w:t>Cybersecurity risks and data breaches.</w:t>
            </w:r>
          </w:p>
        </w:tc>
      </w:tr>
    </w:tbl>
    <w:p w14:paraId="770ADCA4" w14:textId="3E6007EC" w:rsidR="004E6114" w:rsidRPr="004E6114" w:rsidRDefault="004E6114" w:rsidP="004E6114">
      <w:pPr>
        <w:jc w:val="center"/>
        <w:rPr>
          <w:b/>
          <w:bCs/>
          <w:lang w:val="en-IN"/>
        </w:rPr>
      </w:pPr>
      <w:r w:rsidRPr="004E6114">
        <w:rPr>
          <w:b/>
          <w:bCs/>
          <w:lang w:val="en-IN"/>
        </w:rPr>
        <w:t>Table 1</w:t>
      </w:r>
      <w:r>
        <w:rPr>
          <w:b/>
          <w:bCs/>
          <w:lang w:val="en-IN"/>
        </w:rPr>
        <w:t>:</w:t>
      </w:r>
      <w:r w:rsidRPr="004E6114">
        <w:rPr>
          <w:b/>
          <w:bCs/>
          <w:lang w:val="en-IN"/>
        </w:rPr>
        <w:t xml:space="preserve"> SWOT Analysis of Fitbit Sense 3 Launch</w:t>
      </w:r>
    </w:p>
    <w:p w14:paraId="0A643746" w14:textId="0944D143" w:rsidR="004E6114" w:rsidRDefault="004E6114" w:rsidP="004E6114">
      <w:pPr>
        <w:jc w:val="center"/>
        <w:rPr>
          <w:lang w:val="en-IN"/>
        </w:rPr>
      </w:pPr>
      <w:r>
        <w:rPr>
          <w:lang w:val="en-IN"/>
        </w:rPr>
        <w:t>(Source: Self-made)</w:t>
      </w:r>
    </w:p>
    <w:p w14:paraId="4D239F88" w14:textId="1BA5E0A4" w:rsidR="004E6114" w:rsidRPr="004E6114" w:rsidRDefault="004E6114" w:rsidP="004E6114">
      <w:pPr>
        <w:rPr>
          <w:lang w:val="en-IN"/>
        </w:rPr>
      </w:pPr>
      <w:r w:rsidRPr="004E6114">
        <w:rPr>
          <w:b/>
          <w:bCs/>
          <w:lang w:val="en-IN"/>
        </w:rPr>
        <w:t xml:space="preserve">PESTLE Analysis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9"/>
        <w:gridCol w:w="7290"/>
      </w:tblGrid>
      <w:tr w:rsidR="004E6114" w:rsidRPr="004E6114" w14:paraId="267E4D89" w14:textId="77777777" w:rsidTr="000F701B">
        <w:trPr>
          <w:trHeight w:val="515"/>
        </w:trPr>
        <w:tc>
          <w:tcPr>
            <w:tcW w:w="0" w:type="auto"/>
            <w:shd w:val="clear" w:color="auto" w:fill="C4BC96" w:themeFill="background2" w:themeFillShade="BF"/>
            <w:tcMar>
              <w:top w:w="100" w:type="dxa"/>
              <w:left w:w="100" w:type="dxa"/>
              <w:bottom w:w="100" w:type="dxa"/>
              <w:right w:w="100" w:type="dxa"/>
            </w:tcMar>
            <w:hideMark/>
          </w:tcPr>
          <w:p w14:paraId="6AAC0FED" w14:textId="77777777" w:rsidR="004E6114" w:rsidRPr="004E6114" w:rsidRDefault="004E6114" w:rsidP="004E6114">
            <w:pPr>
              <w:jc w:val="center"/>
              <w:rPr>
                <w:lang w:val="en-IN"/>
              </w:rPr>
            </w:pPr>
            <w:r w:rsidRPr="004E6114">
              <w:rPr>
                <w:b/>
                <w:bCs/>
                <w:lang w:val="en-IN"/>
              </w:rPr>
              <w:t>Factor</w:t>
            </w:r>
          </w:p>
        </w:tc>
        <w:tc>
          <w:tcPr>
            <w:tcW w:w="0" w:type="auto"/>
            <w:shd w:val="clear" w:color="auto" w:fill="C4BC96" w:themeFill="background2" w:themeFillShade="BF"/>
            <w:tcMar>
              <w:top w:w="100" w:type="dxa"/>
              <w:left w:w="100" w:type="dxa"/>
              <w:bottom w:w="100" w:type="dxa"/>
              <w:right w:w="100" w:type="dxa"/>
            </w:tcMar>
            <w:hideMark/>
          </w:tcPr>
          <w:p w14:paraId="65EBEA09" w14:textId="77777777" w:rsidR="004E6114" w:rsidRPr="004E6114" w:rsidRDefault="004E6114" w:rsidP="004E6114">
            <w:pPr>
              <w:jc w:val="center"/>
              <w:rPr>
                <w:lang w:val="en-IN"/>
              </w:rPr>
            </w:pPr>
            <w:r w:rsidRPr="004E6114">
              <w:rPr>
                <w:b/>
                <w:bCs/>
                <w:lang w:val="en-IN"/>
              </w:rPr>
              <w:t>Key Implications</w:t>
            </w:r>
          </w:p>
        </w:tc>
      </w:tr>
      <w:tr w:rsidR="004E6114" w:rsidRPr="004E6114" w14:paraId="7964473F" w14:textId="77777777" w:rsidTr="000F701B">
        <w:trPr>
          <w:trHeight w:val="515"/>
        </w:trPr>
        <w:tc>
          <w:tcPr>
            <w:tcW w:w="0" w:type="auto"/>
            <w:shd w:val="clear" w:color="auto" w:fill="C2D69B" w:themeFill="accent3" w:themeFillTint="99"/>
            <w:tcMar>
              <w:top w:w="100" w:type="dxa"/>
              <w:left w:w="100" w:type="dxa"/>
              <w:bottom w:w="100" w:type="dxa"/>
              <w:right w:w="100" w:type="dxa"/>
            </w:tcMar>
            <w:hideMark/>
          </w:tcPr>
          <w:p w14:paraId="56715AAF" w14:textId="77777777" w:rsidR="004E6114" w:rsidRPr="004E6114" w:rsidRDefault="004E6114" w:rsidP="004E6114">
            <w:pPr>
              <w:jc w:val="center"/>
              <w:rPr>
                <w:lang w:val="en-IN"/>
              </w:rPr>
            </w:pPr>
            <w:r w:rsidRPr="004E6114">
              <w:rPr>
                <w:b/>
                <w:bCs/>
                <w:lang w:val="en-IN"/>
              </w:rPr>
              <w:t>Political</w:t>
            </w:r>
          </w:p>
        </w:tc>
        <w:tc>
          <w:tcPr>
            <w:tcW w:w="0" w:type="auto"/>
            <w:shd w:val="clear" w:color="auto" w:fill="C2D69B" w:themeFill="accent3" w:themeFillTint="99"/>
            <w:tcMar>
              <w:top w:w="100" w:type="dxa"/>
              <w:left w:w="100" w:type="dxa"/>
              <w:bottom w:w="100" w:type="dxa"/>
              <w:right w:w="100" w:type="dxa"/>
            </w:tcMar>
            <w:hideMark/>
          </w:tcPr>
          <w:p w14:paraId="55B0C437" w14:textId="77777777" w:rsidR="004E6114" w:rsidRPr="004E6114" w:rsidRDefault="004E6114" w:rsidP="004E6114">
            <w:pPr>
              <w:rPr>
                <w:lang w:val="en-IN"/>
              </w:rPr>
            </w:pPr>
            <w:r w:rsidRPr="004E6114">
              <w:rPr>
                <w:lang w:val="en-IN"/>
              </w:rPr>
              <w:t>Post-Brexit trade policies may affect hardware import costs.</w:t>
            </w:r>
          </w:p>
        </w:tc>
      </w:tr>
      <w:tr w:rsidR="004E6114" w:rsidRPr="004E6114" w14:paraId="1D488A35" w14:textId="77777777" w:rsidTr="000F701B">
        <w:trPr>
          <w:trHeight w:val="800"/>
        </w:trPr>
        <w:tc>
          <w:tcPr>
            <w:tcW w:w="0" w:type="auto"/>
            <w:shd w:val="clear" w:color="auto" w:fill="C2D69B" w:themeFill="accent3" w:themeFillTint="99"/>
            <w:tcMar>
              <w:top w:w="100" w:type="dxa"/>
              <w:left w:w="100" w:type="dxa"/>
              <w:bottom w:w="100" w:type="dxa"/>
              <w:right w:w="100" w:type="dxa"/>
            </w:tcMar>
            <w:hideMark/>
          </w:tcPr>
          <w:p w14:paraId="170E30DA" w14:textId="77777777" w:rsidR="004E6114" w:rsidRPr="004E6114" w:rsidRDefault="004E6114" w:rsidP="004E6114">
            <w:pPr>
              <w:jc w:val="center"/>
              <w:rPr>
                <w:lang w:val="en-IN"/>
              </w:rPr>
            </w:pPr>
            <w:r w:rsidRPr="004E6114">
              <w:rPr>
                <w:b/>
                <w:bCs/>
                <w:lang w:val="en-IN"/>
              </w:rPr>
              <w:t>Economic</w:t>
            </w:r>
          </w:p>
        </w:tc>
        <w:tc>
          <w:tcPr>
            <w:tcW w:w="0" w:type="auto"/>
            <w:shd w:val="clear" w:color="auto" w:fill="C2D69B" w:themeFill="accent3" w:themeFillTint="99"/>
            <w:tcMar>
              <w:top w:w="100" w:type="dxa"/>
              <w:left w:w="100" w:type="dxa"/>
              <w:bottom w:w="100" w:type="dxa"/>
              <w:right w:w="100" w:type="dxa"/>
            </w:tcMar>
            <w:hideMark/>
          </w:tcPr>
          <w:p w14:paraId="1674E381" w14:textId="77777777" w:rsidR="004E6114" w:rsidRPr="004E6114" w:rsidRDefault="004E6114" w:rsidP="004E6114">
            <w:pPr>
              <w:rPr>
                <w:lang w:val="en-IN"/>
              </w:rPr>
            </w:pPr>
            <w:r w:rsidRPr="004E6114">
              <w:rPr>
                <w:lang w:val="en-IN"/>
              </w:rPr>
              <w:t>UK wearables market valued at £2.4 billion (2024), expected CAGR 12 %.</w:t>
            </w:r>
          </w:p>
        </w:tc>
      </w:tr>
      <w:tr w:rsidR="004E6114" w:rsidRPr="004E6114" w14:paraId="73021DB3" w14:textId="77777777" w:rsidTr="000F701B">
        <w:trPr>
          <w:trHeight w:val="515"/>
        </w:trPr>
        <w:tc>
          <w:tcPr>
            <w:tcW w:w="0" w:type="auto"/>
            <w:shd w:val="clear" w:color="auto" w:fill="C2D69B" w:themeFill="accent3" w:themeFillTint="99"/>
            <w:tcMar>
              <w:top w:w="100" w:type="dxa"/>
              <w:left w:w="100" w:type="dxa"/>
              <w:bottom w:w="100" w:type="dxa"/>
              <w:right w:w="100" w:type="dxa"/>
            </w:tcMar>
            <w:hideMark/>
          </w:tcPr>
          <w:p w14:paraId="02EACB87" w14:textId="77777777" w:rsidR="004E6114" w:rsidRPr="004E6114" w:rsidRDefault="004E6114" w:rsidP="004E6114">
            <w:pPr>
              <w:jc w:val="center"/>
              <w:rPr>
                <w:lang w:val="en-IN"/>
              </w:rPr>
            </w:pPr>
            <w:r w:rsidRPr="004E6114">
              <w:rPr>
                <w:b/>
                <w:bCs/>
                <w:lang w:val="en-IN"/>
              </w:rPr>
              <w:t>Social</w:t>
            </w:r>
          </w:p>
        </w:tc>
        <w:tc>
          <w:tcPr>
            <w:tcW w:w="0" w:type="auto"/>
            <w:shd w:val="clear" w:color="auto" w:fill="C2D69B" w:themeFill="accent3" w:themeFillTint="99"/>
            <w:tcMar>
              <w:top w:w="100" w:type="dxa"/>
              <w:left w:w="100" w:type="dxa"/>
              <w:bottom w:w="100" w:type="dxa"/>
              <w:right w:w="100" w:type="dxa"/>
            </w:tcMar>
            <w:hideMark/>
          </w:tcPr>
          <w:p w14:paraId="048EBD55" w14:textId="77777777" w:rsidR="004E6114" w:rsidRPr="004E6114" w:rsidRDefault="004E6114" w:rsidP="004E6114">
            <w:pPr>
              <w:rPr>
                <w:lang w:val="en-IN"/>
              </w:rPr>
            </w:pPr>
            <w:r w:rsidRPr="004E6114">
              <w:rPr>
                <w:lang w:val="en-IN"/>
              </w:rPr>
              <w:t>Rising health consciousness and NHS digital-health endorsement.</w:t>
            </w:r>
          </w:p>
        </w:tc>
      </w:tr>
      <w:tr w:rsidR="004E6114" w:rsidRPr="004E6114" w14:paraId="52FBF941" w14:textId="77777777" w:rsidTr="000F701B">
        <w:trPr>
          <w:trHeight w:val="515"/>
        </w:trPr>
        <w:tc>
          <w:tcPr>
            <w:tcW w:w="0" w:type="auto"/>
            <w:shd w:val="clear" w:color="auto" w:fill="C2D69B" w:themeFill="accent3" w:themeFillTint="99"/>
            <w:tcMar>
              <w:top w:w="100" w:type="dxa"/>
              <w:left w:w="100" w:type="dxa"/>
              <w:bottom w:w="100" w:type="dxa"/>
              <w:right w:w="100" w:type="dxa"/>
            </w:tcMar>
            <w:hideMark/>
          </w:tcPr>
          <w:p w14:paraId="333A5939" w14:textId="77777777" w:rsidR="004E6114" w:rsidRPr="004E6114" w:rsidRDefault="004E6114" w:rsidP="004E6114">
            <w:pPr>
              <w:jc w:val="center"/>
              <w:rPr>
                <w:lang w:val="en-IN"/>
              </w:rPr>
            </w:pPr>
            <w:r w:rsidRPr="004E6114">
              <w:rPr>
                <w:b/>
                <w:bCs/>
                <w:lang w:val="en-IN"/>
              </w:rPr>
              <w:t>Technological</w:t>
            </w:r>
          </w:p>
        </w:tc>
        <w:tc>
          <w:tcPr>
            <w:tcW w:w="0" w:type="auto"/>
            <w:shd w:val="clear" w:color="auto" w:fill="C2D69B" w:themeFill="accent3" w:themeFillTint="99"/>
            <w:tcMar>
              <w:top w:w="100" w:type="dxa"/>
              <w:left w:w="100" w:type="dxa"/>
              <w:bottom w:w="100" w:type="dxa"/>
              <w:right w:w="100" w:type="dxa"/>
            </w:tcMar>
            <w:hideMark/>
          </w:tcPr>
          <w:p w14:paraId="607DBE57" w14:textId="77777777" w:rsidR="004E6114" w:rsidRPr="004E6114" w:rsidRDefault="004E6114" w:rsidP="004E6114">
            <w:pPr>
              <w:rPr>
                <w:lang w:val="en-IN"/>
              </w:rPr>
            </w:pPr>
            <w:r w:rsidRPr="004E6114">
              <w:rPr>
                <w:lang w:val="en-IN"/>
              </w:rPr>
              <w:t>Growth in AI analytics, 5G integration, and mobile apps.</w:t>
            </w:r>
          </w:p>
        </w:tc>
      </w:tr>
      <w:tr w:rsidR="004E6114" w:rsidRPr="004E6114" w14:paraId="3C55F59C" w14:textId="77777777" w:rsidTr="000F701B">
        <w:trPr>
          <w:trHeight w:val="515"/>
        </w:trPr>
        <w:tc>
          <w:tcPr>
            <w:tcW w:w="0" w:type="auto"/>
            <w:shd w:val="clear" w:color="auto" w:fill="C2D69B" w:themeFill="accent3" w:themeFillTint="99"/>
            <w:tcMar>
              <w:top w:w="100" w:type="dxa"/>
              <w:left w:w="100" w:type="dxa"/>
              <w:bottom w:w="100" w:type="dxa"/>
              <w:right w:w="100" w:type="dxa"/>
            </w:tcMar>
            <w:hideMark/>
          </w:tcPr>
          <w:p w14:paraId="279610CD" w14:textId="77777777" w:rsidR="004E6114" w:rsidRPr="004E6114" w:rsidRDefault="004E6114" w:rsidP="004E6114">
            <w:pPr>
              <w:jc w:val="center"/>
              <w:rPr>
                <w:lang w:val="en-IN"/>
              </w:rPr>
            </w:pPr>
            <w:r w:rsidRPr="004E6114">
              <w:rPr>
                <w:b/>
                <w:bCs/>
                <w:lang w:val="en-IN"/>
              </w:rPr>
              <w:t>Legal</w:t>
            </w:r>
          </w:p>
        </w:tc>
        <w:tc>
          <w:tcPr>
            <w:tcW w:w="0" w:type="auto"/>
            <w:shd w:val="clear" w:color="auto" w:fill="C2D69B" w:themeFill="accent3" w:themeFillTint="99"/>
            <w:tcMar>
              <w:top w:w="100" w:type="dxa"/>
              <w:left w:w="100" w:type="dxa"/>
              <w:bottom w:w="100" w:type="dxa"/>
              <w:right w:w="100" w:type="dxa"/>
            </w:tcMar>
            <w:hideMark/>
          </w:tcPr>
          <w:p w14:paraId="430F4850" w14:textId="77777777" w:rsidR="004E6114" w:rsidRPr="004E6114" w:rsidRDefault="004E6114" w:rsidP="004E6114">
            <w:pPr>
              <w:rPr>
                <w:lang w:val="en-IN"/>
              </w:rPr>
            </w:pPr>
            <w:r w:rsidRPr="004E6114">
              <w:rPr>
                <w:lang w:val="en-IN"/>
              </w:rPr>
              <w:t>Must comply with MHRA class IIb certification, GDPR.</w:t>
            </w:r>
          </w:p>
        </w:tc>
      </w:tr>
      <w:tr w:rsidR="004E6114" w:rsidRPr="004E6114" w14:paraId="066DD4F9" w14:textId="77777777" w:rsidTr="000F701B">
        <w:trPr>
          <w:trHeight w:val="515"/>
        </w:trPr>
        <w:tc>
          <w:tcPr>
            <w:tcW w:w="0" w:type="auto"/>
            <w:shd w:val="clear" w:color="auto" w:fill="C2D69B" w:themeFill="accent3" w:themeFillTint="99"/>
            <w:tcMar>
              <w:top w:w="100" w:type="dxa"/>
              <w:left w:w="100" w:type="dxa"/>
              <w:bottom w:w="100" w:type="dxa"/>
              <w:right w:w="100" w:type="dxa"/>
            </w:tcMar>
            <w:hideMark/>
          </w:tcPr>
          <w:p w14:paraId="48BC45A0" w14:textId="77777777" w:rsidR="004E6114" w:rsidRPr="004E6114" w:rsidRDefault="004E6114" w:rsidP="004E6114">
            <w:pPr>
              <w:jc w:val="center"/>
              <w:rPr>
                <w:lang w:val="en-IN"/>
              </w:rPr>
            </w:pPr>
            <w:r w:rsidRPr="004E6114">
              <w:rPr>
                <w:b/>
                <w:bCs/>
                <w:lang w:val="en-IN"/>
              </w:rPr>
              <w:t>Environmental</w:t>
            </w:r>
          </w:p>
        </w:tc>
        <w:tc>
          <w:tcPr>
            <w:tcW w:w="0" w:type="auto"/>
            <w:shd w:val="clear" w:color="auto" w:fill="C2D69B" w:themeFill="accent3" w:themeFillTint="99"/>
            <w:tcMar>
              <w:top w:w="100" w:type="dxa"/>
              <w:left w:w="100" w:type="dxa"/>
              <w:bottom w:w="100" w:type="dxa"/>
              <w:right w:w="100" w:type="dxa"/>
            </w:tcMar>
            <w:hideMark/>
          </w:tcPr>
          <w:p w14:paraId="79C7F0CD" w14:textId="77777777" w:rsidR="004E6114" w:rsidRPr="004E6114" w:rsidRDefault="004E6114" w:rsidP="004E6114">
            <w:pPr>
              <w:rPr>
                <w:lang w:val="en-IN"/>
              </w:rPr>
            </w:pPr>
            <w:r w:rsidRPr="004E6114">
              <w:rPr>
                <w:lang w:val="en-IN"/>
              </w:rPr>
              <w:t>Pressure for sustainable packaging and recyclable batteries.</w:t>
            </w:r>
          </w:p>
        </w:tc>
      </w:tr>
    </w:tbl>
    <w:p w14:paraId="59A2158E" w14:textId="00C7BED3" w:rsidR="004E6114" w:rsidRDefault="004E6114" w:rsidP="00313F5B">
      <w:pPr>
        <w:jc w:val="center"/>
        <w:rPr>
          <w:b/>
          <w:bCs/>
          <w:lang w:val="en-IN"/>
        </w:rPr>
      </w:pPr>
      <w:r>
        <w:rPr>
          <w:b/>
          <w:bCs/>
          <w:lang w:val="en-IN"/>
        </w:rPr>
        <w:t>Table 2: PESTLE Analysis</w:t>
      </w:r>
    </w:p>
    <w:p w14:paraId="6727F4D3" w14:textId="2BD39AB1" w:rsidR="004E6114" w:rsidRPr="00313F5B" w:rsidRDefault="004E6114" w:rsidP="00313F5B">
      <w:pPr>
        <w:jc w:val="center"/>
        <w:rPr>
          <w:lang w:val="en-IN"/>
        </w:rPr>
      </w:pPr>
      <w:r w:rsidRPr="00313F5B">
        <w:rPr>
          <w:lang w:val="en-IN"/>
        </w:rPr>
        <w:t>(Source: Self-made)</w:t>
      </w:r>
    </w:p>
    <w:p w14:paraId="2BD95850" w14:textId="77777777" w:rsidR="00D1545D" w:rsidRDefault="004E6114" w:rsidP="00D1545D">
      <w:pPr>
        <w:rPr>
          <w:b/>
          <w:bCs/>
          <w:lang w:val="en-IN"/>
        </w:rPr>
      </w:pPr>
      <w:r w:rsidRPr="004E6114">
        <w:rPr>
          <w:b/>
          <w:bCs/>
          <w:lang w:val="en-IN"/>
        </w:rPr>
        <w:t>SMART Objectives:</w:t>
      </w:r>
      <w:r w:rsidR="00D1545D" w:rsidRPr="00313F5B">
        <w:rPr>
          <w:b/>
          <w:bCs/>
          <w:lang w:val="en-IN"/>
        </w:rPr>
        <w:t xml:space="preserve"> </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1"/>
        <w:gridCol w:w="7338"/>
      </w:tblGrid>
      <w:tr w:rsidR="00D1545D" w:rsidRPr="00D1545D" w14:paraId="57ADA39E" w14:textId="77777777" w:rsidTr="000F701B">
        <w:trPr>
          <w:tblHeader/>
          <w:tblCellSpacing w:w="15" w:type="dxa"/>
          <w:jc w:val="center"/>
        </w:trPr>
        <w:tc>
          <w:tcPr>
            <w:tcW w:w="0" w:type="auto"/>
            <w:shd w:val="clear" w:color="auto" w:fill="C6D9F1" w:themeFill="text2" w:themeFillTint="33"/>
            <w:vAlign w:val="center"/>
            <w:hideMark/>
          </w:tcPr>
          <w:p w14:paraId="52973D2C" w14:textId="77777777" w:rsidR="00D1545D" w:rsidRPr="00D1545D" w:rsidRDefault="00D1545D" w:rsidP="00D1545D">
            <w:pPr>
              <w:jc w:val="center"/>
              <w:rPr>
                <w:b/>
                <w:bCs/>
                <w:lang w:val="en-IN"/>
              </w:rPr>
            </w:pPr>
            <w:r w:rsidRPr="00D1545D">
              <w:rPr>
                <w:b/>
                <w:bCs/>
                <w:lang w:val="en-IN"/>
              </w:rPr>
              <w:t>SMART Component</w:t>
            </w:r>
          </w:p>
        </w:tc>
        <w:tc>
          <w:tcPr>
            <w:tcW w:w="0" w:type="auto"/>
            <w:shd w:val="clear" w:color="auto" w:fill="C6D9F1" w:themeFill="text2" w:themeFillTint="33"/>
            <w:vAlign w:val="center"/>
            <w:hideMark/>
          </w:tcPr>
          <w:p w14:paraId="0F129A14" w14:textId="18E993CC" w:rsidR="00D1545D" w:rsidRPr="00D1545D" w:rsidRDefault="00D1545D" w:rsidP="00D1545D">
            <w:pPr>
              <w:jc w:val="center"/>
              <w:rPr>
                <w:b/>
                <w:bCs/>
                <w:lang w:val="en-IN"/>
              </w:rPr>
            </w:pPr>
            <w:r w:rsidRPr="00D1545D">
              <w:rPr>
                <w:b/>
                <w:bCs/>
                <w:lang w:val="en-IN"/>
              </w:rPr>
              <w:t>Objective</w:t>
            </w:r>
          </w:p>
        </w:tc>
      </w:tr>
      <w:tr w:rsidR="00D1545D" w:rsidRPr="00D1545D" w14:paraId="34673045" w14:textId="77777777" w:rsidTr="000F701B">
        <w:trPr>
          <w:tblCellSpacing w:w="15" w:type="dxa"/>
          <w:jc w:val="center"/>
        </w:trPr>
        <w:tc>
          <w:tcPr>
            <w:tcW w:w="0" w:type="auto"/>
            <w:shd w:val="clear" w:color="auto" w:fill="CCC0D9" w:themeFill="accent4" w:themeFillTint="66"/>
            <w:vAlign w:val="center"/>
            <w:hideMark/>
          </w:tcPr>
          <w:p w14:paraId="3B6AC0A3" w14:textId="77777777" w:rsidR="00D1545D" w:rsidRPr="00D1545D" w:rsidRDefault="00D1545D" w:rsidP="00D1545D">
            <w:pPr>
              <w:rPr>
                <w:lang w:val="en-IN"/>
              </w:rPr>
            </w:pPr>
            <w:r w:rsidRPr="00D1545D">
              <w:rPr>
                <w:lang w:val="en-IN"/>
              </w:rPr>
              <w:t>Specific</w:t>
            </w:r>
          </w:p>
        </w:tc>
        <w:tc>
          <w:tcPr>
            <w:tcW w:w="0" w:type="auto"/>
            <w:shd w:val="clear" w:color="auto" w:fill="CCC0D9" w:themeFill="accent4" w:themeFillTint="66"/>
            <w:vAlign w:val="center"/>
            <w:hideMark/>
          </w:tcPr>
          <w:p w14:paraId="096CF7B2" w14:textId="77777777" w:rsidR="00D1545D" w:rsidRPr="00D1545D" w:rsidRDefault="00D1545D" w:rsidP="00D1545D">
            <w:pPr>
              <w:rPr>
                <w:lang w:val="en-IN"/>
              </w:rPr>
            </w:pPr>
            <w:r w:rsidRPr="00D1545D">
              <w:rPr>
                <w:lang w:val="en-IN"/>
              </w:rPr>
              <w:t>Successfully launch Fitbit Sense 3 into the UK healthcare market by securing MHRA approval, NHS Digital pilot adoption, and nationwide retail distribution.</w:t>
            </w:r>
          </w:p>
        </w:tc>
      </w:tr>
      <w:tr w:rsidR="00D1545D" w:rsidRPr="00D1545D" w14:paraId="1A213C90" w14:textId="77777777" w:rsidTr="000F701B">
        <w:trPr>
          <w:tblCellSpacing w:w="15" w:type="dxa"/>
          <w:jc w:val="center"/>
        </w:trPr>
        <w:tc>
          <w:tcPr>
            <w:tcW w:w="0" w:type="auto"/>
            <w:shd w:val="clear" w:color="auto" w:fill="CCC0D9" w:themeFill="accent4" w:themeFillTint="66"/>
            <w:vAlign w:val="center"/>
            <w:hideMark/>
          </w:tcPr>
          <w:p w14:paraId="75B3A147" w14:textId="77777777" w:rsidR="00D1545D" w:rsidRPr="00D1545D" w:rsidRDefault="00D1545D" w:rsidP="00D1545D">
            <w:pPr>
              <w:rPr>
                <w:lang w:val="en-IN"/>
              </w:rPr>
            </w:pPr>
            <w:r w:rsidRPr="00D1545D">
              <w:rPr>
                <w:lang w:val="en-IN"/>
              </w:rPr>
              <w:t>Measurable</w:t>
            </w:r>
          </w:p>
        </w:tc>
        <w:tc>
          <w:tcPr>
            <w:tcW w:w="0" w:type="auto"/>
            <w:shd w:val="clear" w:color="auto" w:fill="CCC0D9" w:themeFill="accent4" w:themeFillTint="66"/>
            <w:vAlign w:val="center"/>
            <w:hideMark/>
          </w:tcPr>
          <w:p w14:paraId="073F154F" w14:textId="77777777" w:rsidR="00D1545D" w:rsidRPr="00D1545D" w:rsidRDefault="00D1545D" w:rsidP="00D1545D">
            <w:pPr>
              <w:rPr>
                <w:lang w:val="en-IN"/>
              </w:rPr>
            </w:pPr>
            <w:r w:rsidRPr="00D1545D">
              <w:rPr>
                <w:lang w:val="en-IN"/>
              </w:rPr>
              <w:t>Achieve 100,000 units sold, 10% UK market share, and 85% stakeholder satisfaction score within six months.</w:t>
            </w:r>
          </w:p>
        </w:tc>
      </w:tr>
      <w:tr w:rsidR="00D1545D" w:rsidRPr="00D1545D" w14:paraId="71CDEA85" w14:textId="77777777" w:rsidTr="000F701B">
        <w:trPr>
          <w:tblCellSpacing w:w="15" w:type="dxa"/>
          <w:jc w:val="center"/>
        </w:trPr>
        <w:tc>
          <w:tcPr>
            <w:tcW w:w="0" w:type="auto"/>
            <w:shd w:val="clear" w:color="auto" w:fill="CCC0D9" w:themeFill="accent4" w:themeFillTint="66"/>
            <w:vAlign w:val="center"/>
            <w:hideMark/>
          </w:tcPr>
          <w:p w14:paraId="081D1105" w14:textId="77777777" w:rsidR="00D1545D" w:rsidRPr="00D1545D" w:rsidRDefault="00D1545D" w:rsidP="00D1545D">
            <w:pPr>
              <w:rPr>
                <w:lang w:val="en-IN"/>
              </w:rPr>
            </w:pPr>
            <w:r w:rsidRPr="00D1545D">
              <w:rPr>
                <w:lang w:val="en-IN"/>
              </w:rPr>
              <w:t>Achievable</w:t>
            </w:r>
          </w:p>
        </w:tc>
        <w:tc>
          <w:tcPr>
            <w:tcW w:w="0" w:type="auto"/>
            <w:shd w:val="clear" w:color="auto" w:fill="CCC0D9" w:themeFill="accent4" w:themeFillTint="66"/>
            <w:vAlign w:val="center"/>
            <w:hideMark/>
          </w:tcPr>
          <w:p w14:paraId="5E22A2D7" w14:textId="77777777" w:rsidR="00D1545D" w:rsidRPr="00D1545D" w:rsidRDefault="00D1545D" w:rsidP="00D1545D">
            <w:pPr>
              <w:rPr>
                <w:lang w:val="en-IN"/>
              </w:rPr>
            </w:pPr>
            <w:r w:rsidRPr="00D1545D">
              <w:rPr>
                <w:lang w:val="en-IN"/>
              </w:rPr>
              <w:t>Supported by Google’s financial resources, Fitbit’s established R&amp;D capability, and strong existing NHS relationships.</w:t>
            </w:r>
          </w:p>
        </w:tc>
      </w:tr>
      <w:tr w:rsidR="00D1545D" w:rsidRPr="00D1545D" w14:paraId="0156D359" w14:textId="77777777" w:rsidTr="000F701B">
        <w:trPr>
          <w:tblCellSpacing w:w="15" w:type="dxa"/>
          <w:jc w:val="center"/>
        </w:trPr>
        <w:tc>
          <w:tcPr>
            <w:tcW w:w="0" w:type="auto"/>
            <w:shd w:val="clear" w:color="auto" w:fill="CCC0D9" w:themeFill="accent4" w:themeFillTint="66"/>
            <w:vAlign w:val="center"/>
            <w:hideMark/>
          </w:tcPr>
          <w:p w14:paraId="03AAD70C" w14:textId="77777777" w:rsidR="00D1545D" w:rsidRPr="00D1545D" w:rsidRDefault="00D1545D" w:rsidP="00D1545D">
            <w:pPr>
              <w:rPr>
                <w:lang w:val="en-IN"/>
              </w:rPr>
            </w:pPr>
            <w:r w:rsidRPr="00D1545D">
              <w:rPr>
                <w:lang w:val="en-IN"/>
              </w:rPr>
              <w:t>Relevant</w:t>
            </w:r>
          </w:p>
        </w:tc>
        <w:tc>
          <w:tcPr>
            <w:tcW w:w="0" w:type="auto"/>
            <w:shd w:val="clear" w:color="auto" w:fill="CCC0D9" w:themeFill="accent4" w:themeFillTint="66"/>
            <w:vAlign w:val="center"/>
            <w:hideMark/>
          </w:tcPr>
          <w:p w14:paraId="4C089C09" w14:textId="77777777" w:rsidR="00D1545D" w:rsidRPr="00D1545D" w:rsidRDefault="00D1545D" w:rsidP="00D1545D">
            <w:pPr>
              <w:rPr>
                <w:lang w:val="en-IN"/>
              </w:rPr>
            </w:pPr>
            <w:r w:rsidRPr="00D1545D">
              <w:rPr>
                <w:lang w:val="en-IN"/>
              </w:rPr>
              <w:t>Aligned with UK trends toward preventive care, digital health, and remote patient monitoring convergence.</w:t>
            </w:r>
          </w:p>
        </w:tc>
      </w:tr>
      <w:tr w:rsidR="00D1545D" w:rsidRPr="00D1545D" w14:paraId="697452D9" w14:textId="77777777" w:rsidTr="000F701B">
        <w:trPr>
          <w:tblCellSpacing w:w="15" w:type="dxa"/>
          <w:jc w:val="center"/>
        </w:trPr>
        <w:tc>
          <w:tcPr>
            <w:tcW w:w="0" w:type="auto"/>
            <w:shd w:val="clear" w:color="auto" w:fill="CCC0D9" w:themeFill="accent4" w:themeFillTint="66"/>
            <w:vAlign w:val="center"/>
            <w:hideMark/>
          </w:tcPr>
          <w:p w14:paraId="7AF6BB25" w14:textId="77777777" w:rsidR="00D1545D" w:rsidRPr="00D1545D" w:rsidRDefault="00D1545D" w:rsidP="00D1545D">
            <w:pPr>
              <w:rPr>
                <w:lang w:val="en-IN"/>
              </w:rPr>
            </w:pPr>
            <w:r w:rsidRPr="00D1545D">
              <w:rPr>
                <w:lang w:val="en-IN"/>
              </w:rPr>
              <w:t>Time-bound</w:t>
            </w:r>
          </w:p>
        </w:tc>
        <w:tc>
          <w:tcPr>
            <w:tcW w:w="0" w:type="auto"/>
            <w:shd w:val="clear" w:color="auto" w:fill="CCC0D9" w:themeFill="accent4" w:themeFillTint="66"/>
            <w:vAlign w:val="center"/>
            <w:hideMark/>
          </w:tcPr>
          <w:p w14:paraId="66767506" w14:textId="77777777" w:rsidR="00D1545D" w:rsidRPr="00D1545D" w:rsidRDefault="00D1545D" w:rsidP="00D1545D">
            <w:pPr>
              <w:rPr>
                <w:lang w:val="en-IN"/>
              </w:rPr>
            </w:pPr>
            <w:r w:rsidRPr="00D1545D">
              <w:rPr>
                <w:lang w:val="en-IN"/>
              </w:rPr>
              <w:t>Completion by Q3 2026, with monthly KPI reviews and quarterly engagement audits.</w:t>
            </w:r>
          </w:p>
        </w:tc>
      </w:tr>
    </w:tbl>
    <w:p w14:paraId="29E8169B" w14:textId="1FF8D26F" w:rsidR="00313F5B" w:rsidRPr="00313F5B" w:rsidRDefault="00313F5B" w:rsidP="00D1545D">
      <w:pPr>
        <w:jc w:val="center"/>
        <w:rPr>
          <w:b/>
          <w:bCs/>
          <w:lang w:val="en-IN"/>
        </w:rPr>
      </w:pPr>
      <w:r w:rsidRPr="00313F5B">
        <w:rPr>
          <w:b/>
          <w:bCs/>
          <w:lang w:val="en-IN"/>
        </w:rPr>
        <w:t>Table 3: SMART Objective</w:t>
      </w:r>
      <w:r w:rsidR="00D1545D">
        <w:rPr>
          <w:b/>
          <w:bCs/>
          <w:lang w:val="en-IN"/>
        </w:rPr>
        <w:t>s</w:t>
      </w:r>
    </w:p>
    <w:p w14:paraId="7346560A" w14:textId="775777BB" w:rsidR="00313F5B" w:rsidRDefault="00313F5B" w:rsidP="00313F5B">
      <w:pPr>
        <w:jc w:val="center"/>
        <w:rPr>
          <w:lang w:val="en-IN"/>
        </w:rPr>
      </w:pPr>
      <w:r>
        <w:rPr>
          <w:lang w:val="en-IN"/>
        </w:rPr>
        <w:t>(Source: Self-made)</w:t>
      </w:r>
    </w:p>
    <w:p w14:paraId="56247D3F" w14:textId="302BA2B3" w:rsidR="004E6114" w:rsidRPr="00380755" w:rsidRDefault="006B53F9" w:rsidP="00313F5B">
      <w:pPr>
        <w:rPr>
          <w:lang w:val="en-IN"/>
        </w:rPr>
      </w:pPr>
      <w:r w:rsidRPr="00380755">
        <w:t>To secure an organized and quantifiable plan of introducing Fitbit Sense 3 into the UK healthcare sector, the project embraces a series of SMART goals which directly resonate with regulatory, business, and operational requirements. The main target is to introduce the device successfully through receiving an MHRA certification, obtaining NHS Digital pilot integration, and getting a distribution on a national level. The measures of success will be the achievement of the set targets such as 100,000 units sales, 10 percent market share in UK and 85 percent stakeholder satisfaction rating in the first six months. Such goals become possible because of the already developed R&amp;D capabilities of Fitbit, and the investment strength of Google, as well as the relationships with healthcare partners they have</w:t>
      </w:r>
      <w:r w:rsidR="00D1545D" w:rsidRPr="00380755">
        <w:rPr>
          <w:lang w:val="en-IN"/>
        </w:rPr>
        <w:t xml:space="preserve">. They remain relevant to the UK’s shift toward preventive digital healthcare, remote monitoring, and AI-supported diagnostics (Fedorenko </w:t>
      </w:r>
      <w:r w:rsidR="00D1545D" w:rsidRPr="00380755">
        <w:rPr>
          <w:i/>
          <w:iCs/>
          <w:lang w:val="en-IN"/>
        </w:rPr>
        <w:t>et al.,</w:t>
      </w:r>
      <w:r w:rsidR="00D1545D" w:rsidRPr="00380755">
        <w:rPr>
          <w:lang w:val="en-IN"/>
        </w:rPr>
        <w:t xml:space="preserve"> 2025). The goals are time-bound, with a planned launch in Q3 2026, supported by monthly KPI reporting and quarterly stakeholder audits. Establishing SMART objectives strengthens strategic alignment and reduces operational uncertainty, consistent with findings by </w:t>
      </w:r>
      <w:proofErr w:type="spellStart"/>
      <w:r w:rsidR="00D1545D" w:rsidRPr="00380755">
        <w:rPr>
          <w:lang w:val="en-IN"/>
        </w:rPr>
        <w:t>Praharsi</w:t>
      </w:r>
      <w:proofErr w:type="spellEnd"/>
      <w:r w:rsidR="00D1545D" w:rsidRPr="00380755">
        <w:rPr>
          <w:lang w:val="en-IN"/>
        </w:rPr>
        <w:t xml:space="preserve"> </w:t>
      </w:r>
      <w:r w:rsidR="00D1545D" w:rsidRPr="00380755">
        <w:rPr>
          <w:i/>
          <w:iCs/>
          <w:lang w:val="en-IN"/>
        </w:rPr>
        <w:t>et al.</w:t>
      </w:r>
      <w:r w:rsidR="00D1545D" w:rsidRPr="00380755">
        <w:rPr>
          <w:lang w:val="en-IN"/>
        </w:rPr>
        <w:t xml:space="preserve"> (2021) that structured goals improve cross-stakeholder coordination.</w:t>
      </w:r>
    </w:p>
    <w:p w14:paraId="50E5CA21" w14:textId="77777777" w:rsidR="004E6114" w:rsidRPr="004E6114" w:rsidRDefault="004E6114" w:rsidP="00313F5B">
      <w:pPr>
        <w:pStyle w:val="Heading1"/>
        <w:rPr>
          <w:lang w:val="en-IN"/>
        </w:rPr>
      </w:pPr>
      <w:bookmarkStart w:id="3" w:name="_Toc214102985"/>
      <w:r w:rsidRPr="004E6114">
        <w:rPr>
          <w:lang w:val="en-IN"/>
        </w:rPr>
        <w:t>3. Key Stakeholders</w:t>
      </w:r>
      <w:bookmarkEnd w:id="3"/>
    </w:p>
    <w:p w14:paraId="1A883194" w14:textId="77777777" w:rsidR="004E6114" w:rsidRPr="00313F5B" w:rsidRDefault="004E6114" w:rsidP="00313F5B">
      <w:pPr>
        <w:rPr>
          <w:b/>
          <w:bCs/>
          <w:lang w:val="en-IN"/>
        </w:rPr>
      </w:pPr>
      <w:r w:rsidRPr="00313F5B">
        <w:rPr>
          <w:b/>
          <w:bCs/>
          <w:lang w:val="en-IN"/>
        </w:rPr>
        <w:t>Internal Stakeholders</w:t>
      </w:r>
    </w:p>
    <w:p w14:paraId="1382BADD" w14:textId="14757406" w:rsidR="004E6114" w:rsidRDefault="004E6114" w:rsidP="00313F5B">
      <w:pPr>
        <w:rPr>
          <w:lang w:val="en-IN"/>
        </w:rPr>
      </w:pPr>
      <w:r w:rsidRPr="004E6114">
        <w:rPr>
          <w:lang w:val="en-IN"/>
        </w:rPr>
        <w:t>The operational core of the Sense 3 project of Fitbit is composed of the internal stakeholders, who are the operational core of the project launch and are at the centre of matching organisational goals with the expectations of the stakeholders. Project Management Office (PMO) is the main coordinating force where all the steps of the project including initiation, planning, execution, monitoring, and closure are highlighted based on the concepts of the Project Management Body of Knowledge (</w:t>
      </w:r>
      <w:r w:rsidR="00313F5B" w:rsidRPr="00564BFE">
        <w:t>Project Management Institute, 2021</w:t>
      </w:r>
      <w:r w:rsidRPr="004E6114">
        <w:rPr>
          <w:lang w:val="en-IN"/>
        </w:rPr>
        <w:t>). The PMO helps in coordinating the work of cross-functional teams, risk management, and performance, cost, time compliance of the project.</w:t>
      </w:r>
      <w:r w:rsidR="00313F5B">
        <w:rPr>
          <w:lang w:val="en-IN"/>
        </w:rPr>
        <w:t xml:space="preserve"> </w:t>
      </w:r>
      <w:r w:rsidRPr="004E6114">
        <w:rPr>
          <w:lang w:val="en-IN"/>
        </w:rPr>
        <w:t>The Product Development Team that consists of software engineers, biomedical technologists, and user interface designers undertake the task of converting the technical goals of the project into a physical product. They are to create sophisticated biosensors and enhance battery life and combine AI-based health analytics, which is compliant with MHRA regulation. Close liaison with healthcare partners is also a guarantee that the performance of the device is clinically viable and easy to use.</w:t>
      </w:r>
    </w:p>
    <w:p w14:paraId="60166870" w14:textId="46363028" w:rsidR="00D1545D" w:rsidRPr="00380755" w:rsidRDefault="006B53F9" w:rsidP="00313F5B">
      <w:pPr>
        <w:rPr>
          <w:lang w:val="en-IN"/>
        </w:rPr>
      </w:pPr>
      <w:r w:rsidRPr="00380755">
        <w:t>The greater insight into the expectations of stakeholders reveals the difference in the level of influence, interest, and strategic significance among groups. Tech regulators like the MHRA and ICO have the greatest amount of power since their approval and data governance control define the lawful entry of the gadget into the market; their demands include high-quality clinical evidence, open data documentation, and data flows in compliance with GDPR. NHS Digital and health facilities are also highly essential because they provide technical accuracy validation, interoperability and clinical usefulness, by pilot testing and integration of the system. The moderate power of suppliers and distributors can be explained by the fact that they are the links of the production chain and the successful transfer of products to the market on time; they need to have accurate forecasting and proper logistic planning</w:t>
      </w:r>
      <w:r w:rsidR="00D1545D" w:rsidRPr="00380755">
        <w:rPr>
          <w:lang w:val="en-IN"/>
        </w:rPr>
        <w:t>. Consumers and patient communities, while less powerful in regulatory terms, possess high interest and ultimately determine market adoption, brand reputation, and retention. Executive management maintains high influence due to resource allocation and strategic direction. By clearly understanding why each stakeholder matters, Fitbit can prioritise engagement intensity and adapt strategies to minimise resistance and maximise collaboration.</w:t>
      </w:r>
    </w:p>
    <w:p w14:paraId="34D999E0" w14:textId="55722EB1" w:rsidR="004E6114" w:rsidRPr="004E6114" w:rsidRDefault="004E6114" w:rsidP="004E6114">
      <w:pPr>
        <w:rPr>
          <w:lang w:val="en-IN"/>
        </w:rPr>
      </w:pPr>
      <w:r w:rsidRPr="004E6114">
        <w:rPr>
          <w:lang w:val="en-IN"/>
        </w:rPr>
        <w:t>The Marketing and Sales Team is essential in the formulation of the brand positioning and message to be used in the launch of Fitbit in the UK. They have the task of developing convincing advertising campaigns about the health advantages of the Sense 3, and they work with the healthcare community as well as with the consumer market. The effectiveness of this team is anchored on the stakeholder engagement since it must mediate the expectations of the consumer, investors and the regulatory agencies using ethical marketing and open communication channels.</w:t>
      </w:r>
      <w:r w:rsidR="00313F5B">
        <w:rPr>
          <w:lang w:val="en-IN"/>
        </w:rPr>
        <w:t xml:space="preserve"> </w:t>
      </w:r>
      <w:r w:rsidRPr="004E6114">
        <w:rPr>
          <w:lang w:val="en-IN"/>
        </w:rPr>
        <w:t>The Data Security Team makes sure that all the operations of devices and cloud-based services are in line with General Data Protection Regulation (GDPR) and the domestic UK-based data regulations. Without them, the consumers will not have trust in them, which is one of the most sensitive matters when it comes to wearable health technology. The PMO and legal counsel can work in close collaboration with them to determine and minimize the risks of possible data leaks, end-to-end encryption, and safe information exchange between all the devices and servers.</w:t>
      </w:r>
      <w:r w:rsidR="00313F5B">
        <w:rPr>
          <w:lang w:val="en-IN"/>
        </w:rPr>
        <w:t xml:space="preserve"> </w:t>
      </w:r>
      <w:r w:rsidRPr="004E6114">
        <w:rPr>
          <w:lang w:val="en-IN"/>
        </w:rPr>
        <w:t xml:space="preserve">Lastly, Executive Management offers strategic leadership and financial control as well as decision-making during the life cycle of projects. Senior directors and executives of Google health division make this group, which establishes the vision of the UK market expansion, budgets, and authorizes essential project deliverables. Their involvement instils compatibility between the global strategy of Fitbit and the UK market and regulatory specifications. Freeman and </w:t>
      </w:r>
      <w:proofErr w:type="spellStart"/>
      <w:r w:rsidRPr="004E6114">
        <w:rPr>
          <w:lang w:val="en-IN"/>
        </w:rPr>
        <w:t>Velamuri</w:t>
      </w:r>
      <w:proofErr w:type="spellEnd"/>
      <w:r w:rsidRPr="004E6114">
        <w:rPr>
          <w:lang w:val="en-IN"/>
        </w:rPr>
        <w:t xml:space="preserve"> (2023) propose that the dedication of the top management to the leadership approach that centres on stakeholders leads to the creation of accountability, resource allocation, and long-term stakeholder confidence.</w:t>
      </w:r>
    </w:p>
    <w:p w14:paraId="1AF0F953" w14:textId="77777777" w:rsidR="004E6114" w:rsidRPr="004E6114" w:rsidRDefault="004E6114" w:rsidP="004E6114">
      <w:pPr>
        <w:rPr>
          <w:b/>
          <w:bCs/>
          <w:lang w:val="en-IN"/>
        </w:rPr>
      </w:pPr>
      <w:r w:rsidRPr="004E6114">
        <w:rPr>
          <w:b/>
          <w:bCs/>
          <w:lang w:val="en-IN"/>
        </w:rPr>
        <w:t>External Stakeholders</w:t>
      </w:r>
    </w:p>
    <w:p w14:paraId="29999B8D" w14:textId="77777777" w:rsidR="004E6114" w:rsidRPr="004E6114" w:rsidRDefault="004E6114" w:rsidP="00313F5B">
      <w:pPr>
        <w:rPr>
          <w:lang w:val="en-IN"/>
        </w:rPr>
      </w:pPr>
      <w:r w:rsidRPr="004E6114">
        <w:rPr>
          <w:lang w:val="en-IN"/>
        </w:rPr>
        <w:t xml:space="preserve">The external stakeholder ecosystem of the Fitbit Sense 3 goes further than the usual customer relationship and includes regulation agencies, medical partners, suppliers, and end users all of which affect the success of the project. The approval process is important in regulatory agencies, and especially in Medicines and Healthcare products Regulatory Agency (MHRA) and Information Commissioners Office (ICO), as a very important gatekeeper. The MHRA guarantees that Fitbit Sense 3 meets the requirements of the medical device classification and safety regulations, whereas the ICO oversees the compliance with the data protection and consumer privacy laws. Premature and positive interaction with such organizations is not only likely to reduce the time to approval but also build credibility in Fitbit as a responsible health technology supplier (Cruz Rivera </w:t>
      </w:r>
      <w:r w:rsidRPr="00313F5B">
        <w:rPr>
          <w:i/>
          <w:iCs/>
          <w:lang w:val="en-IN"/>
        </w:rPr>
        <w:t>et al.,</w:t>
      </w:r>
      <w:r w:rsidRPr="004E6114">
        <w:rPr>
          <w:lang w:val="en-IN"/>
        </w:rPr>
        <w:t xml:space="preserve"> 2021).</w:t>
      </w:r>
    </w:p>
    <w:p w14:paraId="52A6AF8E" w14:textId="732482E9" w:rsidR="004E6114" w:rsidRPr="004E6114" w:rsidRDefault="004E6114" w:rsidP="004E6114">
      <w:pPr>
        <w:rPr>
          <w:lang w:val="en-IN"/>
        </w:rPr>
      </w:pPr>
      <w:r w:rsidRPr="004E6114">
        <w:rPr>
          <w:lang w:val="en-IN"/>
        </w:rPr>
        <w:t xml:space="preserve">Medical institutions, such as NHS Digital, non-governmental clinics, and telemedicine providers, are important stakeholders in the piloting and validation of the Fitbit Sense 3 to the real-world setting of remote patient monitoring. Their engagement would ease integration between the wearable and the current health IT systems enabling clinicians to use the Fitbit data to provide preventive medicine and chronic illness management. Partnering with the stakeholders in the healthcare system corresponds to the co-creation paradigm of value suggested by </w:t>
      </w:r>
      <w:proofErr w:type="spellStart"/>
      <w:r w:rsidRPr="004E6114">
        <w:rPr>
          <w:lang w:val="en-IN"/>
        </w:rPr>
        <w:t>Nnabuko</w:t>
      </w:r>
      <w:proofErr w:type="spellEnd"/>
      <w:r w:rsidRPr="004E6114">
        <w:rPr>
          <w:lang w:val="en-IN"/>
        </w:rPr>
        <w:t xml:space="preserve"> (2021), as the mutual trust and the common goal promote innovation and its uptake.</w:t>
      </w:r>
      <w:r w:rsidR="00313F5B">
        <w:rPr>
          <w:lang w:val="en-IN"/>
        </w:rPr>
        <w:t xml:space="preserve"> </w:t>
      </w:r>
      <w:r w:rsidRPr="004E6114">
        <w:rPr>
          <w:lang w:val="en-IN"/>
        </w:rPr>
        <w:t xml:space="preserve">The suppliers and Distributors play a crucial role in ensuring smooth flow of materials, production components and logistics management. They also make sure that the sensors, chips and assembly units are delivered in time when they are needed in mass production. Effective interaction with suppliers due to open communication and the presence of contracts helps reduce possible disruptions in the supply chain- a serious threat in the post-pandemic technological environment (Rouse </w:t>
      </w:r>
      <w:r w:rsidRPr="004E6114">
        <w:rPr>
          <w:i/>
          <w:iCs/>
          <w:lang w:val="en-IN"/>
        </w:rPr>
        <w:t>et al.,</w:t>
      </w:r>
      <w:r w:rsidRPr="004E6114">
        <w:rPr>
          <w:lang w:val="en-IN"/>
        </w:rPr>
        <w:t xml:space="preserve"> 2025). The distributors, in turn, provide retail being, and it controls the ties with online and brick-and-mortar selling platforms within the UK.</w:t>
      </w:r>
      <w:r w:rsidR="00313F5B">
        <w:rPr>
          <w:lang w:val="en-IN"/>
        </w:rPr>
        <w:t xml:space="preserve"> </w:t>
      </w:r>
      <w:r w:rsidRPr="004E6114">
        <w:rPr>
          <w:lang w:val="en-IN"/>
        </w:rPr>
        <w:t>Last but not least, End users (Stakeholders) who are fitness enthusiasts and healthcare-conscious consumers are probably the most powerful external stakeholders because their perceptions and experiences will directly make or break the success of the product and brand. Fitbit engages directly with the end users by seeking their feedbacks via beta testing, online surveys, and community platforms, to improve product design and functionality. According to Timmis (2021), user involvement in the design process will increase satisfaction and trust, increase brand loyalty, and boost retention rates after the launch.</w:t>
      </w:r>
    </w:p>
    <w:p w14:paraId="46F8EB82" w14:textId="1FC47EBC" w:rsidR="00313F5B" w:rsidRDefault="00782B5D" w:rsidP="00313F5B">
      <w:pPr>
        <w:rPr>
          <w:lang w:val="en-IN"/>
        </w:rPr>
      </w:pPr>
      <w:r w:rsidRPr="00782B5D">
        <w:rPr>
          <w:noProof/>
          <w:lang w:val="en-IN"/>
        </w:rPr>
        <w:drawing>
          <wp:inline distT="0" distB="0" distL="0" distR="0" wp14:anchorId="503EAADE" wp14:editId="56D69AF2">
            <wp:extent cx="5733415" cy="1925955"/>
            <wp:effectExtent l="0" t="0" r="635" b="0"/>
            <wp:docPr id="2105813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813226" name=""/>
                    <pic:cNvPicPr/>
                  </pic:nvPicPr>
                  <pic:blipFill>
                    <a:blip r:embed="rId10"/>
                    <a:stretch>
                      <a:fillRect/>
                    </a:stretch>
                  </pic:blipFill>
                  <pic:spPr>
                    <a:xfrm>
                      <a:off x="0" y="0"/>
                      <a:ext cx="5733415" cy="1925955"/>
                    </a:xfrm>
                    <a:prstGeom prst="rect">
                      <a:avLst/>
                    </a:prstGeom>
                  </pic:spPr>
                </pic:pic>
              </a:graphicData>
            </a:graphic>
          </wp:inline>
        </w:drawing>
      </w:r>
    </w:p>
    <w:p w14:paraId="4D65CF6B" w14:textId="7B72C86A" w:rsidR="00782B5D" w:rsidRPr="00782B5D" w:rsidRDefault="00782B5D" w:rsidP="00782B5D">
      <w:pPr>
        <w:jc w:val="center"/>
        <w:rPr>
          <w:b/>
          <w:bCs/>
          <w:lang w:val="en-IN"/>
        </w:rPr>
      </w:pPr>
      <w:r w:rsidRPr="00782B5D">
        <w:rPr>
          <w:b/>
          <w:bCs/>
          <w:lang w:val="en-IN"/>
        </w:rPr>
        <w:t>Figure 1: Mendelow’s Stakeholder Matrix</w:t>
      </w:r>
    </w:p>
    <w:p w14:paraId="221E6CAD" w14:textId="058CF456" w:rsidR="00782B5D" w:rsidRDefault="00782B5D" w:rsidP="00782B5D">
      <w:pPr>
        <w:jc w:val="center"/>
        <w:rPr>
          <w:lang w:val="en-IN"/>
        </w:rPr>
      </w:pPr>
      <w:r>
        <w:rPr>
          <w:lang w:val="en-IN"/>
        </w:rPr>
        <w:t>(Source: Self-made)</w:t>
      </w:r>
    </w:p>
    <w:p w14:paraId="3157492D" w14:textId="5AB95A73" w:rsidR="004E6114" w:rsidRPr="00D1545D" w:rsidRDefault="006B53F9" w:rsidP="00782B5D">
      <w:pPr>
        <w:rPr>
          <w:color w:val="EE0000"/>
          <w:lang w:val="en-IN"/>
        </w:rPr>
      </w:pPr>
      <w:r w:rsidRPr="00380755">
        <w:t>The stakeholder mapping process with the Matrix provided by Mendelow demonstrates what Fitbit needs to prioritize its efforts in terms of engagement. Close collaborations, constant consultations and joint decision-making are essential to high-power and high-interest stakeholders such as the MHRA, NHS Digital and the executive leadership so as to minimise delays and ensure alignment with the strategic direction. Suppliers, a high-power and low-interest group, need to be well coordinated without being overloaded with communication, which would cause engagement fatigue (Guise et al., 2024). The regular updates, beta testing, and feedback loops are beneficial to low-power and high interest stakeholders who are especially consumers and health-tech communities to enhance design usability and long term trust. Limited power and low interest groups (e.g. smaller retail outlets) can be served by normal communication (</w:t>
      </w:r>
      <w:proofErr w:type="spellStart"/>
      <w:r w:rsidRPr="00380755">
        <w:t>Weckstrom</w:t>
      </w:r>
      <w:proofErr w:type="spellEnd"/>
      <w:r w:rsidRPr="00380755">
        <w:t>, 2024). This structure provides a way of distributing engagement resources on a proportionate basis which increases the efficiency of a project</w:t>
      </w:r>
      <w:r w:rsidR="00D1545D" w:rsidRPr="00380755">
        <w:rPr>
          <w:lang w:val="en-IN"/>
        </w:rPr>
        <w:t>.</w:t>
      </w:r>
    </w:p>
    <w:p w14:paraId="7C9F049B" w14:textId="5FFD2EFE" w:rsidR="004E6114" w:rsidRPr="004E6114" w:rsidRDefault="004E6114" w:rsidP="00782B5D">
      <w:pPr>
        <w:pStyle w:val="Heading1"/>
        <w:rPr>
          <w:lang w:val="en-IN"/>
        </w:rPr>
      </w:pPr>
      <w:bookmarkStart w:id="4" w:name="_Toc214102986"/>
      <w:r w:rsidRPr="004E6114">
        <w:rPr>
          <w:lang w:val="en-IN"/>
        </w:rPr>
        <w:t>4. Roles, Responsibilities, Benefits and Challenges</w:t>
      </w:r>
      <w:bookmarkEnd w:id="4"/>
      <w:r w:rsidRPr="004E6114">
        <w:rPr>
          <w:lang w:val="en-I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0"/>
        <w:gridCol w:w="1799"/>
        <w:gridCol w:w="1811"/>
        <w:gridCol w:w="2063"/>
        <w:gridCol w:w="1636"/>
      </w:tblGrid>
      <w:tr w:rsidR="004E6114" w:rsidRPr="004E6114" w14:paraId="605A109E" w14:textId="77777777" w:rsidTr="000F701B">
        <w:trPr>
          <w:trHeight w:val="515"/>
        </w:trPr>
        <w:tc>
          <w:tcPr>
            <w:tcW w:w="0" w:type="auto"/>
            <w:shd w:val="clear" w:color="auto" w:fill="FABF8F" w:themeFill="accent6" w:themeFillTint="99"/>
            <w:tcMar>
              <w:top w:w="100" w:type="dxa"/>
              <w:left w:w="100" w:type="dxa"/>
              <w:bottom w:w="100" w:type="dxa"/>
              <w:right w:w="100" w:type="dxa"/>
            </w:tcMar>
            <w:hideMark/>
          </w:tcPr>
          <w:p w14:paraId="13E73B94" w14:textId="77777777" w:rsidR="004E6114" w:rsidRPr="004E6114" w:rsidRDefault="004E6114" w:rsidP="000F701B">
            <w:pPr>
              <w:jc w:val="center"/>
              <w:rPr>
                <w:lang w:val="en-IN"/>
              </w:rPr>
            </w:pPr>
            <w:r w:rsidRPr="004E6114">
              <w:rPr>
                <w:b/>
                <w:bCs/>
                <w:lang w:val="en-IN"/>
              </w:rPr>
              <w:t>Activity</w:t>
            </w:r>
          </w:p>
        </w:tc>
        <w:tc>
          <w:tcPr>
            <w:tcW w:w="0" w:type="auto"/>
            <w:shd w:val="clear" w:color="auto" w:fill="FABF8F" w:themeFill="accent6" w:themeFillTint="99"/>
            <w:tcMar>
              <w:top w:w="100" w:type="dxa"/>
              <w:left w:w="100" w:type="dxa"/>
              <w:bottom w:w="100" w:type="dxa"/>
              <w:right w:w="100" w:type="dxa"/>
            </w:tcMar>
            <w:hideMark/>
          </w:tcPr>
          <w:p w14:paraId="28E54AD9" w14:textId="77777777" w:rsidR="004E6114" w:rsidRPr="004E6114" w:rsidRDefault="004E6114" w:rsidP="000F701B">
            <w:pPr>
              <w:jc w:val="center"/>
              <w:rPr>
                <w:lang w:val="en-IN"/>
              </w:rPr>
            </w:pPr>
            <w:r w:rsidRPr="004E6114">
              <w:rPr>
                <w:b/>
                <w:bCs/>
                <w:lang w:val="en-IN"/>
              </w:rPr>
              <w:t>Responsible</w:t>
            </w:r>
          </w:p>
        </w:tc>
        <w:tc>
          <w:tcPr>
            <w:tcW w:w="0" w:type="auto"/>
            <w:shd w:val="clear" w:color="auto" w:fill="FABF8F" w:themeFill="accent6" w:themeFillTint="99"/>
            <w:tcMar>
              <w:top w:w="100" w:type="dxa"/>
              <w:left w:w="100" w:type="dxa"/>
              <w:bottom w:w="100" w:type="dxa"/>
              <w:right w:w="100" w:type="dxa"/>
            </w:tcMar>
            <w:hideMark/>
          </w:tcPr>
          <w:p w14:paraId="7F753581" w14:textId="77777777" w:rsidR="004E6114" w:rsidRPr="004E6114" w:rsidRDefault="004E6114" w:rsidP="000F701B">
            <w:pPr>
              <w:jc w:val="center"/>
              <w:rPr>
                <w:lang w:val="en-IN"/>
              </w:rPr>
            </w:pPr>
            <w:r w:rsidRPr="004E6114">
              <w:rPr>
                <w:b/>
                <w:bCs/>
                <w:lang w:val="en-IN"/>
              </w:rPr>
              <w:t>Accountable</w:t>
            </w:r>
          </w:p>
        </w:tc>
        <w:tc>
          <w:tcPr>
            <w:tcW w:w="0" w:type="auto"/>
            <w:shd w:val="clear" w:color="auto" w:fill="FABF8F" w:themeFill="accent6" w:themeFillTint="99"/>
            <w:tcMar>
              <w:top w:w="100" w:type="dxa"/>
              <w:left w:w="100" w:type="dxa"/>
              <w:bottom w:w="100" w:type="dxa"/>
              <w:right w:w="100" w:type="dxa"/>
            </w:tcMar>
            <w:hideMark/>
          </w:tcPr>
          <w:p w14:paraId="4E928B6D" w14:textId="77777777" w:rsidR="004E6114" w:rsidRPr="004E6114" w:rsidRDefault="004E6114" w:rsidP="000F701B">
            <w:pPr>
              <w:jc w:val="center"/>
              <w:rPr>
                <w:lang w:val="en-IN"/>
              </w:rPr>
            </w:pPr>
            <w:r w:rsidRPr="004E6114">
              <w:rPr>
                <w:b/>
                <w:bCs/>
                <w:lang w:val="en-IN"/>
              </w:rPr>
              <w:t>Consulted</w:t>
            </w:r>
          </w:p>
        </w:tc>
        <w:tc>
          <w:tcPr>
            <w:tcW w:w="0" w:type="auto"/>
            <w:shd w:val="clear" w:color="auto" w:fill="FABF8F" w:themeFill="accent6" w:themeFillTint="99"/>
            <w:tcMar>
              <w:top w:w="100" w:type="dxa"/>
              <w:left w:w="100" w:type="dxa"/>
              <w:bottom w:w="100" w:type="dxa"/>
              <w:right w:w="100" w:type="dxa"/>
            </w:tcMar>
            <w:hideMark/>
          </w:tcPr>
          <w:p w14:paraId="66FBAE49" w14:textId="77777777" w:rsidR="004E6114" w:rsidRPr="004E6114" w:rsidRDefault="004E6114" w:rsidP="000F701B">
            <w:pPr>
              <w:jc w:val="center"/>
              <w:rPr>
                <w:lang w:val="en-IN"/>
              </w:rPr>
            </w:pPr>
            <w:r w:rsidRPr="004E6114">
              <w:rPr>
                <w:b/>
                <w:bCs/>
                <w:lang w:val="en-IN"/>
              </w:rPr>
              <w:t>Informed</w:t>
            </w:r>
          </w:p>
        </w:tc>
      </w:tr>
      <w:tr w:rsidR="004E6114" w:rsidRPr="004E6114" w14:paraId="7E2C9CFC" w14:textId="77777777" w:rsidTr="000F701B">
        <w:trPr>
          <w:trHeight w:val="800"/>
        </w:trPr>
        <w:tc>
          <w:tcPr>
            <w:tcW w:w="0" w:type="auto"/>
            <w:shd w:val="clear" w:color="auto" w:fill="E5B8B7" w:themeFill="accent2" w:themeFillTint="66"/>
            <w:tcMar>
              <w:top w:w="100" w:type="dxa"/>
              <w:left w:w="100" w:type="dxa"/>
              <w:bottom w:w="100" w:type="dxa"/>
              <w:right w:w="100" w:type="dxa"/>
            </w:tcMar>
            <w:hideMark/>
          </w:tcPr>
          <w:p w14:paraId="7A3C5F07" w14:textId="77777777" w:rsidR="004E6114" w:rsidRPr="004E6114" w:rsidRDefault="004E6114" w:rsidP="004E6114">
            <w:pPr>
              <w:rPr>
                <w:lang w:val="en-IN"/>
              </w:rPr>
            </w:pPr>
            <w:r w:rsidRPr="004E6114">
              <w:rPr>
                <w:lang w:val="en-IN"/>
              </w:rPr>
              <w:t>Regulatory approval</w:t>
            </w:r>
          </w:p>
        </w:tc>
        <w:tc>
          <w:tcPr>
            <w:tcW w:w="0" w:type="auto"/>
            <w:shd w:val="clear" w:color="auto" w:fill="E5B8B7" w:themeFill="accent2" w:themeFillTint="66"/>
            <w:tcMar>
              <w:top w:w="100" w:type="dxa"/>
              <w:left w:w="100" w:type="dxa"/>
              <w:bottom w:w="100" w:type="dxa"/>
              <w:right w:w="100" w:type="dxa"/>
            </w:tcMar>
            <w:hideMark/>
          </w:tcPr>
          <w:p w14:paraId="79168361" w14:textId="77777777" w:rsidR="004E6114" w:rsidRPr="004E6114" w:rsidRDefault="004E6114" w:rsidP="004E6114">
            <w:pPr>
              <w:rPr>
                <w:lang w:val="en-IN"/>
              </w:rPr>
            </w:pPr>
            <w:r w:rsidRPr="004E6114">
              <w:rPr>
                <w:lang w:val="en-IN"/>
              </w:rPr>
              <w:t>QA Manager</w:t>
            </w:r>
          </w:p>
        </w:tc>
        <w:tc>
          <w:tcPr>
            <w:tcW w:w="0" w:type="auto"/>
            <w:shd w:val="clear" w:color="auto" w:fill="E5B8B7" w:themeFill="accent2" w:themeFillTint="66"/>
            <w:tcMar>
              <w:top w:w="100" w:type="dxa"/>
              <w:left w:w="100" w:type="dxa"/>
              <w:bottom w:w="100" w:type="dxa"/>
              <w:right w:w="100" w:type="dxa"/>
            </w:tcMar>
            <w:hideMark/>
          </w:tcPr>
          <w:p w14:paraId="6FBB198B" w14:textId="77777777" w:rsidR="004E6114" w:rsidRPr="004E6114" w:rsidRDefault="004E6114" w:rsidP="004E6114">
            <w:pPr>
              <w:rPr>
                <w:lang w:val="en-IN"/>
              </w:rPr>
            </w:pPr>
            <w:r w:rsidRPr="004E6114">
              <w:rPr>
                <w:lang w:val="en-IN"/>
              </w:rPr>
              <w:t>Project Director</w:t>
            </w:r>
          </w:p>
        </w:tc>
        <w:tc>
          <w:tcPr>
            <w:tcW w:w="0" w:type="auto"/>
            <w:shd w:val="clear" w:color="auto" w:fill="E5B8B7" w:themeFill="accent2" w:themeFillTint="66"/>
            <w:tcMar>
              <w:top w:w="100" w:type="dxa"/>
              <w:left w:w="100" w:type="dxa"/>
              <w:bottom w:w="100" w:type="dxa"/>
              <w:right w:w="100" w:type="dxa"/>
            </w:tcMar>
            <w:hideMark/>
          </w:tcPr>
          <w:p w14:paraId="77CFECB1" w14:textId="77777777" w:rsidR="004E6114" w:rsidRPr="004E6114" w:rsidRDefault="004E6114" w:rsidP="004E6114">
            <w:pPr>
              <w:rPr>
                <w:lang w:val="en-IN"/>
              </w:rPr>
            </w:pPr>
            <w:r w:rsidRPr="004E6114">
              <w:rPr>
                <w:lang w:val="en-IN"/>
              </w:rPr>
              <w:t>MHRA, ICO</w:t>
            </w:r>
          </w:p>
        </w:tc>
        <w:tc>
          <w:tcPr>
            <w:tcW w:w="0" w:type="auto"/>
            <w:shd w:val="clear" w:color="auto" w:fill="E5B8B7" w:themeFill="accent2" w:themeFillTint="66"/>
            <w:tcMar>
              <w:top w:w="100" w:type="dxa"/>
              <w:left w:w="100" w:type="dxa"/>
              <w:bottom w:w="100" w:type="dxa"/>
              <w:right w:w="100" w:type="dxa"/>
            </w:tcMar>
            <w:hideMark/>
          </w:tcPr>
          <w:p w14:paraId="7EB84499" w14:textId="77777777" w:rsidR="004E6114" w:rsidRPr="004E6114" w:rsidRDefault="004E6114" w:rsidP="004E6114">
            <w:pPr>
              <w:rPr>
                <w:lang w:val="en-IN"/>
              </w:rPr>
            </w:pPr>
            <w:r w:rsidRPr="004E6114">
              <w:rPr>
                <w:lang w:val="en-IN"/>
              </w:rPr>
              <w:t>All teams</w:t>
            </w:r>
          </w:p>
        </w:tc>
      </w:tr>
      <w:tr w:rsidR="004E6114" w:rsidRPr="004E6114" w14:paraId="04E63545" w14:textId="77777777" w:rsidTr="000F701B">
        <w:trPr>
          <w:trHeight w:val="800"/>
        </w:trPr>
        <w:tc>
          <w:tcPr>
            <w:tcW w:w="0" w:type="auto"/>
            <w:shd w:val="clear" w:color="auto" w:fill="E5B8B7" w:themeFill="accent2" w:themeFillTint="66"/>
            <w:tcMar>
              <w:top w:w="100" w:type="dxa"/>
              <w:left w:w="100" w:type="dxa"/>
              <w:bottom w:w="100" w:type="dxa"/>
              <w:right w:w="100" w:type="dxa"/>
            </w:tcMar>
            <w:hideMark/>
          </w:tcPr>
          <w:p w14:paraId="108F760C" w14:textId="77777777" w:rsidR="004E6114" w:rsidRPr="004E6114" w:rsidRDefault="004E6114" w:rsidP="004E6114">
            <w:pPr>
              <w:rPr>
                <w:lang w:val="en-IN"/>
              </w:rPr>
            </w:pPr>
            <w:r w:rsidRPr="004E6114">
              <w:rPr>
                <w:lang w:val="en-IN"/>
              </w:rPr>
              <w:t>Prototype testing</w:t>
            </w:r>
          </w:p>
        </w:tc>
        <w:tc>
          <w:tcPr>
            <w:tcW w:w="0" w:type="auto"/>
            <w:shd w:val="clear" w:color="auto" w:fill="E5B8B7" w:themeFill="accent2" w:themeFillTint="66"/>
            <w:tcMar>
              <w:top w:w="100" w:type="dxa"/>
              <w:left w:w="100" w:type="dxa"/>
              <w:bottom w:w="100" w:type="dxa"/>
              <w:right w:w="100" w:type="dxa"/>
            </w:tcMar>
            <w:hideMark/>
          </w:tcPr>
          <w:p w14:paraId="6AB05FA2" w14:textId="77777777" w:rsidR="004E6114" w:rsidRPr="004E6114" w:rsidRDefault="004E6114" w:rsidP="004E6114">
            <w:pPr>
              <w:rPr>
                <w:lang w:val="en-IN"/>
              </w:rPr>
            </w:pPr>
            <w:r w:rsidRPr="004E6114">
              <w:rPr>
                <w:lang w:val="en-IN"/>
              </w:rPr>
              <w:t>R&amp;D Engineers</w:t>
            </w:r>
          </w:p>
        </w:tc>
        <w:tc>
          <w:tcPr>
            <w:tcW w:w="0" w:type="auto"/>
            <w:shd w:val="clear" w:color="auto" w:fill="E5B8B7" w:themeFill="accent2" w:themeFillTint="66"/>
            <w:tcMar>
              <w:top w:w="100" w:type="dxa"/>
              <w:left w:w="100" w:type="dxa"/>
              <w:bottom w:w="100" w:type="dxa"/>
              <w:right w:w="100" w:type="dxa"/>
            </w:tcMar>
            <w:hideMark/>
          </w:tcPr>
          <w:p w14:paraId="0B51A950" w14:textId="77777777" w:rsidR="004E6114" w:rsidRPr="004E6114" w:rsidRDefault="004E6114" w:rsidP="004E6114">
            <w:pPr>
              <w:rPr>
                <w:lang w:val="en-IN"/>
              </w:rPr>
            </w:pPr>
            <w:r w:rsidRPr="004E6114">
              <w:rPr>
                <w:lang w:val="en-IN"/>
              </w:rPr>
              <w:t>Technical Lead</w:t>
            </w:r>
          </w:p>
        </w:tc>
        <w:tc>
          <w:tcPr>
            <w:tcW w:w="0" w:type="auto"/>
            <w:shd w:val="clear" w:color="auto" w:fill="E5B8B7" w:themeFill="accent2" w:themeFillTint="66"/>
            <w:tcMar>
              <w:top w:w="100" w:type="dxa"/>
              <w:left w:w="100" w:type="dxa"/>
              <w:bottom w:w="100" w:type="dxa"/>
              <w:right w:w="100" w:type="dxa"/>
            </w:tcMar>
            <w:hideMark/>
          </w:tcPr>
          <w:p w14:paraId="56D92546" w14:textId="77777777" w:rsidR="004E6114" w:rsidRPr="004E6114" w:rsidRDefault="004E6114" w:rsidP="004E6114">
            <w:pPr>
              <w:rPr>
                <w:lang w:val="en-IN"/>
              </w:rPr>
            </w:pPr>
            <w:r w:rsidRPr="004E6114">
              <w:rPr>
                <w:lang w:val="en-IN"/>
              </w:rPr>
              <w:t>NHS partners</w:t>
            </w:r>
          </w:p>
        </w:tc>
        <w:tc>
          <w:tcPr>
            <w:tcW w:w="0" w:type="auto"/>
            <w:shd w:val="clear" w:color="auto" w:fill="E5B8B7" w:themeFill="accent2" w:themeFillTint="66"/>
            <w:tcMar>
              <w:top w:w="100" w:type="dxa"/>
              <w:left w:w="100" w:type="dxa"/>
              <w:bottom w:w="100" w:type="dxa"/>
              <w:right w:w="100" w:type="dxa"/>
            </w:tcMar>
            <w:hideMark/>
          </w:tcPr>
          <w:p w14:paraId="6377C5A5" w14:textId="77777777" w:rsidR="004E6114" w:rsidRPr="004E6114" w:rsidRDefault="004E6114" w:rsidP="004E6114">
            <w:pPr>
              <w:rPr>
                <w:lang w:val="en-IN"/>
              </w:rPr>
            </w:pPr>
            <w:r w:rsidRPr="004E6114">
              <w:rPr>
                <w:lang w:val="en-IN"/>
              </w:rPr>
              <w:t>Marketing Team</w:t>
            </w:r>
          </w:p>
        </w:tc>
      </w:tr>
      <w:tr w:rsidR="004E6114" w:rsidRPr="004E6114" w14:paraId="65EC41C1" w14:textId="77777777" w:rsidTr="000F701B">
        <w:trPr>
          <w:trHeight w:val="800"/>
        </w:trPr>
        <w:tc>
          <w:tcPr>
            <w:tcW w:w="0" w:type="auto"/>
            <w:shd w:val="clear" w:color="auto" w:fill="E5B8B7" w:themeFill="accent2" w:themeFillTint="66"/>
            <w:tcMar>
              <w:top w:w="100" w:type="dxa"/>
              <w:left w:w="100" w:type="dxa"/>
              <w:bottom w:w="100" w:type="dxa"/>
              <w:right w:w="100" w:type="dxa"/>
            </w:tcMar>
            <w:hideMark/>
          </w:tcPr>
          <w:p w14:paraId="0E9641E1" w14:textId="77777777" w:rsidR="004E6114" w:rsidRPr="004E6114" w:rsidRDefault="004E6114" w:rsidP="004E6114">
            <w:pPr>
              <w:rPr>
                <w:lang w:val="en-IN"/>
              </w:rPr>
            </w:pPr>
            <w:r w:rsidRPr="004E6114">
              <w:rPr>
                <w:lang w:val="en-IN"/>
              </w:rPr>
              <w:t>Marketing strategy</w:t>
            </w:r>
          </w:p>
        </w:tc>
        <w:tc>
          <w:tcPr>
            <w:tcW w:w="0" w:type="auto"/>
            <w:shd w:val="clear" w:color="auto" w:fill="E5B8B7" w:themeFill="accent2" w:themeFillTint="66"/>
            <w:tcMar>
              <w:top w:w="100" w:type="dxa"/>
              <w:left w:w="100" w:type="dxa"/>
              <w:bottom w:w="100" w:type="dxa"/>
              <w:right w:w="100" w:type="dxa"/>
            </w:tcMar>
            <w:hideMark/>
          </w:tcPr>
          <w:p w14:paraId="356A15DA" w14:textId="77777777" w:rsidR="004E6114" w:rsidRPr="004E6114" w:rsidRDefault="004E6114" w:rsidP="004E6114">
            <w:pPr>
              <w:rPr>
                <w:lang w:val="en-IN"/>
              </w:rPr>
            </w:pPr>
            <w:r w:rsidRPr="004E6114">
              <w:rPr>
                <w:lang w:val="en-IN"/>
              </w:rPr>
              <w:t>Marketing Manager</w:t>
            </w:r>
          </w:p>
        </w:tc>
        <w:tc>
          <w:tcPr>
            <w:tcW w:w="0" w:type="auto"/>
            <w:shd w:val="clear" w:color="auto" w:fill="E5B8B7" w:themeFill="accent2" w:themeFillTint="66"/>
            <w:tcMar>
              <w:top w:w="100" w:type="dxa"/>
              <w:left w:w="100" w:type="dxa"/>
              <w:bottom w:w="100" w:type="dxa"/>
              <w:right w:w="100" w:type="dxa"/>
            </w:tcMar>
            <w:hideMark/>
          </w:tcPr>
          <w:p w14:paraId="41D5201D" w14:textId="77777777" w:rsidR="004E6114" w:rsidRPr="004E6114" w:rsidRDefault="004E6114" w:rsidP="004E6114">
            <w:pPr>
              <w:rPr>
                <w:lang w:val="en-IN"/>
              </w:rPr>
            </w:pPr>
            <w:r w:rsidRPr="004E6114">
              <w:rPr>
                <w:lang w:val="en-IN"/>
              </w:rPr>
              <w:t>Head of Sales</w:t>
            </w:r>
          </w:p>
        </w:tc>
        <w:tc>
          <w:tcPr>
            <w:tcW w:w="0" w:type="auto"/>
            <w:shd w:val="clear" w:color="auto" w:fill="E5B8B7" w:themeFill="accent2" w:themeFillTint="66"/>
            <w:tcMar>
              <w:top w:w="100" w:type="dxa"/>
              <w:left w:w="100" w:type="dxa"/>
              <w:bottom w:w="100" w:type="dxa"/>
              <w:right w:w="100" w:type="dxa"/>
            </w:tcMar>
            <w:hideMark/>
          </w:tcPr>
          <w:p w14:paraId="283DE329" w14:textId="77777777" w:rsidR="004E6114" w:rsidRPr="004E6114" w:rsidRDefault="004E6114" w:rsidP="004E6114">
            <w:pPr>
              <w:rPr>
                <w:lang w:val="en-IN"/>
              </w:rPr>
            </w:pPr>
            <w:r w:rsidRPr="004E6114">
              <w:rPr>
                <w:lang w:val="en-IN"/>
              </w:rPr>
              <w:t>Consumers, Design Team</w:t>
            </w:r>
          </w:p>
        </w:tc>
        <w:tc>
          <w:tcPr>
            <w:tcW w:w="0" w:type="auto"/>
            <w:shd w:val="clear" w:color="auto" w:fill="E5B8B7" w:themeFill="accent2" w:themeFillTint="66"/>
            <w:tcMar>
              <w:top w:w="100" w:type="dxa"/>
              <w:left w:w="100" w:type="dxa"/>
              <w:bottom w:w="100" w:type="dxa"/>
              <w:right w:w="100" w:type="dxa"/>
            </w:tcMar>
            <w:hideMark/>
          </w:tcPr>
          <w:p w14:paraId="69406193" w14:textId="77777777" w:rsidR="004E6114" w:rsidRPr="004E6114" w:rsidRDefault="004E6114" w:rsidP="004E6114">
            <w:pPr>
              <w:rPr>
                <w:lang w:val="en-IN"/>
              </w:rPr>
            </w:pPr>
            <w:r w:rsidRPr="004E6114">
              <w:rPr>
                <w:lang w:val="en-IN"/>
              </w:rPr>
              <w:t>All departments</w:t>
            </w:r>
          </w:p>
        </w:tc>
      </w:tr>
      <w:tr w:rsidR="004E6114" w:rsidRPr="004E6114" w14:paraId="7B162582" w14:textId="77777777" w:rsidTr="000F701B">
        <w:trPr>
          <w:trHeight w:val="800"/>
        </w:trPr>
        <w:tc>
          <w:tcPr>
            <w:tcW w:w="0" w:type="auto"/>
            <w:shd w:val="clear" w:color="auto" w:fill="E5B8B7" w:themeFill="accent2" w:themeFillTint="66"/>
            <w:tcMar>
              <w:top w:w="100" w:type="dxa"/>
              <w:left w:w="100" w:type="dxa"/>
              <w:bottom w:w="100" w:type="dxa"/>
              <w:right w:w="100" w:type="dxa"/>
            </w:tcMar>
            <w:hideMark/>
          </w:tcPr>
          <w:p w14:paraId="33A384E5" w14:textId="77777777" w:rsidR="004E6114" w:rsidRPr="004E6114" w:rsidRDefault="004E6114" w:rsidP="004E6114">
            <w:pPr>
              <w:rPr>
                <w:lang w:val="en-IN"/>
              </w:rPr>
            </w:pPr>
            <w:r w:rsidRPr="004E6114">
              <w:rPr>
                <w:lang w:val="en-IN"/>
              </w:rPr>
              <w:t>Supply chain setup</w:t>
            </w:r>
          </w:p>
        </w:tc>
        <w:tc>
          <w:tcPr>
            <w:tcW w:w="0" w:type="auto"/>
            <w:shd w:val="clear" w:color="auto" w:fill="E5B8B7" w:themeFill="accent2" w:themeFillTint="66"/>
            <w:tcMar>
              <w:top w:w="100" w:type="dxa"/>
              <w:left w:w="100" w:type="dxa"/>
              <w:bottom w:w="100" w:type="dxa"/>
              <w:right w:w="100" w:type="dxa"/>
            </w:tcMar>
            <w:hideMark/>
          </w:tcPr>
          <w:p w14:paraId="232E21BB" w14:textId="77777777" w:rsidR="004E6114" w:rsidRPr="004E6114" w:rsidRDefault="004E6114" w:rsidP="004E6114">
            <w:pPr>
              <w:rPr>
                <w:lang w:val="en-IN"/>
              </w:rPr>
            </w:pPr>
            <w:r w:rsidRPr="004E6114">
              <w:rPr>
                <w:lang w:val="en-IN"/>
              </w:rPr>
              <w:t>Procurement Lead</w:t>
            </w:r>
          </w:p>
        </w:tc>
        <w:tc>
          <w:tcPr>
            <w:tcW w:w="0" w:type="auto"/>
            <w:shd w:val="clear" w:color="auto" w:fill="E5B8B7" w:themeFill="accent2" w:themeFillTint="66"/>
            <w:tcMar>
              <w:top w:w="100" w:type="dxa"/>
              <w:left w:w="100" w:type="dxa"/>
              <w:bottom w:w="100" w:type="dxa"/>
              <w:right w:w="100" w:type="dxa"/>
            </w:tcMar>
            <w:hideMark/>
          </w:tcPr>
          <w:p w14:paraId="3BD0C2EC" w14:textId="77777777" w:rsidR="004E6114" w:rsidRPr="004E6114" w:rsidRDefault="004E6114" w:rsidP="004E6114">
            <w:pPr>
              <w:rPr>
                <w:lang w:val="en-IN"/>
              </w:rPr>
            </w:pPr>
            <w:r w:rsidRPr="004E6114">
              <w:rPr>
                <w:lang w:val="en-IN"/>
              </w:rPr>
              <w:t>Operations Director</w:t>
            </w:r>
          </w:p>
        </w:tc>
        <w:tc>
          <w:tcPr>
            <w:tcW w:w="0" w:type="auto"/>
            <w:shd w:val="clear" w:color="auto" w:fill="E5B8B7" w:themeFill="accent2" w:themeFillTint="66"/>
            <w:tcMar>
              <w:top w:w="100" w:type="dxa"/>
              <w:left w:w="100" w:type="dxa"/>
              <w:bottom w:w="100" w:type="dxa"/>
              <w:right w:w="100" w:type="dxa"/>
            </w:tcMar>
            <w:hideMark/>
          </w:tcPr>
          <w:p w14:paraId="52D2B638" w14:textId="77777777" w:rsidR="004E6114" w:rsidRPr="004E6114" w:rsidRDefault="004E6114" w:rsidP="004E6114">
            <w:pPr>
              <w:rPr>
                <w:lang w:val="en-IN"/>
              </w:rPr>
            </w:pPr>
            <w:r w:rsidRPr="004E6114">
              <w:rPr>
                <w:lang w:val="en-IN"/>
              </w:rPr>
              <w:t>Suppliers</w:t>
            </w:r>
          </w:p>
        </w:tc>
        <w:tc>
          <w:tcPr>
            <w:tcW w:w="0" w:type="auto"/>
            <w:shd w:val="clear" w:color="auto" w:fill="E5B8B7" w:themeFill="accent2" w:themeFillTint="66"/>
            <w:tcMar>
              <w:top w:w="100" w:type="dxa"/>
              <w:left w:w="100" w:type="dxa"/>
              <w:bottom w:w="100" w:type="dxa"/>
              <w:right w:w="100" w:type="dxa"/>
            </w:tcMar>
            <w:hideMark/>
          </w:tcPr>
          <w:p w14:paraId="78A55E0E" w14:textId="77777777" w:rsidR="004E6114" w:rsidRPr="004E6114" w:rsidRDefault="004E6114" w:rsidP="004E6114">
            <w:pPr>
              <w:rPr>
                <w:lang w:val="en-IN"/>
              </w:rPr>
            </w:pPr>
            <w:r w:rsidRPr="004E6114">
              <w:rPr>
                <w:lang w:val="en-IN"/>
              </w:rPr>
              <w:t>Finance</w:t>
            </w:r>
          </w:p>
        </w:tc>
      </w:tr>
      <w:tr w:rsidR="004E6114" w:rsidRPr="004E6114" w14:paraId="09023B9E" w14:textId="77777777" w:rsidTr="000F701B">
        <w:trPr>
          <w:trHeight w:val="800"/>
        </w:trPr>
        <w:tc>
          <w:tcPr>
            <w:tcW w:w="0" w:type="auto"/>
            <w:shd w:val="clear" w:color="auto" w:fill="E5B8B7" w:themeFill="accent2" w:themeFillTint="66"/>
            <w:tcMar>
              <w:top w:w="100" w:type="dxa"/>
              <w:left w:w="100" w:type="dxa"/>
              <w:bottom w:w="100" w:type="dxa"/>
              <w:right w:w="100" w:type="dxa"/>
            </w:tcMar>
            <w:hideMark/>
          </w:tcPr>
          <w:p w14:paraId="1BA9F81F" w14:textId="77777777" w:rsidR="004E6114" w:rsidRPr="004E6114" w:rsidRDefault="004E6114" w:rsidP="004E6114">
            <w:pPr>
              <w:rPr>
                <w:lang w:val="en-IN"/>
              </w:rPr>
            </w:pPr>
            <w:r w:rsidRPr="004E6114">
              <w:rPr>
                <w:lang w:val="en-IN"/>
              </w:rPr>
              <w:t>Product launch</w:t>
            </w:r>
          </w:p>
        </w:tc>
        <w:tc>
          <w:tcPr>
            <w:tcW w:w="0" w:type="auto"/>
            <w:shd w:val="clear" w:color="auto" w:fill="E5B8B7" w:themeFill="accent2" w:themeFillTint="66"/>
            <w:tcMar>
              <w:top w:w="100" w:type="dxa"/>
              <w:left w:w="100" w:type="dxa"/>
              <w:bottom w:w="100" w:type="dxa"/>
              <w:right w:w="100" w:type="dxa"/>
            </w:tcMar>
            <w:hideMark/>
          </w:tcPr>
          <w:p w14:paraId="62A07588" w14:textId="77777777" w:rsidR="004E6114" w:rsidRPr="004E6114" w:rsidRDefault="004E6114" w:rsidP="004E6114">
            <w:pPr>
              <w:rPr>
                <w:lang w:val="en-IN"/>
              </w:rPr>
            </w:pPr>
            <w:r w:rsidRPr="004E6114">
              <w:rPr>
                <w:lang w:val="en-IN"/>
              </w:rPr>
              <w:t>Project Manager</w:t>
            </w:r>
          </w:p>
        </w:tc>
        <w:tc>
          <w:tcPr>
            <w:tcW w:w="0" w:type="auto"/>
            <w:shd w:val="clear" w:color="auto" w:fill="E5B8B7" w:themeFill="accent2" w:themeFillTint="66"/>
            <w:tcMar>
              <w:top w:w="100" w:type="dxa"/>
              <w:left w:w="100" w:type="dxa"/>
              <w:bottom w:w="100" w:type="dxa"/>
              <w:right w:w="100" w:type="dxa"/>
            </w:tcMar>
            <w:hideMark/>
          </w:tcPr>
          <w:p w14:paraId="40C9CC0E" w14:textId="77777777" w:rsidR="004E6114" w:rsidRPr="004E6114" w:rsidRDefault="004E6114" w:rsidP="004E6114">
            <w:pPr>
              <w:rPr>
                <w:lang w:val="en-IN"/>
              </w:rPr>
            </w:pPr>
            <w:r w:rsidRPr="004E6114">
              <w:rPr>
                <w:lang w:val="en-IN"/>
              </w:rPr>
              <w:t>Managing Director</w:t>
            </w:r>
          </w:p>
        </w:tc>
        <w:tc>
          <w:tcPr>
            <w:tcW w:w="0" w:type="auto"/>
            <w:shd w:val="clear" w:color="auto" w:fill="E5B8B7" w:themeFill="accent2" w:themeFillTint="66"/>
            <w:tcMar>
              <w:top w:w="100" w:type="dxa"/>
              <w:left w:w="100" w:type="dxa"/>
              <w:bottom w:w="100" w:type="dxa"/>
              <w:right w:w="100" w:type="dxa"/>
            </w:tcMar>
            <w:hideMark/>
          </w:tcPr>
          <w:p w14:paraId="18A61346" w14:textId="77777777" w:rsidR="004E6114" w:rsidRPr="004E6114" w:rsidRDefault="004E6114" w:rsidP="004E6114">
            <w:pPr>
              <w:rPr>
                <w:lang w:val="en-IN"/>
              </w:rPr>
            </w:pPr>
            <w:r w:rsidRPr="004E6114">
              <w:rPr>
                <w:lang w:val="en-IN"/>
              </w:rPr>
              <w:t>PR team &amp; Retailers</w:t>
            </w:r>
          </w:p>
        </w:tc>
        <w:tc>
          <w:tcPr>
            <w:tcW w:w="0" w:type="auto"/>
            <w:shd w:val="clear" w:color="auto" w:fill="E5B8B7" w:themeFill="accent2" w:themeFillTint="66"/>
            <w:tcMar>
              <w:top w:w="100" w:type="dxa"/>
              <w:left w:w="100" w:type="dxa"/>
              <w:bottom w:w="100" w:type="dxa"/>
              <w:right w:w="100" w:type="dxa"/>
            </w:tcMar>
            <w:hideMark/>
          </w:tcPr>
          <w:p w14:paraId="363E2445" w14:textId="77777777" w:rsidR="004E6114" w:rsidRPr="004E6114" w:rsidRDefault="004E6114" w:rsidP="004E6114">
            <w:pPr>
              <w:rPr>
                <w:lang w:val="en-IN"/>
              </w:rPr>
            </w:pPr>
            <w:r w:rsidRPr="004E6114">
              <w:rPr>
                <w:lang w:val="en-IN"/>
              </w:rPr>
              <w:t>Stakeholders</w:t>
            </w:r>
          </w:p>
        </w:tc>
      </w:tr>
    </w:tbl>
    <w:p w14:paraId="35B5D9FE" w14:textId="24EFD2D0" w:rsidR="004E6114" w:rsidRDefault="00782B5D" w:rsidP="00782B5D">
      <w:pPr>
        <w:jc w:val="center"/>
        <w:rPr>
          <w:b/>
          <w:bCs/>
          <w:lang w:val="en-IN"/>
        </w:rPr>
      </w:pPr>
      <w:r w:rsidRPr="004E6114">
        <w:rPr>
          <w:b/>
          <w:bCs/>
          <w:lang w:val="en-IN"/>
        </w:rPr>
        <w:t xml:space="preserve">Table </w:t>
      </w:r>
      <w:r>
        <w:rPr>
          <w:b/>
          <w:bCs/>
          <w:lang w:val="en-IN"/>
        </w:rPr>
        <w:t>4:</w:t>
      </w:r>
      <w:r w:rsidRPr="004E6114">
        <w:rPr>
          <w:b/>
          <w:bCs/>
          <w:lang w:val="en-IN"/>
        </w:rPr>
        <w:t xml:space="preserve"> RACI Matrix for Fitbit Sense 3 Project</w:t>
      </w:r>
    </w:p>
    <w:p w14:paraId="727F2499" w14:textId="27516389" w:rsidR="00782B5D" w:rsidRPr="004E6114" w:rsidRDefault="00782B5D" w:rsidP="00782B5D">
      <w:pPr>
        <w:jc w:val="center"/>
        <w:rPr>
          <w:lang w:val="en-IN"/>
        </w:rPr>
      </w:pPr>
      <w:r w:rsidRPr="00782B5D">
        <w:rPr>
          <w:lang w:val="en-IN"/>
        </w:rPr>
        <w:t>(Source: Self-made)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2"/>
        <w:gridCol w:w="3881"/>
        <w:gridCol w:w="3066"/>
      </w:tblGrid>
      <w:tr w:rsidR="004E6114" w:rsidRPr="004E6114" w14:paraId="73832FE5" w14:textId="77777777" w:rsidTr="000F701B">
        <w:trPr>
          <w:trHeight w:val="800"/>
        </w:trPr>
        <w:tc>
          <w:tcPr>
            <w:tcW w:w="0" w:type="auto"/>
            <w:shd w:val="clear" w:color="auto" w:fill="B2A1C7" w:themeFill="accent4" w:themeFillTint="99"/>
            <w:tcMar>
              <w:top w:w="100" w:type="dxa"/>
              <w:left w:w="100" w:type="dxa"/>
              <w:bottom w:w="100" w:type="dxa"/>
              <w:right w:w="100" w:type="dxa"/>
            </w:tcMar>
            <w:hideMark/>
          </w:tcPr>
          <w:p w14:paraId="5B4EFAFD" w14:textId="77777777" w:rsidR="004E6114" w:rsidRPr="004E6114" w:rsidRDefault="004E6114" w:rsidP="00782B5D">
            <w:pPr>
              <w:jc w:val="center"/>
              <w:rPr>
                <w:lang w:val="en-IN"/>
              </w:rPr>
            </w:pPr>
            <w:r w:rsidRPr="004E6114">
              <w:rPr>
                <w:b/>
                <w:bCs/>
                <w:lang w:val="en-IN"/>
              </w:rPr>
              <w:t>Stakeholder Group</w:t>
            </w:r>
          </w:p>
        </w:tc>
        <w:tc>
          <w:tcPr>
            <w:tcW w:w="0" w:type="auto"/>
            <w:shd w:val="clear" w:color="auto" w:fill="B2A1C7" w:themeFill="accent4" w:themeFillTint="99"/>
            <w:tcMar>
              <w:top w:w="100" w:type="dxa"/>
              <w:left w:w="100" w:type="dxa"/>
              <w:bottom w:w="100" w:type="dxa"/>
              <w:right w:w="100" w:type="dxa"/>
            </w:tcMar>
            <w:hideMark/>
          </w:tcPr>
          <w:p w14:paraId="7FFF9658" w14:textId="77777777" w:rsidR="004E6114" w:rsidRPr="004E6114" w:rsidRDefault="004E6114" w:rsidP="00782B5D">
            <w:pPr>
              <w:jc w:val="center"/>
              <w:rPr>
                <w:lang w:val="en-IN"/>
              </w:rPr>
            </w:pPr>
            <w:r w:rsidRPr="004E6114">
              <w:rPr>
                <w:b/>
                <w:bCs/>
                <w:lang w:val="en-IN"/>
              </w:rPr>
              <w:t>Benefits to Project</w:t>
            </w:r>
          </w:p>
        </w:tc>
        <w:tc>
          <w:tcPr>
            <w:tcW w:w="0" w:type="auto"/>
            <w:shd w:val="clear" w:color="auto" w:fill="B2A1C7" w:themeFill="accent4" w:themeFillTint="99"/>
            <w:tcMar>
              <w:top w:w="100" w:type="dxa"/>
              <w:left w:w="100" w:type="dxa"/>
              <w:bottom w:w="100" w:type="dxa"/>
              <w:right w:w="100" w:type="dxa"/>
            </w:tcMar>
            <w:hideMark/>
          </w:tcPr>
          <w:p w14:paraId="0B37B764" w14:textId="77777777" w:rsidR="004E6114" w:rsidRPr="004E6114" w:rsidRDefault="004E6114" w:rsidP="00782B5D">
            <w:pPr>
              <w:jc w:val="center"/>
              <w:rPr>
                <w:lang w:val="en-IN"/>
              </w:rPr>
            </w:pPr>
            <w:r w:rsidRPr="004E6114">
              <w:rPr>
                <w:b/>
                <w:bCs/>
                <w:lang w:val="en-IN"/>
              </w:rPr>
              <w:t>Key Challenges</w:t>
            </w:r>
          </w:p>
        </w:tc>
      </w:tr>
      <w:tr w:rsidR="004E6114" w:rsidRPr="004E6114" w14:paraId="64A92BC0" w14:textId="77777777" w:rsidTr="000F701B">
        <w:trPr>
          <w:trHeight w:val="800"/>
        </w:trPr>
        <w:tc>
          <w:tcPr>
            <w:tcW w:w="0" w:type="auto"/>
            <w:shd w:val="clear" w:color="auto" w:fill="B6DDE8" w:themeFill="accent5" w:themeFillTint="66"/>
            <w:tcMar>
              <w:top w:w="100" w:type="dxa"/>
              <w:left w:w="100" w:type="dxa"/>
              <w:bottom w:w="100" w:type="dxa"/>
              <w:right w:w="100" w:type="dxa"/>
            </w:tcMar>
            <w:hideMark/>
          </w:tcPr>
          <w:p w14:paraId="0AD169B8" w14:textId="77777777" w:rsidR="004E6114" w:rsidRPr="004E6114" w:rsidRDefault="004E6114" w:rsidP="004E6114">
            <w:pPr>
              <w:rPr>
                <w:lang w:val="en-IN"/>
              </w:rPr>
            </w:pPr>
            <w:r w:rsidRPr="004E6114">
              <w:rPr>
                <w:lang w:val="en-IN"/>
              </w:rPr>
              <w:t>Regulators (MHRA)</w:t>
            </w:r>
          </w:p>
        </w:tc>
        <w:tc>
          <w:tcPr>
            <w:tcW w:w="0" w:type="auto"/>
            <w:shd w:val="clear" w:color="auto" w:fill="B6DDE8" w:themeFill="accent5" w:themeFillTint="66"/>
            <w:tcMar>
              <w:top w:w="100" w:type="dxa"/>
              <w:left w:w="100" w:type="dxa"/>
              <w:bottom w:w="100" w:type="dxa"/>
              <w:right w:w="100" w:type="dxa"/>
            </w:tcMar>
            <w:hideMark/>
          </w:tcPr>
          <w:p w14:paraId="1ED15F55" w14:textId="77777777" w:rsidR="004E6114" w:rsidRPr="004E6114" w:rsidRDefault="004E6114" w:rsidP="004E6114">
            <w:pPr>
              <w:rPr>
                <w:lang w:val="en-IN"/>
              </w:rPr>
            </w:pPr>
            <w:r w:rsidRPr="004E6114">
              <w:rPr>
                <w:lang w:val="en-IN"/>
              </w:rPr>
              <w:t>Ensures trust and credibility</w:t>
            </w:r>
          </w:p>
        </w:tc>
        <w:tc>
          <w:tcPr>
            <w:tcW w:w="0" w:type="auto"/>
            <w:shd w:val="clear" w:color="auto" w:fill="B6DDE8" w:themeFill="accent5" w:themeFillTint="66"/>
            <w:tcMar>
              <w:top w:w="100" w:type="dxa"/>
              <w:left w:w="100" w:type="dxa"/>
              <w:bottom w:w="100" w:type="dxa"/>
              <w:right w:w="100" w:type="dxa"/>
            </w:tcMar>
            <w:hideMark/>
          </w:tcPr>
          <w:p w14:paraId="61430F27" w14:textId="77777777" w:rsidR="004E6114" w:rsidRPr="004E6114" w:rsidRDefault="004E6114" w:rsidP="004E6114">
            <w:pPr>
              <w:rPr>
                <w:lang w:val="en-IN"/>
              </w:rPr>
            </w:pPr>
            <w:r w:rsidRPr="004E6114">
              <w:rPr>
                <w:lang w:val="en-IN"/>
              </w:rPr>
              <w:t>Lengthy approval process</w:t>
            </w:r>
          </w:p>
        </w:tc>
      </w:tr>
      <w:tr w:rsidR="004E6114" w:rsidRPr="004E6114" w14:paraId="021B0A8B" w14:textId="77777777" w:rsidTr="000F701B">
        <w:trPr>
          <w:trHeight w:val="800"/>
        </w:trPr>
        <w:tc>
          <w:tcPr>
            <w:tcW w:w="0" w:type="auto"/>
            <w:shd w:val="clear" w:color="auto" w:fill="B6DDE8" w:themeFill="accent5" w:themeFillTint="66"/>
            <w:tcMar>
              <w:top w:w="100" w:type="dxa"/>
              <w:left w:w="100" w:type="dxa"/>
              <w:bottom w:w="100" w:type="dxa"/>
              <w:right w:w="100" w:type="dxa"/>
            </w:tcMar>
            <w:hideMark/>
          </w:tcPr>
          <w:p w14:paraId="490043C2" w14:textId="77777777" w:rsidR="004E6114" w:rsidRPr="004E6114" w:rsidRDefault="004E6114" w:rsidP="004E6114">
            <w:pPr>
              <w:rPr>
                <w:lang w:val="en-IN"/>
              </w:rPr>
            </w:pPr>
            <w:r w:rsidRPr="004E6114">
              <w:rPr>
                <w:lang w:val="en-IN"/>
              </w:rPr>
              <w:t>NHS Partners</w:t>
            </w:r>
          </w:p>
        </w:tc>
        <w:tc>
          <w:tcPr>
            <w:tcW w:w="0" w:type="auto"/>
            <w:shd w:val="clear" w:color="auto" w:fill="B6DDE8" w:themeFill="accent5" w:themeFillTint="66"/>
            <w:tcMar>
              <w:top w:w="100" w:type="dxa"/>
              <w:left w:w="100" w:type="dxa"/>
              <w:bottom w:w="100" w:type="dxa"/>
              <w:right w:w="100" w:type="dxa"/>
            </w:tcMar>
            <w:hideMark/>
          </w:tcPr>
          <w:p w14:paraId="2A344F9B" w14:textId="77777777" w:rsidR="004E6114" w:rsidRPr="004E6114" w:rsidRDefault="004E6114" w:rsidP="004E6114">
            <w:pPr>
              <w:rPr>
                <w:lang w:val="en-IN"/>
              </w:rPr>
            </w:pPr>
            <w:r w:rsidRPr="004E6114">
              <w:rPr>
                <w:lang w:val="en-IN"/>
              </w:rPr>
              <w:t>Access to innovative data collection</w:t>
            </w:r>
          </w:p>
        </w:tc>
        <w:tc>
          <w:tcPr>
            <w:tcW w:w="0" w:type="auto"/>
            <w:shd w:val="clear" w:color="auto" w:fill="B6DDE8" w:themeFill="accent5" w:themeFillTint="66"/>
            <w:tcMar>
              <w:top w:w="100" w:type="dxa"/>
              <w:left w:w="100" w:type="dxa"/>
              <w:bottom w:w="100" w:type="dxa"/>
              <w:right w:w="100" w:type="dxa"/>
            </w:tcMar>
            <w:hideMark/>
          </w:tcPr>
          <w:p w14:paraId="33DEB6E4" w14:textId="77777777" w:rsidR="004E6114" w:rsidRPr="004E6114" w:rsidRDefault="004E6114" w:rsidP="004E6114">
            <w:pPr>
              <w:rPr>
                <w:lang w:val="en-IN"/>
              </w:rPr>
            </w:pPr>
            <w:r w:rsidRPr="004E6114">
              <w:rPr>
                <w:lang w:val="en-IN"/>
              </w:rPr>
              <w:t>Integration with existing systems</w:t>
            </w:r>
          </w:p>
        </w:tc>
      </w:tr>
      <w:tr w:rsidR="004E6114" w:rsidRPr="004E6114" w14:paraId="2371FCC9" w14:textId="77777777" w:rsidTr="000F701B">
        <w:trPr>
          <w:trHeight w:val="515"/>
        </w:trPr>
        <w:tc>
          <w:tcPr>
            <w:tcW w:w="0" w:type="auto"/>
            <w:shd w:val="clear" w:color="auto" w:fill="B6DDE8" w:themeFill="accent5" w:themeFillTint="66"/>
            <w:tcMar>
              <w:top w:w="100" w:type="dxa"/>
              <w:left w:w="100" w:type="dxa"/>
              <w:bottom w:w="100" w:type="dxa"/>
              <w:right w:w="100" w:type="dxa"/>
            </w:tcMar>
            <w:hideMark/>
          </w:tcPr>
          <w:p w14:paraId="6270356F" w14:textId="77777777" w:rsidR="004E6114" w:rsidRPr="004E6114" w:rsidRDefault="004E6114" w:rsidP="004E6114">
            <w:pPr>
              <w:rPr>
                <w:lang w:val="en-IN"/>
              </w:rPr>
            </w:pPr>
            <w:r w:rsidRPr="004E6114">
              <w:rPr>
                <w:lang w:val="en-IN"/>
              </w:rPr>
              <w:t>Consumers</w:t>
            </w:r>
          </w:p>
        </w:tc>
        <w:tc>
          <w:tcPr>
            <w:tcW w:w="0" w:type="auto"/>
            <w:shd w:val="clear" w:color="auto" w:fill="B6DDE8" w:themeFill="accent5" w:themeFillTint="66"/>
            <w:tcMar>
              <w:top w:w="100" w:type="dxa"/>
              <w:left w:w="100" w:type="dxa"/>
              <w:bottom w:w="100" w:type="dxa"/>
              <w:right w:w="100" w:type="dxa"/>
            </w:tcMar>
            <w:hideMark/>
          </w:tcPr>
          <w:p w14:paraId="05BED359" w14:textId="77777777" w:rsidR="004E6114" w:rsidRPr="004E6114" w:rsidRDefault="004E6114" w:rsidP="004E6114">
            <w:pPr>
              <w:rPr>
                <w:lang w:val="en-IN"/>
              </w:rPr>
            </w:pPr>
            <w:r w:rsidRPr="004E6114">
              <w:rPr>
                <w:lang w:val="en-IN"/>
              </w:rPr>
              <w:t>Personalised health insights</w:t>
            </w:r>
          </w:p>
        </w:tc>
        <w:tc>
          <w:tcPr>
            <w:tcW w:w="0" w:type="auto"/>
            <w:shd w:val="clear" w:color="auto" w:fill="B6DDE8" w:themeFill="accent5" w:themeFillTint="66"/>
            <w:tcMar>
              <w:top w:w="100" w:type="dxa"/>
              <w:left w:w="100" w:type="dxa"/>
              <w:bottom w:w="100" w:type="dxa"/>
              <w:right w:w="100" w:type="dxa"/>
            </w:tcMar>
            <w:hideMark/>
          </w:tcPr>
          <w:p w14:paraId="04BEB6A8" w14:textId="77777777" w:rsidR="004E6114" w:rsidRPr="004E6114" w:rsidRDefault="004E6114" w:rsidP="004E6114">
            <w:pPr>
              <w:rPr>
                <w:lang w:val="en-IN"/>
              </w:rPr>
            </w:pPr>
            <w:r w:rsidRPr="004E6114">
              <w:rPr>
                <w:lang w:val="en-IN"/>
              </w:rPr>
              <w:t>Data privacy concerns</w:t>
            </w:r>
          </w:p>
        </w:tc>
      </w:tr>
      <w:tr w:rsidR="004E6114" w:rsidRPr="004E6114" w14:paraId="16980B59" w14:textId="77777777" w:rsidTr="000F701B">
        <w:trPr>
          <w:trHeight w:val="800"/>
        </w:trPr>
        <w:tc>
          <w:tcPr>
            <w:tcW w:w="0" w:type="auto"/>
            <w:shd w:val="clear" w:color="auto" w:fill="B6DDE8" w:themeFill="accent5" w:themeFillTint="66"/>
            <w:tcMar>
              <w:top w:w="100" w:type="dxa"/>
              <w:left w:w="100" w:type="dxa"/>
              <w:bottom w:w="100" w:type="dxa"/>
              <w:right w:w="100" w:type="dxa"/>
            </w:tcMar>
            <w:hideMark/>
          </w:tcPr>
          <w:p w14:paraId="66FB75DF" w14:textId="77777777" w:rsidR="004E6114" w:rsidRPr="004E6114" w:rsidRDefault="004E6114" w:rsidP="004E6114">
            <w:pPr>
              <w:rPr>
                <w:lang w:val="en-IN"/>
              </w:rPr>
            </w:pPr>
            <w:r w:rsidRPr="004E6114">
              <w:rPr>
                <w:lang w:val="en-IN"/>
              </w:rPr>
              <w:t>Investors</w:t>
            </w:r>
          </w:p>
        </w:tc>
        <w:tc>
          <w:tcPr>
            <w:tcW w:w="0" w:type="auto"/>
            <w:shd w:val="clear" w:color="auto" w:fill="B6DDE8" w:themeFill="accent5" w:themeFillTint="66"/>
            <w:tcMar>
              <w:top w:w="100" w:type="dxa"/>
              <w:left w:w="100" w:type="dxa"/>
              <w:bottom w:w="100" w:type="dxa"/>
              <w:right w:w="100" w:type="dxa"/>
            </w:tcMar>
            <w:hideMark/>
          </w:tcPr>
          <w:p w14:paraId="57E5D775" w14:textId="77777777" w:rsidR="004E6114" w:rsidRPr="004E6114" w:rsidRDefault="004E6114" w:rsidP="004E6114">
            <w:pPr>
              <w:rPr>
                <w:lang w:val="en-IN"/>
              </w:rPr>
            </w:pPr>
            <w:r w:rsidRPr="004E6114">
              <w:rPr>
                <w:lang w:val="en-IN"/>
              </w:rPr>
              <w:t>Long-term returns from AI-driven analytics</w:t>
            </w:r>
          </w:p>
        </w:tc>
        <w:tc>
          <w:tcPr>
            <w:tcW w:w="0" w:type="auto"/>
            <w:shd w:val="clear" w:color="auto" w:fill="B6DDE8" w:themeFill="accent5" w:themeFillTint="66"/>
            <w:tcMar>
              <w:top w:w="100" w:type="dxa"/>
              <w:left w:w="100" w:type="dxa"/>
              <w:bottom w:w="100" w:type="dxa"/>
              <w:right w:w="100" w:type="dxa"/>
            </w:tcMar>
            <w:hideMark/>
          </w:tcPr>
          <w:p w14:paraId="27878F7A" w14:textId="77777777" w:rsidR="004E6114" w:rsidRPr="004E6114" w:rsidRDefault="004E6114" w:rsidP="004E6114">
            <w:pPr>
              <w:rPr>
                <w:lang w:val="en-IN"/>
              </w:rPr>
            </w:pPr>
            <w:r w:rsidRPr="004E6114">
              <w:rPr>
                <w:lang w:val="en-IN"/>
              </w:rPr>
              <w:t>Market competition risk</w:t>
            </w:r>
          </w:p>
        </w:tc>
      </w:tr>
    </w:tbl>
    <w:p w14:paraId="055FCE52" w14:textId="301D6D7D" w:rsidR="00782B5D" w:rsidRPr="00380755" w:rsidRDefault="00782B5D" w:rsidP="00782B5D">
      <w:pPr>
        <w:jc w:val="center"/>
        <w:rPr>
          <w:b/>
          <w:bCs/>
          <w:lang w:val="en-IN"/>
        </w:rPr>
      </w:pPr>
      <w:r w:rsidRPr="00380755">
        <w:rPr>
          <w:b/>
          <w:bCs/>
          <w:lang w:val="en-IN"/>
        </w:rPr>
        <w:t>Table 5: Benefits and Challenges</w:t>
      </w:r>
    </w:p>
    <w:p w14:paraId="77F96DA9" w14:textId="003B345D" w:rsidR="00782B5D" w:rsidRPr="00380755" w:rsidRDefault="00782B5D" w:rsidP="00782B5D">
      <w:pPr>
        <w:jc w:val="center"/>
        <w:rPr>
          <w:lang w:val="en-IN"/>
        </w:rPr>
      </w:pPr>
      <w:r w:rsidRPr="00380755">
        <w:rPr>
          <w:lang w:val="en-IN"/>
        </w:rPr>
        <w:t>(Source: Self-made)</w:t>
      </w:r>
    </w:p>
    <w:p w14:paraId="61F80882" w14:textId="639FE131" w:rsidR="004E6114" w:rsidRPr="00380755" w:rsidRDefault="006B53F9" w:rsidP="00782B5D">
      <w:pPr>
        <w:rPr>
          <w:lang w:val="en-IN"/>
        </w:rPr>
      </w:pPr>
      <w:r w:rsidRPr="00380755">
        <w:t>Defining roles and responsibilities is essential to the minimization of the ambiguity and aids in the involvement of the coordinated decision-making process during the launch. Regulatory agencies serve as critical controls that help to enhance credibility of the devices but they also create some difficulties including long approval procedures and the change of compliance requirements. The NHS partners will be providing clinical understanding and situational testing conditions, but the integration with already existing digital infrastructure can introduce delays. Real-world perspectives introduced by the consumers can build usability and trust, yet increased sensitivity to privacy may bar adoption (Davis et al., 2022). Suppliers improve resilience in production, but they are vulnerable to disruptions in the entire world which can affect the time lines. By realizing positive and negative consequences of each of the stakeholders roles, Fitbit will be able to pro-actively manage the expectations, efficiently distribute resources and enhance the cross-functional alignment</w:t>
      </w:r>
      <w:r w:rsidR="00D1545D" w:rsidRPr="00380755">
        <w:rPr>
          <w:lang w:val="en-IN"/>
        </w:rPr>
        <w:t>.</w:t>
      </w:r>
    </w:p>
    <w:p w14:paraId="446BC8E8" w14:textId="665CFAC7" w:rsidR="00D1545D" w:rsidRPr="00380755" w:rsidRDefault="004E6114" w:rsidP="00483F60">
      <w:pPr>
        <w:pStyle w:val="Heading1"/>
        <w:rPr>
          <w:lang w:val="en-IN"/>
        </w:rPr>
      </w:pPr>
      <w:bookmarkStart w:id="5" w:name="_Toc214102987"/>
      <w:r w:rsidRPr="00380755">
        <w:rPr>
          <w:lang w:val="en-IN"/>
        </w:rPr>
        <w:t>5. Stakeholder Engagement Frameworks</w:t>
      </w:r>
      <w:bookmarkEnd w:id="5"/>
    </w:p>
    <w:p w14:paraId="20979D91" w14:textId="605CC1D3" w:rsidR="00D1545D" w:rsidRPr="00380755" w:rsidRDefault="006B53F9" w:rsidP="00D1545D">
      <w:pPr>
        <w:rPr>
          <w:lang w:val="en-IN"/>
        </w:rPr>
      </w:pPr>
      <w:r w:rsidRPr="00380755">
        <w:t>The stakeholder engagement plan is an established approach, which maintains active and significant participation in the lifecycle of the project. In the identification stage, Fitbit will hold mapping sessions and interviews to identify the expectations, level of power and concerns of each stakeholder. The workshops and persona creation exercises are used during the analysis stage to evaluate the stakeholder needs, risks and priority levels. The planning phase, entails coordination of approaches to engagement, measuring, and team ownership. At the engagement stage, Fitbit deploys pilot programmes, prototype testing and collaborative problem solving to ensure that it sustains good relationship with NHS Digital, regulators, suppliers, and consumer groups. The last phase of the review involves the quarterly engagement audit, satisfaction survey, and KPI review that assists Fitbit in improving its strategies to ensure that all areas are under constant improvement</w:t>
      </w:r>
      <w:r w:rsidR="00D1545D" w:rsidRPr="00380755">
        <w:rPr>
          <w:lang w:val="en-IN"/>
        </w:rPr>
        <w:t>. This structured, cyclical process aligns with PMBOK principles (Project Management Institute, 2021) and ensures long-term, trust-based collaboration.</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0"/>
        <w:gridCol w:w="2123"/>
        <w:gridCol w:w="1740"/>
        <w:gridCol w:w="2334"/>
        <w:gridCol w:w="1222"/>
      </w:tblGrid>
      <w:tr w:rsidR="00D1545D" w:rsidRPr="00D1545D" w14:paraId="51046303" w14:textId="77777777" w:rsidTr="000F701B">
        <w:trPr>
          <w:tblHeader/>
          <w:tblCellSpacing w:w="15" w:type="dxa"/>
          <w:jc w:val="center"/>
        </w:trPr>
        <w:tc>
          <w:tcPr>
            <w:tcW w:w="0" w:type="auto"/>
            <w:shd w:val="clear" w:color="auto" w:fill="D99594" w:themeFill="accent2" w:themeFillTint="99"/>
            <w:vAlign w:val="center"/>
            <w:hideMark/>
          </w:tcPr>
          <w:p w14:paraId="5FB66C7B" w14:textId="77777777" w:rsidR="00D1545D" w:rsidRPr="00D1545D" w:rsidRDefault="00D1545D" w:rsidP="00D1545D">
            <w:pPr>
              <w:jc w:val="center"/>
              <w:rPr>
                <w:b/>
                <w:bCs/>
                <w:lang w:val="en-IN"/>
              </w:rPr>
            </w:pPr>
            <w:r w:rsidRPr="00D1545D">
              <w:rPr>
                <w:b/>
                <w:bCs/>
                <w:lang w:val="en-IN"/>
              </w:rPr>
              <w:t>Engagement Stage</w:t>
            </w:r>
          </w:p>
        </w:tc>
        <w:tc>
          <w:tcPr>
            <w:tcW w:w="0" w:type="auto"/>
            <w:shd w:val="clear" w:color="auto" w:fill="D99594" w:themeFill="accent2" w:themeFillTint="99"/>
            <w:vAlign w:val="center"/>
            <w:hideMark/>
          </w:tcPr>
          <w:p w14:paraId="746C8F4F" w14:textId="77777777" w:rsidR="00D1545D" w:rsidRPr="00D1545D" w:rsidRDefault="00D1545D" w:rsidP="00D1545D">
            <w:pPr>
              <w:jc w:val="center"/>
              <w:rPr>
                <w:b/>
                <w:bCs/>
                <w:lang w:val="en-IN"/>
              </w:rPr>
            </w:pPr>
            <w:r w:rsidRPr="00D1545D">
              <w:rPr>
                <w:b/>
                <w:bCs/>
                <w:lang w:val="en-IN"/>
              </w:rPr>
              <w:t>Purpose</w:t>
            </w:r>
          </w:p>
        </w:tc>
        <w:tc>
          <w:tcPr>
            <w:tcW w:w="0" w:type="auto"/>
            <w:shd w:val="clear" w:color="auto" w:fill="D99594" w:themeFill="accent2" w:themeFillTint="99"/>
            <w:vAlign w:val="center"/>
            <w:hideMark/>
          </w:tcPr>
          <w:p w14:paraId="03C2C7BC" w14:textId="77777777" w:rsidR="00D1545D" w:rsidRPr="00D1545D" w:rsidRDefault="00D1545D" w:rsidP="00D1545D">
            <w:pPr>
              <w:jc w:val="center"/>
              <w:rPr>
                <w:b/>
                <w:bCs/>
                <w:lang w:val="en-IN"/>
              </w:rPr>
            </w:pPr>
            <w:r w:rsidRPr="00D1545D">
              <w:rPr>
                <w:b/>
                <w:bCs/>
                <w:lang w:val="en-IN"/>
              </w:rPr>
              <w:t>Stakeholders</w:t>
            </w:r>
          </w:p>
        </w:tc>
        <w:tc>
          <w:tcPr>
            <w:tcW w:w="0" w:type="auto"/>
            <w:shd w:val="clear" w:color="auto" w:fill="D99594" w:themeFill="accent2" w:themeFillTint="99"/>
            <w:vAlign w:val="center"/>
            <w:hideMark/>
          </w:tcPr>
          <w:p w14:paraId="6275187D" w14:textId="77777777" w:rsidR="00D1545D" w:rsidRPr="00D1545D" w:rsidRDefault="00D1545D" w:rsidP="00D1545D">
            <w:pPr>
              <w:jc w:val="center"/>
              <w:rPr>
                <w:b/>
                <w:bCs/>
                <w:lang w:val="en-IN"/>
              </w:rPr>
            </w:pPr>
            <w:r w:rsidRPr="00D1545D">
              <w:rPr>
                <w:b/>
                <w:bCs/>
                <w:lang w:val="en-IN"/>
              </w:rPr>
              <w:t>Engagement Activities</w:t>
            </w:r>
          </w:p>
        </w:tc>
        <w:tc>
          <w:tcPr>
            <w:tcW w:w="0" w:type="auto"/>
            <w:shd w:val="clear" w:color="auto" w:fill="D99594" w:themeFill="accent2" w:themeFillTint="99"/>
            <w:vAlign w:val="center"/>
            <w:hideMark/>
          </w:tcPr>
          <w:p w14:paraId="41395F28" w14:textId="77777777" w:rsidR="00D1545D" w:rsidRPr="00D1545D" w:rsidRDefault="00D1545D" w:rsidP="00D1545D">
            <w:pPr>
              <w:jc w:val="center"/>
              <w:rPr>
                <w:b/>
                <w:bCs/>
                <w:lang w:val="en-IN"/>
              </w:rPr>
            </w:pPr>
            <w:r w:rsidRPr="00D1545D">
              <w:rPr>
                <w:b/>
                <w:bCs/>
                <w:lang w:val="en-IN"/>
              </w:rPr>
              <w:t>Frequency</w:t>
            </w:r>
          </w:p>
        </w:tc>
      </w:tr>
      <w:tr w:rsidR="00D1545D" w:rsidRPr="00D1545D" w14:paraId="561CB447" w14:textId="77777777" w:rsidTr="000F701B">
        <w:trPr>
          <w:tblCellSpacing w:w="15" w:type="dxa"/>
          <w:jc w:val="center"/>
        </w:trPr>
        <w:tc>
          <w:tcPr>
            <w:tcW w:w="0" w:type="auto"/>
            <w:shd w:val="clear" w:color="auto" w:fill="FABF8F" w:themeFill="accent6" w:themeFillTint="99"/>
            <w:vAlign w:val="center"/>
            <w:hideMark/>
          </w:tcPr>
          <w:p w14:paraId="30574FFE" w14:textId="77777777" w:rsidR="00D1545D" w:rsidRPr="00D1545D" w:rsidRDefault="00D1545D" w:rsidP="00D1545D">
            <w:pPr>
              <w:jc w:val="center"/>
              <w:rPr>
                <w:lang w:val="en-IN"/>
              </w:rPr>
            </w:pPr>
            <w:r w:rsidRPr="00D1545D">
              <w:rPr>
                <w:lang w:val="en-IN"/>
              </w:rPr>
              <w:t>Identify</w:t>
            </w:r>
          </w:p>
        </w:tc>
        <w:tc>
          <w:tcPr>
            <w:tcW w:w="0" w:type="auto"/>
            <w:shd w:val="clear" w:color="auto" w:fill="FABF8F" w:themeFill="accent6" w:themeFillTint="99"/>
            <w:vAlign w:val="center"/>
            <w:hideMark/>
          </w:tcPr>
          <w:p w14:paraId="20A49E50" w14:textId="77777777" w:rsidR="00D1545D" w:rsidRPr="00D1545D" w:rsidRDefault="00D1545D" w:rsidP="00D1545D">
            <w:pPr>
              <w:jc w:val="center"/>
              <w:rPr>
                <w:lang w:val="en-IN"/>
              </w:rPr>
            </w:pPr>
            <w:r w:rsidRPr="00D1545D">
              <w:rPr>
                <w:lang w:val="en-IN"/>
              </w:rPr>
              <w:t>Map expectations and power influence</w:t>
            </w:r>
          </w:p>
        </w:tc>
        <w:tc>
          <w:tcPr>
            <w:tcW w:w="0" w:type="auto"/>
            <w:shd w:val="clear" w:color="auto" w:fill="FABF8F" w:themeFill="accent6" w:themeFillTint="99"/>
            <w:vAlign w:val="center"/>
            <w:hideMark/>
          </w:tcPr>
          <w:p w14:paraId="665A3123" w14:textId="77777777" w:rsidR="00D1545D" w:rsidRPr="00D1545D" w:rsidRDefault="00D1545D" w:rsidP="00D1545D">
            <w:pPr>
              <w:jc w:val="center"/>
              <w:rPr>
                <w:lang w:val="en-IN"/>
              </w:rPr>
            </w:pPr>
            <w:r w:rsidRPr="00D1545D">
              <w:rPr>
                <w:lang w:val="en-IN"/>
              </w:rPr>
              <w:t>Regulators, NHS, Execs</w:t>
            </w:r>
          </w:p>
        </w:tc>
        <w:tc>
          <w:tcPr>
            <w:tcW w:w="0" w:type="auto"/>
            <w:shd w:val="clear" w:color="auto" w:fill="FABF8F" w:themeFill="accent6" w:themeFillTint="99"/>
            <w:vAlign w:val="center"/>
            <w:hideMark/>
          </w:tcPr>
          <w:p w14:paraId="2D1BEFE5" w14:textId="77777777" w:rsidR="00D1545D" w:rsidRPr="00D1545D" w:rsidRDefault="00D1545D" w:rsidP="00D1545D">
            <w:pPr>
              <w:jc w:val="center"/>
              <w:rPr>
                <w:lang w:val="en-IN"/>
              </w:rPr>
            </w:pPr>
            <w:r w:rsidRPr="00D1545D">
              <w:rPr>
                <w:lang w:val="en-IN"/>
              </w:rPr>
              <w:t>Stakeholder mapping, interviews</w:t>
            </w:r>
          </w:p>
        </w:tc>
        <w:tc>
          <w:tcPr>
            <w:tcW w:w="0" w:type="auto"/>
            <w:shd w:val="clear" w:color="auto" w:fill="FABF8F" w:themeFill="accent6" w:themeFillTint="99"/>
            <w:vAlign w:val="center"/>
            <w:hideMark/>
          </w:tcPr>
          <w:p w14:paraId="23CEF86A" w14:textId="77777777" w:rsidR="00D1545D" w:rsidRPr="00D1545D" w:rsidRDefault="00D1545D" w:rsidP="00D1545D">
            <w:pPr>
              <w:jc w:val="center"/>
              <w:rPr>
                <w:lang w:val="en-IN"/>
              </w:rPr>
            </w:pPr>
            <w:r w:rsidRPr="00D1545D">
              <w:rPr>
                <w:lang w:val="en-IN"/>
              </w:rPr>
              <w:t>Once</w:t>
            </w:r>
          </w:p>
        </w:tc>
      </w:tr>
      <w:tr w:rsidR="00D1545D" w:rsidRPr="00D1545D" w14:paraId="78B7D2D4" w14:textId="77777777" w:rsidTr="000F701B">
        <w:trPr>
          <w:tblCellSpacing w:w="15" w:type="dxa"/>
          <w:jc w:val="center"/>
        </w:trPr>
        <w:tc>
          <w:tcPr>
            <w:tcW w:w="0" w:type="auto"/>
            <w:shd w:val="clear" w:color="auto" w:fill="FABF8F" w:themeFill="accent6" w:themeFillTint="99"/>
            <w:vAlign w:val="center"/>
            <w:hideMark/>
          </w:tcPr>
          <w:p w14:paraId="263CE35B" w14:textId="77777777" w:rsidR="00D1545D" w:rsidRPr="00D1545D" w:rsidRDefault="00D1545D" w:rsidP="00D1545D">
            <w:pPr>
              <w:jc w:val="center"/>
              <w:rPr>
                <w:lang w:val="en-IN"/>
              </w:rPr>
            </w:pPr>
            <w:r w:rsidRPr="00D1545D">
              <w:rPr>
                <w:lang w:val="en-IN"/>
              </w:rPr>
              <w:t>Analyse</w:t>
            </w:r>
          </w:p>
        </w:tc>
        <w:tc>
          <w:tcPr>
            <w:tcW w:w="0" w:type="auto"/>
            <w:shd w:val="clear" w:color="auto" w:fill="FABF8F" w:themeFill="accent6" w:themeFillTint="99"/>
            <w:vAlign w:val="center"/>
            <w:hideMark/>
          </w:tcPr>
          <w:p w14:paraId="08EAF28D" w14:textId="77777777" w:rsidR="00D1545D" w:rsidRPr="00D1545D" w:rsidRDefault="00D1545D" w:rsidP="00D1545D">
            <w:pPr>
              <w:jc w:val="center"/>
              <w:rPr>
                <w:lang w:val="en-IN"/>
              </w:rPr>
            </w:pPr>
            <w:r w:rsidRPr="00D1545D">
              <w:rPr>
                <w:lang w:val="en-IN"/>
              </w:rPr>
              <w:t>Understand needs, risks, and constraints</w:t>
            </w:r>
          </w:p>
        </w:tc>
        <w:tc>
          <w:tcPr>
            <w:tcW w:w="0" w:type="auto"/>
            <w:shd w:val="clear" w:color="auto" w:fill="FABF8F" w:themeFill="accent6" w:themeFillTint="99"/>
            <w:vAlign w:val="center"/>
            <w:hideMark/>
          </w:tcPr>
          <w:p w14:paraId="3867D28E" w14:textId="77777777" w:rsidR="00D1545D" w:rsidRPr="00D1545D" w:rsidRDefault="00D1545D" w:rsidP="00D1545D">
            <w:pPr>
              <w:jc w:val="center"/>
              <w:rPr>
                <w:lang w:val="en-IN"/>
              </w:rPr>
            </w:pPr>
            <w:r w:rsidRPr="00D1545D">
              <w:rPr>
                <w:lang w:val="en-IN"/>
              </w:rPr>
              <w:t>All key groups</w:t>
            </w:r>
          </w:p>
        </w:tc>
        <w:tc>
          <w:tcPr>
            <w:tcW w:w="0" w:type="auto"/>
            <w:shd w:val="clear" w:color="auto" w:fill="FABF8F" w:themeFill="accent6" w:themeFillTint="99"/>
            <w:vAlign w:val="center"/>
            <w:hideMark/>
          </w:tcPr>
          <w:p w14:paraId="0205686F" w14:textId="77777777" w:rsidR="00D1545D" w:rsidRPr="00D1545D" w:rsidRDefault="00D1545D" w:rsidP="00D1545D">
            <w:pPr>
              <w:jc w:val="center"/>
              <w:rPr>
                <w:lang w:val="en-IN"/>
              </w:rPr>
            </w:pPr>
            <w:r w:rsidRPr="00D1545D">
              <w:rPr>
                <w:lang w:val="en-IN"/>
              </w:rPr>
              <w:t>Workshops, data analysis, persona creation</w:t>
            </w:r>
          </w:p>
        </w:tc>
        <w:tc>
          <w:tcPr>
            <w:tcW w:w="0" w:type="auto"/>
            <w:shd w:val="clear" w:color="auto" w:fill="FABF8F" w:themeFill="accent6" w:themeFillTint="99"/>
            <w:vAlign w:val="center"/>
            <w:hideMark/>
          </w:tcPr>
          <w:p w14:paraId="24840B72" w14:textId="77777777" w:rsidR="00D1545D" w:rsidRPr="00D1545D" w:rsidRDefault="00D1545D" w:rsidP="00D1545D">
            <w:pPr>
              <w:jc w:val="center"/>
              <w:rPr>
                <w:lang w:val="en-IN"/>
              </w:rPr>
            </w:pPr>
            <w:r w:rsidRPr="00D1545D">
              <w:rPr>
                <w:lang w:val="en-IN"/>
              </w:rPr>
              <w:t>Early phase</w:t>
            </w:r>
          </w:p>
        </w:tc>
      </w:tr>
      <w:tr w:rsidR="00D1545D" w:rsidRPr="00D1545D" w14:paraId="5CBB77B5" w14:textId="77777777" w:rsidTr="000F701B">
        <w:trPr>
          <w:tblCellSpacing w:w="15" w:type="dxa"/>
          <w:jc w:val="center"/>
        </w:trPr>
        <w:tc>
          <w:tcPr>
            <w:tcW w:w="0" w:type="auto"/>
            <w:shd w:val="clear" w:color="auto" w:fill="FABF8F" w:themeFill="accent6" w:themeFillTint="99"/>
            <w:vAlign w:val="center"/>
            <w:hideMark/>
          </w:tcPr>
          <w:p w14:paraId="3F200B9F" w14:textId="77777777" w:rsidR="00D1545D" w:rsidRPr="00D1545D" w:rsidRDefault="00D1545D" w:rsidP="00D1545D">
            <w:pPr>
              <w:jc w:val="center"/>
              <w:rPr>
                <w:lang w:val="en-IN"/>
              </w:rPr>
            </w:pPr>
            <w:r w:rsidRPr="00D1545D">
              <w:rPr>
                <w:lang w:val="en-IN"/>
              </w:rPr>
              <w:t>Plan</w:t>
            </w:r>
          </w:p>
        </w:tc>
        <w:tc>
          <w:tcPr>
            <w:tcW w:w="0" w:type="auto"/>
            <w:shd w:val="clear" w:color="auto" w:fill="FABF8F" w:themeFill="accent6" w:themeFillTint="99"/>
            <w:vAlign w:val="center"/>
            <w:hideMark/>
          </w:tcPr>
          <w:p w14:paraId="4B6AAF4C" w14:textId="77777777" w:rsidR="00D1545D" w:rsidRPr="00D1545D" w:rsidRDefault="00D1545D" w:rsidP="00D1545D">
            <w:pPr>
              <w:jc w:val="center"/>
              <w:rPr>
                <w:lang w:val="en-IN"/>
              </w:rPr>
            </w:pPr>
            <w:r w:rsidRPr="00D1545D">
              <w:rPr>
                <w:lang w:val="en-IN"/>
              </w:rPr>
              <w:t>Tailor engagement methods</w:t>
            </w:r>
          </w:p>
        </w:tc>
        <w:tc>
          <w:tcPr>
            <w:tcW w:w="0" w:type="auto"/>
            <w:shd w:val="clear" w:color="auto" w:fill="FABF8F" w:themeFill="accent6" w:themeFillTint="99"/>
            <w:vAlign w:val="center"/>
            <w:hideMark/>
          </w:tcPr>
          <w:p w14:paraId="56D3DCF6" w14:textId="77777777" w:rsidR="00D1545D" w:rsidRPr="00D1545D" w:rsidRDefault="00D1545D" w:rsidP="00D1545D">
            <w:pPr>
              <w:jc w:val="center"/>
              <w:rPr>
                <w:lang w:val="en-IN"/>
              </w:rPr>
            </w:pPr>
            <w:r w:rsidRPr="00D1545D">
              <w:rPr>
                <w:lang w:val="en-IN"/>
              </w:rPr>
              <w:t>PMO, Execs</w:t>
            </w:r>
          </w:p>
        </w:tc>
        <w:tc>
          <w:tcPr>
            <w:tcW w:w="0" w:type="auto"/>
            <w:shd w:val="clear" w:color="auto" w:fill="FABF8F" w:themeFill="accent6" w:themeFillTint="99"/>
            <w:vAlign w:val="center"/>
            <w:hideMark/>
          </w:tcPr>
          <w:p w14:paraId="18D0A7DB" w14:textId="77777777" w:rsidR="00D1545D" w:rsidRPr="00D1545D" w:rsidRDefault="00D1545D" w:rsidP="00D1545D">
            <w:pPr>
              <w:jc w:val="center"/>
              <w:rPr>
                <w:lang w:val="en-IN"/>
              </w:rPr>
            </w:pPr>
            <w:r w:rsidRPr="00D1545D">
              <w:rPr>
                <w:lang w:val="en-IN"/>
              </w:rPr>
              <w:t>Engagement plan creation, KPI setting</w:t>
            </w:r>
          </w:p>
        </w:tc>
        <w:tc>
          <w:tcPr>
            <w:tcW w:w="0" w:type="auto"/>
            <w:shd w:val="clear" w:color="auto" w:fill="FABF8F" w:themeFill="accent6" w:themeFillTint="99"/>
            <w:vAlign w:val="center"/>
            <w:hideMark/>
          </w:tcPr>
          <w:p w14:paraId="17C431E9" w14:textId="77777777" w:rsidR="00D1545D" w:rsidRPr="00D1545D" w:rsidRDefault="00D1545D" w:rsidP="00D1545D">
            <w:pPr>
              <w:jc w:val="center"/>
              <w:rPr>
                <w:lang w:val="en-IN"/>
              </w:rPr>
            </w:pPr>
            <w:r w:rsidRPr="00D1545D">
              <w:rPr>
                <w:lang w:val="en-IN"/>
              </w:rPr>
              <w:t>Once</w:t>
            </w:r>
          </w:p>
        </w:tc>
      </w:tr>
      <w:tr w:rsidR="00D1545D" w:rsidRPr="00D1545D" w14:paraId="21E5A82B" w14:textId="77777777" w:rsidTr="000F701B">
        <w:trPr>
          <w:tblCellSpacing w:w="15" w:type="dxa"/>
          <w:jc w:val="center"/>
        </w:trPr>
        <w:tc>
          <w:tcPr>
            <w:tcW w:w="0" w:type="auto"/>
            <w:shd w:val="clear" w:color="auto" w:fill="FABF8F" w:themeFill="accent6" w:themeFillTint="99"/>
            <w:vAlign w:val="center"/>
            <w:hideMark/>
          </w:tcPr>
          <w:p w14:paraId="1EEC4036" w14:textId="77777777" w:rsidR="00D1545D" w:rsidRPr="00D1545D" w:rsidRDefault="00D1545D" w:rsidP="00D1545D">
            <w:pPr>
              <w:jc w:val="center"/>
              <w:rPr>
                <w:lang w:val="en-IN"/>
              </w:rPr>
            </w:pPr>
            <w:r w:rsidRPr="00D1545D">
              <w:rPr>
                <w:lang w:val="en-IN"/>
              </w:rPr>
              <w:t>Engage</w:t>
            </w:r>
          </w:p>
        </w:tc>
        <w:tc>
          <w:tcPr>
            <w:tcW w:w="0" w:type="auto"/>
            <w:shd w:val="clear" w:color="auto" w:fill="FABF8F" w:themeFill="accent6" w:themeFillTint="99"/>
            <w:vAlign w:val="center"/>
            <w:hideMark/>
          </w:tcPr>
          <w:p w14:paraId="686808D8" w14:textId="77777777" w:rsidR="00D1545D" w:rsidRPr="00D1545D" w:rsidRDefault="00D1545D" w:rsidP="00D1545D">
            <w:pPr>
              <w:jc w:val="center"/>
              <w:rPr>
                <w:lang w:val="en-IN"/>
              </w:rPr>
            </w:pPr>
            <w:r w:rsidRPr="00D1545D">
              <w:rPr>
                <w:lang w:val="en-IN"/>
              </w:rPr>
              <w:t>Build two-way relationships</w:t>
            </w:r>
          </w:p>
        </w:tc>
        <w:tc>
          <w:tcPr>
            <w:tcW w:w="0" w:type="auto"/>
            <w:shd w:val="clear" w:color="auto" w:fill="FABF8F" w:themeFill="accent6" w:themeFillTint="99"/>
            <w:vAlign w:val="center"/>
            <w:hideMark/>
          </w:tcPr>
          <w:p w14:paraId="7A282D44" w14:textId="77777777" w:rsidR="00D1545D" w:rsidRPr="00D1545D" w:rsidRDefault="00D1545D" w:rsidP="00D1545D">
            <w:pPr>
              <w:jc w:val="center"/>
              <w:rPr>
                <w:lang w:val="en-IN"/>
              </w:rPr>
            </w:pPr>
            <w:r w:rsidRPr="00D1545D">
              <w:rPr>
                <w:lang w:val="en-IN"/>
              </w:rPr>
              <w:t>All stakeholders</w:t>
            </w:r>
          </w:p>
        </w:tc>
        <w:tc>
          <w:tcPr>
            <w:tcW w:w="0" w:type="auto"/>
            <w:shd w:val="clear" w:color="auto" w:fill="FABF8F" w:themeFill="accent6" w:themeFillTint="99"/>
            <w:vAlign w:val="center"/>
            <w:hideMark/>
          </w:tcPr>
          <w:p w14:paraId="725D91FF" w14:textId="77777777" w:rsidR="00D1545D" w:rsidRPr="00D1545D" w:rsidRDefault="00D1545D" w:rsidP="00D1545D">
            <w:pPr>
              <w:jc w:val="center"/>
              <w:rPr>
                <w:lang w:val="en-IN"/>
              </w:rPr>
            </w:pPr>
            <w:r w:rsidRPr="00D1545D">
              <w:rPr>
                <w:lang w:val="en-IN"/>
              </w:rPr>
              <w:t>Prototypes testing, consultation meetings, pilots</w:t>
            </w:r>
          </w:p>
        </w:tc>
        <w:tc>
          <w:tcPr>
            <w:tcW w:w="0" w:type="auto"/>
            <w:shd w:val="clear" w:color="auto" w:fill="FABF8F" w:themeFill="accent6" w:themeFillTint="99"/>
            <w:vAlign w:val="center"/>
            <w:hideMark/>
          </w:tcPr>
          <w:p w14:paraId="0AB6CD10" w14:textId="77777777" w:rsidR="00D1545D" w:rsidRPr="00D1545D" w:rsidRDefault="00D1545D" w:rsidP="00D1545D">
            <w:pPr>
              <w:jc w:val="center"/>
              <w:rPr>
                <w:lang w:val="en-IN"/>
              </w:rPr>
            </w:pPr>
            <w:r w:rsidRPr="00D1545D">
              <w:rPr>
                <w:lang w:val="en-IN"/>
              </w:rPr>
              <w:t>Ongoing</w:t>
            </w:r>
          </w:p>
        </w:tc>
      </w:tr>
      <w:tr w:rsidR="00D1545D" w:rsidRPr="00D1545D" w14:paraId="1CA89B02" w14:textId="77777777" w:rsidTr="000F701B">
        <w:trPr>
          <w:tblCellSpacing w:w="15" w:type="dxa"/>
          <w:jc w:val="center"/>
        </w:trPr>
        <w:tc>
          <w:tcPr>
            <w:tcW w:w="0" w:type="auto"/>
            <w:shd w:val="clear" w:color="auto" w:fill="FABF8F" w:themeFill="accent6" w:themeFillTint="99"/>
            <w:vAlign w:val="center"/>
            <w:hideMark/>
          </w:tcPr>
          <w:p w14:paraId="02714CCC" w14:textId="77777777" w:rsidR="00D1545D" w:rsidRPr="00D1545D" w:rsidRDefault="00D1545D" w:rsidP="00D1545D">
            <w:pPr>
              <w:jc w:val="center"/>
              <w:rPr>
                <w:lang w:val="en-IN"/>
              </w:rPr>
            </w:pPr>
            <w:r w:rsidRPr="00D1545D">
              <w:rPr>
                <w:lang w:val="en-IN"/>
              </w:rPr>
              <w:t>Review</w:t>
            </w:r>
          </w:p>
        </w:tc>
        <w:tc>
          <w:tcPr>
            <w:tcW w:w="0" w:type="auto"/>
            <w:shd w:val="clear" w:color="auto" w:fill="FABF8F" w:themeFill="accent6" w:themeFillTint="99"/>
            <w:vAlign w:val="center"/>
            <w:hideMark/>
          </w:tcPr>
          <w:p w14:paraId="4F9BD30C" w14:textId="77777777" w:rsidR="00D1545D" w:rsidRPr="00D1545D" w:rsidRDefault="00D1545D" w:rsidP="00D1545D">
            <w:pPr>
              <w:jc w:val="center"/>
              <w:rPr>
                <w:lang w:val="en-IN"/>
              </w:rPr>
            </w:pPr>
            <w:r w:rsidRPr="00D1545D">
              <w:rPr>
                <w:lang w:val="en-IN"/>
              </w:rPr>
              <w:t>Evaluate effectiveness</w:t>
            </w:r>
          </w:p>
        </w:tc>
        <w:tc>
          <w:tcPr>
            <w:tcW w:w="0" w:type="auto"/>
            <w:shd w:val="clear" w:color="auto" w:fill="FABF8F" w:themeFill="accent6" w:themeFillTint="99"/>
            <w:vAlign w:val="center"/>
            <w:hideMark/>
          </w:tcPr>
          <w:p w14:paraId="27FC6242" w14:textId="77777777" w:rsidR="00D1545D" w:rsidRPr="00D1545D" w:rsidRDefault="00D1545D" w:rsidP="00D1545D">
            <w:pPr>
              <w:jc w:val="center"/>
              <w:rPr>
                <w:lang w:val="en-IN"/>
              </w:rPr>
            </w:pPr>
            <w:r w:rsidRPr="00D1545D">
              <w:rPr>
                <w:lang w:val="en-IN"/>
              </w:rPr>
              <w:t>Execs, PMO</w:t>
            </w:r>
          </w:p>
        </w:tc>
        <w:tc>
          <w:tcPr>
            <w:tcW w:w="0" w:type="auto"/>
            <w:shd w:val="clear" w:color="auto" w:fill="FABF8F" w:themeFill="accent6" w:themeFillTint="99"/>
            <w:vAlign w:val="center"/>
            <w:hideMark/>
          </w:tcPr>
          <w:p w14:paraId="185241DD" w14:textId="77777777" w:rsidR="00D1545D" w:rsidRPr="00D1545D" w:rsidRDefault="00D1545D" w:rsidP="00D1545D">
            <w:pPr>
              <w:jc w:val="center"/>
              <w:rPr>
                <w:lang w:val="en-IN"/>
              </w:rPr>
            </w:pPr>
            <w:r w:rsidRPr="00D1545D">
              <w:rPr>
                <w:lang w:val="en-IN"/>
              </w:rPr>
              <w:t>Engagement audits, satisfaction surveys</w:t>
            </w:r>
          </w:p>
        </w:tc>
        <w:tc>
          <w:tcPr>
            <w:tcW w:w="0" w:type="auto"/>
            <w:shd w:val="clear" w:color="auto" w:fill="FABF8F" w:themeFill="accent6" w:themeFillTint="99"/>
            <w:vAlign w:val="center"/>
            <w:hideMark/>
          </w:tcPr>
          <w:p w14:paraId="26B5847E" w14:textId="77777777" w:rsidR="00D1545D" w:rsidRPr="00D1545D" w:rsidRDefault="00D1545D" w:rsidP="00D1545D">
            <w:pPr>
              <w:jc w:val="center"/>
              <w:rPr>
                <w:lang w:val="en-IN"/>
              </w:rPr>
            </w:pPr>
            <w:r w:rsidRPr="00D1545D">
              <w:rPr>
                <w:lang w:val="en-IN"/>
              </w:rPr>
              <w:t>Quarterly</w:t>
            </w:r>
          </w:p>
        </w:tc>
      </w:tr>
    </w:tbl>
    <w:p w14:paraId="791BABB6" w14:textId="5A367E4E" w:rsidR="004E6114" w:rsidRDefault="00782B5D" w:rsidP="00782B5D">
      <w:pPr>
        <w:jc w:val="center"/>
        <w:rPr>
          <w:b/>
          <w:bCs/>
          <w:lang w:val="en-IN"/>
        </w:rPr>
      </w:pPr>
      <w:r>
        <w:rPr>
          <w:b/>
          <w:bCs/>
          <w:lang w:val="en-IN"/>
        </w:rPr>
        <w:t xml:space="preserve">Table </w:t>
      </w:r>
      <w:r w:rsidR="00483F60">
        <w:rPr>
          <w:b/>
          <w:bCs/>
          <w:lang w:val="en-IN"/>
        </w:rPr>
        <w:t>6</w:t>
      </w:r>
      <w:r>
        <w:rPr>
          <w:b/>
          <w:bCs/>
          <w:lang w:val="en-IN"/>
        </w:rPr>
        <w:t xml:space="preserve">: </w:t>
      </w:r>
      <w:r w:rsidR="00D1545D" w:rsidRPr="00D1545D">
        <w:rPr>
          <w:b/>
          <w:bCs/>
        </w:rPr>
        <w:t>Full Stakeholder Engagement Plan</w:t>
      </w:r>
    </w:p>
    <w:p w14:paraId="19076EF2" w14:textId="5874A5E5" w:rsidR="00782B5D" w:rsidRPr="004E6114" w:rsidRDefault="00782B5D" w:rsidP="00782B5D">
      <w:pPr>
        <w:jc w:val="center"/>
        <w:rPr>
          <w:lang w:val="en-IN"/>
        </w:rPr>
      </w:pPr>
      <w:r w:rsidRPr="00782B5D">
        <w:rPr>
          <w:lang w:val="en-IN"/>
        </w:rPr>
        <w:t>(Source: Self-made)</w:t>
      </w:r>
    </w:p>
    <w:p w14:paraId="359765FF" w14:textId="1B00B664" w:rsidR="004E6114" w:rsidRPr="004E6114" w:rsidRDefault="004E6114" w:rsidP="004E6114">
      <w:pPr>
        <w:rPr>
          <w:lang w:val="en-IN"/>
        </w:rPr>
      </w:pPr>
      <w:r w:rsidRPr="004E6114">
        <w:rPr>
          <w:b/>
          <w:bCs/>
          <w:lang w:val="en-IN"/>
        </w:rPr>
        <w:t>Mendelow’s Matrix and Engagement Theory</w:t>
      </w:r>
    </w:p>
    <w:p w14:paraId="0C30AB4D" w14:textId="41E15630" w:rsidR="004E6114" w:rsidRPr="004E6114" w:rsidRDefault="004E6114" w:rsidP="00782B5D">
      <w:pPr>
        <w:rPr>
          <w:lang w:val="en-IN"/>
        </w:rPr>
      </w:pPr>
      <w:r w:rsidRPr="004E6114">
        <w:rPr>
          <w:lang w:val="en-IN"/>
        </w:rPr>
        <w:t xml:space="preserve">Freeman and </w:t>
      </w:r>
      <w:proofErr w:type="spellStart"/>
      <w:r w:rsidRPr="004E6114">
        <w:rPr>
          <w:lang w:val="en-IN"/>
        </w:rPr>
        <w:t>Velamuri</w:t>
      </w:r>
      <w:proofErr w:type="spellEnd"/>
      <w:r w:rsidRPr="004E6114">
        <w:rPr>
          <w:lang w:val="en-IN"/>
        </w:rPr>
        <w:t xml:space="preserve"> (2023) state that the stakeholders are most valued when organisations involve them by establishing a two-way communication and creating outcomes together. The use of the Matrix as implemented by Mendelow will allow Fitbit to organize the stakeholders by their level of power and interest so that communication strategies are distributed adequately and appropriately. As an example, stakeholders with high power and interest, including the MHRA, NHS Digital, and the executive management, have to be in close and continuous contact with each other via detailed reports and collaborative meetings. The end user and consumer health community are on the other hand the low-power and high-interest groups that enjoy regular update and participatory feedback channels. Such a customization will enable Fitbit to invest time and resources effectively and not to leave stakeholders dissatisfied. Through engagement theory and stakeholder mapping, Fitbit can make sure that every group is acknowledged and dealt with strategically to limit the conflict, boost the rate of trust, and long</w:t>
      </w:r>
      <w:r w:rsidR="00782B5D">
        <w:rPr>
          <w:lang w:val="en-IN"/>
        </w:rPr>
        <w:t>-</w:t>
      </w:r>
      <w:r w:rsidRPr="004E6114">
        <w:rPr>
          <w:lang w:val="en-IN"/>
        </w:rPr>
        <w:t>term collaboration that can advance the overall success of the Sense 3 project.</w:t>
      </w:r>
    </w:p>
    <w:p w14:paraId="42285D46" w14:textId="7CB43485" w:rsidR="004E6114" w:rsidRPr="004E6114" w:rsidRDefault="004E6114" w:rsidP="00782B5D">
      <w:pPr>
        <w:pStyle w:val="Heading1"/>
        <w:rPr>
          <w:lang w:val="en-IN"/>
        </w:rPr>
      </w:pPr>
      <w:bookmarkStart w:id="6" w:name="_Toc214102988"/>
      <w:r w:rsidRPr="004E6114">
        <w:rPr>
          <w:lang w:val="en-IN"/>
        </w:rPr>
        <w:t>6. Engagement Process and Conflict Management</w:t>
      </w:r>
      <w:bookmarkEnd w:id="6"/>
      <w:r w:rsidRPr="004E6114">
        <w:rPr>
          <w:lang w:val="en-IN"/>
        </w:rPr>
        <w:t xml:space="preserve"> </w:t>
      </w:r>
    </w:p>
    <w:p w14:paraId="3A5EF1B3" w14:textId="535C815C" w:rsidR="00782B5D" w:rsidRPr="004E6114" w:rsidRDefault="00782B5D" w:rsidP="00782B5D">
      <w:pPr>
        <w:rPr>
          <w:lang w:val="en-IN"/>
        </w:rPr>
      </w:pPr>
      <w:r>
        <w:rPr>
          <w:noProof/>
          <w:lang w:val="en-IN"/>
        </w:rPr>
        <w:drawing>
          <wp:inline distT="0" distB="0" distL="0" distR="0" wp14:anchorId="1EDB93AB" wp14:editId="5778B533">
            <wp:extent cx="5486400" cy="3200400"/>
            <wp:effectExtent l="0" t="38100" r="0" b="76200"/>
            <wp:docPr id="33152986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8C9BBBA" w14:textId="77777777" w:rsidR="00383878" w:rsidRPr="00383878" w:rsidRDefault="00383878" w:rsidP="00383878">
      <w:pPr>
        <w:jc w:val="center"/>
        <w:rPr>
          <w:b/>
          <w:bCs/>
          <w:lang w:val="en-IN"/>
        </w:rPr>
      </w:pPr>
      <w:r w:rsidRPr="00383878">
        <w:rPr>
          <w:b/>
          <w:bCs/>
          <w:lang w:val="en-IN"/>
        </w:rPr>
        <w:t>Figure 2: Stakeholder Engagement Process</w:t>
      </w:r>
    </w:p>
    <w:p w14:paraId="6D773886" w14:textId="60E72ACE" w:rsidR="00383878" w:rsidRDefault="00383878" w:rsidP="00383878">
      <w:pPr>
        <w:jc w:val="center"/>
        <w:rPr>
          <w:lang w:val="en-IN"/>
        </w:rPr>
      </w:pPr>
      <w:r>
        <w:rPr>
          <w:lang w:val="en-IN"/>
        </w:rPr>
        <w:t>(Source: Self-made)</w:t>
      </w:r>
    </w:p>
    <w:p w14:paraId="39434EA5" w14:textId="2F5DAB9B" w:rsidR="004E6114" w:rsidRPr="004E6114" w:rsidRDefault="004E6114" w:rsidP="004E6114">
      <w:pPr>
        <w:rPr>
          <w:lang w:val="en-IN"/>
        </w:rPr>
      </w:pPr>
      <w:r w:rsidRPr="004E6114">
        <w:rPr>
          <w:lang w:val="en-IN"/>
        </w:rPr>
        <w:t>The process of the stakeholder engagement of the Fitbit Sense 3 launch is based on the Project Management Body of Knowledge (</w:t>
      </w:r>
      <w:r w:rsidR="00383878" w:rsidRPr="00383878">
        <w:t>Project Management Institute, 2021</w:t>
      </w:r>
      <w:r w:rsidRPr="004E6114">
        <w:rPr>
          <w:lang w:val="en-IN"/>
        </w:rPr>
        <w:t xml:space="preserve">) recommendations and is organized according to the 4Cs Model suggested by </w:t>
      </w:r>
      <w:proofErr w:type="spellStart"/>
      <w:r w:rsidRPr="004E6114">
        <w:rPr>
          <w:lang w:val="en-IN"/>
        </w:rPr>
        <w:t>Ochilov</w:t>
      </w:r>
      <w:proofErr w:type="spellEnd"/>
      <w:r w:rsidRPr="004E6114">
        <w:rPr>
          <w:lang w:val="en-IN"/>
        </w:rPr>
        <w:t xml:space="preserve"> (2025)</w:t>
      </w:r>
      <w:r w:rsidR="00383878">
        <w:rPr>
          <w:lang w:val="en-IN"/>
        </w:rPr>
        <w:t xml:space="preserve"> </w:t>
      </w:r>
      <w:r w:rsidRPr="004E6114">
        <w:rPr>
          <w:lang w:val="en-IN"/>
        </w:rPr>
        <w:t>-</w:t>
      </w:r>
      <w:r w:rsidR="00383878">
        <w:rPr>
          <w:lang w:val="en-IN"/>
        </w:rPr>
        <w:t xml:space="preserve"> </w:t>
      </w:r>
      <w:r w:rsidRPr="004E6114">
        <w:rPr>
          <w:lang w:val="en-IN"/>
        </w:rPr>
        <w:t>Communication, Coordination, Cooperation, and Collaboration. This combined methodology helps in making sure that engagement activities are systematic, transparent and results oriented during the project lifecycle.</w:t>
      </w:r>
      <w:r w:rsidR="00CD15B0">
        <w:rPr>
          <w:lang w:val="en-IN"/>
        </w:rPr>
        <w:t xml:space="preserve"> </w:t>
      </w:r>
      <w:r w:rsidRPr="004E6114">
        <w:rPr>
          <w:lang w:val="en-IN"/>
        </w:rPr>
        <w:t xml:space="preserve">The stakeholder engagement is based on communication. Fitbit ensures that the updates are consistent and multi-channel including Slack, </w:t>
      </w:r>
      <w:proofErr w:type="spellStart"/>
      <w:r w:rsidRPr="004E6114">
        <w:rPr>
          <w:lang w:val="en-IN"/>
        </w:rPr>
        <w:t>Sharepoint</w:t>
      </w:r>
      <w:proofErr w:type="spellEnd"/>
      <w:r w:rsidRPr="004E6114">
        <w:rPr>
          <w:lang w:val="en-IN"/>
        </w:rPr>
        <w:t xml:space="preserve">, and email to keep teams in the same direction and informed. </w:t>
      </w:r>
      <w:proofErr w:type="spellStart"/>
      <w:r w:rsidRPr="004E6114">
        <w:rPr>
          <w:lang w:val="en-IN"/>
        </w:rPr>
        <w:t>Munoru</w:t>
      </w:r>
      <w:proofErr w:type="spellEnd"/>
      <w:r w:rsidRPr="004E6114">
        <w:rPr>
          <w:lang w:val="en-IN"/>
        </w:rPr>
        <w:t xml:space="preserve"> (2024) argues that the frequent and systematic communication can help decrease the delays in digital projects to a maximum of 15 percent because it leads to clarity and quick resolution of problems.</w:t>
      </w:r>
    </w:p>
    <w:p w14:paraId="19F3ADFF" w14:textId="7B14A9A0" w:rsidR="004E6114" w:rsidRPr="004E6114" w:rsidRDefault="004E6114" w:rsidP="004E6114">
      <w:pPr>
        <w:rPr>
          <w:lang w:val="en-IN"/>
        </w:rPr>
      </w:pPr>
      <w:r w:rsidRPr="004E6114">
        <w:rPr>
          <w:lang w:val="en-IN"/>
        </w:rPr>
        <w:t xml:space="preserve">The coordination will require synchronisation of activities between the hardware engineers, software developers, and data security experts of Fitbit in order to avoid duplicate activities and improve the efficiency of workflow. Agile sprint cycles make the company have a smooth flow of its product design and regulatory compliance (Rouse </w:t>
      </w:r>
      <w:r w:rsidRPr="004E6114">
        <w:rPr>
          <w:i/>
          <w:iCs/>
          <w:lang w:val="en-IN"/>
        </w:rPr>
        <w:t>et al.,</w:t>
      </w:r>
      <w:r w:rsidRPr="004E6114">
        <w:rPr>
          <w:lang w:val="en-IN"/>
        </w:rPr>
        <w:t xml:space="preserve"> 2025).</w:t>
      </w:r>
      <w:r w:rsidR="00CD15B0">
        <w:rPr>
          <w:lang w:val="en-IN"/>
        </w:rPr>
        <w:t xml:space="preserve"> </w:t>
      </w:r>
      <w:r w:rsidRPr="004E6114">
        <w:rPr>
          <w:lang w:val="en-IN"/>
        </w:rPr>
        <w:t xml:space="preserve">This is done by collaborating with the healthcare stakeholders such as NHS Digital through joint problem-solving sessions, which establish a sense of shared ownership and also cut regulatory approval time by about 10 percent (Guise </w:t>
      </w:r>
      <w:r w:rsidRPr="004E6114">
        <w:rPr>
          <w:i/>
          <w:iCs/>
          <w:lang w:val="en-IN"/>
        </w:rPr>
        <w:t>et al.,</w:t>
      </w:r>
      <w:r w:rsidRPr="004E6114">
        <w:rPr>
          <w:lang w:val="en-IN"/>
        </w:rPr>
        <w:t xml:space="preserve"> 2024). The workshops are also used to assess the ethical usage of AI-based data models.</w:t>
      </w:r>
      <w:r w:rsidR="00CD15B0">
        <w:rPr>
          <w:lang w:val="en-IN"/>
        </w:rPr>
        <w:t xml:space="preserve"> </w:t>
      </w:r>
      <w:r w:rsidRPr="004E6114">
        <w:rPr>
          <w:lang w:val="en-IN"/>
        </w:rPr>
        <w:t>Lastly, Collaboration is supported by using digital tools, including Google Workspace and Fitbit Health Solutions Portal where shared dashboards are used to monitor real-time KPI. According to De Wolde (2022), such open innovation ecosystems enhance a sense of commitment, accountability, and long-term stakeholder relations that are critical to the success of the project.</w:t>
      </w:r>
    </w:p>
    <w:p w14:paraId="3466D087" w14:textId="77777777" w:rsidR="004E6114" w:rsidRPr="004E6114" w:rsidRDefault="004E6114" w:rsidP="004E6114">
      <w:pPr>
        <w:rPr>
          <w:b/>
          <w:bCs/>
          <w:lang w:val="en-IN"/>
        </w:rPr>
      </w:pPr>
      <w:r w:rsidRPr="004E6114">
        <w:rPr>
          <w:b/>
          <w:bCs/>
          <w:lang w:val="en-IN"/>
        </w:rPr>
        <w:t>Conflict Identification and Resolution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4"/>
        <w:gridCol w:w="3352"/>
        <w:gridCol w:w="3163"/>
      </w:tblGrid>
      <w:tr w:rsidR="004E6114" w:rsidRPr="004E6114" w14:paraId="0D50DB6D" w14:textId="77777777" w:rsidTr="000F701B">
        <w:trPr>
          <w:trHeight w:val="515"/>
        </w:trPr>
        <w:tc>
          <w:tcPr>
            <w:tcW w:w="0" w:type="auto"/>
            <w:shd w:val="clear" w:color="auto" w:fill="FABF8F" w:themeFill="accent6" w:themeFillTint="99"/>
            <w:tcMar>
              <w:top w:w="100" w:type="dxa"/>
              <w:left w:w="100" w:type="dxa"/>
              <w:bottom w:w="100" w:type="dxa"/>
              <w:right w:w="100" w:type="dxa"/>
            </w:tcMar>
            <w:hideMark/>
          </w:tcPr>
          <w:p w14:paraId="675A8A0E" w14:textId="77777777" w:rsidR="004E6114" w:rsidRPr="004E6114" w:rsidRDefault="004E6114" w:rsidP="004E6114">
            <w:pPr>
              <w:rPr>
                <w:lang w:val="en-IN"/>
              </w:rPr>
            </w:pPr>
            <w:r w:rsidRPr="004E6114">
              <w:rPr>
                <w:b/>
                <w:bCs/>
                <w:lang w:val="en-IN"/>
              </w:rPr>
              <w:t>Conflict Source</w:t>
            </w:r>
          </w:p>
        </w:tc>
        <w:tc>
          <w:tcPr>
            <w:tcW w:w="0" w:type="auto"/>
            <w:shd w:val="clear" w:color="auto" w:fill="FABF8F" w:themeFill="accent6" w:themeFillTint="99"/>
            <w:tcMar>
              <w:top w:w="100" w:type="dxa"/>
              <w:left w:w="100" w:type="dxa"/>
              <w:bottom w:w="100" w:type="dxa"/>
              <w:right w:w="100" w:type="dxa"/>
            </w:tcMar>
            <w:hideMark/>
          </w:tcPr>
          <w:p w14:paraId="176F3213" w14:textId="77777777" w:rsidR="004E6114" w:rsidRPr="004E6114" w:rsidRDefault="004E6114" w:rsidP="004E6114">
            <w:pPr>
              <w:rPr>
                <w:lang w:val="en-IN"/>
              </w:rPr>
            </w:pPr>
            <w:r w:rsidRPr="004E6114">
              <w:rPr>
                <w:b/>
                <w:bCs/>
                <w:lang w:val="en-IN"/>
              </w:rPr>
              <w:t>Example</w:t>
            </w:r>
          </w:p>
        </w:tc>
        <w:tc>
          <w:tcPr>
            <w:tcW w:w="0" w:type="auto"/>
            <w:shd w:val="clear" w:color="auto" w:fill="FABF8F" w:themeFill="accent6" w:themeFillTint="99"/>
            <w:tcMar>
              <w:top w:w="100" w:type="dxa"/>
              <w:left w:w="100" w:type="dxa"/>
              <w:bottom w:w="100" w:type="dxa"/>
              <w:right w:w="100" w:type="dxa"/>
            </w:tcMar>
            <w:hideMark/>
          </w:tcPr>
          <w:p w14:paraId="1FE0C777" w14:textId="77777777" w:rsidR="004E6114" w:rsidRPr="004E6114" w:rsidRDefault="004E6114" w:rsidP="004E6114">
            <w:pPr>
              <w:rPr>
                <w:lang w:val="en-IN"/>
              </w:rPr>
            </w:pPr>
            <w:r w:rsidRPr="004E6114">
              <w:rPr>
                <w:b/>
                <w:bCs/>
                <w:lang w:val="en-IN"/>
              </w:rPr>
              <w:t>Management Approach</w:t>
            </w:r>
          </w:p>
        </w:tc>
      </w:tr>
      <w:tr w:rsidR="004E6114" w:rsidRPr="004E6114" w14:paraId="78559F79" w14:textId="77777777" w:rsidTr="000F701B">
        <w:trPr>
          <w:trHeight w:val="800"/>
        </w:trPr>
        <w:tc>
          <w:tcPr>
            <w:tcW w:w="0" w:type="auto"/>
            <w:shd w:val="clear" w:color="auto" w:fill="F2DBDB" w:themeFill="accent2" w:themeFillTint="33"/>
            <w:tcMar>
              <w:top w:w="100" w:type="dxa"/>
              <w:left w:w="100" w:type="dxa"/>
              <w:bottom w:w="100" w:type="dxa"/>
              <w:right w:w="100" w:type="dxa"/>
            </w:tcMar>
            <w:hideMark/>
          </w:tcPr>
          <w:p w14:paraId="71FEAB1A" w14:textId="77777777" w:rsidR="004E6114" w:rsidRPr="004E6114" w:rsidRDefault="004E6114" w:rsidP="004E6114">
            <w:pPr>
              <w:rPr>
                <w:lang w:val="en-IN"/>
              </w:rPr>
            </w:pPr>
            <w:r w:rsidRPr="004E6114">
              <w:rPr>
                <w:b/>
                <w:bCs/>
                <w:lang w:val="en-IN"/>
              </w:rPr>
              <w:t>Goal Conflict</w:t>
            </w:r>
          </w:p>
        </w:tc>
        <w:tc>
          <w:tcPr>
            <w:tcW w:w="0" w:type="auto"/>
            <w:shd w:val="clear" w:color="auto" w:fill="F2DBDB" w:themeFill="accent2" w:themeFillTint="33"/>
            <w:tcMar>
              <w:top w:w="100" w:type="dxa"/>
              <w:left w:w="100" w:type="dxa"/>
              <w:bottom w:w="100" w:type="dxa"/>
              <w:right w:w="100" w:type="dxa"/>
            </w:tcMar>
            <w:hideMark/>
          </w:tcPr>
          <w:p w14:paraId="51F701BA" w14:textId="77777777" w:rsidR="004E6114" w:rsidRPr="004E6114" w:rsidRDefault="004E6114" w:rsidP="004E6114">
            <w:pPr>
              <w:rPr>
                <w:lang w:val="en-IN"/>
              </w:rPr>
            </w:pPr>
            <w:r w:rsidRPr="004E6114">
              <w:rPr>
                <w:lang w:val="en-IN"/>
              </w:rPr>
              <w:t>Marketing wants rapid launch vs QA wants extended testing.</w:t>
            </w:r>
          </w:p>
        </w:tc>
        <w:tc>
          <w:tcPr>
            <w:tcW w:w="0" w:type="auto"/>
            <w:shd w:val="clear" w:color="auto" w:fill="F2DBDB" w:themeFill="accent2" w:themeFillTint="33"/>
            <w:tcMar>
              <w:top w:w="100" w:type="dxa"/>
              <w:left w:w="100" w:type="dxa"/>
              <w:bottom w:w="100" w:type="dxa"/>
              <w:right w:w="100" w:type="dxa"/>
            </w:tcMar>
            <w:hideMark/>
          </w:tcPr>
          <w:p w14:paraId="0C0A0B06" w14:textId="77777777" w:rsidR="004E6114" w:rsidRPr="004E6114" w:rsidRDefault="004E6114" w:rsidP="004E6114">
            <w:pPr>
              <w:rPr>
                <w:lang w:val="en-IN"/>
              </w:rPr>
            </w:pPr>
            <w:r w:rsidRPr="004E6114">
              <w:rPr>
                <w:lang w:val="en-IN"/>
              </w:rPr>
              <w:t>Mediation through PM; align via SMART goals.</w:t>
            </w:r>
          </w:p>
        </w:tc>
      </w:tr>
      <w:tr w:rsidR="004E6114" w:rsidRPr="004E6114" w14:paraId="41148053" w14:textId="77777777" w:rsidTr="000F701B">
        <w:trPr>
          <w:trHeight w:val="800"/>
        </w:trPr>
        <w:tc>
          <w:tcPr>
            <w:tcW w:w="0" w:type="auto"/>
            <w:shd w:val="clear" w:color="auto" w:fill="F2DBDB" w:themeFill="accent2" w:themeFillTint="33"/>
            <w:tcMar>
              <w:top w:w="100" w:type="dxa"/>
              <w:left w:w="100" w:type="dxa"/>
              <w:bottom w:w="100" w:type="dxa"/>
              <w:right w:w="100" w:type="dxa"/>
            </w:tcMar>
            <w:hideMark/>
          </w:tcPr>
          <w:p w14:paraId="07D3CAF0" w14:textId="77777777" w:rsidR="004E6114" w:rsidRPr="004E6114" w:rsidRDefault="004E6114" w:rsidP="004E6114">
            <w:pPr>
              <w:rPr>
                <w:lang w:val="en-IN"/>
              </w:rPr>
            </w:pPr>
            <w:r w:rsidRPr="004E6114">
              <w:rPr>
                <w:b/>
                <w:bCs/>
                <w:lang w:val="en-IN"/>
              </w:rPr>
              <w:t>Communication Breakdown</w:t>
            </w:r>
          </w:p>
        </w:tc>
        <w:tc>
          <w:tcPr>
            <w:tcW w:w="0" w:type="auto"/>
            <w:shd w:val="clear" w:color="auto" w:fill="F2DBDB" w:themeFill="accent2" w:themeFillTint="33"/>
            <w:tcMar>
              <w:top w:w="100" w:type="dxa"/>
              <w:left w:w="100" w:type="dxa"/>
              <w:bottom w:w="100" w:type="dxa"/>
              <w:right w:w="100" w:type="dxa"/>
            </w:tcMar>
            <w:hideMark/>
          </w:tcPr>
          <w:p w14:paraId="631D14E7" w14:textId="77777777" w:rsidR="004E6114" w:rsidRPr="004E6114" w:rsidRDefault="004E6114" w:rsidP="004E6114">
            <w:pPr>
              <w:rPr>
                <w:lang w:val="en-IN"/>
              </w:rPr>
            </w:pPr>
            <w:r w:rsidRPr="004E6114">
              <w:rPr>
                <w:lang w:val="en-IN"/>
              </w:rPr>
              <w:t>NHS team receives late technical updates.</w:t>
            </w:r>
          </w:p>
        </w:tc>
        <w:tc>
          <w:tcPr>
            <w:tcW w:w="0" w:type="auto"/>
            <w:shd w:val="clear" w:color="auto" w:fill="F2DBDB" w:themeFill="accent2" w:themeFillTint="33"/>
            <w:tcMar>
              <w:top w:w="100" w:type="dxa"/>
              <w:left w:w="100" w:type="dxa"/>
              <w:bottom w:w="100" w:type="dxa"/>
              <w:right w:w="100" w:type="dxa"/>
            </w:tcMar>
            <w:hideMark/>
          </w:tcPr>
          <w:p w14:paraId="6DB7D934" w14:textId="77777777" w:rsidR="004E6114" w:rsidRPr="004E6114" w:rsidRDefault="004E6114" w:rsidP="004E6114">
            <w:pPr>
              <w:rPr>
                <w:lang w:val="en-IN"/>
              </w:rPr>
            </w:pPr>
            <w:r w:rsidRPr="004E6114">
              <w:rPr>
                <w:lang w:val="en-IN"/>
              </w:rPr>
              <w:t>Weekly briefings and shared reporting dashboards.</w:t>
            </w:r>
          </w:p>
        </w:tc>
      </w:tr>
      <w:tr w:rsidR="004E6114" w:rsidRPr="004E6114" w14:paraId="667C461D" w14:textId="77777777" w:rsidTr="000F701B">
        <w:trPr>
          <w:trHeight w:val="800"/>
        </w:trPr>
        <w:tc>
          <w:tcPr>
            <w:tcW w:w="0" w:type="auto"/>
            <w:shd w:val="clear" w:color="auto" w:fill="F2DBDB" w:themeFill="accent2" w:themeFillTint="33"/>
            <w:tcMar>
              <w:top w:w="100" w:type="dxa"/>
              <w:left w:w="100" w:type="dxa"/>
              <w:bottom w:w="100" w:type="dxa"/>
              <w:right w:w="100" w:type="dxa"/>
            </w:tcMar>
            <w:hideMark/>
          </w:tcPr>
          <w:p w14:paraId="4A8BC14D" w14:textId="77777777" w:rsidR="004E6114" w:rsidRPr="004E6114" w:rsidRDefault="004E6114" w:rsidP="004E6114">
            <w:pPr>
              <w:rPr>
                <w:lang w:val="en-IN"/>
              </w:rPr>
            </w:pPr>
            <w:r w:rsidRPr="004E6114">
              <w:rPr>
                <w:b/>
                <w:bCs/>
                <w:lang w:val="en-IN"/>
              </w:rPr>
              <w:t>Cultural Misunderstanding</w:t>
            </w:r>
          </w:p>
        </w:tc>
        <w:tc>
          <w:tcPr>
            <w:tcW w:w="0" w:type="auto"/>
            <w:shd w:val="clear" w:color="auto" w:fill="F2DBDB" w:themeFill="accent2" w:themeFillTint="33"/>
            <w:tcMar>
              <w:top w:w="100" w:type="dxa"/>
              <w:left w:w="100" w:type="dxa"/>
              <w:bottom w:w="100" w:type="dxa"/>
              <w:right w:w="100" w:type="dxa"/>
            </w:tcMar>
            <w:hideMark/>
          </w:tcPr>
          <w:p w14:paraId="6E8375F2" w14:textId="77777777" w:rsidR="004E6114" w:rsidRPr="004E6114" w:rsidRDefault="004E6114" w:rsidP="004E6114">
            <w:pPr>
              <w:rPr>
                <w:lang w:val="en-IN"/>
              </w:rPr>
            </w:pPr>
            <w:r w:rsidRPr="004E6114">
              <w:rPr>
                <w:lang w:val="en-IN"/>
              </w:rPr>
              <w:t>Global Fitbit team vs UK regulatory expectations.</w:t>
            </w:r>
          </w:p>
        </w:tc>
        <w:tc>
          <w:tcPr>
            <w:tcW w:w="0" w:type="auto"/>
            <w:shd w:val="clear" w:color="auto" w:fill="F2DBDB" w:themeFill="accent2" w:themeFillTint="33"/>
            <w:tcMar>
              <w:top w:w="100" w:type="dxa"/>
              <w:left w:w="100" w:type="dxa"/>
              <w:bottom w:w="100" w:type="dxa"/>
              <w:right w:w="100" w:type="dxa"/>
            </w:tcMar>
            <w:hideMark/>
          </w:tcPr>
          <w:p w14:paraId="4450AFFD" w14:textId="77777777" w:rsidR="004E6114" w:rsidRPr="004E6114" w:rsidRDefault="004E6114" w:rsidP="004E6114">
            <w:pPr>
              <w:rPr>
                <w:lang w:val="en-IN"/>
              </w:rPr>
            </w:pPr>
            <w:r w:rsidRPr="004E6114">
              <w:rPr>
                <w:lang w:val="en-IN"/>
              </w:rPr>
              <w:t>Cultural training and local liaison officers.</w:t>
            </w:r>
          </w:p>
        </w:tc>
      </w:tr>
      <w:tr w:rsidR="004E6114" w:rsidRPr="004E6114" w14:paraId="4B439DAE" w14:textId="77777777" w:rsidTr="000F701B">
        <w:trPr>
          <w:trHeight w:val="800"/>
        </w:trPr>
        <w:tc>
          <w:tcPr>
            <w:tcW w:w="0" w:type="auto"/>
            <w:shd w:val="clear" w:color="auto" w:fill="F2DBDB" w:themeFill="accent2" w:themeFillTint="33"/>
            <w:tcMar>
              <w:top w:w="100" w:type="dxa"/>
              <w:left w:w="100" w:type="dxa"/>
              <w:bottom w:w="100" w:type="dxa"/>
              <w:right w:w="100" w:type="dxa"/>
            </w:tcMar>
            <w:hideMark/>
          </w:tcPr>
          <w:p w14:paraId="489AB222" w14:textId="77777777" w:rsidR="004E6114" w:rsidRPr="004E6114" w:rsidRDefault="004E6114" w:rsidP="004E6114">
            <w:pPr>
              <w:rPr>
                <w:lang w:val="en-IN"/>
              </w:rPr>
            </w:pPr>
            <w:r w:rsidRPr="004E6114">
              <w:rPr>
                <w:b/>
                <w:bCs/>
                <w:lang w:val="en-IN"/>
              </w:rPr>
              <w:t>Data Ethics Concerns</w:t>
            </w:r>
          </w:p>
        </w:tc>
        <w:tc>
          <w:tcPr>
            <w:tcW w:w="0" w:type="auto"/>
            <w:shd w:val="clear" w:color="auto" w:fill="F2DBDB" w:themeFill="accent2" w:themeFillTint="33"/>
            <w:tcMar>
              <w:top w:w="100" w:type="dxa"/>
              <w:left w:w="100" w:type="dxa"/>
              <w:bottom w:w="100" w:type="dxa"/>
              <w:right w:w="100" w:type="dxa"/>
            </w:tcMar>
            <w:hideMark/>
          </w:tcPr>
          <w:p w14:paraId="71B095E5" w14:textId="77777777" w:rsidR="004E6114" w:rsidRPr="004E6114" w:rsidRDefault="004E6114" w:rsidP="004E6114">
            <w:pPr>
              <w:rPr>
                <w:lang w:val="en-IN"/>
              </w:rPr>
            </w:pPr>
            <w:r w:rsidRPr="004E6114">
              <w:rPr>
                <w:lang w:val="en-IN"/>
              </w:rPr>
              <w:t>Consumers fear data misuse by Google.</w:t>
            </w:r>
          </w:p>
        </w:tc>
        <w:tc>
          <w:tcPr>
            <w:tcW w:w="0" w:type="auto"/>
            <w:shd w:val="clear" w:color="auto" w:fill="F2DBDB" w:themeFill="accent2" w:themeFillTint="33"/>
            <w:tcMar>
              <w:top w:w="100" w:type="dxa"/>
              <w:left w:w="100" w:type="dxa"/>
              <w:bottom w:w="100" w:type="dxa"/>
              <w:right w:w="100" w:type="dxa"/>
            </w:tcMar>
            <w:hideMark/>
          </w:tcPr>
          <w:p w14:paraId="1E736057" w14:textId="77777777" w:rsidR="004E6114" w:rsidRPr="004E6114" w:rsidRDefault="004E6114" w:rsidP="004E6114">
            <w:pPr>
              <w:rPr>
                <w:lang w:val="en-IN"/>
              </w:rPr>
            </w:pPr>
            <w:r w:rsidRPr="004E6114">
              <w:rPr>
                <w:lang w:val="en-IN"/>
              </w:rPr>
              <w:t>Transparent privacy policy &amp; GDPR compliance audits.</w:t>
            </w:r>
          </w:p>
        </w:tc>
      </w:tr>
    </w:tbl>
    <w:p w14:paraId="5629A734" w14:textId="2AD82E0B" w:rsidR="00CD15B0" w:rsidRPr="00CD15B0" w:rsidRDefault="00CD15B0" w:rsidP="00CD15B0">
      <w:pPr>
        <w:jc w:val="center"/>
        <w:rPr>
          <w:b/>
          <w:bCs/>
          <w:lang w:val="en-IN"/>
        </w:rPr>
      </w:pPr>
      <w:r w:rsidRPr="00CD15B0">
        <w:rPr>
          <w:b/>
          <w:bCs/>
          <w:lang w:val="en-IN"/>
        </w:rPr>
        <w:t xml:space="preserve">Table </w:t>
      </w:r>
      <w:r w:rsidR="00483F60">
        <w:rPr>
          <w:b/>
          <w:bCs/>
          <w:lang w:val="en-IN"/>
        </w:rPr>
        <w:t>7</w:t>
      </w:r>
      <w:r w:rsidRPr="00CD15B0">
        <w:rPr>
          <w:b/>
          <w:bCs/>
          <w:lang w:val="en-IN"/>
        </w:rPr>
        <w:t>: Conflict Identification and Resolution</w:t>
      </w:r>
    </w:p>
    <w:p w14:paraId="088C43AC" w14:textId="0D043AC4" w:rsidR="00CD15B0" w:rsidRDefault="00CD15B0" w:rsidP="00CD15B0">
      <w:pPr>
        <w:jc w:val="center"/>
        <w:rPr>
          <w:lang w:val="en-IN"/>
        </w:rPr>
      </w:pPr>
      <w:r>
        <w:rPr>
          <w:lang w:val="en-IN"/>
        </w:rPr>
        <w:t>(Source: Self-made)</w:t>
      </w:r>
    </w:p>
    <w:p w14:paraId="7C04FF43" w14:textId="65DE4E6D" w:rsidR="004E6114" w:rsidRPr="00380755" w:rsidRDefault="00E52205" w:rsidP="00CD15B0">
      <w:pPr>
        <w:rPr>
          <w:lang w:val="en-IN"/>
        </w:rPr>
      </w:pPr>
      <w:r w:rsidRPr="00E52205">
        <w:rPr>
          <w:lang w:val="en-IN"/>
        </w:rPr>
        <w:t>Two practical conflict situations illustrate how theoretical models can be applied to the Fitbit Sense 3 launch. The first involves an internal conflict between the Marketing and QA teams, where marketing advocates for a rapid launch to capture market share, while QA demands extended testing to satisfy MHRA requirements</w:t>
      </w:r>
      <w:r>
        <w:rPr>
          <w:lang w:val="en-IN"/>
        </w:rPr>
        <w:t xml:space="preserve"> </w:t>
      </w:r>
      <w:r w:rsidRPr="004E6114">
        <w:rPr>
          <w:lang w:val="en-IN"/>
        </w:rPr>
        <w:t>(</w:t>
      </w:r>
      <w:proofErr w:type="spellStart"/>
      <w:r w:rsidRPr="004E6114">
        <w:rPr>
          <w:lang w:val="en-IN"/>
        </w:rPr>
        <w:t>Ojiako</w:t>
      </w:r>
      <w:proofErr w:type="spellEnd"/>
      <w:r w:rsidRPr="004E6114">
        <w:rPr>
          <w:lang w:val="en-IN"/>
        </w:rPr>
        <w:t xml:space="preserve"> </w:t>
      </w:r>
      <w:r w:rsidRPr="00CD15B0">
        <w:rPr>
          <w:i/>
          <w:iCs/>
          <w:lang w:val="en-IN"/>
        </w:rPr>
        <w:t>et al.,</w:t>
      </w:r>
      <w:r w:rsidRPr="004E6114">
        <w:rPr>
          <w:lang w:val="en-IN"/>
        </w:rPr>
        <w:t xml:space="preserve"> 2023)</w:t>
      </w:r>
      <w:r w:rsidRPr="00E52205">
        <w:rPr>
          <w:lang w:val="en-IN"/>
        </w:rPr>
        <w:t xml:space="preserve">. </w:t>
      </w:r>
      <w:r w:rsidR="00655081" w:rsidRPr="00655081">
        <w:t xml:space="preserve">Fitbit supported communication with each other using the 4Cs model by having joint briefing sessions, ensuring timelines were coordinated by sharing sprint schedules, establishing cooperation by collectively reviewing risks, and building collaboration by jointly negotiating a staged launch plan. </w:t>
      </w:r>
      <w:r w:rsidR="00655081" w:rsidRPr="00380755">
        <w:t>Using the Thomas-Kilmann (TKI) model, the teams used the compromise strategy to minimize the time spent on testing without jeopardizing regulatory safety. The second dispute was that between the data security team at NHS Digital and Fitbit where NHS was demanding stricter encryption measures than Fitbit had initially offered. In this case, the collaborating approach of the TKI model was applied, and co-design workshops constituted a frame of shared encryption (Timmis, 2021). This proves that through institutional conflict management, technical alignment is enhanced and external trust is gained</w:t>
      </w:r>
      <w:r w:rsidRPr="00380755">
        <w:rPr>
          <w:lang w:val="en-IN"/>
        </w:rPr>
        <w:t>.</w:t>
      </w:r>
    </w:p>
    <w:p w14:paraId="4065FA96" w14:textId="77777777" w:rsidR="00D1545D" w:rsidRDefault="004E6114" w:rsidP="00D1545D">
      <w:pPr>
        <w:rPr>
          <w:b/>
          <w:bCs/>
          <w:lang w:val="en-IN"/>
        </w:rPr>
      </w:pPr>
      <w:r w:rsidRPr="004E6114">
        <w:rPr>
          <w:b/>
          <w:bCs/>
          <w:lang w:val="en-IN"/>
        </w:rPr>
        <w:t>Stakeholder KPIs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8"/>
        <w:gridCol w:w="1964"/>
        <w:gridCol w:w="985"/>
        <w:gridCol w:w="1114"/>
        <w:gridCol w:w="2199"/>
      </w:tblGrid>
      <w:tr w:rsidR="00D1545D" w:rsidRPr="00D1545D" w14:paraId="0558BB3F" w14:textId="77777777" w:rsidTr="000F701B">
        <w:trPr>
          <w:tblHeader/>
          <w:tblCellSpacing w:w="15" w:type="dxa"/>
          <w:jc w:val="center"/>
        </w:trPr>
        <w:tc>
          <w:tcPr>
            <w:tcW w:w="0" w:type="auto"/>
            <w:shd w:val="clear" w:color="auto" w:fill="B8CCE4" w:themeFill="accent1" w:themeFillTint="66"/>
            <w:vAlign w:val="center"/>
            <w:hideMark/>
          </w:tcPr>
          <w:p w14:paraId="5A0086FB" w14:textId="77777777" w:rsidR="00D1545D" w:rsidRPr="00D1545D" w:rsidRDefault="00D1545D" w:rsidP="00D1545D">
            <w:pPr>
              <w:jc w:val="center"/>
              <w:rPr>
                <w:b/>
                <w:bCs/>
                <w:lang w:val="en-IN"/>
              </w:rPr>
            </w:pPr>
            <w:r w:rsidRPr="00D1545D">
              <w:rPr>
                <w:b/>
                <w:bCs/>
                <w:lang w:val="en-IN"/>
              </w:rPr>
              <w:t>Area</w:t>
            </w:r>
          </w:p>
        </w:tc>
        <w:tc>
          <w:tcPr>
            <w:tcW w:w="0" w:type="auto"/>
            <w:shd w:val="clear" w:color="auto" w:fill="B8CCE4" w:themeFill="accent1" w:themeFillTint="66"/>
            <w:vAlign w:val="center"/>
            <w:hideMark/>
          </w:tcPr>
          <w:p w14:paraId="61474265" w14:textId="77777777" w:rsidR="00D1545D" w:rsidRPr="00D1545D" w:rsidRDefault="00D1545D" w:rsidP="00D1545D">
            <w:pPr>
              <w:jc w:val="center"/>
              <w:rPr>
                <w:b/>
                <w:bCs/>
                <w:lang w:val="en-IN"/>
              </w:rPr>
            </w:pPr>
            <w:r w:rsidRPr="00D1545D">
              <w:rPr>
                <w:b/>
                <w:bCs/>
                <w:lang w:val="en-IN"/>
              </w:rPr>
              <w:t>KPI</w:t>
            </w:r>
          </w:p>
        </w:tc>
        <w:tc>
          <w:tcPr>
            <w:tcW w:w="0" w:type="auto"/>
            <w:shd w:val="clear" w:color="auto" w:fill="B8CCE4" w:themeFill="accent1" w:themeFillTint="66"/>
            <w:vAlign w:val="center"/>
            <w:hideMark/>
          </w:tcPr>
          <w:p w14:paraId="05CAF629" w14:textId="77777777" w:rsidR="00D1545D" w:rsidRPr="00D1545D" w:rsidRDefault="00D1545D" w:rsidP="00D1545D">
            <w:pPr>
              <w:jc w:val="center"/>
              <w:rPr>
                <w:b/>
                <w:bCs/>
                <w:lang w:val="en-IN"/>
              </w:rPr>
            </w:pPr>
            <w:r w:rsidRPr="00D1545D">
              <w:rPr>
                <w:b/>
                <w:bCs/>
                <w:lang w:val="en-IN"/>
              </w:rPr>
              <w:t>Baseline</w:t>
            </w:r>
          </w:p>
        </w:tc>
        <w:tc>
          <w:tcPr>
            <w:tcW w:w="0" w:type="auto"/>
            <w:shd w:val="clear" w:color="auto" w:fill="B8CCE4" w:themeFill="accent1" w:themeFillTint="66"/>
            <w:vAlign w:val="center"/>
            <w:hideMark/>
          </w:tcPr>
          <w:p w14:paraId="565231B9" w14:textId="77777777" w:rsidR="00D1545D" w:rsidRPr="00D1545D" w:rsidRDefault="00D1545D" w:rsidP="00D1545D">
            <w:pPr>
              <w:jc w:val="center"/>
              <w:rPr>
                <w:b/>
                <w:bCs/>
                <w:lang w:val="en-IN"/>
              </w:rPr>
            </w:pPr>
            <w:r w:rsidRPr="00D1545D">
              <w:rPr>
                <w:b/>
                <w:bCs/>
                <w:lang w:val="en-IN"/>
              </w:rPr>
              <w:t>Target</w:t>
            </w:r>
          </w:p>
        </w:tc>
        <w:tc>
          <w:tcPr>
            <w:tcW w:w="0" w:type="auto"/>
            <w:shd w:val="clear" w:color="auto" w:fill="B8CCE4" w:themeFill="accent1" w:themeFillTint="66"/>
            <w:vAlign w:val="center"/>
            <w:hideMark/>
          </w:tcPr>
          <w:p w14:paraId="2A4A7434" w14:textId="77777777" w:rsidR="00D1545D" w:rsidRPr="00D1545D" w:rsidRDefault="00D1545D" w:rsidP="00D1545D">
            <w:pPr>
              <w:jc w:val="center"/>
              <w:rPr>
                <w:b/>
                <w:bCs/>
                <w:lang w:val="en-IN"/>
              </w:rPr>
            </w:pPr>
            <w:r w:rsidRPr="00D1545D">
              <w:rPr>
                <w:b/>
                <w:bCs/>
                <w:lang w:val="en-IN"/>
              </w:rPr>
              <w:t>Timeline</w:t>
            </w:r>
          </w:p>
        </w:tc>
      </w:tr>
      <w:tr w:rsidR="00D1545D" w:rsidRPr="00D1545D" w14:paraId="172676B5" w14:textId="77777777" w:rsidTr="000F701B">
        <w:trPr>
          <w:tblCellSpacing w:w="15" w:type="dxa"/>
          <w:jc w:val="center"/>
        </w:trPr>
        <w:tc>
          <w:tcPr>
            <w:tcW w:w="0" w:type="auto"/>
            <w:shd w:val="clear" w:color="auto" w:fill="9BBB59" w:themeFill="accent3"/>
            <w:vAlign w:val="center"/>
            <w:hideMark/>
          </w:tcPr>
          <w:p w14:paraId="381416E3" w14:textId="77777777" w:rsidR="00D1545D" w:rsidRPr="00D1545D" w:rsidRDefault="00D1545D" w:rsidP="00D1545D">
            <w:pPr>
              <w:rPr>
                <w:lang w:val="en-IN"/>
              </w:rPr>
            </w:pPr>
            <w:r w:rsidRPr="00D1545D">
              <w:rPr>
                <w:lang w:val="en-IN"/>
              </w:rPr>
              <w:t>Stakeholder Satisfaction</w:t>
            </w:r>
          </w:p>
        </w:tc>
        <w:tc>
          <w:tcPr>
            <w:tcW w:w="0" w:type="auto"/>
            <w:shd w:val="clear" w:color="auto" w:fill="9BBB59" w:themeFill="accent3"/>
            <w:vAlign w:val="center"/>
            <w:hideMark/>
          </w:tcPr>
          <w:p w14:paraId="75BEC260" w14:textId="77777777" w:rsidR="00D1545D" w:rsidRPr="00D1545D" w:rsidRDefault="00D1545D" w:rsidP="00D1545D">
            <w:pPr>
              <w:rPr>
                <w:lang w:val="en-IN"/>
              </w:rPr>
            </w:pPr>
            <w:r w:rsidRPr="00D1545D">
              <w:rPr>
                <w:lang w:val="en-IN"/>
              </w:rPr>
              <w:t>Engagement Score</w:t>
            </w:r>
          </w:p>
        </w:tc>
        <w:tc>
          <w:tcPr>
            <w:tcW w:w="0" w:type="auto"/>
            <w:shd w:val="clear" w:color="auto" w:fill="9BBB59" w:themeFill="accent3"/>
            <w:vAlign w:val="center"/>
            <w:hideMark/>
          </w:tcPr>
          <w:p w14:paraId="3233DAC1" w14:textId="77777777" w:rsidR="00D1545D" w:rsidRPr="00D1545D" w:rsidRDefault="00D1545D" w:rsidP="00D1545D">
            <w:pPr>
              <w:rPr>
                <w:lang w:val="en-IN"/>
              </w:rPr>
            </w:pPr>
            <w:r w:rsidRPr="00D1545D">
              <w:rPr>
                <w:lang w:val="en-IN"/>
              </w:rPr>
              <w:t>70%</w:t>
            </w:r>
          </w:p>
        </w:tc>
        <w:tc>
          <w:tcPr>
            <w:tcW w:w="0" w:type="auto"/>
            <w:shd w:val="clear" w:color="auto" w:fill="9BBB59" w:themeFill="accent3"/>
            <w:vAlign w:val="center"/>
            <w:hideMark/>
          </w:tcPr>
          <w:p w14:paraId="0A5BFDF3" w14:textId="77777777" w:rsidR="00D1545D" w:rsidRPr="00D1545D" w:rsidRDefault="00D1545D" w:rsidP="00D1545D">
            <w:pPr>
              <w:rPr>
                <w:lang w:val="en-IN"/>
              </w:rPr>
            </w:pPr>
            <w:r w:rsidRPr="00D1545D">
              <w:rPr>
                <w:lang w:val="en-IN"/>
              </w:rPr>
              <w:t>85%</w:t>
            </w:r>
          </w:p>
        </w:tc>
        <w:tc>
          <w:tcPr>
            <w:tcW w:w="0" w:type="auto"/>
            <w:shd w:val="clear" w:color="auto" w:fill="9BBB59" w:themeFill="accent3"/>
            <w:vAlign w:val="center"/>
            <w:hideMark/>
          </w:tcPr>
          <w:p w14:paraId="062A12F8" w14:textId="77777777" w:rsidR="00D1545D" w:rsidRPr="00D1545D" w:rsidRDefault="00D1545D" w:rsidP="00D1545D">
            <w:pPr>
              <w:rPr>
                <w:lang w:val="en-IN"/>
              </w:rPr>
            </w:pPr>
            <w:r w:rsidRPr="00D1545D">
              <w:rPr>
                <w:lang w:val="en-IN"/>
              </w:rPr>
              <w:t>6 months post-launch</w:t>
            </w:r>
          </w:p>
        </w:tc>
      </w:tr>
      <w:tr w:rsidR="00D1545D" w:rsidRPr="00D1545D" w14:paraId="69ACA0DA" w14:textId="77777777" w:rsidTr="000F701B">
        <w:trPr>
          <w:tblCellSpacing w:w="15" w:type="dxa"/>
          <w:jc w:val="center"/>
        </w:trPr>
        <w:tc>
          <w:tcPr>
            <w:tcW w:w="0" w:type="auto"/>
            <w:shd w:val="clear" w:color="auto" w:fill="9BBB59" w:themeFill="accent3"/>
            <w:vAlign w:val="center"/>
            <w:hideMark/>
          </w:tcPr>
          <w:p w14:paraId="39A4C396" w14:textId="77777777" w:rsidR="00D1545D" w:rsidRPr="00D1545D" w:rsidRDefault="00D1545D" w:rsidP="00D1545D">
            <w:pPr>
              <w:rPr>
                <w:lang w:val="en-IN"/>
              </w:rPr>
            </w:pPr>
            <w:r w:rsidRPr="00D1545D">
              <w:rPr>
                <w:lang w:val="en-IN"/>
              </w:rPr>
              <w:t>Regulatory Efficiency</w:t>
            </w:r>
          </w:p>
        </w:tc>
        <w:tc>
          <w:tcPr>
            <w:tcW w:w="0" w:type="auto"/>
            <w:shd w:val="clear" w:color="auto" w:fill="9BBB59" w:themeFill="accent3"/>
            <w:vAlign w:val="center"/>
            <w:hideMark/>
          </w:tcPr>
          <w:p w14:paraId="00F0366D" w14:textId="77777777" w:rsidR="00D1545D" w:rsidRPr="00D1545D" w:rsidRDefault="00D1545D" w:rsidP="00D1545D">
            <w:pPr>
              <w:rPr>
                <w:lang w:val="en-IN"/>
              </w:rPr>
            </w:pPr>
            <w:r w:rsidRPr="00D1545D">
              <w:rPr>
                <w:lang w:val="en-IN"/>
              </w:rPr>
              <w:t>Approval Time</w:t>
            </w:r>
          </w:p>
        </w:tc>
        <w:tc>
          <w:tcPr>
            <w:tcW w:w="0" w:type="auto"/>
            <w:shd w:val="clear" w:color="auto" w:fill="9BBB59" w:themeFill="accent3"/>
            <w:vAlign w:val="center"/>
            <w:hideMark/>
          </w:tcPr>
          <w:p w14:paraId="1A649A6A" w14:textId="77777777" w:rsidR="00D1545D" w:rsidRPr="00D1545D" w:rsidRDefault="00D1545D" w:rsidP="00D1545D">
            <w:pPr>
              <w:rPr>
                <w:lang w:val="en-IN"/>
              </w:rPr>
            </w:pPr>
            <w:r w:rsidRPr="00D1545D">
              <w:rPr>
                <w:lang w:val="en-IN"/>
              </w:rPr>
              <w:t>9 months</w:t>
            </w:r>
          </w:p>
        </w:tc>
        <w:tc>
          <w:tcPr>
            <w:tcW w:w="0" w:type="auto"/>
            <w:shd w:val="clear" w:color="auto" w:fill="9BBB59" w:themeFill="accent3"/>
            <w:vAlign w:val="center"/>
            <w:hideMark/>
          </w:tcPr>
          <w:p w14:paraId="20848B6F" w14:textId="77777777" w:rsidR="00D1545D" w:rsidRPr="00D1545D" w:rsidRDefault="00D1545D" w:rsidP="00D1545D">
            <w:pPr>
              <w:rPr>
                <w:lang w:val="en-IN"/>
              </w:rPr>
            </w:pPr>
            <w:r w:rsidRPr="00D1545D">
              <w:rPr>
                <w:lang w:val="en-IN"/>
              </w:rPr>
              <w:t>&lt;7 months</w:t>
            </w:r>
          </w:p>
        </w:tc>
        <w:tc>
          <w:tcPr>
            <w:tcW w:w="0" w:type="auto"/>
            <w:shd w:val="clear" w:color="auto" w:fill="9BBB59" w:themeFill="accent3"/>
            <w:vAlign w:val="center"/>
            <w:hideMark/>
          </w:tcPr>
          <w:p w14:paraId="17E5E5C6" w14:textId="77777777" w:rsidR="00D1545D" w:rsidRPr="00D1545D" w:rsidRDefault="00D1545D" w:rsidP="00D1545D">
            <w:pPr>
              <w:rPr>
                <w:lang w:val="en-IN"/>
              </w:rPr>
            </w:pPr>
            <w:r w:rsidRPr="00D1545D">
              <w:rPr>
                <w:lang w:val="en-IN"/>
              </w:rPr>
              <w:t>Q1–Q3 2026</w:t>
            </w:r>
          </w:p>
        </w:tc>
      </w:tr>
      <w:tr w:rsidR="00D1545D" w:rsidRPr="00D1545D" w14:paraId="1E03F89F" w14:textId="77777777" w:rsidTr="000F701B">
        <w:trPr>
          <w:tblCellSpacing w:w="15" w:type="dxa"/>
          <w:jc w:val="center"/>
        </w:trPr>
        <w:tc>
          <w:tcPr>
            <w:tcW w:w="0" w:type="auto"/>
            <w:shd w:val="clear" w:color="auto" w:fill="9BBB59" w:themeFill="accent3"/>
            <w:vAlign w:val="center"/>
            <w:hideMark/>
          </w:tcPr>
          <w:p w14:paraId="1EA3AB12" w14:textId="77777777" w:rsidR="00D1545D" w:rsidRPr="00D1545D" w:rsidRDefault="00D1545D" w:rsidP="00D1545D">
            <w:pPr>
              <w:rPr>
                <w:lang w:val="en-IN"/>
              </w:rPr>
            </w:pPr>
            <w:r w:rsidRPr="00D1545D">
              <w:rPr>
                <w:lang w:val="en-IN"/>
              </w:rPr>
              <w:t>Market Adoption</w:t>
            </w:r>
          </w:p>
        </w:tc>
        <w:tc>
          <w:tcPr>
            <w:tcW w:w="0" w:type="auto"/>
            <w:shd w:val="clear" w:color="auto" w:fill="9BBB59" w:themeFill="accent3"/>
            <w:vAlign w:val="center"/>
            <w:hideMark/>
          </w:tcPr>
          <w:p w14:paraId="07E6817F" w14:textId="77777777" w:rsidR="00D1545D" w:rsidRPr="00D1545D" w:rsidRDefault="00D1545D" w:rsidP="00D1545D">
            <w:pPr>
              <w:rPr>
                <w:lang w:val="en-IN"/>
              </w:rPr>
            </w:pPr>
            <w:r w:rsidRPr="00D1545D">
              <w:rPr>
                <w:lang w:val="en-IN"/>
              </w:rPr>
              <w:t>Units Sold</w:t>
            </w:r>
          </w:p>
        </w:tc>
        <w:tc>
          <w:tcPr>
            <w:tcW w:w="0" w:type="auto"/>
            <w:shd w:val="clear" w:color="auto" w:fill="9BBB59" w:themeFill="accent3"/>
            <w:vAlign w:val="center"/>
            <w:hideMark/>
          </w:tcPr>
          <w:p w14:paraId="3102A234" w14:textId="77777777" w:rsidR="00D1545D" w:rsidRPr="00D1545D" w:rsidRDefault="00D1545D" w:rsidP="00D1545D">
            <w:pPr>
              <w:rPr>
                <w:lang w:val="en-IN"/>
              </w:rPr>
            </w:pPr>
            <w:r w:rsidRPr="00D1545D">
              <w:rPr>
                <w:lang w:val="en-IN"/>
              </w:rPr>
              <w:t>0</w:t>
            </w:r>
          </w:p>
        </w:tc>
        <w:tc>
          <w:tcPr>
            <w:tcW w:w="0" w:type="auto"/>
            <w:shd w:val="clear" w:color="auto" w:fill="9BBB59" w:themeFill="accent3"/>
            <w:vAlign w:val="center"/>
            <w:hideMark/>
          </w:tcPr>
          <w:p w14:paraId="4D158027" w14:textId="77777777" w:rsidR="00D1545D" w:rsidRPr="00D1545D" w:rsidRDefault="00D1545D" w:rsidP="00D1545D">
            <w:pPr>
              <w:rPr>
                <w:lang w:val="en-IN"/>
              </w:rPr>
            </w:pPr>
            <w:r w:rsidRPr="00D1545D">
              <w:rPr>
                <w:lang w:val="en-IN"/>
              </w:rPr>
              <w:t>100,000</w:t>
            </w:r>
          </w:p>
        </w:tc>
        <w:tc>
          <w:tcPr>
            <w:tcW w:w="0" w:type="auto"/>
            <w:shd w:val="clear" w:color="auto" w:fill="9BBB59" w:themeFill="accent3"/>
            <w:vAlign w:val="center"/>
            <w:hideMark/>
          </w:tcPr>
          <w:p w14:paraId="4CE23B26" w14:textId="77777777" w:rsidR="00D1545D" w:rsidRPr="00D1545D" w:rsidRDefault="00D1545D" w:rsidP="00D1545D">
            <w:pPr>
              <w:rPr>
                <w:lang w:val="en-IN"/>
              </w:rPr>
            </w:pPr>
            <w:r w:rsidRPr="00D1545D">
              <w:rPr>
                <w:lang w:val="en-IN"/>
              </w:rPr>
              <w:t>First 6 months</w:t>
            </w:r>
          </w:p>
        </w:tc>
      </w:tr>
      <w:tr w:rsidR="00D1545D" w:rsidRPr="00D1545D" w14:paraId="7CABC394" w14:textId="77777777" w:rsidTr="000F701B">
        <w:trPr>
          <w:tblCellSpacing w:w="15" w:type="dxa"/>
          <w:jc w:val="center"/>
        </w:trPr>
        <w:tc>
          <w:tcPr>
            <w:tcW w:w="0" w:type="auto"/>
            <w:shd w:val="clear" w:color="auto" w:fill="9BBB59" w:themeFill="accent3"/>
            <w:vAlign w:val="center"/>
            <w:hideMark/>
          </w:tcPr>
          <w:p w14:paraId="1965C11C" w14:textId="77777777" w:rsidR="00D1545D" w:rsidRPr="00D1545D" w:rsidRDefault="00D1545D" w:rsidP="00D1545D">
            <w:pPr>
              <w:rPr>
                <w:lang w:val="en-IN"/>
              </w:rPr>
            </w:pPr>
            <w:r w:rsidRPr="00D1545D">
              <w:rPr>
                <w:lang w:val="en-IN"/>
              </w:rPr>
              <w:t>Supply Chain Reliability</w:t>
            </w:r>
          </w:p>
        </w:tc>
        <w:tc>
          <w:tcPr>
            <w:tcW w:w="0" w:type="auto"/>
            <w:shd w:val="clear" w:color="auto" w:fill="9BBB59" w:themeFill="accent3"/>
            <w:vAlign w:val="center"/>
            <w:hideMark/>
          </w:tcPr>
          <w:p w14:paraId="6FADFE60" w14:textId="77777777" w:rsidR="00D1545D" w:rsidRPr="00D1545D" w:rsidRDefault="00D1545D" w:rsidP="00D1545D">
            <w:pPr>
              <w:rPr>
                <w:lang w:val="en-IN"/>
              </w:rPr>
            </w:pPr>
            <w:r w:rsidRPr="00D1545D">
              <w:rPr>
                <w:lang w:val="en-IN"/>
              </w:rPr>
              <w:t>On-time Delivery</w:t>
            </w:r>
          </w:p>
        </w:tc>
        <w:tc>
          <w:tcPr>
            <w:tcW w:w="0" w:type="auto"/>
            <w:shd w:val="clear" w:color="auto" w:fill="9BBB59" w:themeFill="accent3"/>
            <w:vAlign w:val="center"/>
            <w:hideMark/>
          </w:tcPr>
          <w:p w14:paraId="0104935A" w14:textId="77777777" w:rsidR="00D1545D" w:rsidRPr="00D1545D" w:rsidRDefault="00D1545D" w:rsidP="00D1545D">
            <w:pPr>
              <w:rPr>
                <w:lang w:val="en-IN"/>
              </w:rPr>
            </w:pPr>
            <w:r w:rsidRPr="00D1545D">
              <w:rPr>
                <w:lang w:val="en-IN"/>
              </w:rPr>
              <w:t>88%</w:t>
            </w:r>
          </w:p>
        </w:tc>
        <w:tc>
          <w:tcPr>
            <w:tcW w:w="0" w:type="auto"/>
            <w:shd w:val="clear" w:color="auto" w:fill="9BBB59" w:themeFill="accent3"/>
            <w:vAlign w:val="center"/>
            <w:hideMark/>
          </w:tcPr>
          <w:p w14:paraId="27959B85" w14:textId="77777777" w:rsidR="00D1545D" w:rsidRPr="00D1545D" w:rsidRDefault="00D1545D" w:rsidP="00D1545D">
            <w:pPr>
              <w:rPr>
                <w:lang w:val="en-IN"/>
              </w:rPr>
            </w:pPr>
            <w:r w:rsidRPr="00D1545D">
              <w:rPr>
                <w:lang w:val="en-IN"/>
              </w:rPr>
              <w:t>95%</w:t>
            </w:r>
          </w:p>
        </w:tc>
        <w:tc>
          <w:tcPr>
            <w:tcW w:w="0" w:type="auto"/>
            <w:shd w:val="clear" w:color="auto" w:fill="9BBB59" w:themeFill="accent3"/>
            <w:vAlign w:val="center"/>
            <w:hideMark/>
          </w:tcPr>
          <w:p w14:paraId="317BFD28" w14:textId="77777777" w:rsidR="00D1545D" w:rsidRPr="00D1545D" w:rsidRDefault="00D1545D" w:rsidP="00D1545D">
            <w:pPr>
              <w:rPr>
                <w:lang w:val="en-IN"/>
              </w:rPr>
            </w:pPr>
            <w:r w:rsidRPr="00D1545D">
              <w:rPr>
                <w:lang w:val="en-IN"/>
              </w:rPr>
              <w:t>Quarterly review</w:t>
            </w:r>
          </w:p>
        </w:tc>
      </w:tr>
    </w:tbl>
    <w:p w14:paraId="6DF4151A" w14:textId="26536089" w:rsidR="00CD15B0" w:rsidRDefault="00CD15B0" w:rsidP="00D1545D">
      <w:pPr>
        <w:jc w:val="center"/>
        <w:rPr>
          <w:b/>
          <w:bCs/>
          <w:lang w:val="en-IN"/>
        </w:rPr>
      </w:pPr>
      <w:r>
        <w:rPr>
          <w:b/>
          <w:bCs/>
          <w:lang w:val="en-IN"/>
        </w:rPr>
        <w:t xml:space="preserve">Table </w:t>
      </w:r>
      <w:r w:rsidR="00483F60">
        <w:rPr>
          <w:b/>
          <w:bCs/>
          <w:lang w:val="en-IN"/>
        </w:rPr>
        <w:t>8</w:t>
      </w:r>
      <w:r>
        <w:rPr>
          <w:b/>
          <w:bCs/>
          <w:lang w:val="en-IN"/>
        </w:rPr>
        <w:t>: Stakeholder KPIs</w:t>
      </w:r>
    </w:p>
    <w:p w14:paraId="2196D564" w14:textId="0F096AE2" w:rsidR="00CD15B0" w:rsidRPr="00CD15B0" w:rsidRDefault="00CD15B0" w:rsidP="00CD15B0">
      <w:pPr>
        <w:jc w:val="center"/>
        <w:rPr>
          <w:lang w:val="en-IN"/>
        </w:rPr>
      </w:pPr>
      <w:r w:rsidRPr="00CD15B0">
        <w:rPr>
          <w:lang w:val="en-IN"/>
        </w:rPr>
        <w:t>(Source: Self-made)</w:t>
      </w:r>
    </w:p>
    <w:p w14:paraId="16D66968" w14:textId="39D9A74D" w:rsidR="004E6114" w:rsidRPr="00380755" w:rsidRDefault="004E6114" w:rsidP="004E6114">
      <w:pPr>
        <w:rPr>
          <w:b/>
          <w:bCs/>
          <w:lang w:val="en-IN"/>
        </w:rPr>
      </w:pPr>
      <w:r w:rsidRPr="00380755">
        <w:rPr>
          <w:b/>
          <w:bCs/>
          <w:lang w:val="en-IN"/>
        </w:rPr>
        <w:t>Ethical and Regulatory Considerations</w:t>
      </w:r>
    </w:p>
    <w:p w14:paraId="390220C9" w14:textId="41E6067A" w:rsidR="004E6114" w:rsidRPr="00380755" w:rsidRDefault="00655081" w:rsidP="004E6114">
      <w:pPr>
        <w:rPr>
          <w:lang w:val="en-IN"/>
        </w:rPr>
      </w:pPr>
      <w:r w:rsidRPr="00380755">
        <w:t xml:space="preserve">The stakeholder satisfaction index is to be enhanced to between 85% and 70% within six months after the launch, which is to be determined by means of structured surveys. Lengthening regulatory approval time The regulative approval period will be shortened by one and a half to less than seven months with the help of early interaction and documentation transparency (Muir </w:t>
      </w:r>
      <w:r w:rsidRPr="00380755">
        <w:rPr>
          <w:i/>
          <w:iCs/>
        </w:rPr>
        <w:t>et al.,</w:t>
      </w:r>
      <w:r w:rsidRPr="00380755">
        <w:t xml:space="preserve"> 2023). </w:t>
      </w:r>
      <w:r w:rsidR="00E52205" w:rsidRPr="00380755">
        <w:rPr>
          <w:lang w:val="en-IN"/>
        </w:rPr>
        <w:t>Market adoption is tracked via unit sales and penetration rate, targeting 100,000 units within the first six months. Supply chain reliability aims for 95% on-time delivery through improved forecasting and supplier coordination. These KPIs offer measurable indicators of whether stakeholder engagement strategies are translating into tangible performance outcomes. D</w:t>
      </w:r>
      <w:r w:rsidR="004E6114" w:rsidRPr="00380755">
        <w:rPr>
          <w:lang w:val="en-IN"/>
        </w:rPr>
        <w:t xml:space="preserve">igital health innovation is based on ethical and regulatory compliance as the core of the stakeholder trust and long-term sustainability. According to Cruz Rivera </w:t>
      </w:r>
      <w:r w:rsidR="004E6114" w:rsidRPr="00380755">
        <w:rPr>
          <w:i/>
          <w:iCs/>
          <w:lang w:val="en-IN"/>
        </w:rPr>
        <w:t>et al.</w:t>
      </w:r>
      <w:r w:rsidR="004E6114" w:rsidRPr="00380755">
        <w:rPr>
          <w:lang w:val="en-IN"/>
        </w:rPr>
        <w:t xml:space="preserve"> (2021), stakeholder engagement in regulatory science has been shown to hasten safe innovation by making sure that various opinions, including scientific, ethical, and consumer ones, are reflected in the process of decision-making. The partnership of Fitbit with the Medicines and Healthcare products Regulatory Agency (MHRA) and the Information Commissioner's Office (ICO) means that the company has been keen on ensuring a privacy-by-design and compliance with the UK GDPR. Such a proactive strategy does not only ensure that the market is authorised but also gains consumer trust in the operation of the personal health data management and storage.</w:t>
      </w:r>
      <w:r w:rsidR="00CD15B0" w:rsidRPr="00380755">
        <w:rPr>
          <w:lang w:val="en-IN"/>
        </w:rPr>
        <w:t xml:space="preserve"> </w:t>
      </w:r>
    </w:p>
    <w:p w14:paraId="21B09783" w14:textId="29CA877A" w:rsidR="004E6114" w:rsidRPr="004E6114" w:rsidRDefault="004E6114" w:rsidP="00CD15B0">
      <w:pPr>
        <w:pStyle w:val="Heading1"/>
        <w:rPr>
          <w:lang w:val="en-IN"/>
        </w:rPr>
      </w:pPr>
      <w:bookmarkStart w:id="7" w:name="_Toc214102989"/>
      <w:r w:rsidRPr="004E6114">
        <w:rPr>
          <w:lang w:val="en-IN"/>
        </w:rPr>
        <w:t>7. Evaluation of Impact and Recommendations</w:t>
      </w:r>
      <w:bookmarkEnd w:id="7"/>
      <w:r w:rsidRPr="004E6114">
        <w:rPr>
          <w:lang w:val="en-I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5"/>
        <w:gridCol w:w="6994"/>
      </w:tblGrid>
      <w:tr w:rsidR="004E6114" w:rsidRPr="004E6114" w14:paraId="613279AA" w14:textId="77777777" w:rsidTr="000F701B">
        <w:trPr>
          <w:trHeight w:val="515"/>
        </w:trPr>
        <w:tc>
          <w:tcPr>
            <w:tcW w:w="0" w:type="auto"/>
            <w:shd w:val="clear" w:color="auto" w:fill="C4BC96" w:themeFill="background2" w:themeFillShade="BF"/>
            <w:tcMar>
              <w:top w:w="100" w:type="dxa"/>
              <w:left w:w="100" w:type="dxa"/>
              <w:bottom w:w="100" w:type="dxa"/>
              <w:right w:w="100" w:type="dxa"/>
            </w:tcMar>
            <w:hideMark/>
          </w:tcPr>
          <w:p w14:paraId="41878B94" w14:textId="77777777" w:rsidR="004E6114" w:rsidRPr="004E6114" w:rsidRDefault="004E6114" w:rsidP="000F701B">
            <w:pPr>
              <w:jc w:val="center"/>
              <w:rPr>
                <w:lang w:val="en-IN"/>
              </w:rPr>
            </w:pPr>
            <w:r w:rsidRPr="004E6114">
              <w:rPr>
                <w:b/>
                <w:bCs/>
                <w:lang w:val="en-IN"/>
              </w:rPr>
              <w:t>Indicator</w:t>
            </w:r>
          </w:p>
        </w:tc>
        <w:tc>
          <w:tcPr>
            <w:tcW w:w="0" w:type="auto"/>
            <w:shd w:val="clear" w:color="auto" w:fill="C4BC96" w:themeFill="background2" w:themeFillShade="BF"/>
            <w:tcMar>
              <w:top w:w="100" w:type="dxa"/>
              <w:left w:w="100" w:type="dxa"/>
              <w:bottom w:w="100" w:type="dxa"/>
              <w:right w:w="100" w:type="dxa"/>
            </w:tcMar>
            <w:hideMark/>
          </w:tcPr>
          <w:p w14:paraId="08027440" w14:textId="77777777" w:rsidR="004E6114" w:rsidRPr="004E6114" w:rsidRDefault="004E6114" w:rsidP="000F701B">
            <w:pPr>
              <w:jc w:val="center"/>
              <w:rPr>
                <w:lang w:val="en-IN"/>
              </w:rPr>
            </w:pPr>
            <w:r w:rsidRPr="004E6114">
              <w:rPr>
                <w:b/>
                <w:bCs/>
                <w:lang w:val="en-IN"/>
              </w:rPr>
              <w:t>Evidence of Impact</w:t>
            </w:r>
          </w:p>
        </w:tc>
      </w:tr>
      <w:tr w:rsidR="004E6114" w:rsidRPr="004E6114" w14:paraId="7F7E72D5" w14:textId="77777777" w:rsidTr="000F701B">
        <w:trPr>
          <w:trHeight w:val="800"/>
        </w:trPr>
        <w:tc>
          <w:tcPr>
            <w:tcW w:w="0" w:type="auto"/>
            <w:shd w:val="clear" w:color="auto" w:fill="C6D9F1" w:themeFill="text2" w:themeFillTint="33"/>
            <w:tcMar>
              <w:top w:w="100" w:type="dxa"/>
              <w:left w:w="100" w:type="dxa"/>
              <w:bottom w:w="100" w:type="dxa"/>
              <w:right w:w="100" w:type="dxa"/>
            </w:tcMar>
            <w:hideMark/>
          </w:tcPr>
          <w:p w14:paraId="6872545C" w14:textId="77777777" w:rsidR="004E6114" w:rsidRPr="004E6114" w:rsidRDefault="004E6114" w:rsidP="004E6114">
            <w:pPr>
              <w:rPr>
                <w:lang w:val="en-IN"/>
              </w:rPr>
            </w:pPr>
            <w:r w:rsidRPr="004E6114">
              <w:rPr>
                <w:b/>
                <w:bCs/>
                <w:lang w:val="en-IN"/>
              </w:rPr>
              <w:t>Innovation Success</w:t>
            </w:r>
          </w:p>
        </w:tc>
        <w:tc>
          <w:tcPr>
            <w:tcW w:w="0" w:type="auto"/>
            <w:shd w:val="clear" w:color="auto" w:fill="C6D9F1" w:themeFill="text2" w:themeFillTint="33"/>
            <w:tcMar>
              <w:top w:w="100" w:type="dxa"/>
              <w:left w:w="100" w:type="dxa"/>
              <w:bottom w:w="100" w:type="dxa"/>
              <w:right w:w="100" w:type="dxa"/>
            </w:tcMar>
            <w:hideMark/>
          </w:tcPr>
          <w:p w14:paraId="051B32F4" w14:textId="77777777" w:rsidR="004E6114" w:rsidRPr="004E6114" w:rsidRDefault="004E6114" w:rsidP="004E6114">
            <w:pPr>
              <w:rPr>
                <w:lang w:val="en-IN"/>
              </w:rPr>
            </w:pPr>
            <w:r w:rsidRPr="004E6114">
              <w:rPr>
                <w:lang w:val="en-IN"/>
              </w:rPr>
              <w:t xml:space="preserve">Projects with structured stakeholder engagement achieve up to 35 % faster development cycles (Davis </w:t>
            </w:r>
            <w:r w:rsidRPr="004E6114">
              <w:rPr>
                <w:i/>
                <w:iCs/>
                <w:lang w:val="en-IN"/>
              </w:rPr>
              <w:t>et al.,</w:t>
            </w:r>
            <w:r w:rsidRPr="004E6114">
              <w:rPr>
                <w:lang w:val="en-IN"/>
              </w:rPr>
              <w:t xml:space="preserve"> 2022).</w:t>
            </w:r>
          </w:p>
        </w:tc>
      </w:tr>
      <w:tr w:rsidR="004E6114" w:rsidRPr="004E6114" w14:paraId="14316ED6" w14:textId="77777777" w:rsidTr="000F701B">
        <w:trPr>
          <w:trHeight w:val="1100"/>
        </w:trPr>
        <w:tc>
          <w:tcPr>
            <w:tcW w:w="0" w:type="auto"/>
            <w:shd w:val="clear" w:color="auto" w:fill="C6D9F1" w:themeFill="text2" w:themeFillTint="33"/>
            <w:tcMar>
              <w:top w:w="100" w:type="dxa"/>
              <w:left w:w="100" w:type="dxa"/>
              <w:bottom w:w="100" w:type="dxa"/>
              <w:right w:w="100" w:type="dxa"/>
            </w:tcMar>
            <w:hideMark/>
          </w:tcPr>
          <w:p w14:paraId="31085E6D" w14:textId="77777777" w:rsidR="004E6114" w:rsidRPr="004E6114" w:rsidRDefault="004E6114" w:rsidP="004E6114">
            <w:pPr>
              <w:rPr>
                <w:lang w:val="en-IN"/>
              </w:rPr>
            </w:pPr>
            <w:r w:rsidRPr="004E6114">
              <w:rPr>
                <w:b/>
                <w:bCs/>
                <w:lang w:val="en-IN"/>
              </w:rPr>
              <w:t>Market Performance</w:t>
            </w:r>
          </w:p>
        </w:tc>
        <w:tc>
          <w:tcPr>
            <w:tcW w:w="0" w:type="auto"/>
            <w:shd w:val="clear" w:color="auto" w:fill="C6D9F1" w:themeFill="text2" w:themeFillTint="33"/>
            <w:tcMar>
              <w:top w:w="100" w:type="dxa"/>
              <w:left w:w="100" w:type="dxa"/>
              <w:bottom w:w="100" w:type="dxa"/>
              <w:right w:w="100" w:type="dxa"/>
            </w:tcMar>
            <w:hideMark/>
          </w:tcPr>
          <w:p w14:paraId="291B379E" w14:textId="77777777" w:rsidR="004E6114" w:rsidRPr="004E6114" w:rsidRDefault="004E6114" w:rsidP="004E6114">
            <w:pPr>
              <w:rPr>
                <w:lang w:val="en-IN"/>
              </w:rPr>
            </w:pPr>
            <w:r w:rsidRPr="004E6114">
              <w:rPr>
                <w:lang w:val="en-IN"/>
              </w:rPr>
              <w:t>Fitbit Sense 2 held ~18 % of the UK premium wearable segment in 2024 (Statista estimate); effective stakeholder collaboration can push Sense 3 to 25 %.</w:t>
            </w:r>
          </w:p>
        </w:tc>
      </w:tr>
      <w:tr w:rsidR="004E6114" w:rsidRPr="004E6114" w14:paraId="46F64A46" w14:textId="77777777" w:rsidTr="000F701B">
        <w:trPr>
          <w:trHeight w:val="800"/>
        </w:trPr>
        <w:tc>
          <w:tcPr>
            <w:tcW w:w="0" w:type="auto"/>
            <w:shd w:val="clear" w:color="auto" w:fill="C6D9F1" w:themeFill="text2" w:themeFillTint="33"/>
            <w:tcMar>
              <w:top w:w="100" w:type="dxa"/>
              <w:left w:w="100" w:type="dxa"/>
              <w:bottom w:w="100" w:type="dxa"/>
              <w:right w:w="100" w:type="dxa"/>
            </w:tcMar>
            <w:hideMark/>
          </w:tcPr>
          <w:p w14:paraId="4775B154" w14:textId="77777777" w:rsidR="004E6114" w:rsidRPr="004E6114" w:rsidRDefault="004E6114" w:rsidP="004E6114">
            <w:pPr>
              <w:rPr>
                <w:lang w:val="en-IN"/>
              </w:rPr>
            </w:pPr>
            <w:r w:rsidRPr="004E6114">
              <w:rPr>
                <w:b/>
                <w:bCs/>
                <w:lang w:val="en-IN"/>
              </w:rPr>
              <w:t>Operational Efficiency</w:t>
            </w:r>
          </w:p>
        </w:tc>
        <w:tc>
          <w:tcPr>
            <w:tcW w:w="0" w:type="auto"/>
            <w:shd w:val="clear" w:color="auto" w:fill="C6D9F1" w:themeFill="text2" w:themeFillTint="33"/>
            <w:tcMar>
              <w:top w:w="100" w:type="dxa"/>
              <w:left w:w="100" w:type="dxa"/>
              <w:bottom w:w="100" w:type="dxa"/>
              <w:right w:w="100" w:type="dxa"/>
            </w:tcMar>
            <w:hideMark/>
          </w:tcPr>
          <w:p w14:paraId="0920B617" w14:textId="77777777" w:rsidR="004E6114" w:rsidRPr="004E6114" w:rsidRDefault="004E6114" w:rsidP="004E6114">
            <w:pPr>
              <w:rPr>
                <w:lang w:val="en-IN"/>
              </w:rPr>
            </w:pPr>
            <w:r w:rsidRPr="004E6114">
              <w:rPr>
                <w:lang w:val="en-IN"/>
              </w:rPr>
              <w:t>Coordinated communication reduced re-work by 12 % (</w:t>
            </w:r>
            <w:proofErr w:type="spellStart"/>
            <w:r w:rsidRPr="004E6114">
              <w:rPr>
                <w:lang w:val="en-IN"/>
              </w:rPr>
              <w:t>Ojiako</w:t>
            </w:r>
            <w:proofErr w:type="spellEnd"/>
            <w:r w:rsidRPr="004E6114">
              <w:rPr>
                <w:lang w:val="en-IN"/>
              </w:rPr>
              <w:t xml:space="preserve"> </w:t>
            </w:r>
            <w:r w:rsidRPr="004E6114">
              <w:rPr>
                <w:i/>
                <w:iCs/>
                <w:lang w:val="en-IN"/>
              </w:rPr>
              <w:t>et al.,</w:t>
            </w:r>
            <w:r w:rsidRPr="004E6114">
              <w:rPr>
                <w:lang w:val="en-IN"/>
              </w:rPr>
              <w:t xml:space="preserve"> 2023).</w:t>
            </w:r>
          </w:p>
        </w:tc>
      </w:tr>
      <w:tr w:rsidR="004E6114" w:rsidRPr="004E6114" w14:paraId="1E2CE847" w14:textId="77777777" w:rsidTr="000F701B">
        <w:trPr>
          <w:trHeight w:val="800"/>
        </w:trPr>
        <w:tc>
          <w:tcPr>
            <w:tcW w:w="0" w:type="auto"/>
            <w:shd w:val="clear" w:color="auto" w:fill="C6D9F1" w:themeFill="text2" w:themeFillTint="33"/>
            <w:tcMar>
              <w:top w:w="100" w:type="dxa"/>
              <w:left w:w="100" w:type="dxa"/>
              <w:bottom w:w="100" w:type="dxa"/>
              <w:right w:w="100" w:type="dxa"/>
            </w:tcMar>
            <w:hideMark/>
          </w:tcPr>
          <w:p w14:paraId="718C48ED" w14:textId="77777777" w:rsidR="004E6114" w:rsidRPr="004E6114" w:rsidRDefault="004E6114" w:rsidP="004E6114">
            <w:pPr>
              <w:rPr>
                <w:lang w:val="en-IN"/>
              </w:rPr>
            </w:pPr>
            <w:r w:rsidRPr="004E6114">
              <w:rPr>
                <w:b/>
                <w:bCs/>
                <w:lang w:val="en-IN"/>
              </w:rPr>
              <w:t>Stakeholder Satisfaction</w:t>
            </w:r>
          </w:p>
        </w:tc>
        <w:tc>
          <w:tcPr>
            <w:tcW w:w="0" w:type="auto"/>
            <w:shd w:val="clear" w:color="auto" w:fill="C6D9F1" w:themeFill="text2" w:themeFillTint="33"/>
            <w:tcMar>
              <w:top w:w="100" w:type="dxa"/>
              <w:left w:w="100" w:type="dxa"/>
              <w:bottom w:w="100" w:type="dxa"/>
              <w:right w:w="100" w:type="dxa"/>
            </w:tcMar>
            <w:hideMark/>
          </w:tcPr>
          <w:p w14:paraId="2DD6A2B6" w14:textId="77777777" w:rsidR="004E6114" w:rsidRPr="004E6114" w:rsidRDefault="004E6114" w:rsidP="004E6114">
            <w:pPr>
              <w:rPr>
                <w:lang w:val="en-IN"/>
              </w:rPr>
            </w:pPr>
            <w:r w:rsidRPr="004E6114">
              <w:rPr>
                <w:lang w:val="en-IN"/>
              </w:rPr>
              <w:t>Surveys after pilot engagement showed 82 % of participants felt “highly involved” (</w:t>
            </w:r>
            <w:proofErr w:type="spellStart"/>
            <w:r w:rsidRPr="004E6114">
              <w:rPr>
                <w:lang w:val="en-IN"/>
              </w:rPr>
              <w:t>Munoru</w:t>
            </w:r>
            <w:proofErr w:type="spellEnd"/>
            <w:r w:rsidRPr="004E6114">
              <w:rPr>
                <w:lang w:val="en-IN"/>
              </w:rPr>
              <w:t>, 2024).</w:t>
            </w:r>
          </w:p>
        </w:tc>
      </w:tr>
    </w:tbl>
    <w:p w14:paraId="57EB8CC7" w14:textId="791D997A" w:rsidR="00CD15B0" w:rsidRDefault="00CD15B0" w:rsidP="00CD15B0">
      <w:pPr>
        <w:jc w:val="center"/>
        <w:rPr>
          <w:b/>
          <w:bCs/>
          <w:lang w:val="en-IN"/>
        </w:rPr>
      </w:pPr>
      <w:r>
        <w:rPr>
          <w:b/>
          <w:bCs/>
          <w:lang w:val="en-IN"/>
        </w:rPr>
        <w:t xml:space="preserve">Table </w:t>
      </w:r>
      <w:r w:rsidR="00483F60">
        <w:rPr>
          <w:b/>
          <w:bCs/>
          <w:lang w:val="en-IN"/>
        </w:rPr>
        <w:t>9</w:t>
      </w:r>
      <w:r>
        <w:rPr>
          <w:b/>
          <w:bCs/>
          <w:lang w:val="en-IN"/>
        </w:rPr>
        <w:t>: Impact on Business Performance</w:t>
      </w:r>
    </w:p>
    <w:p w14:paraId="472555E6" w14:textId="24394F0E" w:rsidR="00CD15B0" w:rsidRPr="00CD15B0" w:rsidRDefault="00CD15B0" w:rsidP="00CD15B0">
      <w:pPr>
        <w:jc w:val="center"/>
        <w:rPr>
          <w:lang w:val="en-IN"/>
        </w:rPr>
      </w:pPr>
      <w:r w:rsidRPr="00CD15B0">
        <w:rPr>
          <w:lang w:val="en-IN"/>
        </w:rPr>
        <w:t>(Source: Self-made)</w:t>
      </w:r>
    </w:p>
    <w:p w14:paraId="3BD79C32" w14:textId="2E6CC337" w:rsidR="004E6114" w:rsidRPr="004E6114" w:rsidRDefault="004E6114" w:rsidP="004E6114">
      <w:pPr>
        <w:rPr>
          <w:lang w:val="en-IN"/>
        </w:rPr>
      </w:pPr>
      <w:r w:rsidRPr="004E6114">
        <w:rPr>
          <w:b/>
          <w:bCs/>
          <w:lang w:val="en-IN"/>
        </w:rPr>
        <w:t>Evaluation</w:t>
      </w:r>
    </w:p>
    <w:p w14:paraId="06EA9589" w14:textId="568B7DAE" w:rsidR="004E6114" w:rsidRPr="004E6114" w:rsidRDefault="004E6114" w:rsidP="00CD15B0">
      <w:pPr>
        <w:rPr>
          <w:lang w:val="en-IN"/>
        </w:rPr>
      </w:pPr>
      <w:r w:rsidRPr="004E6114">
        <w:rPr>
          <w:lang w:val="en-IN"/>
        </w:rPr>
        <w:t xml:space="preserve">The direct and measurable effect of stakeholder engagement is the organisational resilience, innovation, and long-term sustainability (Guise </w:t>
      </w:r>
      <w:r w:rsidRPr="00CD15B0">
        <w:rPr>
          <w:i/>
          <w:iCs/>
          <w:lang w:val="en-IN"/>
        </w:rPr>
        <w:t>et al.,</w:t>
      </w:r>
      <w:r w:rsidRPr="004E6114">
        <w:rPr>
          <w:lang w:val="en-IN"/>
        </w:rPr>
        <w:t xml:space="preserve"> 2024). The all-encompassing multi-level communication model used by Fitbit Sense 3 will allow the company to not only ensure the vertical information flow between its various departments but also the horizontal collaboration with other entities such as NHS Digital, suppliers, and regulators. Such a combined strategy will allow making decisions much faster, increasing the level of transparency, and developing a culture of responsibility within the project lifecycle. In order to measure the effectiveness of engagement, Fitbit utilizes Key Performance Indicators (KPIs) and feedback loops in order to assess the level of stakeholder satisfaction, responsiveness, and the efficiency of partnership (</w:t>
      </w:r>
      <w:r w:rsidR="00CD15B0" w:rsidRPr="00CD15B0">
        <w:t>Project Management Institute, 2021</w:t>
      </w:r>
      <w:r w:rsidRPr="004E6114">
        <w:rPr>
          <w:lang w:val="en-IN"/>
        </w:rPr>
        <w:t>). Periodic performance review and engagement audit gives implementable suggestions enabling the firm to dynamically shift its strategies. A further way to identify best practice and areas of innovation deficiency is benchmarking the progress of Fitbit against other industry rivals like Apple and Garmin (Kusch, 2025). In general, systematic evaluation does not only test the effectiveness of stakeholder engagement strategies that Fitbit applies, but also guarantees the lessons learned are going to be implemented in the future projects to enhance the adaptability and competitive advantage of the organisation in the fast-changing digital healthcare environment.</w:t>
      </w:r>
    </w:p>
    <w:p w14:paraId="16940899" w14:textId="77777777" w:rsidR="00D1545D" w:rsidRDefault="004E6114" w:rsidP="00D1545D">
      <w:pPr>
        <w:rPr>
          <w:b/>
          <w:bCs/>
          <w:lang w:val="en-IN"/>
        </w:rPr>
      </w:pPr>
      <w:r w:rsidRPr="004E6114">
        <w:rPr>
          <w:b/>
          <w:bCs/>
          <w:lang w:val="en-IN"/>
        </w:rPr>
        <w:t xml:space="preserve">Recommendations </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2"/>
        <w:gridCol w:w="4361"/>
        <w:gridCol w:w="3046"/>
      </w:tblGrid>
      <w:tr w:rsidR="00D1545D" w:rsidRPr="00D1545D" w14:paraId="418DB97A" w14:textId="77777777" w:rsidTr="000F701B">
        <w:trPr>
          <w:tblHeader/>
          <w:tblCellSpacing w:w="15" w:type="dxa"/>
          <w:jc w:val="center"/>
        </w:trPr>
        <w:tc>
          <w:tcPr>
            <w:tcW w:w="0" w:type="auto"/>
            <w:shd w:val="clear" w:color="auto" w:fill="E5B8B7" w:themeFill="accent2" w:themeFillTint="66"/>
            <w:vAlign w:val="center"/>
            <w:hideMark/>
          </w:tcPr>
          <w:p w14:paraId="2C4680CA" w14:textId="77777777" w:rsidR="00D1545D" w:rsidRPr="00D1545D" w:rsidRDefault="00D1545D" w:rsidP="00D1545D">
            <w:pPr>
              <w:jc w:val="center"/>
              <w:rPr>
                <w:b/>
                <w:bCs/>
                <w:lang w:val="en-IN"/>
              </w:rPr>
            </w:pPr>
            <w:r w:rsidRPr="00D1545D">
              <w:rPr>
                <w:b/>
                <w:bCs/>
                <w:lang w:val="en-IN"/>
              </w:rPr>
              <w:t>Area</w:t>
            </w:r>
          </w:p>
        </w:tc>
        <w:tc>
          <w:tcPr>
            <w:tcW w:w="0" w:type="auto"/>
            <w:shd w:val="clear" w:color="auto" w:fill="E5B8B7" w:themeFill="accent2" w:themeFillTint="66"/>
            <w:vAlign w:val="center"/>
            <w:hideMark/>
          </w:tcPr>
          <w:p w14:paraId="27C78AC5" w14:textId="77777777" w:rsidR="00D1545D" w:rsidRPr="00D1545D" w:rsidRDefault="00D1545D" w:rsidP="00D1545D">
            <w:pPr>
              <w:jc w:val="center"/>
              <w:rPr>
                <w:b/>
                <w:bCs/>
                <w:lang w:val="en-IN"/>
              </w:rPr>
            </w:pPr>
            <w:r w:rsidRPr="00D1545D">
              <w:rPr>
                <w:b/>
                <w:bCs/>
                <w:lang w:val="en-IN"/>
              </w:rPr>
              <w:t>Recommendation</w:t>
            </w:r>
          </w:p>
        </w:tc>
        <w:tc>
          <w:tcPr>
            <w:tcW w:w="0" w:type="auto"/>
            <w:shd w:val="clear" w:color="auto" w:fill="E5B8B7" w:themeFill="accent2" w:themeFillTint="66"/>
            <w:vAlign w:val="center"/>
            <w:hideMark/>
          </w:tcPr>
          <w:p w14:paraId="2D2362B0" w14:textId="77777777" w:rsidR="00D1545D" w:rsidRPr="00D1545D" w:rsidRDefault="00D1545D" w:rsidP="00D1545D">
            <w:pPr>
              <w:jc w:val="center"/>
              <w:rPr>
                <w:b/>
                <w:bCs/>
                <w:lang w:val="en-IN"/>
              </w:rPr>
            </w:pPr>
            <w:r w:rsidRPr="00D1545D">
              <w:rPr>
                <w:b/>
                <w:bCs/>
                <w:lang w:val="en-IN"/>
              </w:rPr>
              <w:t>Impact</w:t>
            </w:r>
          </w:p>
        </w:tc>
      </w:tr>
      <w:tr w:rsidR="00D1545D" w:rsidRPr="00D1545D" w14:paraId="2331BA63" w14:textId="77777777" w:rsidTr="000F701B">
        <w:trPr>
          <w:tblCellSpacing w:w="15" w:type="dxa"/>
          <w:jc w:val="center"/>
        </w:trPr>
        <w:tc>
          <w:tcPr>
            <w:tcW w:w="0" w:type="auto"/>
            <w:shd w:val="clear" w:color="auto" w:fill="BFBFBF" w:themeFill="background1" w:themeFillShade="BF"/>
            <w:vAlign w:val="center"/>
            <w:hideMark/>
          </w:tcPr>
          <w:p w14:paraId="7511585B" w14:textId="77777777" w:rsidR="00D1545D" w:rsidRPr="00D1545D" w:rsidRDefault="00D1545D" w:rsidP="00D1545D">
            <w:pPr>
              <w:rPr>
                <w:lang w:val="en-IN"/>
              </w:rPr>
            </w:pPr>
            <w:r w:rsidRPr="00D1545D">
              <w:rPr>
                <w:lang w:val="en-IN"/>
              </w:rPr>
              <w:t>Engagement</w:t>
            </w:r>
          </w:p>
        </w:tc>
        <w:tc>
          <w:tcPr>
            <w:tcW w:w="0" w:type="auto"/>
            <w:shd w:val="clear" w:color="auto" w:fill="BFBFBF" w:themeFill="background1" w:themeFillShade="BF"/>
            <w:vAlign w:val="center"/>
            <w:hideMark/>
          </w:tcPr>
          <w:p w14:paraId="35778F80" w14:textId="77777777" w:rsidR="00D1545D" w:rsidRPr="00D1545D" w:rsidRDefault="00D1545D" w:rsidP="00D1545D">
            <w:pPr>
              <w:rPr>
                <w:lang w:val="en-IN"/>
              </w:rPr>
            </w:pPr>
            <w:r w:rsidRPr="00D1545D">
              <w:rPr>
                <w:lang w:val="en-IN"/>
              </w:rPr>
              <w:t>Quarterly stakeholder forums with regulators, NHS &amp; consumers</w:t>
            </w:r>
          </w:p>
        </w:tc>
        <w:tc>
          <w:tcPr>
            <w:tcW w:w="0" w:type="auto"/>
            <w:shd w:val="clear" w:color="auto" w:fill="BFBFBF" w:themeFill="background1" w:themeFillShade="BF"/>
            <w:vAlign w:val="center"/>
            <w:hideMark/>
          </w:tcPr>
          <w:p w14:paraId="46C8DF77" w14:textId="77777777" w:rsidR="00D1545D" w:rsidRPr="00D1545D" w:rsidRDefault="00D1545D" w:rsidP="00D1545D">
            <w:pPr>
              <w:rPr>
                <w:lang w:val="en-IN"/>
              </w:rPr>
            </w:pPr>
            <w:r w:rsidRPr="00D1545D">
              <w:rPr>
                <w:lang w:val="en-IN"/>
              </w:rPr>
              <w:t>Builds transparency &amp; early issue detection</w:t>
            </w:r>
          </w:p>
        </w:tc>
      </w:tr>
      <w:tr w:rsidR="00D1545D" w:rsidRPr="00D1545D" w14:paraId="35894F5A" w14:textId="77777777" w:rsidTr="000F701B">
        <w:trPr>
          <w:tblCellSpacing w:w="15" w:type="dxa"/>
          <w:jc w:val="center"/>
        </w:trPr>
        <w:tc>
          <w:tcPr>
            <w:tcW w:w="0" w:type="auto"/>
            <w:shd w:val="clear" w:color="auto" w:fill="BFBFBF" w:themeFill="background1" w:themeFillShade="BF"/>
            <w:vAlign w:val="center"/>
            <w:hideMark/>
          </w:tcPr>
          <w:p w14:paraId="45C83FDB" w14:textId="77777777" w:rsidR="00D1545D" w:rsidRPr="00D1545D" w:rsidRDefault="00D1545D" w:rsidP="00D1545D">
            <w:pPr>
              <w:rPr>
                <w:lang w:val="en-IN"/>
              </w:rPr>
            </w:pPr>
            <w:r w:rsidRPr="00D1545D">
              <w:rPr>
                <w:lang w:val="en-IN"/>
              </w:rPr>
              <w:t>Data Governance</w:t>
            </w:r>
          </w:p>
        </w:tc>
        <w:tc>
          <w:tcPr>
            <w:tcW w:w="0" w:type="auto"/>
            <w:shd w:val="clear" w:color="auto" w:fill="BFBFBF" w:themeFill="background1" w:themeFillShade="BF"/>
            <w:vAlign w:val="center"/>
            <w:hideMark/>
          </w:tcPr>
          <w:p w14:paraId="2E4690DF" w14:textId="77777777" w:rsidR="00D1545D" w:rsidRPr="00D1545D" w:rsidRDefault="00D1545D" w:rsidP="00D1545D">
            <w:pPr>
              <w:rPr>
                <w:lang w:val="en-IN"/>
              </w:rPr>
            </w:pPr>
            <w:r w:rsidRPr="00D1545D">
              <w:rPr>
                <w:lang w:val="en-IN"/>
              </w:rPr>
              <w:t>Independent GDPR/data ethics audit annually</w:t>
            </w:r>
          </w:p>
        </w:tc>
        <w:tc>
          <w:tcPr>
            <w:tcW w:w="0" w:type="auto"/>
            <w:shd w:val="clear" w:color="auto" w:fill="BFBFBF" w:themeFill="background1" w:themeFillShade="BF"/>
            <w:vAlign w:val="center"/>
            <w:hideMark/>
          </w:tcPr>
          <w:p w14:paraId="64308C75" w14:textId="77777777" w:rsidR="00D1545D" w:rsidRPr="00D1545D" w:rsidRDefault="00D1545D" w:rsidP="00D1545D">
            <w:pPr>
              <w:rPr>
                <w:lang w:val="en-IN"/>
              </w:rPr>
            </w:pPr>
            <w:r w:rsidRPr="00D1545D">
              <w:rPr>
                <w:lang w:val="en-IN"/>
              </w:rPr>
              <w:t>Strengthens trust &amp; compliance</w:t>
            </w:r>
          </w:p>
        </w:tc>
      </w:tr>
      <w:tr w:rsidR="00D1545D" w:rsidRPr="00D1545D" w14:paraId="2514954E" w14:textId="77777777" w:rsidTr="000F701B">
        <w:trPr>
          <w:tblCellSpacing w:w="15" w:type="dxa"/>
          <w:jc w:val="center"/>
        </w:trPr>
        <w:tc>
          <w:tcPr>
            <w:tcW w:w="0" w:type="auto"/>
            <w:shd w:val="clear" w:color="auto" w:fill="BFBFBF" w:themeFill="background1" w:themeFillShade="BF"/>
            <w:vAlign w:val="center"/>
            <w:hideMark/>
          </w:tcPr>
          <w:p w14:paraId="6FB60A48" w14:textId="77777777" w:rsidR="00D1545D" w:rsidRPr="00D1545D" w:rsidRDefault="00D1545D" w:rsidP="00D1545D">
            <w:pPr>
              <w:rPr>
                <w:lang w:val="en-IN"/>
              </w:rPr>
            </w:pPr>
            <w:r w:rsidRPr="00D1545D">
              <w:rPr>
                <w:lang w:val="en-IN"/>
              </w:rPr>
              <w:t>Co-Creation</w:t>
            </w:r>
          </w:p>
        </w:tc>
        <w:tc>
          <w:tcPr>
            <w:tcW w:w="0" w:type="auto"/>
            <w:shd w:val="clear" w:color="auto" w:fill="BFBFBF" w:themeFill="background1" w:themeFillShade="BF"/>
            <w:vAlign w:val="center"/>
            <w:hideMark/>
          </w:tcPr>
          <w:p w14:paraId="35B55D26" w14:textId="77777777" w:rsidR="00D1545D" w:rsidRPr="00D1545D" w:rsidRDefault="00D1545D" w:rsidP="00D1545D">
            <w:pPr>
              <w:rPr>
                <w:lang w:val="en-IN"/>
              </w:rPr>
            </w:pPr>
            <w:r w:rsidRPr="00D1545D">
              <w:rPr>
                <w:lang w:val="en-IN"/>
              </w:rPr>
              <w:t>Expand NHS pilot into chronic disease management</w:t>
            </w:r>
          </w:p>
        </w:tc>
        <w:tc>
          <w:tcPr>
            <w:tcW w:w="0" w:type="auto"/>
            <w:shd w:val="clear" w:color="auto" w:fill="BFBFBF" w:themeFill="background1" w:themeFillShade="BF"/>
            <w:vAlign w:val="center"/>
            <w:hideMark/>
          </w:tcPr>
          <w:p w14:paraId="09C3515A" w14:textId="77777777" w:rsidR="00D1545D" w:rsidRPr="00D1545D" w:rsidRDefault="00D1545D" w:rsidP="00D1545D">
            <w:pPr>
              <w:rPr>
                <w:lang w:val="en-IN"/>
              </w:rPr>
            </w:pPr>
            <w:r w:rsidRPr="00D1545D">
              <w:rPr>
                <w:lang w:val="en-IN"/>
              </w:rPr>
              <w:t>Increases clinical credibility &amp; adoption</w:t>
            </w:r>
          </w:p>
        </w:tc>
      </w:tr>
      <w:tr w:rsidR="00D1545D" w:rsidRPr="00D1545D" w14:paraId="54ECFDE0" w14:textId="77777777" w:rsidTr="000F701B">
        <w:trPr>
          <w:tblCellSpacing w:w="15" w:type="dxa"/>
          <w:jc w:val="center"/>
        </w:trPr>
        <w:tc>
          <w:tcPr>
            <w:tcW w:w="0" w:type="auto"/>
            <w:shd w:val="clear" w:color="auto" w:fill="BFBFBF" w:themeFill="background1" w:themeFillShade="BF"/>
            <w:vAlign w:val="center"/>
            <w:hideMark/>
          </w:tcPr>
          <w:p w14:paraId="21B0A03D" w14:textId="77777777" w:rsidR="00D1545D" w:rsidRPr="00D1545D" w:rsidRDefault="00D1545D" w:rsidP="00D1545D">
            <w:pPr>
              <w:rPr>
                <w:lang w:val="en-IN"/>
              </w:rPr>
            </w:pPr>
            <w:r w:rsidRPr="00D1545D">
              <w:rPr>
                <w:lang w:val="en-IN"/>
              </w:rPr>
              <w:t>Technology</w:t>
            </w:r>
          </w:p>
        </w:tc>
        <w:tc>
          <w:tcPr>
            <w:tcW w:w="0" w:type="auto"/>
            <w:shd w:val="clear" w:color="auto" w:fill="BFBFBF" w:themeFill="background1" w:themeFillShade="BF"/>
            <w:vAlign w:val="center"/>
            <w:hideMark/>
          </w:tcPr>
          <w:p w14:paraId="100001E8" w14:textId="77777777" w:rsidR="00D1545D" w:rsidRPr="00D1545D" w:rsidRDefault="00D1545D" w:rsidP="00D1545D">
            <w:pPr>
              <w:rPr>
                <w:lang w:val="en-IN"/>
              </w:rPr>
            </w:pPr>
            <w:r w:rsidRPr="00D1545D">
              <w:rPr>
                <w:lang w:val="en-IN"/>
              </w:rPr>
              <w:t>Implement blockchain for secure patient-data transfer</w:t>
            </w:r>
          </w:p>
        </w:tc>
        <w:tc>
          <w:tcPr>
            <w:tcW w:w="0" w:type="auto"/>
            <w:shd w:val="clear" w:color="auto" w:fill="BFBFBF" w:themeFill="background1" w:themeFillShade="BF"/>
            <w:vAlign w:val="center"/>
            <w:hideMark/>
          </w:tcPr>
          <w:p w14:paraId="6B55C82B" w14:textId="77777777" w:rsidR="00D1545D" w:rsidRPr="00D1545D" w:rsidRDefault="00D1545D" w:rsidP="00D1545D">
            <w:pPr>
              <w:rPr>
                <w:lang w:val="en-IN"/>
              </w:rPr>
            </w:pPr>
            <w:r w:rsidRPr="00D1545D">
              <w:rPr>
                <w:lang w:val="en-IN"/>
              </w:rPr>
              <w:t>Reduces data-tampering risks</w:t>
            </w:r>
          </w:p>
        </w:tc>
      </w:tr>
      <w:tr w:rsidR="00D1545D" w:rsidRPr="00D1545D" w14:paraId="25691CBB" w14:textId="77777777" w:rsidTr="000F701B">
        <w:trPr>
          <w:tblCellSpacing w:w="15" w:type="dxa"/>
          <w:jc w:val="center"/>
        </w:trPr>
        <w:tc>
          <w:tcPr>
            <w:tcW w:w="0" w:type="auto"/>
            <w:shd w:val="clear" w:color="auto" w:fill="BFBFBF" w:themeFill="background1" w:themeFillShade="BF"/>
            <w:vAlign w:val="center"/>
            <w:hideMark/>
          </w:tcPr>
          <w:p w14:paraId="22D455B7" w14:textId="77777777" w:rsidR="00D1545D" w:rsidRPr="00D1545D" w:rsidRDefault="00D1545D" w:rsidP="00D1545D">
            <w:pPr>
              <w:rPr>
                <w:lang w:val="en-IN"/>
              </w:rPr>
            </w:pPr>
            <w:r w:rsidRPr="00D1545D">
              <w:rPr>
                <w:lang w:val="en-IN"/>
              </w:rPr>
              <w:t>Performance</w:t>
            </w:r>
          </w:p>
        </w:tc>
        <w:tc>
          <w:tcPr>
            <w:tcW w:w="0" w:type="auto"/>
            <w:shd w:val="clear" w:color="auto" w:fill="BFBFBF" w:themeFill="background1" w:themeFillShade="BF"/>
            <w:vAlign w:val="center"/>
            <w:hideMark/>
          </w:tcPr>
          <w:p w14:paraId="46E91111" w14:textId="77777777" w:rsidR="00D1545D" w:rsidRPr="00D1545D" w:rsidRDefault="00D1545D" w:rsidP="00D1545D">
            <w:pPr>
              <w:rPr>
                <w:lang w:val="en-IN"/>
              </w:rPr>
            </w:pPr>
            <w:r w:rsidRPr="00D1545D">
              <w:rPr>
                <w:lang w:val="en-IN"/>
              </w:rPr>
              <w:t>AI-driven early warning dashboards for stakeholder issues</w:t>
            </w:r>
          </w:p>
        </w:tc>
        <w:tc>
          <w:tcPr>
            <w:tcW w:w="0" w:type="auto"/>
            <w:shd w:val="clear" w:color="auto" w:fill="BFBFBF" w:themeFill="background1" w:themeFillShade="BF"/>
            <w:vAlign w:val="center"/>
            <w:hideMark/>
          </w:tcPr>
          <w:p w14:paraId="76408CDE" w14:textId="77777777" w:rsidR="00D1545D" w:rsidRPr="00D1545D" w:rsidRDefault="00D1545D" w:rsidP="00D1545D">
            <w:pPr>
              <w:rPr>
                <w:lang w:val="en-IN"/>
              </w:rPr>
            </w:pPr>
            <w:r w:rsidRPr="00D1545D">
              <w:rPr>
                <w:lang w:val="en-IN"/>
              </w:rPr>
              <w:t>Faster decision-making &amp; conflict prevention</w:t>
            </w:r>
          </w:p>
        </w:tc>
      </w:tr>
    </w:tbl>
    <w:p w14:paraId="6FCB20BB" w14:textId="30A5AEC7" w:rsidR="004E6114" w:rsidRPr="00CD15B0" w:rsidRDefault="00CD15B0" w:rsidP="00D1545D">
      <w:pPr>
        <w:jc w:val="center"/>
        <w:rPr>
          <w:b/>
          <w:bCs/>
          <w:lang w:val="en-IN"/>
        </w:rPr>
      </w:pPr>
      <w:r w:rsidRPr="00CD15B0">
        <w:rPr>
          <w:b/>
          <w:bCs/>
          <w:lang w:val="en-IN"/>
        </w:rPr>
        <w:t>Table 1</w:t>
      </w:r>
      <w:r w:rsidR="00483F60">
        <w:rPr>
          <w:b/>
          <w:bCs/>
          <w:lang w:val="en-IN"/>
        </w:rPr>
        <w:t>0</w:t>
      </w:r>
      <w:r w:rsidRPr="00CD15B0">
        <w:rPr>
          <w:b/>
          <w:bCs/>
          <w:lang w:val="en-IN"/>
        </w:rPr>
        <w:t>: Recommendations</w:t>
      </w:r>
    </w:p>
    <w:p w14:paraId="327305A5" w14:textId="07459E1E" w:rsidR="00CD15B0" w:rsidRPr="004E6114" w:rsidRDefault="00CD15B0" w:rsidP="00CD15B0">
      <w:pPr>
        <w:jc w:val="center"/>
        <w:rPr>
          <w:lang w:val="en-IN"/>
        </w:rPr>
      </w:pPr>
      <w:r>
        <w:rPr>
          <w:lang w:val="en-IN"/>
        </w:rPr>
        <w:t>(Source: Self-made)</w:t>
      </w:r>
    </w:p>
    <w:p w14:paraId="5EB396B3" w14:textId="09335F07" w:rsidR="004E6114" w:rsidRPr="00380755" w:rsidRDefault="004E6114" w:rsidP="00CD15B0">
      <w:pPr>
        <w:rPr>
          <w:lang w:val="en-IN"/>
        </w:rPr>
      </w:pPr>
      <w:r w:rsidRPr="004E6114">
        <w:rPr>
          <w:lang w:val="en-IN"/>
        </w:rPr>
        <w:t xml:space="preserve">Long (2024) and </w:t>
      </w:r>
      <w:proofErr w:type="spellStart"/>
      <w:r w:rsidRPr="004E6114">
        <w:rPr>
          <w:lang w:val="en-IN"/>
        </w:rPr>
        <w:t>Nnabuko</w:t>
      </w:r>
      <w:proofErr w:type="spellEnd"/>
      <w:r w:rsidRPr="004E6114">
        <w:rPr>
          <w:lang w:val="en-IN"/>
        </w:rPr>
        <w:t xml:space="preserve"> (2021) state that to realize long-term sustainability and improve the user retention of a health technology project, proactive co-creation and transparent digital strategies are necessary. Organisations such as Fitbit can change them into active value co-creators by engaging the stakeholders during the design and implementation processes early on</w:t>
      </w:r>
      <w:r w:rsidRPr="00380755">
        <w:rPr>
          <w:lang w:val="en-IN"/>
        </w:rPr>
        <w:t xml:space="preserve">. </w:t>
      </w:r>
      <w:r w:rsidR="00655081" w:rsidRPr="00380755">
        <w:t>It is an integrative approach that fosters sense of ownership, innovative and commitment towards diverse groups of stakeholders. Transparency of communication especially in data management, privacy and morally responsible use will build trust and aid in constant communication. Lastly, the co-creation with its stakeholders does not just elevate the satisfaction with the users and their brand loyalty, but triggers the development of more comprehensive, efficient, and socially responsible digital health technologies.</w:t>
      </w:r>
    </w:p>
    <w:p w14:paraId="2AA9391B" w14:textId="77777777" w:rsidR="004E6114" w:rsidRPr="00380755" w:rsidRDefault="004E6114" w:rsidP="00CD15B0">
      <w:pPr>
        <w:pStyle w:val="Heading1"/>
        <w:rPr>
          <w:lang w:val="en-IN"/>
        </w:rPr>
      </w:pPr>
      <w:bookmarkStart w:id="8" w:name="_Toc214102990"/>
      <w:r w:rsidRPr="00380755">
        <w:rPr>
          <w:lang w:val="en-IN"/>
        </w:rPr>
        <w:t>8. Conclusion</w:t>
      </w:r>
      <w:bookmarkEnd w:id="8"/>
    </w:p>
    <w:p w14:paraId="18468DB8" w14:textId="3FBEF5F2" w:rsidR="00CD15B0" w:rsidRPr="00380755" w:rsidRDefault="00655081" w:rsidP="00573DCF">
      <w:pPr>
        <w:rPr>
          <w:b/>
          <w:bCs/>
          <w:lang w:val="en-IN"/>
        </w:rPr>
      </w:pPr>
      <w:r w:rsidRPr="00380755">
        <w:t xml:space="preserve">In this report, there has been critical assessment of the stakeholder engagement concepts in launching the Fitbit Sense 3 in the UK healthcare environment successfully. Fitbit Sense 3 can be successfully launched once the organisation can handle a multifaceted ecosystem of regulatory, clinical, operational, and consumer stakeholders. The systematic approaches to engagement, such as stakeholder mapping (as proposed by Mendelow), SMART targets, RACI clarification, and the 4Cs model can help Fitbit to manage the expectations, minimize approval times, and build the trust in the collaboration. The extended analysis shows that the stakeholder involvement can be quantified in terms of its influence on the development pace, the regulatory preparedness and the market uptake. Nevertheless, Fitbit must stay in constant engagement loops, </w:t>
      </w:r>
      <w:proofErr w:type="spellStart"/>
      <w:r w:rsidRPr="00380755">
        <w:t>instill</w:t>
      </w:r>
      <w:proofErr w:type="spellEnd"/>
      <w:r w:rsidRPr="00380755">
        <w:t xml:space="preserve"> transparency in ethics, and change communication practices timely in order to address the persistent threats of complexity in data management, competition in the market, and the transformation of healthcare demands. Through collaboration with healthcare institutions, incorporation of a systematic assessment system, and use of technology-based monitoring, Fitbit can guarantee its resilience in the long run, compliance with regulatory requirements, and continued confidence in the UK healthcare system with its consumers.</w:t>
      </w:r>
      <w:r w:rsidR="00CD15B0" w:rsidRPr="00380755">
        <w:rPr>
          <w:b/>
          <w:bCs/>
          <w:lang w:val="en-IN"/>
        </w:rPr>
        <w:br w:type="page"/>
      </w:r>
    </w:p>
    <w:p w14:paraId="543D54C0" w14:textId="0FED28E5" w:rsidR="004E6114" w:rsidRPr="004E6114" w:rsidRDefault="004E6114" w:rsidP="00CD15B0">
      <w:pPr>
        <w:pStyle w:val="Heading1"/>
        <w:rPr>
          <w:lang w:val="en-IN"/>
        </w:rPr>
      </w:pPr>
      <w:bookmarkStart w:id="9" w:name="_Toc214102991"/>
      <w:r w:rsidRPr="004E6114">
        <w:rPr>
          <w:lang w:val="en-IN"/>
        </w:rPr>
        <w:t>References</w:t>
      </w:r>
      <w:bookmarkEnd w:id="9"/>
    </w:p>
    <w:p w14:paraId="134AB164" w14:textId="64704163" w:rsidR="00BB589A" w:rsidRDefault="00BB589A" w:rsidP="00CD15B0">
      <w:r w:rsidRPr="00BB589A">
        <w:t xml:space="preserve">Cruz Rivera, S., </w:t>
      </w:r>
      <w:proofErr w:type="spellStart"/>
      <w:r w:rsidRPr="00BB589A">
        <w:t>Torlinska</w:t>
      </w:r>
      <w:proofErr w:type="spellEnd"/>
      <w:r w:rsidRPr="00BB589A">
        <w:t>, B., Marston, E., Denniston, A.K., Oliver, K., Hoare, S. and Calvert, M.J. (2021). Advancing UK Regulatory Science Strategy in the Context of Global Regulation: a Stakeholder Survey. </w:t>
      </w:r>
      <w:r w:rsidRPr="00BB589A">
        <w:rPr>
          <w:i/>
          <w:iCs/>
        </w:rPr>
        <w:t>Therapeutic Innovation &amp; Regulatory Science</w:t>
      </w:r>
      <w:r w:rsidRPr="00BB589A">
        <w:t xml:space="preserve">. </w:t>
      </w:r>
      <w:proofErr w:type="spellStart"/>
      <w:r w:rsidRPr="00BB589A">
        <w:t>doi:https</w:t>
      </w:r>
      <w:proofErr w:type="spellEnd"/>
      <w:r w:rsidRPr="00BB589A">
        <w:t>://doi.org/10.1007/s43441-021-00263-2.</w:t>
      </w:r>
      <w:r>
        <w:t xml:space="preserve"> </w:t>
      </w:r>
      <w:hyperlink r:id="rId16" w:history="1">
        <w:r w:rsidRPr="00DE5EBE">
          <w:rPr>
            <w:rStyle w:val="Hyperlink"/>
          </w:rPr>
          <w:t>https://link.springer.com/article/10.1007/s43441-021-00263-2</w:t>
        </w:r>
      </w:hyperlink>
    </w:p>
    <w:p w14:paraId="35309BCD" w14:textId="1243DA38" w:rsidR="00BB589A" w:rsidRDefault="00BB589A" w:rsidP="00CD15B0">
      <w:r w:rsidRPr="00BB589A">
        <w:t>Davis, M., Kirwan, M., Maclay, W. and Pappas, H. (2022). </w:t>
      </w:r>
      <w:r w:rsidRPr="00BB589A">
        <w:rPr>
          <w:i/>
          <w:iCs/>
        </w:rPr>
        <w:t>Closing the Care Gap with Wearable Devices</w:t>
      </w:r>
      <w:r w:rsidRPr="00BB589A">
        <w:t xml:space="preserve">. [online] Google Books. Available at: </w:t>
      </w:r>
      <w:hyperlink r:id="rId17" w:history="1">
        <w:r w:rsidRPr="00DE5EBE">
          <w:rPr>
            <w:rStyle w:val="Hyperlink"/>
          </w:rPr>
          <w:t>https://books.google.com/books?hl=en&amp;lr=&amp;id=Q5eSEAAAQBAJ&amp;oi=fnd&amp;pg=PA1987&amp;dq=Davis</w:t>
        </w:r>
      </w:hyperlink>
      <w:r w:rsidRPr="00BB589A">
        <w:t xml:space="preserve"> [Accessed 11 Nov. 2025].</w:t>
      </w:r>
    </w:p>
    <w:p w14:paraId="6B68D943" w14:textId="39AD0F3E" w:rsidR="00BB589A" w:rsidRDefault="00BB589A" w:rsidP="00CD15B0">
      <w:r w:rsidRPr="00BB589A">
        <w:t>de Wolde, B.T. (2022). </w:t>
      </w:r>
      <w:r w:rsidRPr="00BB589A">
        <w:rPr>
          <w:i/>
          <w:iCs/>
        </w:rPr>
        <w:t>Wise Wearables: A Model Framework for Building Innovation Ecosystems for Disruptive Technologies in Healthcare</w:t>
      </w:r>
      <w:r w:rsidRPr="00BB589A">
        <w:t xml:space="preserve">. [online] Proquest.com. Available at: </w:t>
      </w:r>
      <w:hyperlink r:id="rId18" w:history="1">
        <w:r w:rsidRPr="00DE5EBE">
          <w:rPr>
            <w:rStyle w:val="Hyperlink"/>
          </w:rPr>
          <w:t>https://search.proquest.com/openview/bab8707abdd3e4128a066b1a475a3377/1?pq-origsite=gscholar&amp;cbl=2026366&amp;diss=y</w:t>
        </w:r>
      </w:hyperlink>
      <w:r w:rsidRPr="00BB589A">
        <w:t xml:space="preserve"> [Accessed 11 Nov. 2025]. </w:t>
      </w:r>
    </w:p>
    <w:p w14:paraId="13D059FD" w14:textId="6DB7B9D9" w:rsidR="00BB589A" w:rsidRDefault="00BB589A" w:rsidP="00CD15B0">
      <w:proofErr w:type="spellStart"/>
      <w:r w:rsidRPr="00BB589A">
        <w:t>Fedorenko</w:t>
      </w:r>
      <w:proofErr w:type="spellEnd"/>
      <w:r w:rsidRPr="00BB589A">
        <w:t xml:space="preserve">, I.A., </w:t>
      </w:r>
      <w:proofErr w:type="spellStart"/>
      <w:r w:rsidRPr="00BB589A">
        <w:t>Kuzmynchuk</w:t>
      </w:r>
      <w:proofErr w:type="spellEnd"/>
      <w:r w:rsidRPr="00BB589A">
        <w:t xml:space="preserve">, N.V. and </w:t>
      </w:r>
      <w:proofErr w:type="spellStart"/>
      <w:r w:rsidRPr="00BB589A">
        <w:t>Kutsenko</w:t>
      </w:r>
      <w:proofErr w:type="spellEnd"/>
      <w:r w:rsidRPr="00BB589A">
        <w:t>, T.M. (2025). Strategy for managing the competitive development of communities based on interaction with stakeholders. </w:t>
      </w:r>
      <w:r w:rsidRPr="00BB589A">
        <w:rPr>
          <w:i/>
          <w:iCs/>
        </w:rPr>
        <w:t>Economic Herald of SHEI USUCT</w:t>
      </w:r>
      <w:r w:rsidRPr="00BB589A">
        <w:t xml:space="preserve">, [online] 21(1), pp.6–16. </w:t>
      </w:r>
      <w:proofErr w:type="spellStart"/>
      <w:r w:rsidRPr="00BB589A">
        <w:t>doi:https</w:t>
      </w:r>
      <w:proofErr w:type="spellEnd"/>
      <w:r w:rsidRPr="00BB589A">
        <w:t>://doi.org/10.32434/2415-3974-2025-21-1-6-16.</w:t>
      </w:r>
      <w:r>
        <w:t xml:space="preserve"> </w:t>
      </w:r>
      <w:hyperlink r:id="rId19" w:history="1">
        <w:r w:rsidRPr="00DE5EBE">
          <w:rPr>
            <w:rStyle w:val="Hyperlink"/>
          </w:rPr>
          <w:t>http://ek-visnik.dp.ua/wp-content/uploads/pdf/2025-1/Fedorenko.pdf</w:t>
        </w:r>
      </w:hyperlink>
    </w:p>
    <w:p w14:paraId="2DA9BE5D" w14:textId="74A7C2C4" w:rsidR="00BB589A" w:rsidRDefault="00BB589A" w:rsidP="00CD15B0">
      <w:r w:rsidRPr="00BB589A">
        <w:t xml:space="preserve">Freeman, R.E. and </w:t>
      </w:r>
      <w:proofErr w:type="spellStart"/>
      <w:r w:rsidRPr="00BB589A">
        <w:t>Velamuri</w:t>
      </w:r>
      <w:proofErr w:type="spellEnd"/>
      <w:r w:rsidRPr="00BB589A">
        <w:t>, S.R. (2023). A New Approach to CSR: Company Stakeholder Responsibility. </w:t>
      </w:r>
      <w:r w:rsidRPr="00BB589A">
        <w:rPr>
          <w:i/>
          <w:iCs/>
        </w:rPr>
        <w:t>Issues in business ethics</w:t>
      </w:r>
      <w:r w:rsidRPr="00BB589A">
        <w:t xml:space="preserve">, 53, pp.251–264. </w:t>
      </w:r>
      <w:proofErr w:type="spellStart"/>
      <w:r w:rsidRPr="00BB589A">
        <w:t>doi:https</w:t>
      </w:r>
      <w:proofErr w:type="spellEnd"/>
      <w:r w:rsidRPr="00BB589A">
        <w:t>://doi.org/10.1007/978-3-031-04564-6_12.</w:t>
      </w:r>
      <w:r>
        <w:t xml:space="preserve"> </w:t>
      </w:r>
      <w:hyperlink r:id="rId20" w:history="1">
        <w:r w:rsidRPr="00DE5EBE">
          <w:rPr>
            <w:rStyle w:val="Hyperlink"/>
          </w:rPr>
          <w:t>https://link.springer.com/chapter/10.1007/978-3-031-04564-6_12</w:t>
        </w:r>
      </w:hyperlink>
    </w:p>
    <w:p w14:paraId="1A432BB6" w14:textId="5BF81CF6" w:rsidR="00BB589A" w:rsidRDefault="00BB589A" w:rsidP="00CD15B0">
      <w:r w:rsidRPr="00BB589A">
        <w:t xml:space="preserve">Guise, V., Chambers, M., </w:t>
      </w:r>
      <w:proofErr w:type="spellStart"/>
      <w:r w:rsidRPr="00BB589A">
        <w:t>Lyng</w:t>
      </w:r>
      <w:proofErr w:type="spellEnd"/>
      <w:r w:rsidRPr="00BB589A">
        <w:t xml:space="preserve">, H.B., </w:t>
      </w:r>
      <w:proofErr w:type="spellStart"/>
      <w:r w:rsidRPr="00BB589A">
        <w:t>Haraldseid-Driftland</w:t>
      </w:r>
      <w:proofErr w:type="spellEnd"/>
      <w:r w:rsidRPr="00BB589A">
        <w:t xml:space="preserve">, C., </w:t>
      </w:r>
      <w:proofErr w:type="spellStart"/>
      <w:r w:rsidRPr="00BB589A">
        <w:t>Schibevaag</w:t>
      </w:r>
      <w:proofErr w:type="spellEnd"/>
      <w:r w:rsidRPr="00BB589A">
        <w:t xml:space="preserve">, L., Fagerdal, B., </w:t>
      </w:r>
      <w:proofErr w:type="spellStart"/>
      <w:r w:rsidRPr="00BB589A">
        <w:t>Dombestein</w:t>
      </w:r>
      <w:proofErr w:type="spellEnd"/>
      <w:r w:rsidRPr="00BB589A">
        <w:t>, H., Ree, E. and Wiig, S. (2024). Identifying, categorising, and mapping actors involved in resilience in healthcare: a qualitative stakeholder analysis. </w:t>
      </w:r>
      <w:r w:rsidRPr="00BB589A">
        <w:rPr>
          <w:i/>
          <w:iCs/>
        </w:rPr>
        <w:t>BMC Health Services Research</w:t>
      </w:r>
      <w:r w:rsidRPr="00BB589A">
        <w:t xml:space="preserve">, [online] 24(1). </w:t>
      </w:r>
      <w:proofErr w:type="spellStart"/>
      <w:r w:rsidRPr="00BB589A">
        <w:t>doi:https</w:t>
      </w:r>
      <w:proofErr w:type="spellEnd"/>
      <w:r w:rsidRPr="00BB589A">
        <w:t>://doi.org/10.1186/s12913-024-10654-4.</w:t>
      </w:r>
      <w:r>
        <w:t xml:space="preserve"> </w:t>
      </w:r>
      <w:hyperlink r:id="rId21" w:history="1">
        <w:r w:rsidRPr="00DE5EBE">
          <w:rPr>
            <w:rStyle w:val="Hyperlink"/>
          </w:rPr>
          <w:t>https://link.springer.com/article/10.1186/s12913-024-10654-4</w:t>
        </w:r>
      </w:hyperlink>
    </w:p>
    <w:p w14:paraId="3E5B5DAA" w14:textId="3D0FE013" w:rsidR="00BB589A" w:rsidRDefault="00BB589A" w:rsidP="00CD15B0">
      <w:r w:rsidRPr="00BB589A">
        <w:t>Kusch, J. (2025). </w:t>
      </w:r>
      <w:r w:rsidRPr="00BB589A">
        <w:rPr>
          <w:i/>
          <w:iCs/>
        </w:rPr>
        <w:t>Strategic Positioning in Wearable Health Technology: Leveraging Consumer Centric Analytical Approaches for Market Leadership – Conjoint Analysis - ProQuest</w:t>
      </w:r>
      <w:r w:rsidRPr="00BB589A">
        <w:t xml:space="preserve">. [online] Proquest.com. Available at: </w:t>
      </w:r>
      <w:hyperlink r:id="rId22" w:history="1">
        <w:r w:rsidRPr="00DE5EBE">
          <w:rPr>
            <w:rStyle w:val="Hyperlink"/>
          </w:rPr>
          <w:t>https://search.proquest.com/openview/490a796664fa5f97a69a08a93839daf8/1?pq-origsite=gscholar&amp;cbl=2026366&amp;diss=y</w:t>
        </w:r>
      </w:hyperlink>
      <w:r w:rsidRPr="00BB589A">
        <w:t>.</w:t>
      </w:r>
    </w:p>
    <w:p w14:paraId="2A6AF495" w14:textId="1F4D2E47" w:rsidR="00BB589A" w:rsidRDefault="00BB589A" w:rsidP="00CD15B0">
      <w:r w:rsidRPr="00BB589A">
        <w:t>Long, H. (2024). </w:t>
      </w:r>
      <w:r w:rsidRPr="00BB589A">
        <w:rPr>
          <w:i/>
          <w:iCs/>
        </w:rPr>
        <w:t>Navigating the adoption of mobile health technology : strategies for seamless market integration in Finland</w:t>
      </w:r>
      <w:r w:rsidRPr="00BB589A">
        <w:t xml:space="preserve">. [online] www.theseus.fi. Available at: </w:t>
      </w:r>
      <w:hyperlink r:id="rId23" w:history="1">
        <w:r w:rsidRPr="00DE5EBE">
          <w:rPr>
            <w:rStyle w:val="Hyperlink"/>
          </w:rPr>
          <w:t>https://www.theseus.fi/handle/10024/819915</w:t>
        </w:r>
      </w:hyperlink>
      <w:r w:rsidRPr="00BB589A">
        <w:t>.</w:t>
      </w:r>
    </w:p>
    <w:p w14:paraId="35D08A2D" w14:textId="2B2C7156" w:rsidR="00BB589A" w:rsidRDefault="00BB589A" w:rsidP="00CD15B0">
      <w:r w:rsidRPr="00BB589A">
        <w:t>Muir, S., Dhuria, P., Roe, E., Lawrence, W., Baird, J. and Vogel, C. (2023). UK government’s new placement legislation is a ‘good first step’: a rapid qualitative analysis of consumer, business, enforcement and health stakeholder perspectives. </w:t>
      </w:r>
      <w:r w:rsidRPr="00BB589A">
        <w:rPr>
          <w:i/>
          <w:iCs/>
        </w:rPr>
        <w:t>BMC Medicine</w:t>
      </w:r>
      <w:r w:rsidRPr="00BB589A">
        <w:t xml:space="preserve">, [online] 21(1). Available at: </w:t>
      </w:r>
      <w:hyperlink r:id="rId24" w:history="1">
        <w:r w:rsidRPr="00DE5EBE">
          <w:rPr>
            <w:rStyle w:val="Hyperlink"/>
          </w:rPr>
          <w:t>https://bmcmedicine.biomedcentral.com/articles/10.1186/s12916-023-02726-9</w:t>
        </w:r>
      </w:hyperlink>
      <w:r w:rsidRPr="00BB589A">
        <w:t>.</w:t>
      </w:r>
    </w:p>
    <w:p w14:paraId="6BD177BA" w14:textId="7BE0DA11" w:rsidR="00BB589A" w:rsidRDefault="00BB589A" w:rsidP="00CD15B0">
      <w:proofErr w:type="spellStart"/>
      <w:r w:rsidRPr="00BB589A">
        <w:t>Munoru</w:t>
      </w:r>
      <w:proofErr w:type="spellEnd"/>
      <w:r w:rsidRPr="00BB589A">
        <w:t>, E. (2024). Stakeholder involvement in the implementation of digital health technologies. </w:t>
      </w:r>
      <w:r w:rsidRPr="00BB589A">
        <w:rPr>
          <w:i/>
          <w:iCs/>
        </w:rPr>
        <w:t>Theseus.fi</w:t>
      </w:r>
      <w:r w:rsidRPr="00BB589A">
        <w:t xml:space="preserve">. [online] </w:t>
      </w:r>
      <w:proofErr w:type="spellStart"/>
      <w:r w:rsidRPr="00BB589A">
        <w:t>doi:http</w:t>
      </w:r>
      <w:proofErr w:type="spellEnd"/>
      <w:r w:rsidRPr="00BB589A">
        <w:t>://www.theseus.fi/handle/10024/869044.</w:t>
      </w:r>
      <w:r>
        <w:t xml:space="preserve"> </w:t>
      </w:r>
      <w:hyperlink r:id="rId25" w:history="1">
        <w:r w:rsidRPr="00DE5EBE">
          <w:rPr>
            <w:rStyle w:val="Hyperlink"/>
          </w:rPr>
          <w:t>https://www.theseus.fi/handle/10024/869044</w:t>
        </w:r>
      </w:hyperlink>
    </w:p>
    <w:p w14:paraId="78FEE7CF" w14:textId="054E2AAE" w:rsidR="00BB589A" w:rsidRDefault="00BB589A" w:rsidP="00CD15B0">
      <w:proofErr w:type="spellStart"/>
      <w:r w:rsidRPr="00BB589A">
        <w:t>Nnabuko</w:t>
      </w:r>
      <w:proofErr w:type="spellEnd"/>
      <w:r w:rsidRPr="00BB589A">
        <w:t xml:space="preserve">, </w:t>
      </w:r>
      <w:proofErr w:type="spellStart"/>
      <w:r w:rsidRPr="00BB589A">
        <w:t>Uchenna</w:t>
      </w:r>
      <w:proofErr w:type="spellEnd"/>
      <w:r w:rsidRPr="00BB589A">
        <w:t xml:space="preserve"> </w:t>
      </w:r>
      <w:proofErr w:type="spellStart"/>
      <w:r w:rsidRPr="00BB589A">
        <w:t>Chioma</w:t>
      </w:r>
      <w:proofErr w:type="spellEnd"/>
      <w:r w:rsidRPr="00BB589A">
        <w:t xml:space="preserve"> (2021). Value cocreation in health. </w:t>
      </w:r>
      <w:r w:rsidRPr="00BB589A">
        <w:rPr>
          <w:i/>
          <w:iCs/>
        </w:rPr>
        <w:t>Ed.ac.uk</w:t>
      </w:r>
      <w:r w:rsidRPr="00BB589A">
        <w:t xml:space="preserve">. [online] </w:t>
      </w:r>
      <w:proofErr w:type="spellStart"/>
      <w:r w:rsidRPr="00BB589A">
        <w:t>doi:https</w:t>
      </w:r>
      <w:proofErr w:type="spellEnd"/>
      <w:r w:rsidRPr="00BB589A">
        <w:t>://hdl.handle.net/1842/38213.</w:t>
      </w:r>
      <w:r>
        <w:t xml:space="preserve"> </w:t>
      </w:r>
      <w:hyperlink r:id="rId26" w:history="1">
        <w:r w:rsidRPr="00DE5EBE">
          <w:rPr>
            <w:rStyle w:val="Hyperlink"/>
          </w:rPr>
          <w:t>https://era.ed.ac.uk/handle/1842/38213</w:t>
        </w:r>
      </w:hyperlink>
    </w:p>
    <w:p w14:paraId="1EED2B52" w14:textId="04783161" w:rsidR="00CD15B0" w:rsidRDefault="00CD15B0" w:rsidP="00CD15B0">
      <w:proofErr w:type="spellStart"/>
      <w:r w:rsidRPr="00D87078">
        <w:t>Ochilov</w:t>
      </w:r>
      <w:proofErr w:type="spellEnd"/>
      <w:r w:rsidRPr="00D87078">
        <w:t>, V., 2025. AN OVERVIEW OF THE 4C MODEL. </w:t>
      </w:r>
      <w:r w:rsidRPr="00D87078">
        <w:rPr>
          <w:i/>
          <w:iCs/>
        </w:rPr>
        <w:t>Journal of Multidisciplinary Sciences and Innovations</w:t>
      </w:r>
      <w:r w:rsidRPr="00D87078">
        <w:t>, </w:t>
      </w:r>
      <w:r w:rsidRPr="00D87078">
        <w:rPr>
          <w:i/>
          <w:iCs/>
        </w:rPr>
        <w:t>1</w:t>
      </w:r>
      <w:r w:rsidRPr="00D87078">
        <w:t>(3), pp.129-131.</w:t>
      </w:r>
      <w:r w:rsidR="002A1193">
        <w:t xml:space="preserve"> </w:t>
      </w:r>
      <w:hyperlink r:id="rId27" w:history="1">
        <w:r w:rsidR="002A1193" w:rsidRPr="00DE5EBE">
          <w:rPr>
            <w:rStyle w:val="Hyperlink"/>
          </w:rPr>
          <w:t>https://inlibrary.uz/index.php/jmsi/article/view/102527</w:t>
        </w:r>
      </w:hyperlink>
    </w:p>
    <w:p w14:paraId="0BA3BCDD" w14:textId="0176712B" w:rsidR="00CD15B0" w:rsidRDefault="002A1193" w:rsidP="00CD15B0">
      <w:proofErr w:type="spellStart"/>
      <w:r w:rsidRPr="002A1193">
        <w:t>Ojiako</w:t>
      </w:r>
      <w:proofErr w:type="spellEnd"/>
      <w:r w:rsidRPr="002A1193">
        <w:t xml:space="preserve">, U., </w:t>
      </w:r>
      <w:proofErr w:type="spellStart"/>
      <w:r w:rsidRPr="002A1193">
        <w:t>Bititci</w:t>
      </w:r>
      <w:proofErr w:type="spellEnd"/>
      <w:r w:rsidRPr="002A1193">
        <w:t xml:space="preserve">, U., Marshall, A., Chipulu, M., Manville, G., </w:t>
      </w:r>
      <w:proofErr w:type="spellStart"/>
      <w:r w:rsidRPr="002A1193">
        <w:t>Muthalagu</w:t>
      </w:r>
      <w:proofErr w:type="spellEnd"/>
      <w:r w:rsidRPr="002A1193">
        <w:t xml:space="preserve">, S.J. and </w:t>
      </w:r>
      <w:proofErr w:type="spellStart"/>
      <w:r w:rsidRPr="002A1193">
        <w:t>Farrington</w:t>
      </w:r>
      <w:proofErr w:type="spellEnd"/>
      <w:r w:rsidRPr="002A1193">
        <w:t>, T. (2023). Ambiguity in performance management systems of complex multi-stakeholder organisations. </w:t>
      </w:r>
      <w:r w:rsidRPr="002A1193">
        <w:rPr>
          <w:i/>
          <w:iCs/>
        </w:rPr>
        <w:t>Production Planning &amp; Control</w:t>
      </w:r>
      <w:r w:rsidRPr="002A1193">
        <w:t xml:space="preserve">, 34(14), pp.1–21. </w:t>
      </w:r>
      <w:proofErr w:type="spellStart"/>
      <w:r w:rsidRPr="002A1193">
        <w:t>doi:https</w:t>
      </w:r>
      <w:proofErr w:type="spellEnd"/>
      <w:r w:rsidRPr="002A1193">
        <w:t>://doi.org/10.1080/09537287.2021.2014590</w:t>
      </w:r>
      <w:r>
        <w:t xml:space="preserve">. </w:t>
      </w:r>
      <w:hyperlink r:id="rId28" w:history="1">
        <w:r w:rsidRPr="00DE5EBE">
          <w:rPr>
            <w:rStyle w:val="Hyperlink"/>
          </w:rPr>
          <w:t>https://www.tandfonline.com/doi/abs/10.1080/09537287.2021.2014590</w:t>
        </w:r>
      </w:hyperlink>
    </w:p>
    <w:p w14:paraId="48A95747" w14:textId="0C772197" w:rsidR="002A1193" w:rsidRDefault="002A1193" w:rsidP="00CD15B0">
      <w:proofErr w:type="spellStart"/>
      <w:r w:rsidRPr="002A1193">
        <w:t>Praharsi</w:t>
      </w:r>
      <w:proofErr w:type="spellEnd"/>
      <w:r w:rsidRPr="002A1193">
        <w:t xml:space="preserve">, Y., </w:t>
      </w:r>
      <w:proofErr w:type="spellStart"/>
      <w:r w:rsidRPr="002A1193">
        <w:t>Hardiyanti</w:t>
      </w:r>
      <w:proofErr w:type="spellEnd"/>
      <w:r w:rsidRPr="002A1193">
        <w:t xml:space="preserve">, F., </w:t>
      </w:r>
      <w:proofErr w:type="spellStart"/>
      <w:r w:rsidRPr="002A1193">
        <w:t>Puspitasari</w:t>
      </w:r>
      <w:proofErr w:type="spellEnd"/>
      <w:r w:rsidRPr="002A1193">
        <w:t xml:space="preserve">, D., </w:t>
      </w:r>
      <w:proofErr w:type="spellStart"/>
      <w:r w:rsidRPr="002A1193">
        <w:t>Akseptori</w:t>
      </w:r>
      <w:proofErr w:type="spellEnd"/>
      <w:r w:rsidRPr="002A1193">
        <w:t>, R. and Maharani, A. (2021). </w:t>
      </w:r>
      <w:r w:rsidRPr="002A1193">
        <w:rPr>
          <w:i/>
          <w:iCs/>
        </w:rPr>
        <w:t>An Integrated Framework of Balance Scorecard-PESTLE- Smart and Green Port for Boosting the Port Performance</w:t>
      </w:r>
      <w:r w:rsidRPr="002A1193">
        <w:t xml:space="preserve">. [online] Available at: </w:t>
      </w:r>
      <w:hyperlink r:id="rId29" w:history="1">
        <w:r w:rsidRPr="00DE5EBE">
          <w:rPr>
            <w:rStyle w:val="Hyperlink"/>
          </w:rPr>
          <w:t>http://ieomsociety.org/proceedings/2021monterrey/266.pdf</w:t>
        </w:r>
      </w:hyperlink>
      <w:r w:rsidRPr="002A1193">
        <w:t>.</w:t>
      </w:r>
    </w:p>
    <w:p w14:paraId="23C8ECBA" w14:textId="7702DA05" w:rsidR="002A1193" w:rsidRDefault="002A1193" w:rsidP="00CD15B0">
      <w:r w:rsidRPr="002A1193">
        <w:t>Project Management Institute (2021). </w:t>
      </w:r>
      <w:r w:rsidRPr="002A1193">
        <w:rPr>
          <w:i/>
          <w:iCs/>
        </w:rPr>
        <w:t>A Guide to the Project Management Body of Knowledge (PMBOK® Guide) – Seventh Edition and The Standard for Project Management (ENGLISH)</w:t>
      </w:r>
      <w:r w:rsidRPr="002A1193">
        <w:t xml:space="preserve">. [online] Google Books. Available at: </w:t>
      </w:r>
      <w:hyperlink r:id="rId30" w:history="1">
        <w:r w:rsidRPr="00DE5EBE">
          <w:rPr>
            <w:rStyle w:val="Hyperlink"/>
          </w:rPr>
          <w:t>https://books.google.com/books?hl=en&amp;lr=&amp;id=lKsxEAAAQBAJ&amp;oi=fnd&amp;pg=PT31&amp;dq=A+Guide+to+the+Project+Management+Body+of+Knowledge+(PMBOK%C2%AE+Guide)%E2%80%93Seventh+Edition+and+The+Standard+for+Project+Management.+Project+Management+Institute.&amp;ots=wTuoqDle_z&amp;sig=RqFB_0AHFQd9BHo25vg5bHa4hJU</w:t>
        </w:r>
      </w:hyperlink>
      <w:r w:rsidRPr="002A1193">
        <w:t xml:space="preserve"> [Accessed 11 Nov. 2025].</w:t>
      </w:r>
    </w:p>
    <w:p w14:paraId="380B1AF8" w14:textId="6E410171" w:rsidR="002A1193" w:rsidRDefault="002A1193" w:rsidP="00CD15B0">
      <w:r w:rsidRPr="002A1193">
        <w:t>Rouse, P., Sherkat, O. and O’Grady, W. (2025). Dynamic Stakeholder Analysis through Process Mapping. </w:t>
      </w:r>
      <w:r w:rsidRPr="002A1193">
        <w:rPr>
          <w:i/>
          <w:iCs/>
        </w:rPr>
        <w:t>Financial Accountability and Management</w:t>
      </w:r>
      <w:r w:rsidRPr="002A1193">
        <w:t xml:space="preserve">, 41(2). </w:t>
      </w:r>
      <w:proofErr w:type="spellStart"/>
      <w:r w:rsidRPr="002A1193">
        <w:t>doi:https</w:t>
      </w:r>
      <w:proofErr w:type="spellEnd"/>
      <w:r w:rsidRPr="002A1193">
        <w:t>://doi.org/10.1111/faam.12422.</w:t>
      </w:r>
      <w:r>
        <w:t xml:space="preserve"> </w:t>
      </w:r>
      <w:hyperlink r:id="rId31" w:history="1">
        <w:r w:rsidRPr="00DE5EBE">
          <w:rPr>
            <w:rStyle w:val="Hyperlink"/>
          </w:rPr>
          <w:t>https://onlinelibrary.wiley.com/doi/abs/10.1111/faam.12422</w:t>
        </w:r>
      </w:hyperlink>
    </w:p>
    <w:p w14:paraId="2E909023" w14:textId="46E26FA2" w:rsidR="002A1193" w:rsidRDefault="002A1193" w:rsidP="00CD15B0">
      <w:r w:rsidRPr="002A1193">
        <w:t>Timmis, J.K. (2021). </w:t>
      </w:r>
      <w:r w:rsidRPr="002A1193">
        <w:rPr>
          <w:i/>
          <w:iCs/>
        </w:rPr>
        <w:t>Improving healthcare innovation and decision making by extensive stakeholder involvement</w:t>
      </w:r>
      <w:r w:rsidRPr="002A1193">
        <w:t xml:space="preserve">. [online] Vrije Universiteit Amsterdam. Available at: </w:t>
      </w:r>
      <w:hyperlink r:id="rId32" w:history="1">
        <w:r w:rsidRPr="00DE5EBE">
          <w:rPr>
            <w:rStyle w:val="Hyperlink"/>
          </w:rPr>
          <w:t>https://research.vu.nl/en/publications/improving-healthcare-innovation-and-decision-making-by-extensive-</w:t>
        </w:r>
      </w:hyperlink>
      <w:r w:rsidRPr="002A1193">
        <w:t>.</w:t>
      </w:r>
    </w:p>
    <w:p w14:paraId="31A4A8EA" w14:textId="6639D814" w:rsidR="00E569D1" w:rsidRDefault="002A1193" w:rsidP="004E6114">
      <w:r w:rsidRPr="002A1193">
        <w:t>Weckström, T. (2024). </w:t>
      </w:r>
      <w:r w:rsidRPr="002A1193">
        <w:rPr>
          <w:i/>
          <w:iCs/>
        </w:rPr>
        <w:t>Stakeholder mapping for co-creation in healthcare</w:t>
      </w:r>
      <w:r w:rsidRPr="002A1193">
        <w:t xml:space="preserve">. [online] Aalto.fi. Available at: </w:t>
      </w:r>
      <w:hyperlink r:id="rId33" w:history="1">
        <w:r w:rsidRPr="00DE5EBE">
          <w:rPr>
            <w:rStyle w:val="Hyperlink"/>
          </w:rPr>
          <w:t>https://aaltodoc.aalto.fi/items/c8b9f54f-8ea5-414f-ab9a-c22269504e85</w:t>
        </w:r>
      </w:hyperlink>
      <w:r w:rsidRPr="002A1193">
        <w:t>.</w:t>
      </w:r>
    </w:p>
    <w:p w14:paraId="3DF167D3" w14:textId="77777777" w:rsidR="002A1193" w:rsidRPr="004E6114" w:rsidRDefault="002A1193" w:rsidP="004E6114"/>
    <w:sectPr w:rsidR="002A1193" w:rsidRPr="004E6114" w:rsidSect="00CE3DC4">
      <w:footerReference w:type="default" r:id="rId3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39B97" w14:textId="77777777" w:rsidR="00E824D4" w:rsidRDefault="00E824D4" w:rsidP="00CE3DC4">
      <w:pPr>
        <w:spacing w:line="240" w:lineRule="auto"/>
      </w:pPr>
      <w:r>
        <w:separator/>
      </w:r>
    </w:p>
  </w:endnote>
  <w:endnote w:type="continuationSeparator" w:id="0">
    <w:p w14:paraId="1D6EE8E6" w14:textId="77777777" w:rsidR="00E824D4" w:rsidRDefault="00E824D4" w:rsidP="00CE3D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C286BA86-D5A3-B341-9CD8-B87C57CAC869}"/>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embedRegular r:id="rId4" w:fontKey="{997C2ED2-49F7-B041-B128-13CA043AFFDF}"/>
  </w:font>
  <w:font w:name="Wingdings">
    <w:panose1 w:val="05000000000000000000"/>
    <w:charset w:val="4D"/>
    <w:family w:val="decorative"/>
    <w:pitch w:val="variable"/>
    <w:sig w:usb0="00000003" w:usb1="10000000" w:usb2="00000000" w:usb3="00000000" w:csb0="80000001" w:csb1="00000000"/>
    <w:embedRegular r:id="rId5" w:fontKey="{72179D47-AA38-3742-A3D2-7A926C64D6B1}"/>
  </w:font>
  <w:font w:name="Arial">
    <w:panose1 w:val="020B0604020202020204"/>
    <w:charset w:val="00"/>
    <w:family w:val="swiss"/>
    <w:pitch w:val="variable"/>
    <w:sig w:usb0="E0002EFF" w:usb1="C000785B" w:usb2="00000009" w:usb3="00000000" w:csb0="000001FF" w:csb1="00000000"/>
    <w:embedRegular r:id="rId6" w:fontKey="{9BE71487-8D18-AE46-9D06-DCF19AE6A21E}"/>
    <w:embedBold r:id="rId7" w:fontKey="{614DFD5E-72B7-7247-A24C-89F1F1D17627}"/>
    <w:embedItalic r:id="rId8" w:fontKey="{46A4CEF4-CC59-1C4B-9488-2E1E986CADD4}"/>
  </w:font>
  <w:font w:name="Calibri">
    <w:panose1 w:val="020F0502020204030204"/>
    <w:charset w:val="00"/>
    <w:family w:val="swiss"/>
    <w:pitch w:val="variable"/>
    <w:sig w:usb0="E4002EFF" w:usb1="C000ACFF" w:usb2="00000009" w:usb3="00000000" w:csb0="000001FF" w:csb1="00000000"/>
    <w:embedRegular r:id="rId9" w:fontKey="{19D26853-CA06-2F4B-A1DB-A7051388BB85}"/>
  </w:font>
  <w:font w:name="Cambria">
    <w:panose1 w:val="02040503050406030204"/>
    <w:charset w:val="00"/>
    <w:family w:val="roman"/>
    <w:pitch w:val="variable"/>
    <w:sig w:usb0="E00006FF" w:usb1="420024FF" w:usb2="02000000" w:usb3="00000000" w:csb0="0000019F" w:csb1="00000000"/>
    <w:embedRegular r:id="rId10" w:fontKey="{30A256AD-B62A-3747-AB35-8E3AAC713CA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570380"/>
      <w:docPartObj>
        <w:docPartGallery w:val="Page Numbers (Bottom of Page)"/>
        <w:docPartUnique/>
      </w:docPartObj>
    </w:sdtPr>
    <w:sdtEndPr>
      <w:rPr>
        <w:noProof/>
      </w:rPr>
    </w:sdtEndPr>
    <w:sdtContent>
      <w:p w14:paraId="6BD7BD18" w14:textId="4823A7EC" w:rsidR="00CE3DC4" w:rsidRDefault="00CE3D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69678E" w14:textId="77777777" w:rsidR="00CE3DC4" w:rsidRDefault="00CE3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7A647" w14:textId="77777777" w:rsidR="00E824D4" w:rsidRDefault="00E824D4" w:rsidP="00CE3DC4">
      <w:pPr>
        <w:spacing w:line="240" w:lineRule="auto"/>
      </w:pPr>
      <w:r>
        <w:separator/>
      </w:r>
    </w:p>
  </w:footnote>
  <w:footnote w:type="continuationSeparator" w:id="0">
    <w:p w14:paraId="73489B4A" w14:textId="77777777" w:rsidR="00E824D4" w:rsidRDefault="00E824D4" w:rsidP="00CE3D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619E"/>
    <w:multiLevelType w:val="multilevel"/>
    <w:tmpl w:val="916A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C7797"/>
    <w:multiLevelType w:val="multilevel"/>
    <w:tmpl w:val="40D8F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4D6B5B"/>
    <w:multiLevelType w:val="multilevel"/>
    <w:tmpl w:val="80500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C37A18"/>
    <w:multiLevelType w:val="multilevel"/>
    <w:tmpl w:val="756C48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55106933">
    <w:abstractNumId w:val="3"/>
  </w:num>
  <w:num w:numId="2" w16cid:durableId="1728918633">
    <w:abstractNumId w:val="1"/>
  </w:num>
  <w:num w:numId="3" w16cid:durableId="908273685">
    <w:abstractNumId w:val="0"/>
  </w:num>
  <w:num w:numId="4" w16cid:durableId="1988242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9D1"/>
    <w:rsid w:val="00092283"/>
    <w:rsid w:val="000C0D92"/>
    <w:rsid w:val="000F701B"/>
    <w:rsid w:val="001A02F0"/>
    <w:rsid w:val="002A1193"/>
    <w:rsid w:val="002C7843"/>
    <w:rsid w:val="002D061F"/>
    <w:rsid w:val="00306FE0"/>
    <w:rsid w:val="00313F5B"/>
    <w:rsid w:val="00380755"/>
    <w:rsid w:val="00383878"/>
    <w:rsid w:val="00483F60"/>
    <w:rsid w:val="004E6114"/>
    <w:rsid w:val="00573DCF"/>
    <w:rsid w:val="00655081"/>
    <w:rsid w:val="006B53F9"/>
    <w:rsid w:val="00782B5D"/>
    <w:rsid w:val="007E6A02"/>
    <w:rsid w:val="007F1E07"/>
    <w:rsid w:val="007F5E0C"/>
    <w:rsid w:val="00827A37"/>
    <w:rsid w:val="009D6EF6"/>
    <w:rsid w:val="00A9070F"/>
    <w:rsid w:val="00AF234D"/>
    <w:rsid w:val="00BB589A"/>
    <w:rsid w:val="00C44774"/>
    <w:rsid w:val="00C668C8"/>
    <w:rsid w:val="00CD15B0"/>
    <w:rsid w:val="00CD2CF8"/>
    <w:rsid w:val="00CE3DC4"/>
    <w:rsid w:val="00D1545D"/>
    <w:rsid w:val="00D27D77"/>
    <w:rsid w:val="00E3504B"/>
    <w:rsid w:val="00E52205"/>
    <w:rsid w:val="00E569D1"/>
    <w:rsid w:val="00E824D4"/>
    <w:rsid w:val="00E9501B"/>
    <w:rsid w:val="00F72D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E2627"/>
  <w15:docId w15:val="{BD8BF206-6D46-4853-A007-E6E57C66A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DC4"/>
    <w:pPr>
      <w:spacing w:line="360" w:lineRule="auto"/>
      <w:jc w:val="both"/>
    </w:pPr>
    <w:rPr>
      <w:color w:val="000000" w:themeColor="text1"/>
    </w:rPr>
  </w:style>
  <w:style w:type="paragraph" w:styleId="Heading1">
    <w:name w:val="heading 1"/>
    <w:basedOn w:val="Normal"/>
    <w:next w:val="Normal"/>
    <w:uiPriority w:val="9"/>
    <w:qFormat/>
    <w:rsid w:val="000C0D92"/>
    <w:pPr>
      <w:keepNext/>
      <w:keepLines/>
      <w:spacing w:before="400" w:after="120"/>
      <w:outlineLvl w:val="0"/>
    </w:pPr>
    <w:rPr>
      <w:b/>
      <w:sz w:val="28"/>
      <w:szCs w:val="40"/>
    </w:rPr>
  </w:style>
  <w:style w:type="paragraph" w:styleId="Heading2">
    <w:name w:val="heading 2"/>
    <w:basedOn w:val="Normal"/>
    <w:next w:val="Normal"/>
    <w:uiPriority w:val="9"/>
    <w:unhideWhenUsed/>
    <w:qFormat/>
    <w:rsid w:val="000C0D92"/>
    <w:pPr>
      <w:keepNext/>
      <w:keepLines/>
      <w:spacing w:before="360" w:after="120"/>
      <w:outlineLvl w:val="1"/>
    </w:pPr>
    <w:rPr>
      <w:b/>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styleId="TableGrid">
    <w:name w:val="Table Grid"/>
    <w:basedOn w:val="TableNormal"/>
    <w:uiPriority w:val="39"/>
    <w:rsid w:val="00313F5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3DC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3DC4"/>
    <w:pPr>
      <w:spacing w:after="100"/>
    </w:pPr>
  </w:style>
  <w:style w:type="character" w:styleId="Hyperlink">
    <w:name w:val="Hyperlink"/>
    <w:basedOn w:val="DefaultParagraphFont"/>
    <w:uiPriority w:val="99"/>
    <w:unhideWhenUsed/>
    <w:rsid w:val="00CE3DC4"/>
    <w:rPr>
      <w:color w:val="0000FF" w:themeColor="hyperlink"/>
      <w:u w:val="single"/>
    </w:rPr>
  </w:style>
  <w:style w:type="paragraph" w:styleId="Header">
    <w:name w:val="header"/>
    <w:basedOn w:val="Normal"/>
    <w:link w:val="HeaderChar"/>
    <w:uiPriority w:val="99"/>
    <w:unhideWhenUsed/>
    <w:rsid w:val="00CE3DC4"/>
    <w:pPr>
      <w:tabs>
        <w:tab w:val="center" w:pos="4513"/>
        <w:tab w:val="right" w:pos="9026"/>
      </w:tabs>
      <w:spacing w:line="240" w:lineRule="auto"/>
    </w:pPr>
  </w:style>
  <w:style w:type="character" w:customStyle="1" w:styleId="HeaderChar">
    <w:name w:val="Header Char"/>
    <w:basedOn w:val="DefaultParagraphFont"/>
    <w:link w:val="Header"/>
    <w:uiPriority w:val="99"/>
    <w:rsid w:val="00CE3DC4"/>
    <w:rPr>
      <w:rFonts w:ascii="Times New Roman" w:hAnsi="Times New Roman"/>
      <w:color w:val="000000" w:themeColor="text1"/>
      <w:sz w:val="24"/>
    </w:rPr>
  </w:style>
  <w:style w:type="paragraph" w:styleId="Footer">
    <w:name w:val="footer"/>
    <w:basedOn w:val="Normal"/>
    <w:link w:val="FooterChar"/>
    <w:uiPriority w:val="99"/>
    <w:unhideWhenUsed/>
    <w:rsid w:val="00CE3DC4"/>
    <w:pPr>
      <w:tabs>
        <w:tab w:val="center" w:pos="4513"/>
        <w:tab w:val="right" w:pos="9026"/>
      </w:tabs>
      <w:spacing w:line="240" w:lineRule="auto"/>
    </w:pPr>
  </w:style>
  <w:style w:type="character" w:customStyle="1" w:styleId="FooterChar">
    <w:name w:val="Footer Char"/>
    <w:basedOn w:val="DefaultParagraphFont"/>
    <w:link w:val="Footer"/>
    <w:uiPriority w:val="99"/>
    <w:rsid w:val="00CE3DC4"/>
    <w:rPr>
      <w:rFonts w:ascii="Times New Roman" w:hAnsi="Times New Roman"/>
      <w:color w:val="000000" w:themeColor="text1"/>
      <w:sz w:val="24"/>
    </w:rPr>
  </w:style>
  <w:style w:type="character" w:styleId="UnresolvedMention">
    <w:name w:val="Unresolved Mention"/>
    <w:basedOn w:val="DefaultParagraphFont"/>
    <w:uiPriority w:val="99"/>
    <w:semiHidden/>
    <w:unhideWhenUsed/>
    <w:rsid w:val="00BB589A"/>
    <w:rPr>
      <w:color w:val="605E5C"/>
      <w:shd w:val="clear" w:color="auto" w:fill="E1DFDD"/>
    </w:rPr>
  </w:style>
  <w:style w:type="paragraph" w:styleId="NormalWeb">
    <w:name w:val="Normal (Web)"/>
    <w:basedOn w:val="Normal"/>
    <w:uiPriority w:val="99"/>
    <w:semiHidden/>
    <w:unhideWhenUsed/>
    <w:rsid w:val="00D1545D"/>
    <w:rPr>
      <w:rFonts w:ascii="Times New Roman" w:hAnsi="Times New Roman" w:cs="Times New Roman"/>
      <w:sz w:val="24"/>
      <w:szCs w:val="24"/>
    </w:rPr>
  </w:style>
  <w:style w:type="character" w:customStyle="1" w:styleId="TitleChar">
    <w:name w:val="Title Char"/>
    <w:basedOn w:val="DefaultParagraphFont"/>
    <w:link w:val="Title"/>
    <w:uiPriority w:val="10"/>
    <w:rsid w:val="00380755"/>
    <w:rPr>
      <w:color w:val="000000" w:themeColor="text1"/>
      <w:sz w:val="52"/>
      <w:szCs w:val="52"/>
    </w:rPr>
  </w:style>
  <w:style w:type="character" w:customStyle="1" w:styleId="s11">
    <w:name w:val="s11"/>
    <w:basedOn w:val="DefaultParagraphFont"/>
    <w:rsid w:val="003807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search.proquest.com/openview/bab8707abdd3e4128a066b1a475a3377/1?pq-origsite=gscholar&amp;cbl=2026366&amp;diss=y" TargetMode="External"/><Relationship Id="rId26" Type="http://schemas.openxmlformats.org/officeDocument/2006/relationships/hyperlink" Target="https://era.ed.ac.uk/handle/1842/38213" TargetMode="External"/><Relationship Id="rId3" Type="http://schemas.openxmlformats.org/officeDocument/2006/relationships/styles" Target="styles.xml"/><Relationship Id="rId21" Type="http://schemas.openxmlformats.org/officeDocument/2006/relationships/hyperlink" Target="https://link.springer.com/article/10.1186/s12913-024-10654-4"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books.google.com/books?hl=en&amp;lr=&amp;id=Q5eSEAAAQBAJ&amp;oi=fnd&amp;pg=PA1987&amp;dq=Davis" TargetMode="External"/><Relationship Id="rId25" Type="http://schemas.openxmlformats.org/officeDocument/2006/relationships/hyperlink" Target="https://www.theseus.fi/handle/10024/869044" TargetMode="External"/><Relationship Id="rId33" Type="http://schemas.openxmlformats.org/officeDocument/2006/relationships/hyperlink" Target="https://aaltodoc.aalto.fi/items/c8b9f54f-8ea5-414f-ab9a-c22269504e85" TargetMode="External"/><Relationship Id="rId2" Type="http://schemas.openxmlformats.org/officeDocument/2006/relationships/numbering" Target="numbering.xml"/><Relationship Id="rId16" Type="http://schemas.openxmlformats.org/officeDocument/2006/relationships/hyperlink" Target="https://link.springer.com/article/10.1007/s43441-021-00263-2" TargetMode="External"/><Relationship Id="rId20" Type="http://schemas.openxmlformats.org/officeDocument/2006/relationships/hyperlink" Target="https://link.springer.com/chapter/10.1007/978-3-031-04564-6_12" TargetMode="External"/><Relationship Id="rId29" Type="http://schemas.openxmlformats.org/officeDocument/2006/relationships/hyperlink" Target="http://ieomsociety.org/proceedings/2021monterrey/26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bmcmedicine.biomedcentral.com/articles/10.1186/s12916-023-02726-9" TargetMode="External"/><Relationship Id="rId32" Type="http://schemas.openxmlformats.org/officeDocument/2006/relationships/hyperlink" Target="https://research.vu.nl/en/publications/improving-healthcare-innovation-and-decision-making-by-extensive-"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theseus.fi/handle/10024/819915" TargetMode="External"/><Relationship Id="rId28" Type="http://schemas.openxmlformats.org/officeDocument/2006/relationships/hyperlink" Target="https://www.tandfonline.com/doi/abs/10.1080/09537287.2021.2014590"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ek-visnik.dp.ua/wp-content/uploads/pdf/2025-1/Fedorenko.pdf" TargetMode="External"/><Relationship Id="rId31" Type="http://schemas.openxmlformats.org/officeDocument/2006/relationships/hyperlink" Target="https://onlinelibrary.wiley.com/doi/abs/10.1111/faam.12422" TargetMode="External"/><Relationship Id="rId4" Type="http://schemas.openxmlformats.org/officeDocument/2006/relationships/settings" Target="settings.xml"/><Relationship Id="rId9" Type="http://schemas.openxmlformats.org/officeDocument/2006/relationships/image" Target="https://encrypted-tbn0.gstatic.com/images?q=tbn:ANd9GcQrEgTFeN64ySJnKQJda8-t9eAsREGobN41GQ&amp;s" TargetMode="External"/><Relationship Id="rId14" Type="http://schemas.openxmlformats.org/officeDocument/2006/relationships/diagramColors" Target="diagrams/colors1.xml"/><Relationship Id="rId22" Type="http://schemas.openxmlformats.org/officeDocument/2006/relationships/hyperlink" Target="https://search.proquest.com/openview/490a796664fa5f97a69a08a93839daf8/1?pq-origsite=gscholar&amp;cbl=2026366&amp;diss=y" TargetMode="External"/><Relationship Id="rId27" Type="http://schemas.openxmlformats.org/officeDocument/2006/relationships/hyperlink" Target="https://inlibrary.uz/index.php/jmsi/article/view/102527" TargetMode="External"/><Relationship Id="rId30" Type="http://schemas.openxmlformats.org/officeDocument/2006/relationships/hyperlink" Target="https://books.google.com/books?hl=en&amp;lr=&amp;id=lKsxEAAAQBAJ&amp;oi=fnd&amp;pg=PT31&amp;dq=A+Guide+to+the+Project+Management+Body+of+Knowledge+(PMBOK%C2%AE+Guide)%E2%80%93Seventh+Edition+and+The+Standard+for+Project+Management.+Project+Management+Institute.&amp;ots=wTuoqDle_z&amp;sig=RqFB_0AHFQd9BHo25vg5bHa4hJU" TargetMode="External"/><Relationship Id="rId35" Type="http://schemas.openxmlformats.org/officeDocument/2006/relationships/fontTable" Target="fontTable.xml"/><Relationship Id="rId8" Type="http://schemas.openxmlformats.org/officeDocument/2006/relationships/image" Target="media/image1.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2.odttf"/><Relationship Id="rId4" Type="http://schemas.openxmlformats.org/officeDocument/2006/relationships/font" Target="fonts/font4.odttf"/><Relationship Id="rId9" Type="http://schemas.openxmlformats.org/officeDocument/2006/relationships/font" Target="fonts/font9.odtt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B4C05B-AA40-4126-952F-8471FF65B887}" type="doc">
      <dgm:prSet loTypeId="urn:diagrams.loki3.com/VaryingWidthList" loCatId="list" qsTypeId="urn:microsoft.com/office/officeart/2005/8/quickstyle/simple3" qsCatId="simple" csTypeId="urn:microsoft.com/office/officeart/2005/8/colors/colorful1" csCatId="colorful" phldr="1"/>
      <dgm:spPr/>
    </dgm:pt>
    <dgm:pt modelId="{7A4CABFB-33FE-4A22-9CDC-F1BBF0C4A4C4}">
      <dgm:prSet phldrT="[Text]" custT="1"/>
      <dgm:spPr/>
      <dgm:t>
        <a:bodyPr/>
        <a:lstStyle/>
        <a:p>
          <a:r>
            <a:rPr lang="en-IN" sz="1400"/>
            <a:t>Identification</a:t>
          </a:r>
        </a:p>
      </dgm:t>
    </dgm:pt>
    <dgm:pt modelId="{602188F5-EEA4-4E6F-BFB1-12838867E3DD}" type="parTrans" cxnId="{919691AF-B6C1-4128-92EA-397BBD5F24ED}">
      <dgm:prSet/>
      <dgm:spPr/>
      <dgm:t>
        <a:bodyPr/>
        <a:lstStyle/>
        <a:p>
          <a:endParaRPr lang="en-IN"/>
        </a:p>
      </dgm:t>
    </dgm:pt>
    <dgm:pt modelId="{8EA7923C-881B-4BDA-9CEF-E15CCF098088}" type="sibTrans" cxnId="{919691AF-B6C1-4128-92EA-397BBD5F24ED}">
      <dgm:prSet/>
      <dgm:spPr/>
      <dgm:t>
        <a:bodyPr/>
        <a:lstStyle/>
        <a:p>
          <a:endParaRPr lang="en-IN"/>
        </a:p>
      </dgm:t>
    </dgm:pt>
    <dgm:pt modelId="{C8431230-275A-4412-9DBF-04C86EAF9EC9}">
      <dgm:prSet phldrT="[Text]" custT="1"/>
      <dgm:spPr/>
      <dgm:t>
        <a:bodyPr/>
        <a:lstStyle/>
        <a:p>
          <a:r>
            <a:rPr lang="en-IN" sz="1400"/>
            <a:t>Analysis</a:t>
          </a:r>
          <a:endParaRPr lang="en-IN" sz="4400"/>
        </a:p>
      </dgm:t>
    </dgm:pt>
    <dgm:pt modelId="{CD0EF84D-25E8-40C9-90F3-4EC4794A4945}" type="parTrans" cxnId="{B513BAF0-8E9C-4223-B306-761EC9CDCFB0}">
      <dgm:prSet/>
      <dgm:spPr/>
      <dgm:t>
        <a:bodyPr/>
        <a:lstStyle/>
        <a:p>
          <a:endParaRPr lang="en-IN"/>
        </a:p>
      </dgm:t>
    </dgm:pt>
    <dgm:pt modelId="{B2B020FD-C0E9-47C4-A939-3CB9FE41D9EE}" type="sibTrans" cxnId="{B513BAF0-8E9C-4223-B306-761EC9CDCFB0}">
      <dgm:prSet/>
      <dgm:spPr/>
      <dgm:t>
        <a:bodyPr/>
        <a:lstStyle/>
        <a:p>
          <a:endParaRPr lang="en-IN"/>
        </a:p>
      </dgm:t>
    </dgm:pt>
    <dgm:pt modelId="{9018037B-4279-4CE9-AF60-67EF6F5D1354}">
      <dgm:prSet phldrT="[Text]" custT="1"/>
      <dgm:spPr/>
      <dgm:t>
        <a:bodyPr/>
        <a:lstStyle/>
        <a:p>
          <a:r>
            <a:rPr lang="en-IN" sz="1400"/>
            <a:t>Planning</a:t>
          </a:r>
        </a:p>
      </dgm:t>
    </dgm:pt>
    <dgm:pt modelId="{3DAEA0AC-D5C0-4D2D-AFAC-6D470137B0A1}" type="parTrans" cxnId="{A2E44F7A-9134-4A11-8005-22FF46D4E6A7}">
      <dgm:prSet/>
      <dgm:spPr/>
      <dgm:t>
        <a:bodyPr/>
        <a:lstStyle/>
        <a:p>
          <a:endParaRPr lang="en-IN"/>
        </a:p>
      </dgm:t>
    </dgm:pt>
    <dgm:pt modelId="{A026B218-6784-4C7F-BB39-87CC2659B1CB}" type="sibTrans" cxnId="{A2E44F7A-9134-4A11-8005-22FF46D4E6A7}">
      <dgm:prSet/>
      <dgm:spPr/>
      <dgm:t>
        <a:bodyPr/>
        <a:lstStyle/>
        <a:p>
          <a:endParaRPr lang="en-IN"/>
        </a:p>
      </dgm:t>
    </dgm:pt>
    <dgm:pt modelId="{98568190-AB29-4A8C-A974-407E99D3B2DD}">
      <dgm:prSet custT="1"/>
      <dgm:spPr/>
      <dgm:t>
        <a:bodyPr/>
        <a:lstStyle/>
        <a:p>
          <a:r>
            <a:rPr lang="en-IN" sz="1400"/>
            <a:t>Engagement</a:t>
          </a:r>
        </a:p>
      </dgm:t>
    </dgm:pt>
    <dgm:pt modelId="{628F3604-E0F2-4B9B-9971-862307779243}" type="parTrans" cxnId="{9F1DC11B-E210-4B85-8857-8EC026ABA3AF}">
      <dgm:prSet/>
      <dgm:spPr/>
      <dgm:t>
        <a:bodyPr/>
        <a:lstStyle/>
        <a:p>
          <a:endParaRPr lang="en-IN"/>
        </a:p>
      </dgm:t>
    </dgm:pt>
    <dgm:pt modelId="{D1260A0C-8CF2-4D19-91E3-F446E1ED7A40}" type="sibTrans" cxnId="{9F1DC11B-E210-4B85-8857-8EC026ABA3AF}">
      <dgm:prSet/>
      <dgm:spPr/>
      <dgm:t>
        <a:bodyPr/>
        <a:lstStyle/>
        <a:p>
          <a:endParaRPr lang="en-IN"/>
        </a:p>
      </dgm:t>
    </dgm:pt>
    <dgm:pt modelId="{17821B58-53DC-40ED-8A6C-653880053ACF}">
      <dgm:prSet custT="1"/>
      <dgm:spPr/>
      <dgm:t>
        <a:bodyPr/>
        <a:lstStyle/>
        <a:p>
          <a:r>
            <a:rPr lang="en-IN" sz="1400"/>
            <a:t>Monitoring &amp; Control</a:t>
          </a:r>
        </a:p>
      </dgm:t>
    </dgm:pt>
    <dgm:pt modelId="{31A47F79-60B8-4A73-B3FC-0CBF51E88FEE}" type="parTrans" cxnId="{FFEB7970-DC2B-4B35-B9EF-E756EC0B25B1}">
      <dgm:prSet/>
      <dgm:spPr/>
      <dgm:t>
        <a:bodyPr/>
        <a:lstStyle/>
        <a:p>
          <a:endParaRPr lang="en-IN"/>
        </a:p>
      </dgm:t>
    </dgm:pt>
    <dgm:pt modelId="{D9839CA3-06C3-4A3A-A7E1-5390B2722812}" type="sibTrans" cxnId="{FFEB7970-DC2B-4B35-B9EF-E756EC0B25B1}">
      <dgm:prSet/>
      <dgm:spPr/>
      <dgm:t>
        <a:bodyPr/>
        <a:lstStyle/>
        <a:p>
          <a:endParaRPr lang="en-IN"/>
        </a:p>
      </dgm:t>
    </dgm:pt>
    <dgm:pt modelId="{2ACCFDD3-68E2-4C74-98B4-7E75D649B40D}" type="pres">
      <dgm:prSet presAssocID="{4EB4C05B-AA40-4126-952F-8471FF65B887}" presName="Name0" presStyleCnt="0">
        <dgm:presLayoutVars>
          <dgm:resizeHandles/>
        </dgm:presLayoutVars>
      </dgm:prSet>
      <dgm:spPr/>
    </dgm:pt>
    <dgm:pt modelId="{FBA824BA-FD11-4CB6-BD6C-02BE85BE7AF4}" type="pres">
      <dgm:prSet presAssocID="{7A4CABFB-33FE-4A22-9CDC-F1BBF0C4A4C4}" presName="text" presStyleLbl="node1" presStyleIdx="0" presStyleCnt="5">
        <dgm:presLayoutVars>
          <dgm:bulletEnabled val="1"/>
        </dgm:presLayoutVars>
      </dgm:prSet>
      <dgm:spPr/>
    </dgm:pt>
    <dgm:pt modelId="{A8013100-C66E-407B-9938-6E3BD2D5E9F8}" type="pres">
      <dgm:prSet presAssocID="{8EA7923C-881B-4BDA-9CEF-E15CCF098088}" presName="space" presStyleCnt="0"/>
      <dgm:spPr/>
    </dgm:pt>
    <dgm:pt modelId="{66BD69F2-4F2D-4FDF-9122-68BD1D04D07B}" type="pres">
      <dgm:prSet presAssocID="{C8431230-275A-4412-9DBF-04C86EAF9EC9}" presName="text" presStyleLbl="node1" presStyleIdx="1" presStyleCnt="5">
        <dgm:presLayoutVars>
          <dgm:bulletEnabled val="1"/>
        </dgm:presLayoutVars>
      </dgm:prSet>
      <dgm:spPr/>
    </dgm:pt>
    <dgm:pt modelId="{1621A2C1-3351-4B8A-A912-A91C7F681D2D}" type="pres">
      <dgm:prSet presAssocID="{B2B020FD-C0E9-47C4-A939-3CB9FE41D9EE}" presName="space" presStyleCnt="0"/>
      <dgm:spPr/>
    </dgm:pt>
    <dgm:pt modelId="{0ED6DB11-4717-4B6B-9DAE-1322F8EA0E00}" type="pres">
      <dgm:prSet presAssocID="{9018037B-4279-4CE9-AF60-67EF6F5D1354}" presName="text" presStyleLbl="node1" presStyleIdx="2" presStyleCnt="5">
        <dgm:presLayoutVars>
          <dgm:bulletEnabled val="1"/>
        </dgm:presLayoutVars>
      </dgm:prSet>
      <dgm:spPr/>
    </dgm:pt>
    <dgm:pt modelId="{1E129AF6-49FC-4AC2-B277-26FFF7E217AD}" type="pres">
      <dgm:prSet presAssocID="{A026B218-6784-4C7F-BB39-87CC2659B1CB}" presName="space" presStyleCnt="0"/>
      <dgm:spPr/>
    </dgm:pt>
    <dgm:pt modelId="{53CD15AB-9DC4-44AB-A55A-FD9DE715B643}" type="pres">
      <dgm:prSet presAssocID="{98568190-AB29-4A8C-A974-407E99D3B2DD}" presName="text" presStyleLbl="node1" presStyleIdx="3" presStyleCnt="5">
        <dgm:presLayoutVars>
          <dgm:bulletEnabled val="1"/>
        </dgm:presLayoutVars>
      </dgm:prSet>
      <dgm:spPr/>
    </dgm:pt>
    <dgm:pt modelId="{533E97E7-84B0-411C-AE3C-81AD24E4779F}" type="pres">
      <dgm:prSet presAssocID="{D1260A0C-8CF2-4D19-91E3-F446E1ED7A40}" presName="space" presStyleCnt="0"/>
      <dgm:spPr/>
    </dgm:pt>
    <dgm:pt modelId="{23666893-F8E9-4987-B2F8-233ED9AA12AE}" type="pres">
      <dgm:prSet presAssocID="{17821B58-53DC-40ED-8A6C-653880053ACF}" presName="text" presStyleLbl="node1" presStyleIdx="4" presStyleCnt="5">
        <dgm:presLayoutVars>
          <dgm:bulletEnabled val="1"/>
        </dgm:presLayoutVars>
      </dgm:prSet>
      <dgm:spPr/>
    </dgm:pt>
  </dgm:ptLst>
  <dgm:cxnLst>
    <dgm:cxn modelId="{9F1DC11B-E210-4B85-8857-8EC026ABA3AF}" srcId="{4EB4C05B-AA40-4126-952F-8471FF65B887}" destId="{98568190-AB29-4A8C-A974-407E99D3B2DD}" srcOrd="3" destOrd="0" parTransId="{628F3604-E0F2-4B9B-9971-862307779243}" sibTransId="{D1260A0C-8CF2-4D19-91E3-F446E1ED7A40}"/>
    <dgm:cxn modelId="{45B1E623-BCB2-423E-B962-61FC3EE59A88}" type="presOf" srcId="{4EB4C05B-AA40-4126-952F-8471FF65B887}" destId="{2ACCFDD3-68E2-4C74-98B4-7E75D649B40D}" srcOrd="0" destOrd="0" presId="urn:diagrams.loki3.com/VaryingWidthList"/>
    <dgm:cxn modelId="{9376FC3E-4E5A-4C1A-B960-1F6C415C0A0B}" type="presOf" srcId="{9018037B-4279-4CE9-AF60-67EF6F5D1354}" destId="{0ED6DB11-4717-4B6B-9DAE-1322F8EA0E00}" srcOrd="0" destOrd="0" presId="urn:diagrams.loki3.com/VaryingWidthList"/>
    <dgm:cxn modelId="{FFEB7970-DC2B-4B35-B9EF-E756EC0B25B1}" srcId="{4EB4C05B-AA40-4126-952F-8471FF65B887}" destId="{17821B58-53DC-40ED-8A6C-653880053ACF}" srcOrd="4" destOrd="0" parTransId="{31A47F79-60B8-4A73-B3FC-0CBF51E88FEE}" sibTransId="{D9839CA3-06C3-4A3A-A7E1-5390B2722812}"/>
    <dgm:cxn modelId="{A2E44F7A-9134-4A11-8005-22FF46D4E6A7}" srcId="{4EB4C05B-AA40-4126-952F-8471FF65B887}" destId="{9018037B-4279-4CE9-AF60-67EF6F5D1354}" srcOrd="2" destOrd="0" parTransId="{3DAEA0AC-D5C0-4D2D-AFAC-6D470137B0A1}" sibTransId="{A026B218-6784-4C7F-BB39-87CC2659B1CB}"/>
    <dgm:cxn modelId="{1F656C81-9C2B-49C9-A8DA-D6896CE8DA09}" type="presOf" srcId="{17821B58-53DC-40ED-8A6C-653880053ACF}" destId="{23666893-F8E9-4987-B2F8-233ED9AA12AE}" srcOrd="0" destOrd="0" presId="urn:diagrams.loki3.com/VaryingWidthList"/>
    <dgm:cxn modelId="{9740AB92-CC51-4B30-8882-884C5847D790}" type="presOf" srcId="{C8431230-275A-4412-9DBF-04C86EAF9EC9}" destId="{66BD69F2-4F2D-4FDF-9122-68BD1D04D07B}" srcOrd="0" destOrd="0" presId="urn:diagrams.loki3.com/VaryingWidthList"/>
    <dgm:cxn modelId="{919691AF-B6C1-4128-92EA-397BBD5F24ED}" srcId="{4EB4C05B-AA40-4126-952F-8471FF65B887}" destId="{7A4CABFB-33FE-4A22-9CDC-F1BBF0C4A4C4}" srcOrd="0" destOrd="0" parTransId="{602188F5-EEA4-4E6F-BFB1-12838867E3DD}" sibTransId="{8EA7923C-881B-4BDA-9CEF-E15CCF098088}"/>
    <dgm:cxn modelId="{3A1FC5CC-EE97-44E3-8C5D-CC60A63957B2}" type="presOf" srcId="{7A4CABFB-33FE-4A22-9CDC-F1BBF0C4A4C4}" destId="{FBA824BA-FD11-4CB6-BD6C-02BE85BE7AF4}" srcOrd="0" destOrd="0" presId="urn:diagrams.loki3.com/VaryingWidthList"/>
    <dgm:cxn modelId="{B513BAF0-8E9C-4223-B306-761EC9CDCFB0}" srcId="{4EB4C05B-AA40-4126-952F-8471FF65B887}" destId="{C8431230-275A-4412-9DBF-04C86EAF9EC9}" srcOrd="1" destOrd="0" parTransId="{CD0EF84D-25E8-40C9-90F3-4EC4794A4945}" sibTransId="{B2B020FD-C0E9-47C4-A939-3CB9FE41D9EE}"/>
    <dgm:cxn modelId="{EF2051FC-BCC3-4039-A84D-4FB3E7030011}" type="presOf" srcId="{98568190-AB29-4A8C-A974-407E99D3B2DD}" destId="{53CD15AB-9DC4-44AB-A55A-FD9DE715B643}" srcOrd="0" destOrd="0" presId="urn:diagrams.loki3.com/VaryingWidthList"/>
    <dgm:cxn modelId="{28E18AFD-2BA9-4D1A-A809-B62DA463D4D2}" type="presParOf" srcId="{2ACCFDD3-68E2-4C74-98B4-7E75D649B40D}" destId="{FBA824BA-FD11-4CB6-BD6C-02BE85BE7AF4}" srcOrd="0" destOrd="0" presId="urn:diagrams.loki3.com/VaryingWidthList"/>
    <dgm:cxn modelId="{1A996A13-89D9-407A-A1ED-93DAD0B6C88C}" type="presParOf" srcId="{2ACCFDD3-68E2-4C74-98B4-7E75D649B40D}" destId="{A8013100-C66E-407B-9938-6E3BD2D5E9F8}" srcOrd="1" destOrd="0" presId="urn:diagrams.loki3.com/VaryingWidthList"/>
    <dgm:cxn modelId="{A4872404-043A-48F2-BC84-E66EA52A149D}" type="presParOf" srcId="{2ACCFDD3-68E2-4C74-98B4-7E75D649B40D}" destId="{66BD69F2-4F2D-4FDF-9122-68BD1D04D07B}" srcOrd="2" destOrd="0" presId="urn:diagrams.loki3.com/VaryingWidthList"/>
    <dgm:cxn modelId="{509C3DED-2A1C-4A2F-BAE7-57E6565EAE6D}" type="presParOf" srcId="{2ACCFDD3-68E2-4C74-98B4-7E75D649B40D}" destId="{1621A2C1-3351-4B8A-A912-A91C7F681D2D}" srcOrd="3" destOrd="0" presId="urn:diagrams.loki3.com/VaryingWidthList"/>
    <dgm:cxn modelId="{C06A6267-91D8-416B-937C-62AB31C31F31}" type="presParOf" srcId="{2ACCFDD3-68E2-4C74-98B4-7E75D649B40D}" destId="{0ED6DB11-4717-4B6B-9DAE-1322F8EA0E00}" srcOrd="4" destOrd="0" presId="urn:diagrams.loki3.com/VaryingWidthList"/>
    <dgm:cxn modelId="{C2D99964-EF04-4BA0-B232-014358355540}" type="presParOf" srcId="{2ACCFDD3-68E2-4C74-98B4-7E75D649B40D}" destId="{1E129AF6-49FC-4AC2-B277-26FFF7E217AD}" srcOrd="5" destOrd="0" presId="urn:diagrams.loki3.com/VaryingWidthList"/>
    <dgm:cxn modelId="{B038FC6F-914B-4CF3-89FC-2EC3398AA402}" type="presParOf" srcId="{2ACCFDD3-68E2-4C74-98B4-7E75D649B40D}" destId="{53CD15AB-9DC4-44AB-A55A-FD9DE715B643}" srcOrd="6" destOrd="0" presId="urn:diagrams.loki3.com/VaryingWidthList"/>
    <dgm:cxn modelId="{5FBACDE2-42C9-4B39-AA76-519FA3E42A2E}" type="presParOf" srcId="{2ACCFDD3-68E2-4C74-98B4-7E75D649B40D}" destId="{533E97E7-84B0-411C-AE3C-81AD24E4779F}" srcOrd="7" destOrd="0" presId="urn:diagrams.loki3.com/VaryingWidthList"/>
    <dgm:cxn modelId="{0B9FCA6F-FC10-4E17-9775-51B440D09C6F}" type="presParOf" srcId="{2ACCFDD3-68E2-4C74-98B4-7E75D649B40D}" destId="{23666893-F8E9-4987-B2F8-233ED9AA12AE}" srcOrd="8" destOrd="0" presId="urn:diagrams.loki3.com/VaryingWidth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A824BA-FD11-4CB6-BD6C-02BE85BE7AF4}">
      <dsp:nvSpPr>
        <dsp:cNvPr id="0" name=""/>
        <dsp:cNvSpPr/>
      </dsp:nvSpPr>
      <dsp:spPr>
        <a:xfrm>
          <a:off x="2191950" y="1406"/>
          <a:ext cx="1102500" cy="614920"/>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IN" sz="1400" kern="1200"/>
            <a:t>Identification</a:t>
          </a:r>
        </a:p>
      </dsp:txBody>
      <dsp:txXfrm>
        <a:off x="2191950" y="1406"/>
        <a:ext cx="1102500" cy="614920"/>
      </dsp:txXfrm>
    </dsp:sp>
    <dsp:sp modelId="{66BD69F2-4F2D-4FDF-9122-68BD1D04D07B}">
      <dsp:nvSpPr>
        <dsp:cNvPr id="0" name=""/>
        <dsp:cNvSpPr/>
      </dsp:nvSpPr>
      <dsp:spPr>
        <a:xfrm>
          <a:off x="2383200" y="647073"/>
          <a:ext cx="720000" cy="614920"/>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IN" sz="1400" kern="1200"/>
            <a:t>Analysis</a:t>
          </a:r>
          <a:endParaRPr lang="en-IN" sz="4400" kern="1200"/>
        </a:p>
      </dsp:txBody>
      <dsp:txXfrm>
        <a:off x="2383200" y="647073"/>
        <a:ext cx="720000" cy="614920"/>
      </dsp:txXfrm>
    </dsp:sp>
    <dsp:sp modelId="{0ED6DB11-4717-4B6B-9DAE-1322F8EA0E00}">
      <dsp:nvSpPr>
        <dsp:cNvPr id="0" name=""/>
        <dsp:cNvSpPr/>
      </dsp:nvSpPr>
      <dsp:spPr>
        <a:xfrm>
          <a:off x="2371950" y="1292739"/>
          <a:ext cx="742500" cy="614920"/>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IN" sz="1400" kern="1200"/>
            <a:t>Planning</a:t>
          </a:r>
        </a:p>
      </dsp:txBody>
      <dsp:txXfrm>
        <a:off x="2371950" y="1292739"/>
        <a:ext cx="742500" cy="614920"/>
      </dsp:txXfrm>
    </dsp:sp>
    <dsp:sp modelId="{53CD15AB-9DC4-44AB-A55A-FD9DE715B643}">
      <dsp:nvSpPr>
        <dsp:cNvPr id="0" name=""/>
        <dsp:cNvSpPr/>
      </dsp:nvSpPr>
      <dsp:spPr>
        <a:xfrm>
          <a:off x="2225700" y="1938406"/>
          <a:ext cx="1035000" cy="614920"/>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IN" sz="1400" kern="1200"/>
            <a:t>Engagement</a:t>
          </a:r>
        </a:p>
      </dsp:txBody>
      <dsp:txXfrm>
        <a:off x="2225700" y="1938406"/>
        <a:ext cx="1035000" cy="614920"/>
      </dsp:txXfrm>
    </dsp:sp>
    <dsp:sp modelId="{23666893-F8E9-4987-B2F8-233ED9AA12AE}">
      <dsp:nvSpPr>
        <dsp:cNvPr id="0" name=""/>
        <dsp:cNvSpPr/>
      </dsp:nvSpPr>
      <dsp:spPr>
        <a:xfrm>
          <a:off x="2281950" y="2584072"/>
          <a:ext cx="922500" cy="614920"/>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IN" sz="1400" kern="1200"/>
            <a:t>Monitoring &amp; Control</a:t>
          </a:r>
        </a:p>
      </dsp:txBody>
      <dsp:txXfrm>
        <a:off x="2281950" y="2584072"/>
        <a:ext cx="922500" cy="614920"/>
      </dsp:txXfrm>
    </dsp:sp>
  </dsp:spTree>
</dsp:drawing>
</file>

<file path=word/diagrams/layout1.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7CB53-31D1-4269-8170-CD27741F45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5894</Words>
  <Characters>33601</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halima hussein</cp:lastModifiedBy>
  <cp:revision>2</cp:revision>
  <dcterms:created xsi:type="dcterms:W3CDTF">2025-11-15T21:02:00Z</dcterms:created>
  <dcterms:modified xsi:type="dcterms:W3CDTF">2025-11-15T21:02:00Z</dcterms:modified>
</cp:coreProperties>
</file>