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49D15" w14:textId="77777777" w:rsidR="00382155" w:rsidRDefault="00000000">
      <w:pPr>
        <w:pStyle w:val="Normal1"/>
      </w:pPr>
      <w:r>
        <w:rPr>
          <w:noProof/>
        </w:rPr>
        <w:drawing>
          <wp:anchor distT="114300" distB="114300" distL="114300" distR="114300" simplePos="0" relativeHeight="251658240" behindDoc="0" locked="0" layoutInCell="1" allowOverlap="1" wp14:anchorId="0139ADE3" wp14:editId="1CD084E1">
            <wp:simplePos x="0" y="0"/>
            <wp:positionH relativeFrom="column">
              <wp:posOffset>1913100</wp:posOffset>
            </wp:positionH>
            <wp:positionV relativeFrom="paragraph">
              <wp:posOffset>114300</wp:posOffset>
            </wp:positionV>
            <wp:extent cx="1901662" cy="773106"/>
            <wp:effectExtent l="0" t="0" r="0" b="0"/>
            <wp:wrapNone/>
            <wp:docPr id="12" name="image10.png"/>
            <wp:cNvGraphicFramePr/>
            <a:graphic xmlns:a="http://schemas.openxmlformats.org/drawingml/2006/main">
              <a:graphicData uri="http://schemas.openxmlformats.org/drawingml/2006/picture">
                <pic:pic xmlns:pic="http://schemas.openxmlformats.org/drawingml/2006/picture">
                  <pic:nvPicPr>
                    <pic:cNvPr id="12" name="image10.png"/>
                    <pic:cNvPicPr/>
                  </pic:nvPicPr>
                  <pic:blipFill>
                    <a:blip r:embed="rId7"/>
                    <a:stretch>
                      <a:fillRect/>
                    </a:stretch>
                  </pic:blipFill>
                  <pic:spPr>
                    <a:xfrm>
                      <a:off x="0" y="0"/>
                      <a:ext cx="1901662" cy="773106"/>
                    </a:xfrm>
                    <a:prstGeom prst="rect">
                      <a:avLst/>
                    </a:prstGeom>
                  </pic:spPr>
                </pic:pic>
              </a:graphicData>
            </a:graphic>
          </wp:anchor>
        </w:drawing>
      </w:r>
    </w:p>
    <w:p w14:paraId="18BB1E46" w14:textId="77777777" w:rsidR="00382155" w:rsidRDefault="00382155">
      <w:pPr>
        <w:pStyle w:val="Normal1"/>
      </w:pPr>
    </w:p>
    <w:p w14:paraId="5D852FA1" w14:textId="77777777" w:rsidR="00382155" w:rsidRDefault="00382155">
      <w:pPr>
        <w:pStyle w:val="Normal1"/>
      </w:pPr>
    </w:p>
    <w:p w14:paraId="59812946" w14:textId="77777777" w:rsidR="00382155" w:rsidRDefault="00382155">
      <w:pPr>
        <w:pStyle w:val="Normal1"/>
      </w:pPr>
    </w:p>
    <w:p w14:paraId="4B1950F3" w14:textId="77777777" w:rsidR="00382155" w:rsidRDefault="00382155">
      <w:pPr>
        <w:pStyle w:val="Normal1"/>
      </w:pPr>
    </w:p>
    <w:p w14:paraId="2543510C" w14:textId="77777777" w:rsidR="00382155" w:rsidRDefault="00382155">
      <w:pPr>
        <w:pStyle w:val="Normal1"/>
      </w:pPr>
    </w:p>
    <w:p w14:paraId="2288F9E0" w14:textId="77777777" w:rsidR="00382155" w:rsidRDefault="00382155">
      <w:pPr>
        <w:pStyle w:val="Normal1"/>
      </w:pPr>
    </w:p>
    <w:p w14:paraId="7BE6C8E8" w14:textId="77777777" w:rsidR="00382155" w:rsidRDefault="00382155">
      <w:pPr>
        <w:pStyle w:val="Normal1"/>
      </w:pPr>
    </w:p>
    <w:p w14:paraId="5FB677DF" w14:textId="77777777" w:rsidR="00382155" w:rsidRDefault="00382155">
      <w:pPr>
        <w:pStyle w:val="Normal1"/>
      </w:pPr>
    </w:p>
    <w:p w14:paraId="76218F22" w14:textId="77777777" w:rsidR="00382155" w:rsidRDefault="00382155">
      <w:pPr>
        <w:pStyle w:val="Normal1"/>
      </w:pPr>
    </w:p>
    <w:p w14:paraId="007D057D" w14:textId="77777777" w:rsidR="00382155" w:rsidRDefault="00382155">
      <w:pPr>
        <w:pStyle w:val="Normal1"/>
      </w:pPr>
    </w:p>
    <w:p w14:paraId="574842E2" w14:textId="77777777" w:rsidR="00382155" w:rsidRDefault="00382155">
      <w:pPr>
        <w:pStyle w:val="Normal1"/>
      </w:pPr>
    </w:p>
    <w:p w14:paraId="0A3AB3F8" w14:textId="77777777" w:rsidR="00382155" w:rsidRDefault="00000000">
      <w:pPr>
        <w:pStyle w:val="Title"/>
      </w:pPr>
      <w:bookmarkStart w:id="0" w:name="_m9fo2ebh23aw" w:colFirst="0" w:colLast="0"/>
      <w:bookmarkEnd w:id="0"/>
      <w:r>
        <w:t>Accounting Fundamentals</w:t>
      </w:r>
    </w:p>
    <w:p w14:paraId="0916E433" w14:textId="77777777" w:rsidR="00382155" w:rsidRDefault="00000000">
      <w:pPr>
        <w:pStyle w:val="Subtitle"/>
      </w:pPr>
      <w:bookmarkStart w:id="1" w:name="_yeznbjlgiot9" w:colFirst="0" w:colLast="0"/>
      <w:bookmarkEnd w:id="1"/>
      <w:r>
        <w:t>LCBB4001</w:t>
      </w:r>
    </w:p>
    <w:p w14:paraId="1CCCE0C3" w14:textId="390D327B" w:rsidR="009C2174" w:rsidRDefault="009C2174" w:rsidP="009C2174">
      <w:pPr>
        <w:pStyle w:val="Normal1"/>
        <w:jc w:val="center"/>
        <w:rPr>
          <w:b/>
          <w:sz w:val="36"/>
          <w:szCs w:val="36"/>
        </w:rPr>
      </w:pPr>
      <w:r w:rsidRPr="009C2174">
        <w:rPr>
          <w:b/>
          <w:sz w:val="36"/>
          <w:szCs w:val="36"/>
        </w:rPr>
        <w:t>Student ID: 2247386</w:t>
      </w:r>
    </w:p>
    <w:p w14:paraId="7076D236" w14:textId="08DF909C" w:rsidR="009C2174" w:rsidRPr="009C2174" w:rsidRDefault="009C2174" w:rsidP="009C2174">
      <w:pPr>
        <w:pStyle w:val="Normal1"/>
        <w:jc w:val="center"/>
        <w:rPr>
          <w:b/>
          <w:sz w:val="36"/>
          <w:szCs w:val="36"/>
        </w:rPr>
      </w:pPr>
      <w:r>
        <w:rPr>
          <w:b/>
          <w:sz w:val="36"/>
          <w:szCs w:val="36"/>
        </w:rPr>
        <w:t>Florin Claudiu Visan</w:t>
      </w:r>
    </w:p>
    <w:p w14:paraId="4E3D275B" w14:textId="77777777" w:rsidR="00382155" w:rsidRDefault="00000000">
      <w:pPr>
        <w:pStyle w:val="Normal1"/>
      </w:pPr>
      <w:r>
        <w:br w:type="page"/>
      </w:r>
    </w:p>
    <w:p w14:paraId="1B1BBC0E" w14:textId="77777777" w:rsidR="00382155" w:rsidRDefault="00000000">
      <w:pPr>
        <w:pStyle w:val="Heading1"/>
      </w:pPr>
      <w:bookmarkStart w:id="2" w:name="_alm4dfuzq891" w:colFirst="0" w:colLast="0"/>
      <w:bookmarkEnd w:id="2"/>
      <w:r>
        <w:lastRenderedPageBreak/>
        <w:t>Introduction</w:t>
      </w:r>
    </w:p>
    <w:p w14:paraId="120A3171" w14:textId="77777777" w:rsidR="00382155" w:rsidRDefault="00000000">
      <w:pPr>
        <w:pStyle w:val="Normal1"/>
      </w:pPr>
      <w:r>
        <w:t xml:space="preserve">This assignment's primary concern will be analyzing various kinds of concepts related to accounting work. This assignment will answer all three segments of the brief. The first part will provide explanations about the given statements. The statements will be answered by analyzing different accounting concepts and aspects. After that, the income and balance sheet statements of Wales plc will be prepared. The preparation of this statement will consider all of the adjustments. The next question will prepare the statements of the financial ratios. This ratio will be analyzed to understand the financial viability of Sweets plc for both of the accounting periods. </w:t>
      </w:r>
    </w:p>
    <w:p w14:paraId="2C17730D" w14:textId="77777777" w:rsidR="00382155" w:rsidRDefault="00000000">
      <w:pPr>
        <w:pStyle w:val="Heading1"/>
      </w:pPr>
      <w:bookmarkStart w:id="3" w:name="_5fxxkgdkp1hu" w:colFirst="0" w:colLast="0"/>
      <w:bookmarkEnd w:id="3"/>
      <w:r>
        <w:t>Question One:- Answers to the given statements.</w:t>
      </w:r>
    </w:p>
    <w:p w14:paraId="1AA579A4" w14:textId="77777777" w:rsidR="00382155" w:rsidRDefault="00000000">
      <w:pPr>
        <w:pStyle w:val="Heading2"/>
      </w:pPr>
      <w:bookmarkStart w:id="4" w:name="_e1f9pbclbtz4" w:colFirst="0" w:colLast="0"/>
      <w:bookmarkEnd w:id="4"/>
      <w:r>
        <w:t>Statement One:-</w:t>
      </w:r>
    </w:p>
    <w:p w14:paraId="593839BB" w14:textId="77777777" w:rsidR="00382155" w:rsidRDefault="00000000">
      <w:pPr>
        <w:pStyle w:val="Normal1"/>
      </w:pPr>
      <w:r>
        <w:t xml:space="preserve">The statement of financial position aims to display the overall condition of a business in a certain period. This report is also meant to show the changes in the financial activities of a business. In terms of accounting, this report is known as the balance sheet. This statement summarized the financial activities of a company into three different categories such as assets, liabilities, and equity (Slacalek </w:t>
      </w:r>
      <w:r>
        <w:rPr>
          <w:i/>
        </w:rPr>
        <w:t>et al</w:t>
      </w:r>
      <w:r>
        <w:t xml:space="preserve">., 2020). This report is capable of showing the changes in those accounts on a certain date. However, the detailed breakdown of the cash movement is not displayed in this accounting statement (Indeed, 2023). A detailed breakdown of the movement of the cash balance is done by using the cash flow statement. This statement of accounting also tracks different types of financial components such as net profit, final balance of cash, invested cash flow, operational balance of cash flow, and the balance of financial activities. So, this report is wrong. </w:t>
      </w:r>
    </w:p>
    <w:p w14:paraId="5D0B9AC4" w14:textId="77777777" w:rsidR="00382155" w:rsidRDefault="00000000">
      <w:pPr>
        <w:pStyle w:val="Heading2"/>
      </w:pPr>
      <w:bookmarkStart w:id="5" w:name="_o7ltphegi5ow" w:colFirst="0" w:colLast="0"/>
      <w:bookmarkEnd w:id="5"/>
      <w:r>
        <w:t>Statement Two:-</w:t>
      </w:r>
    </w:p>
    <w:p w14:paraId="213D3742" w14:textId="7275D6C3" w:rsidR="00382155" w:rsidRDefault="00000000">
      <w:pPr>
        <w:pStyle w:val="Normal1"/>
      </w:pPr>
      <w:r>
        <w:t xml:space="preserve">The aspect of the balance sheet categorizes the assets side into two different sections. Those are current and noncurrent assets. The non-current resources are also known as fixed assets in a business. This type of asset usually generates economic advantages for a business that is longer than a single financial period. It means the asset value of the Non-current resources </w:t>
      </w:r>
      <w:r w:rsidR="00F77E43">
        <w:t>cannot</w:t>
      </w:r>
      <w:r>
        <w:t xml:space="preserve"> be completely consumed in a single period. These assets include tangible and intangible assets of a business (Peterdy, 2023). Tangible assets in the Non-current resources are land, cars, land, and much more. On the other hand, there are intangible Non-current resources in the balance sheet such as goodwill. As a result, those assets have a long economic value. However, </w:t>
      </w:r>
      <w:r>
        <w:lastRenderedPageBreak/>
        <w:t xml:space="preserve">in this statement, it is stated that the Non-current resources are not movable. However, the assets such as cars can be easily moved by a business. On the other </w:t>
      </w:r>
      <w:r w:rsidR="00F77E43">
        <w:t>hand,</w:t>
      </w:r>
      <w:r>
        <w:t xml:space="preserve"> assets such buildings cannot be moved. Therefore, it is concluded that this report is partially right. </w:t>
      </w:r>
    </w:p>
    <w:p w14:paraId="447DA196" w14:textId="77777777" w:rsidR="00382155" w:rsidRDefault="00000000">
      <w:pPr>
        <w:pStyle w:val="Heading2"/>
      </w:pPr>
      <w:bookmarkStart w:id="6" w:name="_kbj0lskrwpau" w:colFirst="0" w:colLast="0"/>
      <w:bookmarkEnd w:id="6"/>
      <w:r>
        <w:t>Statement Three:-</w:t>
      </w:r>
    </w:p>
    <w:p w14:paraId="22ACE3B1" w14:textId="77777777" w:rsidR="00382155" w:rsidRDefault="00000000">
      <w:pPr>
        <w:pStyle w:val="Normal1"/>
      </w:pPr>
      <w:r>
        <w:t xml:space="preserve">From the point of view of a business, preparing the statements of accounting is an absolute necessity. The financial statements highlight the financial visibility of a business by analyzing the historical figures of a financial year. Based on that information, this accounting prepares reports that present the financial stability of a company. While the stakeholders are one of the most important internal stakeholders of a company, sharing the financial status with these stakeholders is basic recruitment. The stakeholders of a company are also known as true owners of a company. However, many external internal and external stakeholders are interested in the financial status of a company. Some of the external stakeholders of a business are lenders, creditors, regulators, government, and much more (Sherman, 2019). Those parties also analyzed the financial viability of a business through the financial reports that are prepared by a company. For example, lenders can decide the creditworthiness by assessing the cash flow and other such business statements (Bragg, 2023). So, this statement is also wrong. </w:t>
      </w:r>
    </w:p>
    <w:p w14:paraId="5DA7BBDD" w14:textId="77777777" w:rsidR="00382155" w:rsidRDefault="00000000">
      <w:pPr>
        <w:pStyle w:val="Heading2"/>
      </w:pPr>
      <w:bookmarkStart w:id="7" w:name="_6bk23178ucc7" w:colFirst="0" w:colLast="0"/>
      <w:bookmarkEnd w:id="7"/>
      <w:r>
        <w:t>Statement Four:-</w:t>
      </w:r>
    </w:p>
    <w:p w14:paraId="06DF00D4" w14:textId="0FEEAF0E" w:rsidR="00382155" w:rsidRDefault="00000000">
      <w:pPr>
        <w:pStyle w:val="Normal1"/>
      </w:pPr>
      <w:r>
        <w:t xml:space="preserve">The process of accounting is completed by assessing various kinds of accounting concerts, and norms. Those concepts are one of the main pillars of the accounting process. One such concept is accrual accounting. As the name </w:t>
      </w:r>
      <w:r w:rsidR="00F77E43">
        <w:t>suggests</w:t>
      </w:r>
      <w:r>
        <w:t xml:space="preserve">, this concept includes all the business transactions. This also includes all the cash and credit transactions of a business (Choi, 2021). This concept is a basic pillar for preparing financial statements. Such as the balance sheet which means, the statement of the balance sheet also considers the accruals and prepayments that have occurred during a financial period. Without considering prepayments and outstandings a balance sheet </w:t>
      </w:r>
      <w:r w:rsidR="00F77E43">
        <w:t>cannot</w:t>
      </w:r>
      <w:r>
        <w:t xml:space="preserve"> display the overall financial status of a business. For that reason, the prepayments are considered as the assets of a </w:t>
      </w:r>
      <w:r w:rsidR="00F77E43">
        <w:t>business,</w:t>
      </w:r>
      <w:r>
        <w:t xml:space="preserve"> and it is placed in the current assets section (Wall Street Prep, 2023a). The aspects of outstanding are recorded in the current liability sections of a balance sheet. So, this statement is wrong.</w:t>
      </w:r>
    </w:p>
    <w:p w14:paraId="342F7BF0" w14:textId="77777777" w:rsidR="00382155" w:rsidRDefault="00000000">
      <w:pPr>
        <w:pStyle w:val="Heading2"/>
      </w:pPr>
      <w:bookmarkStart w:id="8" w:name="_jnxzb1r0s03u" w:colFirst="0" w:colLast="0"/>
      <w:bookmarkEnd w:id="8"/>
      <w:r>
        <w:t>Statement Five:-</w:t>
      </w:r>
    </w:p>
    <w:p w14:paraId="1CB28580" w14:textId="6D6D5D15" w:rsidR="00382155" w:rsidRDefault="00000000">
      <w:pPr>
        <w:pStyle w:val="Normal1"/>
      </w:pPr>
      <w:r>
        <w:t xml:space="preserve">The financial system is the core of any organization, such as companies, banks, credit unions, and other such things. As a result, the world of accounting also requires various kinds of </w:t>
      </w:r>
      <w:r>
        <w:lastRenderedPageBreak/>
        <w:t xml:space="preserve">regulations for properly executing their work. For that reason, the financial regulations were established. Accounting regulations aim to maintain integrity in the process of accounting and financing (Teall, 2022). This </w:t>
      </w:r>
      <w:r w:rsidR="00F77E43">
        <w:t>also includes</w:t>
      </w:r>
      <w:r>
        <w:t xml:space="preserve"> the regulations also ensure that the companies in the market are providing accurate financial information to their external and internal stakeholders. This accurate information is required for various kinds of work such as rate-making, valuation of assets, calculations for costs, and other such works. These regulations also ensure that the accounting statements are comparable and transparent which is also essential for financial decision-making (Regulation Body of Knowledge, 2024). Such as investment, resource allocation, and much more. So, this statement is wrong.</w:t>
      </w:r>
    </w:p>
    <w:p w14:paraId="07B834C7" w14:textId="77777777" w:rsidR="00382155" w:rsidRDefault="00000000">
      <w:pPr>
        <w:pStyle w:val="Heading2"/>
      </w:pPr>
      <w:bookmarkStart w:id="9" w:name="_hibbj2ukzjuz" w:colFirst="0" w:colLast="0"/>
      <w:bookmarkEnd w:id="9"/>
      <w:r>
        <w:t>Statement Six:-</w:t>
      </w:r>
    </w:p>
    <w:p w14:paraId="40CD6F63" w14:textId="77777777" w:rsidR="00382155" w:rsidRDefault="00000000">
      <w:pPr>
        <w:pStyle w:val="Normal1"/>
      </w:pPr>
      <w:r>
        <w:t>The ledger preparation and trial balance preparation are also important aspects of basic accounting. The ledger account aims to record all the previous financial transactions in an organization. This account contains all the credit and debit values that affect a transaction (Team, 2023). This account also individually separates the parties of a financial transaction, which helps accountants find the source of any financial transactions. The trial balance is also an essential part of financial accounting. This statement properly records all the information that is shown in the ledger account. After that, this statement analyzes the purity of accounting. Under this statement, the debit balance and credit balance of a business must be the same (Warren and Jones, 2022). By doing that, accountants can ensure the quality of the accounting process up to the preparation of the trial balance statement (Gridlex, 2024). Because of that, these two statements have a significant impact on the quality of preparation of final accounts. So, this statement is right.</w:t>
      </w:r>
    </w:p>
    <w:p w14:paraId="2437128A" w14:textId="77777777" w:rsidR="00382155" w:rsidRDefault="00000000">
      <w:pPr>
        <w:pStyle w:val="Heading1"/>
      </w:pPr>
      <w:bookmarkStart w:id="10" w:name="_50wo8386kbdv" w:colFirst="0" w:colLast="0"/>
      <w:bookmarkEnd w:id="10"/>
      <w:r>
        <w:t>Question Two:- Income statement for Wales plc.</w:t>
      </w:r>
    </w:p>
    <w:p w14:paraId="6FCF0F59" w14:textId="77777777" w:rsidR="00382155" w:rsidRDefault="00000000">
      <w:pPr>
        <w:pStyle w:val="Normal1"/>
      </w:pPr>
      <w:r>
        <w:t xml:space="preserve">The statement of profit and loss is one of the key statements of accounting. This statement calculates the total income made by a business in a taxation period (Fridson and Alvarez, 2022). In terms of accounting, this statement of accounting is also known as an income statement. The calculation of this accounting statement is done by adding up the values of revenues and subtracting the revenue amount from the overheads and expenditure values (BDC, 2024). Due to the nature of this statement, there are various kinds of internal and external stakeholders who are using this statement of accounting to support their decision-making. Such stakeholders are lenders, shareholders, managers, and other such stakeholders. By using this statement of accounting, the stakeholders can understand the viability of a business as well as the profit </w:t>
      </w:r>
      <w:r>
        <w:lastRenderedPageBreak/>
        <w:t>earned by a company in a financial period. As a result, this statement is recognized as one of the key financial accounting reports (Robinson, 2020). This financial statement can also be prepared for Wales plc. The presentation of this statement is shown below.</w:t>
      </w:r>
    </w:p>
    <w:p w14:paraId="758CB3A7" w14:textId="77777777" w:rsidR="00382155" w:rsidRDefault="00000000">
      <w:pPr>
        <w:pStyle w:val="Normal1"/>
        <w:jc w:val="center"/>
      </w:pPr>
      <w:r>
        <w:rPr>
          <w:noProof/>
        </w:rPr>
        <w:drawing>
          <wp:inline distT="114300" distB="114300" distL="114300" distR="114300" wp14:anchorId="0686740D" wp14:editId="6F1EBA33">
            <wp:extent cx="5731200" cy="46228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8"/>
                    <a:stretch>
                      <a:fillRect/>
                    </a:stretch>
                  </pic:blipFill>
                  <pic:spPr>
                    <a:xfrm>
                      <a:off x="0" y="0"/>
                      <a:ext cx="5731200" cy="4622800"/>
                    </a:xfrm>
                    <a:prstGeom prst="rect">
                      <a:avLst/>
                    </a:prstGeom>
                  </pic:spPr>
                </pic:pic>
              </a:graphicData>
            </a:graphic>
          </wp:inline>
        </w:drawing>
      </w:r>
    </w:p>
    <w:p w14:paraId="31D50448" w14:textId="77777777" w:rsidR="00382155" w:rsidRDefault="00000000">
      <w:pPr>
        <w:pStyle w:val="Normal1"/>
        <w:jc w:val="center"/>
        <w:rPr>
          <w:b/>
        </w:rPr>
      </w:pPr>
      <w:r>
        <w:rPr>
          <w:b/>
        </w:rPr>
        <w:t>Figure 1:- Preparation of Income statement for Wales plc.</w:t>
      </w:r>
    </w:p>
    <w:p w14:paraId="54120650" w14:textId="77777777" w:rsidR="00382155" w:rsidRDefault="00000000">
      <w:pPr>
        <w:pStyle w:val="Normal1"/>
        <w:jc w:val="center"/>
      </w:pPr>
      <w:r>
        <w:t>(Source:- Self-Created, 2024)</w:t>
      </w:r>
    </w:p>
    <w:p w14:paraId="528901D4" w14:textId="77777777" w:rsidR="00382155" w:rsidRDefault="00000000">
      <w:pPr>
        <w:pStyle w:val="Normal1"/>
      </w:pPr>
      <w:r>
        <w:t>The above figure shows the evaluation of the income statement, which is made from the financial information of Wales plc. The workings of this calculation are demonstrated below.</w:t>
      </w:r>
    </w:p>
    <w:p w14:paraId="6D1808E4" w14:textId="61AA6C24" w:rsidR="00382155" w:rsidRDefault="00000000">
      <w:pPr>
        <w:pStyle w:val="Normal1"/>
      </w:pPr>
      <w:r>
        <w:rPr>
          <w:b/>
        </w:rPr>
        <w:t>Sales and gross profit</w:t>
      </w:r>
      <w:r>
        <w:t xml:space="preserve"> are one of the first tasks that are done in this statement. The sales are the total of the amount earned by a company by selling its products and services in the market (Team, 2023b). However, this concept is only limited to the income made by a company from its core activities. In Wales plc the total sales made in the year </w:t>
      </w:r>
      <w:r w:rsidR="00F77E43">
        <w:t>end</w:t>
      </w:r>
      <w:r>
        <w:t xml:space="preserve"> is 900,000 pounds. The concept of cost of sales is also a core concept in the income statement. The cost of sales is also deducted from the revenue to calculate the gross profit. In Wales plc the cost of sales is £578,650. So, the gross profit of the company is £(900,000 - 578,650) = £321,350.</w:t>
      </w:r>
    </w:p>
    <w:p w14:paraId="4E19FBBA" w14:textId="12A0BBB9" w:rsidR="00382155" w:rsidRDefault="00000000">
      <w:pPr>
        <w:pStyle w:val="Normal1"/>
      </w:pPr>
      <w:r>
        <w:rPr>
          <w:b/>
        </w:rPr>
        <w:t xml:space="preserve">Operating costs </w:t>
      </w:r>
      <w:r>
        <w:t xml:space="preserve">are the largest segment in the income statements. This section includes various kinds of indirect overheads that are related to the business operations. Some of those </w:t>
      </w:r>
      <w:r>
        <w:lastRenderedPageBreak/>
        <w:t xml:space="preserve">are rent, marketing, insurance, and much more (Team, 2023b). </w:t>
      </w:r>
      <w:r w:rsidR="00F77E43">
        <w:t>This</w:t>
      </w:r>
      <w:r>
        <w:t xml:space="preserve"> aspect also includes the balance of prepaid and outstanding overheads. By deducting the operating expenditures from the gross profit, the operating profit of a business is calculated. In Wales plc the total operating income is £[(321,350 + 1,000) - (160,000 + 2,000 + 5,000 + 28,000 + 65,000 + 10,000 + 2,000 + 4,000)] = £46,350.</w:t>
      </w:r>
    </w:p>
    <w:p w14:paraId="55DAF3CC" w14:textId="4B3F364B" w:rsidR="00382155" w:rsidRDefault="00000000">
      <w:pPr>
        <w:pStyle w:val="Normal1"/>
      </w:pPr>
      <w:r>
        <w:t xml:space="preserve">The </w:t>
      </w:r>
      <w:r>
        <w:rPr>
          <w:b/>
        </w:rPr>
        <w:t>net profit after tax</w:t>
      </w:r>
      <w:r>
        <w:t xml:space="preserve"> is the very last stage of the preparation. It means this stage deducts the values of income taxes and other such taxes from the value of operating profit (Team, 2023b). In Wales plc total income tax paid by the company at the year </w:t>
      </w:r>
      <w:r w:rsidR="00F77E43">
        <w:t>end</w:t>
      </w:r>
      <w:r>
        <w:t xml:space="preserve"> of 2022 is £15,000. So, the net income of the business is calculated as £31,350. </w:t>
      </w:r>
    </w:p>
    <w:p w14:paraId="4BC7C229" w14:textId="77777777" w:rsidR="00382155" w:rsidRDefault="00000000">
      <w:pPr>
        <w:pStyle w:val="Heading1"/>
      </w:pPr>
      <w:bookmarkStart w:id="11" w:name="_i5nwb6wbzp5a" w:colFirst="0" w:colLast="0"/>
      <w:bookmarkEnd w:id="11"/>
      <w:r>
        <w:t>Question Three:- The ratio analysis for Sweets plc.</w:t>
      </w:r>
    </w:p>
    <w:p w14:paraId="49706BB2" w14:textId="77777777" w:rsidR="00382155" w:rsidRDefault="00000000">
      <w:pPr>
        <w:pStyle w:val="Heading2"/>
        <w:numPr>
          <w:ilvl w:val="0"/>
          <w:numId w:val="1"/>
        </w:numPr>
      </w:pPr>
      <w:bookmarkStart w:id="12" w:name="_z78jw0dfvydn" w:colFirst="0" w:colLast="0"/>
      <w:bookmarkEnd w:id="12"/>
      <w:r>
        <w:t>Return on Capital Employed:-</w:t>
      </w:r>
    </w:p>
    <w:p w14:paraId="78E06C78" w14:textId="77777777" w:rsidR="00382155" w:rsidRDefault="00000000">
      <w:pPr>
        <w:pStyle w:val="Normal1"/>
        <w:jc w:val="center"/>
      </w:pPr>
      <w:r>
        <w:rPr>
          <w:noProof/>
        </w:rPr>
        <w:drawing>
          <wp:inline distT="114300" distB="114300" distL="114300" distR="114300" wp14:anchorId="08DA23D0" wp14:editId="339CA660">
            <wp:extent cx="4806556" cy="2312119"/>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9"/>
                    <a:stretch>
                      <a:fillRect/>
                    </a:stretch>
                  </pic:blipFill>
                  <pic:spPr>
                    <a:xfrm>
                      <a:off x="0" y="0"/>
                      <a:ext cx="4806556" cy="2312119"/>
                    </a:xfrm>
                    <a:prstGeom prst="rect">
                      <a:avLst/>
                    </a:prstGeom>
                  </pic:spPr>
                </pic:pic>
              </a:graphicData>
            </a:graphic>
          </wp:inline>
        </w:drawing>
      </w:r>
    </w:p>
    <w:p w14:paraId="54AE2B82" w14:textId="77777777" w:rsidR="00382155" w:rsidRDefault="00000000">
      <w:pPr>
        <w:pStyle w:val="Normal1"/>
        <w:jc w:val="center"/>
        <w:rPr>
          <w:b/>
        </w:rPr>
      </w:pPr>
      <w:r>
        <w:rPr>
          <w:b/>
        </w:rPr>
        <w:t>Figure 2:- Preparation of ROCE for Sweet plc.</w:t>
      </w:r>
    </w:p>
    <w:p w14:paraId="38C7F411" w14:textId="77777777" w:rsidR="00382155" w:rsidRDefault="00000000">
      <w:pPr>
        <w:pStyle w:val="Normal1"/>
        <w:jc w:val="center"/>
      </w:pPr>
      <w:r>
        <w:t>(Source:- Self-Created, 2024)</w:t>
      </w:r>
    </w:p>
    <w:p w14:paraId="69EB01D8" w14:textId="77777777" w:rsidR="00382155" w:rsidRDefault="00000000">
      <w:pPr>
        <w:pStyle w:val="Normal1"/>
      </w:pPr>
      <w:r>
        <w:t>This statement of accounting calculates the profitability of a company. In general terms, the ROCE is a long-term ratio for measuring the profitability of a business. This ratio analyzes the capability of a business to use its capital to generate profitability (IG, 2024). The above calculation suggested that Sweet plc has a higher efficiency of generating a profit by using its capital in 2022. This is determined by its higher rate of ROCE in 2022.</w:t>
      </w:r>
    </w:p>
    <w:p w14:paraId="77B2BB38" w14:textId="77777777" w:rsidR="00382155" w:rsidRDefault="00000000">
      <w:pPr>
        <w:pStyle w:val="Heading2"/>
        <w:numPr>
          <w:ilvl w:val="0"/>
          <w:numId w:val="1"/>
        </w:numPr>
      </w:pPr>
      <w:bookmarkStart w:id="13" w:name="_maaqekegyl6l" w:colFirst="0" w:colLast="0"/>
      <w:bookmarkEnd w:id="13"/>
      <w:r>
        <w:lastRenderedPageBreak/>
        <w:t>Return on Equity:-</w:t>
      </w:r>
    </w:p>
    <w:p w14:paraId="1EC547EF" w14:textId="77777777" w:rsidR="00382155" w:rsidRDefault="00000000">
      <w:pPr>
        <w:pStyle w:val="Normal1"/>
        <w:jc w:val="center"/>
      </w:pPr>
      <w:r>
        <w:rPr>
          <w:noProof/>
        </w:rPr>
        <w:drawing>
          <wp:inline distT="114300" distB="114300" distL="114300" distR="114300" wp14:anchorId="1BA7731D" wp14:editId="01F7E8E5">
            <wp:extent cx="4953000" cy="180022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10"/>
                    <a:stretch>
                      <a:fillRect/>
                    </a:stretch>
                  </pic:blipFill>
                  <pic:spPr>
                    <a:xfrm>
                      <a:off x="0" y="0"/>
                      <a:ext cx="4953000" cy="1800225"/>
                    </a:xfrm>
                    <a:prstGeom prst="rect">
                      <a:avLst/>
                    </a:prstGeom>
                  </pic:spPr>
                </pic:pic>
              </a:graphicData>
            </a:graphic>
          </wp:inline>
        </w:drawing>
      </w:r>
    </w:p>
    <w:p w14:paraId="11656794" w14:textId="77777777" w:rsidR="00382155" w:rsidRDefault="00000000">
      <w:pPr>
        <w:pStyle w:val="Normal1"/>
        <w:jc w:val="center"/>
        <w:rPr>
          <w:b/>
        </w:rPr>
      </w:pPr>
      <w:r>
        <w:rPr>
          <w:b/>
        </w:rPr>
        <w:t>Figure 3:- Preparation of ROE for Sweet plc.</w:t>
      </w:r>
    </w:p>
    <w:p w14:paraId="7A4364BD" w14:textId="77777777" w:rsidR="00382155" w:rsidRDefault="00000000">
      <w:pPr>
        <w:pStyle w:val="Normal1"/>
        <w:jc w:val="center"/>
      </w:pPr>
      <w:r>
        <w:t>(Source:- Self-Created, 2024)</w:t>
      </w:r>
    </w:p>
    <w:p w14:paraId="067CADE9" w14:textId="77777777" w:rsidR="00382155" w:rsidRDefault="00000000">
      <w:pPr>
        <w:pStyle w:val="Normal1"/>
      </w:pPr>
      <w:r>
        <w:t>This ratio is also one of the calculations that determines the profitability of a business. Under this calculation the analysis of the capability of the business to use its equity to generate sales. For that reason, this evaluation is done in (Net sales/ equity) format (Baltova, 2023). According to the results, the ROE of Sweet Plc will be greater in 2022. The ROE of the company in 2021 is 12.57 percent.</w:t>
      </w:r>
    </w:p>
    <w:p w14:paraId="782871DF" w14:textId="77777777" w:rsidR="00382155" w:rsidRDefault="00000000">
      <w:pPr>
        <w:pStyle w:val="Heading2"/>
        <w:numPr>
          <w:ilvl w:val="0"/>
          <w:numId w:val="1"/>
        </w:numPr>
      </w:pPr>
      <w:bookmarkStart w:id="14" w:name="_21vp3r5ovqsa" w:colFirst="0" w:colLast="0"/>
      <w:bookmarkEnd w:id="14"/>
      <w:r>
        <w:t>Earnings per share:-</w:t>
      </w:r>
    </w:p>
    <w:p w14:paraId="42A57AFD" w14:textId="77777777" w:rsidR="00382155" w:rsidRDefault="00000000">
      <w:pPr>
        <w:pStyle w:val="Normal1"/>
        <w:jc w:val="center"/>
      </w:pPr>
      <w:r>
        <w:rPr>
          <w:noProof/>
        </w:rPr>
        <w:drawing>
          <wp:inline distT="114300" distB="114300" distL="114300" distR="114300" wp14:anchorId="1EAE4600" wp14:editId="1EC0394F">
            <wp:extent cx="4953000" cy="18288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9" name="image7.png"/>
                    <pic:cNvPicPr/>
                  </pic:nvPicPr>
                  <pic:blipFill>
                    <a:blip r:embed="rId11"/>
                    <a:stretch>
                      <a:fillRect/>
                    </a:stretch>
                  </pic:blipFill>
                  <pic:spPr>
                    <a:xfrm>
                      <a:off x="0" y="0"/>
                      <a:ext cx="4953000" cy="1828800"/>
                    </a:xfrm>
                    <a:prstGeom prst="rect">
                      <a:avLst/>
                    </a:prstGeom>
                  </pic:spPr>
                </pic:pic>
              </a:graphicData>
            </a:graphic>
          </wp:inline>
        </w:drawing>
      </w:r>
    </w:p>
    <w:p w14:paraId="616C02DE" w14:textId="77777777" w:rsidR="00382155" w:rsidRDefault="00000000">
      <w:pPr>
        <w:pStyle w:val="Normal1"/>
        <w:jc w:val="center"/>
        <w:rPr>
          <w:b/>
        </w:rPr>
      </w:pPr>
      <w:r>
        <w:rPr>
          <w:b/>
        </w:rPr>
        <w:t>Figure 4:- Preparation of EPS for Sweet plc.</w:t>
      </w:r>
    </w:p>
    <w:p w14:paraId="07B6D904" w14:textId="77777777" w:rsidR="00382155" w:rsidRDefault="00000000">
      <w:pPr>
        <w:pStyle w:val="Normal1"/>
        <w:jc w:val="center"/>
      </w:pPr>
      <w:r>
        <w:t>(Source:- Self-Created, 2024)</w:t>
      </w:r>
    </w:p>
    <w:p w14:paraId="0CB0242E" w14:textId="1071D664" w:rsidR="00382155" w:rsidRDefault="00000000">
      <w:pPr>
        <w:pStyle w:val="Normal1"/>
      </w:pPr>
      <w:r>
        <w:t xml:space="preserve">The aspect of the EPS is also an essential calculation for an organization. This calculation shows the total earnings made by the company for its shareholders (Team, 2023c). As a result, this calculation divides the amount of net profit from the </w:t>
      </w:r>
      <w:r w:rsidR="00F77E43">
        <w:t>value</w:t>
      </w:r>
      <w:r>
        <w:t xml:space="preserve"> of outstanding shares. According to the calculation, the EPS of Sweet plc in 2022 and 2021 are recorded as 1.44 and 1.22. </w:t>
      </w:r>
    </w:p>
    <w:p w14:paraId="5C68B540" w14:textId="77777777" w:rsidR="00382155" w:rsidRDefault="00000000">
      <w:pPr>
        <w:pStyle w:val="Heading2"/>
        <w:numPr>
          <w:ilvl w:val="0"/>
          <w:numId w:val="1"/>
        </w:numPr>
      </w:pPr>
      <w:bookmarkStart w:id="15" w:name="_jh5qd6b9pqzl" w:colFirst="0" w:colLast="0"/>
      <w:bookmarkEnd w:id="15"/>
      <w:r>
        <w:lastRenderedPageBreak/>
        <w:t>Net profit ratio:-</w:t>
      </w:r>
    </w:p>
    <w:p w14:paraId="37FE4F76" w14:textId="77777777" w:rsidR="00382155" w:rsidRDefault="00000000">
      <w:pPr>
        <w:pStyle w:val="Normal1"/>
        <w:jc w:val="center"/>
      </w:pPr>
      <w:r>
        <w:rPr>
          <w:noProof/>
        </w:rPr>
        <w:drawing>
          <wp:inline distT="114300" distB="114300" distL="114300" distR="114300" wp14:anchorId="4F6344DE" wp14:editId="2E55E931">
            <wp:extent cx="4972050" cy="1838325"/>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12"/>
                    <a:stretch>
                      <a:fillRect/>
                    </a:stretch>
                  </pic:blipFill>
                  <pic:spPr>
                    <a:xfrm>
                      <a:off x="0" y="0"/>
                      <a:ext cx="4972050" cy="1838325"/>
                    </a:xfrm>
                    <a:prstGeom prst="rect">
                      <a:avLst/>
                    </a:prstGeom>
                  </pic:spPr>
                </pic:pic>
              </a:graphicData>
            </a:graphic>
          </wp:inline>
        </w:drawing>
      </w:r>
    </w:p>
    <w:p w14:paraId="323B3B55" w14:textId="77777777" w:rsidR="00382155" w:rsidRDefault="00000000">
      <w:pPr>
        <w:pStyle w:val="Normal1"/>
        <w:jc w:val="center"/>
        <w:rPr>
          <w:b/>
        </w:rPr>
      </w:pPr>
      <w:r>
        <w:rPr>
          <w:b/>
        </w:rPr>
        <w:t>Figure 5:- Net profit ratio for Sweet plc.</w:t>
      </w:r>
    </w:p>
    <w:p w14:paraId="25600113" w14:textId="77777777" w:rsidR="00382155" w:rsidRDefault="00000000">
      <w:pPr>
        <w:pStyle w:val="Normal1"/>
        <w:jc w:val="center"/>
      </w:pPr>
      <w:r>
        <w:t>(Source:- Self-Created, 2024)</w:t>
      </w:r>
    </w:p>
    <w:p w14:paraId="6F15FD88" w14:textId="5F6BD746" w:rsidR="00382155" w:rsidRDefault="00000000">
      <w:pPr>
        <w:pStyle w:val="Normal1"/>
      </w:pPr>
      <w:r>
        <w:t xml:space="preserve">The net earnings ratio is also a profitability ratio, which is widely used by many different stakeholders. This calculation is done in (Net income/ Net sales) format (Baltova, 2023). The higher the ratio is, the more portable it will become to a company for its shareholders. This also increases the rate of reinvesting in a business. According to this image, the net </w:t>
      </w:r>
      <w:r w:rsidR="00F77E43">
        <w:t>earnings</w:t>
      </w:r>
      <w:r>
        <w:t xml:space="preserve"> ratio in Sweet plc is registered as 6.40% in 2022 and 5.68% in 2021.</w:t>
      </w:r>
    </w:p>
    <w:p w14:paraId="39AC3D1F" w14:textId="77777777" w:rsidR="00382155" w:rsidRDefault="00000000">
      <w:pPr>
        <w:pStyle w:val="Heading2"/>
        <w:numPr>
          <w:ilvl w:val="0"/>
          <w:numId w:val="1"/>
        </w:numPr>
      </w:pPr>
      <w:bookmarkStart w:id="16" w:name="_nm8fae2kmkfw" w:colFirst="0" w:colLast="0"/>
      <w:bookmarkEnd w:id="16"/>
      <w:r>
        <w:t>Asset turnover:-</w:t>
      </w:r>
    </w:p>
    <w:p w14:paraId="1FB1ABB3" w14:textId="77777777" w:rsidR="00382155" w:rsidRDefault="00000000">
      <w:pPr>
        <w:pStyle w:val="Normal1"/>
        <w:jc w:val="center"/>
      </w:pPr>
      <w:r>
        <w:rPr>
          <w:noProof/>
        </w:rPr>
        <w:drawing>
          <wp:inline distT="114300" distB="114300" distL="114300" distR="114300" wp14:anchorId="30DFCFE6" wp14:editId="15376EE4">
            <wp:extent cx="4924425" cy="18002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3"/>
                    <a:stretch>
                      <a:fillRect/>
                    </a:stretch>
                  </pic:blipFill>
                  <pic:spPr>
                    <a:xfrm>
                      <a:off x="0" y="0"/>
                      <a:ext cx="4924425" cy="1800225"/>
                    </a:xfrm>
                    <a:prstGeom prst="rect">
                      <a:avLst/>
                    </a:prstGeom>
                  </pic:spPr>
                </pic:pic>
              </a:graphicData>
            </a:graphic>
          </wp:inline>
        </w:drawing>
      </w:r>
    </w:p>
    <w:p w14:paraId="7E14B8E8" w14:textId="77777777" w:rsidR="00382155" w:rsidRDefault="00000000">
      <w:pPr>
        <w:pStyle w:val="Normal1"/>
        <w:jc w:val="center"/>
        <w:rPr>
          <w:b/>
        </w:rPr>
      </w:pPr>
      <w:r>
        <w:rPr>
          <w:b/>
        </w:rPr>
        <w:t>Figure 6:- Assets turnover ratio for Sweet plc.</w:t>
      </w:r>
    </w:p>
    <w:p w14:paraId="7C069609" w14:textId="77777777" w:rsidR="00382155" w:rsidRDefault="00000000">
      <w:pPr>
        <w:pStyle w:val="Normal1"/>
        <w:jc w:val="center"/>
      </w:pPr>
      <w:r>
        <w:t>(Source:- Self-Created, 2024)</w:t>
      </w:r>
    </w:p>
    <w:p w14:paraId="23B6DDEB" w14:textId="77777777" w:rsidR="00382155" w:rsidRDefault="00000000">
      <w:pPr>
        <w:pStyle w:val="Normal1"/>
      </w:pPr>
      <w:r>
        <w:t>The assessment of the assets turnover is a basic method for analyzing the efficiency of a company. This ratio assesses the capability of a company to use its fixed and current assets to generate sales. If a company can generate a higher ratio by using its assets then the company has a higher efficiency. This calculation is done in (Total sales/ Average assets) format (Indeed, 2022). According to this figure, Sweet plc has an assets turnover of 0.69 in 2022 and 0.64 in 2021.</w:t>
      </w:r>
    </w:p>
    <w:p w14:paraId="396C4395" w14:textId="77777777" w:rsidR="00382155" w:rsidRDefault="00000000">
      <w:pPr>
        <w:pStyle w:val="Heading2"/>
        <w:numPr>
          <w:ilvl w:val="0"/>
          <w:numId w:val="1"/>
        </w:numPr>
      </w:pPr>
      <w:bookmarkStart w:id="17" w:name="_b72589arrcpm" w:colFirst="0" w:colLast="0"/>
      <w:bookmarkEnd w:id="17"/>
      <w:r>
        <w:lastRenderedPageBreak/>
        <w:t>Inventory holding days:-</w:t>
      </w:r>
    </w:p>
    <w:p w14:paraId="09698259" w14:textId="77777777" w:rsidR="00382155" w:rsidRDefault="00000000">
      <w:pPr>
        <w:pStyle w:val="Normal1"/>
        <w:jc w:val="center"/>
      </w:pPr>
      <w:r>
        <w:rPr>
          <w:noProof/>
        </w:rPr>
        <w:drawing>
          <wp:inline distT="114300" distB="114300" distL="114300" distR="114300" wp14:anchorId="0AA5ED7C" wp14:editId="1A945A8F">
            <wp:extent cx="4924425" cy="1819275"/>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4"/>
                    <a:stretch>
                      <a:fillRect/>
                    </a:stretch>
                  </pic:blipFill>
                  <pic:spPr>
                    <a:xfrm>
                      <a:off x="0" y="0"/>
                      <a:ext cx="4924425" cy="1819275"/>
                    </a:xfrm>
                    <a:prstGeom prst="rect">
                      <a:avLst/>
                    </a:prstGeom>
                  </pic:spPr>
                </pic:pic>
              </a:graphicData>
            </a:graphic>
          </wp:inline>
        </w:drawing>
      </w:r>
    </w:p>
    <w:p w14:paraId="2FBA544B" w14:textId="77777777" w:rsidR="00382155" w:rsidRDefault="00000000">
      <w:pPr>
        <w:pStyle w:val="Normal1"/>
        <w:jc w:val="center"/>
        <w:rPr>
          <w:b/>
        </w:rPr>
      </w:pPr>
      <w:r>
        <w:rPr>
          <w:b/>
        </w:rPr>
        <w:t>Figure 7:- Inventory holding ratio for Sweet plc.</w:t>
      </w:r>
    </w:p>
    <w:p w14:paraId="1A40916C" w14:textId="77777777" w:rsidR="00382155" w:rsidRDefault="00000000">
      <w:pPr>
        <w:pStyle w:val="Normal1"/>
        <w:jc w:val="center"/>
      </w:pPr>
      <w:r>
        <w:t>(Source:- Self-Created, 2024)</w:t>
      </w:r>
    </w:p>
    <w:p w14:paraId="3A179D59" w14:textId="77777777" w:rsidR="00382155" w:rsidRDefault="00000000">
      <w:pPr>
        <w:pStyle w:val="Normal1"/>
      </w:pPr>
      <w:r>
        <w:t>This ratio is meant to show the total time of renewal of inventory or stocks in an organization. In general terms, this ratio calculates the number of times the company makes sales from its inventory within a selected period (Indeed, 2022). This analysis is done in [(Inventory/ COGS) *365] format. According to the figure, the total inventory turnover period of Swet plc is 79.8 days in 2022 and 77.69 days in 2021.</w:t>
      </w:r>
    </w:p>
    <w:p w14:paraId="36FC3341" w14:textId="77777777" w:rsidR="00382155" w:rsidRDefault="00000000">
      <w:pPr>
        <w:pStyle w:val="Heading2"/>
        <w:numPr>
          <w:ilvl w:val="0"/>
          <w:numId w:val="1"/>
        </w:numPr>
      </w:pPr>
      <w:bookmarkStart w:id="18" w:name="_4oq0x9x2gexj" w:colFirst="0" w:colLast="0"/>
      <w:bookmarkEnd w:id="18"/>
      <w:r>
        <w:t>Debtors turnover period:-</w:t>
      </w:r>
    </w:p>
    <w:p w14:paraId="044708E0" w14:textId="77777777" w:rsidR="00382155" w:rsidRDefault="00000000">
      <w:pPr>
        <w:pStyle w:val="Normal1"/>
        <w:jc w:val="center"/>
      </w:pPr>
      <w:r>
        <w:rPr>
          <w:noProof/>
        </w:rPr>
        <w:drawing>
          <wp:inline distT="114300" distB="114300" distL="114300" distR="114300" wp14:anchorId="4862CF61" wp14:editId="11BA9542">
            <wp:extent cx="4924425" cy="1838325"/>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11" name="image3.png"/>
                    <pic:cNvPicPr/>
                  </pic:nvPicPr>
                  <pic:blipFill>
                    <a:blip r:embed="rId15"/>
                    <a:stretch>
                      <a:fillRect/>
                    </a:stretch>
                  </pic:blipFill>
                  <pic:spPr>
                    <a:xfrm>
                      <a:off x="0" y="0"/>
                      <a:ext cx="4924425" cy="1838325"/>
                    </a:xfrm>
                    <a:prstGeom prst="rect">
                      <a:avLst/>
                    </a:prstGeom>
                  </pic:spPr>
                </pic:pic>
              </a:graphicData>
            </a:graphic>
          </wp:inline>
        </w:drawing>
      </w:r>
    </w:p>
    <w:p w14:paraId="342C3F0F" w14:textId="77777777" w:rsidR="00382155" w:rsidRDefault="00000000">
      <w:pPr>
        <w:pStyle w:val="Normal1"/>
        <w:jc w:val="center"/>
        <w:rPr>
          <w:b/>
        </w:rPr>
      </w:pPr>
      <w:r>
        <w:rPr>
          <w:b/>
        </w:rPr>
        <w:t>Figure 8:- Debtors turnover ratio for Sweet plc.</w:t>
      </w:r>
    </w:p>
    <w:p w14:paraId="207BF971" w14:textId="77777777" w:rsidR="00382155" w:rsidRDefault="00000000">
      <w:pPr>
        <w:pStyle w:val="Normal1"/>
        <w:jc w:val="center"/>
      </w:pPr>
      <w:r>
        <w:t>(Source:- Self-Created, 2024)</w:t>
      </w:r>
    </w:p>
    <w:p w14:paraId="4F1D3978" w14:textId="77777777" w:rsidR="00382155" w:rsidRDefault="00000000">
      <w:pPr>
        <w:pStyle w:val="Normal1"/>
      </w:pPr>
      <w:r>
        <w:t>This ratio is also a measurement of the capability of a company. This analysis calculates the efficiency of a company in collecting its debts. If a company has a higher efficiency for collecting the business debts, then they are equipped with a higher rate of ratio. This evaluation is done in [(Debtors/ Credit revenue) * 365] format (Indeed, 2022). According to the figure, the total collection period of Swet plc is 67.6 days in 2022 and 73.9 days in 2021.</w:t>
      </w:r>
    </w:p>
    <w:p w14:paraId="2F328D22" w14:textId="77777777" w:rsidR="00382155" w:rsidRDefault="00000000">
      <w:pPr>
        <w:pStyle w:val="Heading2"/>
        <w:numPr>
          <w:ilvl w:val="0"/>
          <w:numId w:val="1"/>
        </w:numPr>
      </w:pPr>
      <w:bookmarkStart w:id="19" w:name="_qz1q1o867zsz" w:colFirst="0" w:colLast="0"/>
      <w:bookmarkEnd w:id="19"/>
      <w:r>
        <w:lastRenderedPageBreak/>
        <w:t>Current ratio:-</w:t>
      </w:r>
    </w:p>
    <w:p w14:paraId="415D1157" w14:textId="77777777" w:rsidR="00382155" w:rsidRDefault="00000000">
      <w:pPr>
        <w:pStyle w:val="Normal1"/>
        <w:jc w:val="center"/>
      </w:pPr>
      <w:r>
        <w:rPr>
          <w:noProof/>
        </w:rPr>
        <w:drawing>
          <wp:inline distT="114300" distB="114300" distL="114300" distR="114300" wp14:anchorId="3DFCB05C" wp14:editId="220699C8">
            <wp:extent cx="4953000" cy="18288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6"/>
                    <a:stretch>
                      <a:fillRect/>
                    </a:stretch>
                  </pic:blipFill>
                  <pic:spPr>
                    <a:xfrm>
                      <a:off x="0" y="0"/>
                      <a:ext cx="4953000" cy="1828800"/>
                    </a:xfrm>
                    <a:prstGeom prst="rect">
                      <a:avLst/>
                    </a:prstGeom>
                  </pic:spPr>
                </pic:pic>
              </a:graphicData>
            </a:graphic>
          </wp:inline>
        </w:drawing>
      </w:r>
    </w:p>
    <w:p w14:paraId="2A6F1517" w14:textId="77777777" w:rsidR="00382155" w:rsidRDefault="00000000">
      <w:pPr>
        <w:pStyle w:val="Normal1"/>
        <w:jc w:val="center"/>
        <w:rPr>
          <w:b/>
        </w:rPr>
      </w:pPr>
      <w:r>
        <w:rPr>
          <w:b/>
        </w:rPr>
        <w:t>Figure 9:- Current ratio for Sweet Plc.</w:t>
      </w:r>
    </w:p>
    <w:p w14:paraId="0288EF12" w14:textId="77777777" w:rsidR="00382155" w:rsidRDefault="00000000">
      <w:pPr>
        <w:pStyle w:val="Normal1"/>
        <w:jc w:val="center"/>
      </w:pPr>
      <w:r>
        <w:t>(Source:- Self-Created, 2024)</w:t>
      </w:r>
    </w:p>
    <w:p w14:paraId="5A48459A" w14:textId="77777777" w:rsidR="00382155" w:rsidRDefault="00000000">
      <w:pPr>
        <w:pStyle w:val="Normal1"/>
      </w:pPr>
      <w:r>
        <w:t xml:space="preserve">The current ratio is an effective measure of the liquid analysis of an organization (Rachman </w:t>
      </w:r>
      <w:r>
        <w:rPr>
          <w:i/>
        </w:rPr>
        <w:t>et al</w:t>
      </w:r>
      <w:r>
        <w:t>., 2023). The ratio is calculated in (Current assets/ Current liabilities) format. This formula stands for understanding the total capability of a business to use its liquid assets to pay off its immediate debts. According to the figure, the liquidity balance of Sweet plc is 0.92:1 in 2022 and 0.77:1 in 2021.</w:t>
      </w:r>
    </w:p>
    <w:p w14:paraId="21A30A67" w14:textId="77777777" w:rsidR="00382155" w:rsidRDefault="00000000">
      <w:pPr>
        <w:pStyle w:val="Heading2"/>
        <w:numPr>
          <w:ilvl w:val="0"/>
          <w:numId w:val="1"/>
        </w:numPr>
      </w:pPr>
      <w:bookmarkStart w:id="20" w:name="_z62visuid7uy" w:colFirst="0" w:colLast="0"/>
      <w:bookmarkEnd w:id="20"/>
      <w:r>
        <w:t>Gearing ratio:-</w:t>
      </w:r>
    </w:p>
    <w:p w14:paraId="06D2D9A7" w14:textId="77777777" w:rsidR="00382155" w:rsidRDefault="00000000">
      <w:pPr>
        <w:pStyle w:val="Normal1"/>
        <w:jc w:val="center"/>
      </w:pPr>
      <w:r>
        <w:rPr>
          <w:noProof/>
        </w:rPr>
        <w:drawing>
          <wp:inline distT="114300" distB="114300" distL="114300" distR="114300" wp14:anchorId="724657C2" wp14:editId="0FA19FF8">
            <wp:extent cx="5731200" cy="21590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13" name="image2.png"/>
                    <pic:cNvPicPr/>
                  </pic:nvPicPr>
                  <pic:blipFill>
                    <a:blip r:embed="rId17"/>
                    <a:stretch>
                      <a:fillRect/>
                    </a:stretch>
                  </pic:blipFill>
                  <pic:spPr>
                    <a:xfrm>
                      <a:off x="0" y="0"/>
                      <a:ext cx="5731200" cy="2159000"/>
                    </a:xfrm>
                    <a:prstGeom prst="rect">
                      <a:avLst/>
                    </a:prstGeom>
                  </pic:spPr>
                </pic:pic>
              </a:graphicData>
            </a:graphic>
          </wp:inline>
        </w:drawing>
      </w:r>
    </w:p>
    <w:p w14:paraId="61F4930A" w14:textId="77777777" w:rsidR="00382155" w:rsidRDefault="00000000">
      <w:pPr>
        <w:pStyle w:val="Normal1"/>
        <w:jc w:val="center"/>
        <w:rPr>
          <w:b/>
        </w:rPr>
      </w:pPr>
      <w:r>
        <w:rPr>
          <w:b/>
        </w:rPr>
        <w:t>Figure 10:- Gearing ratio for Sweet Plc.</w:t>
      </w:r>
    </w:p>
    <w:p w14:paraId="7EB9C963" w14:textId="77777777" w:rsidR="00382155" w:rsidRDefault="00000000">
      <w:pPr>
        <w:pStyle w:val="Normal1"/>
        <w:jc w:val="center"/>
      </w:pPr>
      <w:r>
        <w:t>(Source:- Self-Created, 2024)</w:t>
      </w:r>
    </w:p>
    <w:p w14:paraId="386FC43D" w14:textId="77777777" w:rsidR="00382155" w:rsidRDefault="00000000">
      <w:pPr>
        <w:pStyle w:val="Normal1"/>
      </w:pPr>
      <w:r>
        <w:t>The concept of the gearing ratio is all about the calculations that are done to understand the leverage of a business. As a result, this type of calculation is essential for capital-related decisions in a business (Wall Street Prep, 2023b). According to the figure, the leverage balance of Sweet plc is 57% in 2022 and 59% in 2021.</w:t>
      </w:r>
    </w:p>
    <w:p w14:paraId="32C839F1" w14:textId="77777777" w:rsidR="00382155" w:rsidRDefault="00000000">
      <w:pPr>
        <w:pStyle w:val="Heading2"/>
        <w:numPr>
          <w:ilvl w:val="0"/>
          <w:numId w:val="1"/>
        </w:numPr>
      </w:pPr>
      <w:bookmarkStart w:id="21" w:name="_dtrpecs55kro" w:colFirst="0" w:colLast="0"/>
      <w:bookmarkEnd w:id="21"/>
      <w:r>
        <w:lastRenderedPageBreak/>
        <w:t>Interest coverage:-</w:t>
      </w:r>
    </w:p>
    <w:p w14:paraId="4663ADF7" w14:textId="77777777" w:rsidR="00382155" w:rsidRDefault="00000000">
      <w:pPr>
        <w:pStyle w:val="Normal1"/>
        <w:jc w:val="center"/>
      </w:pPr>
      <w:r>
        <w:rPr>
          <w:noProof/>
        </w:rPr>
        <w:drawing>
          <wp:inline distT="114300" distB="114300" distL="114300" distR="114300" wp14:anchorId="4682B58D" wp14:editId="1F7BAE81">
            <wp:extent cx="5295900" cy="1838325"/>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7" name="image13.png"/>
                    <pic:cNvPicPr/>
                  </pic:nvPicPr>
                  <pic:blipFill>
                    <a:blip r:embed="rId18"/>
                    <a:stretch>
                      <a:fillRect/>
                    </a:stretch>
                  </pic:blipFill>
                  <pic:spPr>
                    <a:xfrm>
                      <a:off x="0" y="0"/>
                      <a:ext cx="5295900" cy="1838325"/>
                    </a:xfrm>
                    <a:prstGeom prst="rect">
                      <a:avLst/>
                    </a:prstGeom>
                  </pic:spPr>
                </pic:pic>
              </a:graphicData>
            </a:graphic>
          </wp:inline>
        </w:drawing>
      </w:r>
    </w:p>
    <w:p w14:paraId="7915A748" w14:textId="77777777" w:rsidR="00382155" w:rsidRDefault="00000000">
      <w:pPr>
        <w:pStyle w:val="Normal1"/>
        <w:jc w:val="center"/>
        <w:rPr>
          <w:b/>
        </w:rPr>
      </w:pPr>
      <w:r>
        <w:rPr>
          <w:b/>
        </w:rPr>
        <w:t>Figure 11:- Interest coverage for Sweet Plc.</w:t>
      </w:r>
    </w:p>
    <w:p w14:paraId="4EBF6B18" w14:textId="77777777" w:rsidR="00382155" w:rsidRDefault="00000000">
      <w:pPr>
        <w:pStyle w:val="Normal1"/>
        <w:jc w:val="center"/>
      </w:pPr>
      <w:r>
        <w:t>(Source:- Self-Created, 2024)</w:t>
      </w:r>
    </w:p>
    <w:p w14:paraId="207C4DF7" w14:textId="77777777" w:rsidR="00382155" w:rsidRDefault="00000000">
      <w:pPr>
        <w:pStyle w:val="Normal1"/>
      </w:pPr>
      <w:r>
        <w:t>The analysis of this ratio is calculated to understand the efficiency of an organization in paying its interest on debts. This calculation is usually used by lenders to assess the risk level of a business (Tomasetti, 2024). According to the figure, the coverage balance of Sweet plc is 3.56 in 2022 and 3.86 in 2021.</w:t>
      </w:r>
    </w:p>
    <w:p w14:paraId="5BC7B2D4" w14:textId="77777777" w:rsidR="00382155" w:rsidRDefault="00000000">
      <w:pPr>
        <w:pStyle w:val="Heading2"/>
      </w:pPr>
      <w:bookmarkStart w:id="22" w:name="_9qlnf4998xj3" w:colFirst="0" w:colLast="0"/>
      <w:bookmarkEnd w:id="22"/>
      <w:r>
        <w:t>Assessment of Financial Performance of Sweets Plc:-</w:t>
      </w:r>
    </w:p>
    <w:p w14:paraId="17244E67" w14:textId="77777777" w:rsidR="00382155" w:rsidRDefault="00000000">
      <w:pPr>
        <w:pStyle w:val="Normal1"/>
        <w:jc w:val="center"/>
      </w:pPr>
      <w:r>
        <w:rPr>
          <w:noProof/>
        </w:rPr>
        <w:drawing>
          <wp:inline distT="114300" distB="114300" distL="114300" distR="114300" wp14:anchorId="66E23AE4" wp14:editId="0FFA273B">
            <wp:extent cx="5731200" cy="2514600"/>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3" name="image12.png"/>
                    <pic:cNvPicPr/>
                  </pic:nvPicPr>
                  <pic:blipFill>
                    <a:blip r:embed="rId19"/>
                    <a:stretch>
                      <a:fillRect/>
                    </a:stretch>
                  </pic:blipFill>
                  <pic:spPr>
                    <a:xfrm>
                      <a:off x="0" y="0"/>
                      <a:ext cx="5731200" cy="2514600"/>
                    </a:xfrm>
                    <a:prstGeom prst="rect">
                      <a:avLst/>
                    </a:prstGeom>
                  </pic:spPr>
                </pic:pic>
              </a:graphicData>
            </a:graphic>
          </wp:inline>
        </w:drawing>
      </w:r>
    </w:p>
    <w:p w14:paraId="66E081A9" w14:textId="77777777" w:rsidR="00382155" w:rsidRDefault="00000000">
      <w:pPr>
        <w:pStyle w:val="Normal1"/>
        <w:jc w:val="center"/>
        <w:rPr>
          <w:b/>
        </w:rPr>
      </w:pPr>
      <w:r>
        <w:rPr>
          <w:b/>
        </w:rPr>
        <w:t>Figure 12:- Variance analysis.</w:t>
      </w:r>
    </w:p>
    <w:p w14:paraId="4DDB0BBB" w14:textId="77777777" w:rsidR="00382155" w:rsidRDefault="00000000">
      <w:pPr>
        <w:pStyle w:val="Normal1"/>
        <w:jc w:val="center"/>
      </w:pPr>
      <w:r>
        <w:t>(Source:- Self-Created, 2024)</w:t>
      </w:r>
    </w:p>
    <w:p w14:paraId="675DEEE1" w14:textId="77777777" w:rsidR="00382155" w:rsidRDefault="00000000">
      <w:pPr>
        <w:pStyle w:val="Normal1"/>
      </w:pPr>
      <w:r>
        <w:t xml:space="preserve">This figure stands for calculating the changes in the financial conditions of Sweet plc. According to this figure, all the earnings ratios including the ROCE have been increased in 2022. Those aspects are marked as favorable to the company. On the other hand, all the turnover ratios declined in 2022, which included the debtor's collection period. The current </w:t>
      </w:r>
      <w:r>
        <w:lastRenderedPageBreak/>
        <w:t xml:space="preserve">ratios were increased in 2022, which indicates more liquidity balance than before. The decline in the gearing ratio indicates less usage of debt capital in 2022 by the company. </w:t>
      </w:r>
    </w:p>
    <w:p w14:paraId="19A227CD" w14:textId="77777777" w:rsidR="00382155" w:rsidRDefault="00000000">
      <w:pPr>
        <w:pStyle w:val="Heading1"/>
      </w:pPr>
      <w:bookmarkStart w:id="23" w:name="_ovcwvzmjcxeo" w:colFirst="0" w:colLast="0"/>
      <w:bookmarkEnd w:id="23"/>
      <w:r>
        <w:t>Conclusion</w:t>
      </w:r>
    </w:p>
    <w:p w14:paraId="7CDD92D3" w14:textId="77777777" w:rsidR="00382155" w:rsidRDefault="00000000">
      <w:pPr>
        <w:pStyle w:val="Normal1"/>
      </w:pPr>
      <w:r>
        <w:t xml:space="preserve">This assignment summarized by the analysis of the financial positions of both Wales Plc and Sweet Plc was done. Those calculations were done by using various kinds of statements of financing. Some of them are income statements, current ratio analysis, analysis of ROE, and many more. Those calculations demonstrated the viability of the financial conditions of those two businesses. The analysis of given statements was done by explaining different kinds of concepts of accounting. </w:t>
      </w:r>
    </w:p>
    <w:p w14:paraId="5B56A110" w14:textId="77777777" w:rsidR="00382155" w:rsidRDefault="00000000">
      <w:pPr>
        <w:pStyle w:val="Normal1"/>
      </w:pPr>
      <w:r>
        <w:br w:type="page"/>
      </w:r>
    </w:p>
    <w:p w14:paraId="256DB8C2" w14:textId="77777777" w:rsidR="00382155" w:rsidRDefault="00000000">
      <w:pPr>
        <w:pStyle w:val="Heading1"/>
      </w:pPr>
      <w:bookmarkStart w:id="24" w:name="_pjthfqq05s53" w:colFirst="0" w:colLast="0"/>
      <w:bookmarkEnd w:id="24"/>
      <w:r>
        <w:lastRenderedPageBreak/>
        <w:t>Reference List</w:t>
      </w:r>
    </w:p>
    <w:p w14:paraId="14CF0C81" w14:textId="77777777" w:rsidR="00F77E43" w:rsidRDefault="00F77E43">
      <w:pPr>
        <w:pStyle w:val="Normal1"/>
      </w:pPr>
      <w:r>
        <w:t xml:space="preserve">Baltova, A. (2023) </w:t>
      </w:r>
      <w:r>
        <w:rPr>
          <w:i/>
        </w:rPr>
        <w:t>Profitability ratios – definitions, types, formulas</w:t>
      </w:r>
      <w:r>
        <w:t xml:space="preserve">, </w:t>
      </w:r>
      <w:r>
        <w:rPr>
          <w:i/>
        </w:rPr>
        <w:t>365 Financial Analyst</w:t>
      </w:r>
      <w:r>
        <w:t xml:space="preserve">. Available at: https://365financialanalyst.com/knowledge-hub/financial-analysis/profitability-ratios/ (Accessed: 04 March 2024). </w:t>
      </w:r>
    </w:p>
    <w:p w14:paraId="661F6A08" w14:textId="77777777" w:rsidR="00F77E43" w:rsidRDefault="00F77E43">
      <w:pPr>
        <w:pStyle w:val="Normal1"/>
      </w:pPr>
      <w:r>
        <w:t xml:space="preserve">BDC. (2024) </w:t>
      </w:r>
      <w:r>
        <w:rPr>
          <w:i/>
        </w:rPr>
        <w:t>What is an income statement</w:t>
      </w:r>
      <w:r>
        <w:t xml:space="preserve">, </w:t>
      </w:r>
      <w:r>
        <w:rPr>
          <w:i/>
        </w:rPr>
        <w:t>BDC.ca</w:t>
      </w:r>
      <w:r>
        <w:t xml:space="preserve">. Available at: https://www.bdc.ca/en/articles-tools/entrepreneur-toolkit/templates-business-guides/glossary/income-statement (Accessed: 04 March 2024). </w:t>
      </w:r>
    </w:p>
    <w:p w14:paraId="5E33A572" w14:textId="67B075EC" w:rsidR="00F77E43" w:rsidRDefault="00F77E43">
      <w:pPr>
        <w:pStyle w:val="Normal1"/>
      </w:pPr>
      <w:r>
        <w:t xml:space="preserve">Bragg, S. (2023) </w:t>
      </w:r>
      <w:r>
        <w:rPr>
          <w:i/>
        </w:rPr>
        <w:t>Users of financial information</w:t>
      </w:r>
      <w:r>
        <w:t xml:space="preserve">, </w:t>
      </w:r>
      <w:r>
        <w:rPr>
          <w:i/>
        </w:rPr>
        <w:t>Accounting Tools</w:t>
      </w:r>
      <w:r>
        <w:t xml:space="preserve">. Available at: https://www.accountingtools.com/articles/users-of-financial-information (Accessed: 04 March 2024). </w:t>
      </w:r>
    </w:p>
    <w:p w14:paraId="7E5EFFDF" w14:textId="77777777" w:rsidR="00F77E43" w:rsidRDefault="00F77E43">
      <w:pPr>
        <w:pStyle w:val="Normal1"/>
      </w:pPr>
      <w:r>
        <w:t xml:space="preserve">Choi, J.H., (2021). Accrual accounting and resource allocation: A general equilibrium analysis. </w:t>
      </w:r>
      <w:r>
        <w:rPr>
          <w:i/>
        </w:rPr>
        <w:t>Journal of Accounting Research</w:t>
      </w:r>
      <w:r>
        <w:t xml:space="preserve">, </w:t>
      </w:r>
      <w:r>
        <w:rPr>
          <w:i/>
        </w:rPr>
        <w:t>59</w:t>
      </w:r>
      <w:r>
        <w:t xml:space="preserve">(4), pp.1179-1219. </w:t>
      </w:r>
      <w:hyperlink r:id="rId20">
        <w:r>
          <w:rPr>
            <w:color w:val="1155CC"/>
            <w:u w:val="single"/>
          </w:rPr>
          <w:t>https://onlinelibrary.wiley.com/doi/abs/10.1111/1475-679X.12365</w:t>
        </w:r>
      </w:hyperlink>
      <w:r>
        <w:t>.</w:t>
      </w:r>
    </w:p>
    <w:p w14:paraId="1D8AF8B6" w14:textId="77777777" w:rsidR="00F77E43" w:rsidRDefault="00F77E43">
      <w:pPr>
        <w:pStyle w:val="Normal1"/>
      </w:pPr>
      <w:r>
        <w:t xml:space="preserve">Fridson, M.S. and Alvarez, F., (2022). </w:t>
      </w:r>
      <w:r>
        <w:rPr>
          <w:i/>
        </w:rPr>
        <w:t>Financial statement analysis: a practitioner's guide</w:t>
      </w:r>
      <w:r>
        <w:t xml:space="preserve">. John Wiley &amp; Sons. </w:t>
      </w:r>
      <w:hyperlink r:id="rId21">
        <w:r>
          <w:rPr>
            <w:color w:val="1155CC"/>
            <w:u w:val="single"/>
          </w:rPr>
          <w:t>https://books.google.com/books?hl=en&amp;lr=&amp;id=2cl6EAAAQBAJ&amp;oi=fnd&amp;pg=PA25&amp;dq=income+statement&amp;ots=5YHDPraHG0&amp;sig=xnq5uyJ8MeSJuszHNgEtWnGP3oU</w:t>
        </w:r>
      </w:hyperlink>
      <w:r>
        <w:t>.</w:t>
      </w:r>
    </w:p>
    <w:p w14:paraId="77742AC4" w14:textId="77777777" w:rsidR="00F77E43" w:rsidRDefault="00F77E43">
      <w:pPr>
        <w:pStyle w:val="Normal1"/>
      </w:pPr>
      <w:r>
        <w:t xml:space="preserve">Gridlex. (2024) </w:t>
      </w:r>
      <w:r>
        <w:rPr>
          <w:i/>
        </w:rPr>
        <w:t>The role of trial balance reports in ensuring financial accuracy</w:t>
      </w:r>
      <w:r>
        <w:t xml:space="preserve">, </w:t>
      </w:r>
      <w:r>
        <w:rPr>
          <w:i/>
        </w:rPr>
        <w:t>gridlex.com</w:t>
      </w:r>
      <w:r>
        <w:t xml:space="preserve">. Available at: https://gridlex.com/a/the-role-of-trial-balance-reports-in-ensuring-financial-accuracy-st8152/?utm_source=gAAAAABl5X0dpRwyyeiNq4L-pJpFEmhipWD0uClhNFrAnRIYQa1qbcafPXTF4hFGPHaBcgKIslLYTdZGO5i6Vxp9AH52lEdBrg (Accessed: 04 March 2024). </w:t>
      </w:r>
    </w:p>
    <w:p w14:paraId="3E999A70" w14:textId="77777777" w:rsidR="00F77E43" w:rsidRDefault="00F77E43">
      <w:pPr>
        <w:pStyle w:val="Normal1"/>
      </w:pPr>
      <w:r>
        <w:t xml:space="preserve">IG. (2024) </w:t>
      </w:r>
      <w:r>
        <w:rPr>
          <w:i/>
        </w:rPr>
        <w:t>Roce definition</w:t>
      </w:r>
      <w:r>
        <w:t xml:space="preserve">, </w:t>
      </w:r>
      <w:r>
        <w:rPr>
          <w:i/>
        </w:rPr>
        <w:t>IG</w:t>
      </w:r>
      <w:r>
        <w:t xml:space="preserve">. Available at: https://www.ig.com/en/glossary-trading-terms/roce-definition (Accessed: 04 March 2024). </w:t>
      </w:r>
    </w:p>
    <w:p w14:paraId="25C690A2" w14:textId="77777777" w:rsidR="00F77E43" w:rsidRDefault="00F77E43">
      <w:pPr>
        <w:pStyle w:val="Normal1"/>
      </w:pPr>
      <w:r>
        <w:t xml:space="preserve">Indeed. (2022) </w:t>
      </w:r>
      <w:r>
        <w:rPr>
          <w:i/>
        </w:rPr>
        <w:t>What are turnover ratios? (with types and examples) | indeed.com ...</w:t>
      </w:r>
      <w:r>
        <w:t xml:space="preserve"> Available at: https://ca.indeed.com/career-advice/career-development/turnover-ratios (Accessed: 04 March 2024). </w:t>
      </w:r>
    </w:p>
    <w:p w14:paraId="4DA75770" w14:textId="77777777" w:rsidR="00F77E43" w:rsidRDefault="00F77E43">
      <w:pPr>
        <w:pStyle w:val="Normal1"/>
      </w:pPr>
      <w:r>
        <w:t xml:space="preserve">Indeed. (2023) </w:t>
      </w:r>
      <w:r>
        <w:rPr>
          <w:i/>
        </w:rPr>
        <w:t>What is a statement of financial position? (with template)</w:t>
      </w:r>
      <w:r>
        <w:t xml:space="preserve">. Available at: https://uk.indeed.com/career-advice/career-development/what-is-a-statement-of-financial-position (Accessed: 04 March 2024). </w:t>
      </w:r>
    </w:p>
    <w:p w14:paraId="27D2538F" w14:textId="77777777" w:rsidR="00F77E43" w:rsidRDefault="00F77E43">
      <w:pPr>
        <w:pStyle w:val="Normal1"/>
      </w:pPr>
      <w:r>
        <w:t xml:space="preserve">Peterdy, K. (2023) </w:t>
      </w:r>
      <w:r>
        <w:rPr>
          <w:i/>
        </w:rPr>
        <w:t>Non-current assets</w:t>
      </w:r>
      <w:r>
        <w:t xml:space="preserve">, </w:t>
      </w:r>
      <w:r>
        <w:rPr>
          <w:i/>
        </w:rPr>
        <w:t>Corporate Finance Institute</w:t>
      </w:r>
      <w:r>
        <w:t xml:space="preserve">. Available at: https://corporatefinanceinstitute.com/resources/accounting/non-current-assets/ (Accessed: 04 March 2024). </w:t>
      </w:r>
    </w:p>
    <w:p w14:paraId="4ADC4FB1" w14:textId="07B342C4" w:rsidR="00F77E43" w:rsidRDefault="00F77E43">
      <w:pPr>
        <w:pStyle w:val="Normal1"/>
      </w:pPr>
      <w:r>
        <w:lastRenderedPageBreak/>
        <w:t xml:space="preserve">Rachman, S., Karyatun, S. and Digdowiseiso, K., (2023). The Effect of Current Ratio, Debt to Equity Ratio, Debt to Asset Ratio, and Total Asset Turnover on The Financial Performance of Property and Real Estate Companies Listed in The IDX for The 20162020 Period. </w:t>
      </w:r>
      <w:r>
        <w:rPr>
          <w:i/>
        </w:rPr>
        <w:t>Journal Syntax Admiration</w:t>
      </w:r>
      <w:r>
        <w:t xml:space="preserve">, </w:t>
      </w:r>
      <w:r>
        <w:rPr>
          <w:i/>
        </w:rPr>
        <w:t>4</w:t>
      </w:r>
      <w:r>
        <w:t xml:space="preserve">(2), pp.361-377. </w:t>
      </w:r>
      <w:hyperlink r:id="rId22">
        <w:r>
          <w:rPr>
            <w:color w:val="1155CC"/>
            <w:u w:val="single"/>
          </w:rPr>
          <w:t>https://www.jurnalsyntaxadmiration.com/index.php/jurnal/article/view/904</w:t>
        </w:r>
      </w:hyperlink>
      <w:r>
        <w:t>.</w:t>
      </w:r>
    </w:p>
    <w:p w14:paraId="00EA22BB" w14:textId="77777777" w:rsidR="00F77E43" w:rsidRDefault="00F77E43">
      <w:pPr>
        <w:pStyle w:val="Normal1"/>
      </w:pPr>
      <w:r>
        <w:t xml:space="preserve">Regulation Body of Knowledge. (2024) </w:t>
      </w:r>
      <w:r>
        <w:rPr>
          <w:i/>
        </w:rPr>
        <w:t>Regulation of financial statements</w:t>
      </w:r>
      <w:r>
        <w:t xml:space="preserve">, </w:t>
      </w:r>
      <w:r>
        <w:rPr>
          <w:i/>
        </w:rPr>
        <w:t>https://regulationbodyofknowledge.org</w:t>
      </w:r>
      <w:r>
        <w:t xml:space="preserve">. Available at: https://regulationbodyofknowledge.org/financial-analysis/statement-regulation/#:~:text=The%20objectives%20of%20accounting%20regulation,%2Dutility%20activities%2C%20benchmarking%2C%20monitoring (Accessed: 04 March 2024). </w:t>
      </w:r>
    </w:p>
    <w:p w14:paraId="314302DA" w14:textId="77777777" w:rsidR="00F77E43" w:rsidRDefault="00F77E43">
      <w:pPr>
        <w:pStyle w:val="Normal1"/>
      </w:pPr>
      <w:r>
        <w:t xml:space="preserve">Robinson, T.R., (2020). </w:t>
      </w:r>
      <w:r>
        <w:rPr>
          <w:i/>
        </w:rPr>
        <w:t>International financial statement analysis</w:t>
      </w:r>
      <w:r>
        <w:t xml:space="preserve">. John Wiley &amp; Sons. </w:t>
      </w:r>
      <w:hyperlink r:id="rId23">
        <w:r>
          <w:rPr>
            <w:color w:val="1155CC"/>
            <w:u w:val="single"/>
          </w:rPr>
          <w:t>https://books.google.com/books?hl=en&amp;lr=&amp;id=Q7nEDwAAQBAJ&amp;oi=fnd&amp;pg=PR15&amp;dq=income+statement&amp;ots=iFBZ7JrQ7b&amp;sig=Vjx_1AIk0mSkbTQ0nG0-y9uSboY</w:t>
        </w:r>
      </w:hyperlink>
      <w:r>
        <w:t>.</w:t>
      </w:r>
    </w:p>
    <w:p w14:paraId="72D13165" w14:textId="77777777" w:rsidR="00F77E43" w:rsidRDefault="00F77E43">
      <w:pPr>
        <w:pStyle w:val="Normal1"/>
      </w:pPr>
      <w:r>
        <w:t xml:space="preserve">Sherman, F. (2019) </w:t>
      </w:r>
      <w:r>
        <w:rPr>
          <w:i/>
        </w:rPr>
        <w:t>Who are the internal &amp; external users of a company’s financial statements?</w:t>
      </w:r>
      <w:r>
        <w:t xml:space="preserve"> </w:t>
      </w:r>
      <w:r>
        <w:rPr>
          <w:i/>
        </w:rPr>
        <w:t>Small Business - Chron.com</w:t>
      </w:r>
      <w:r>
        <w:t xml:space="preserve">. Available at: https://smallbusiness.chron.com/internal-external-users-companys-financial-statements-70132.html (Accessed: 04 March 2024). </w:t>
      </w:r>
    </w:p>
    <w:p w14:paraId="5E60F0FB" w14:textId="77777777" w:rsidR="00F77E43" w:rsidRDefault="00F77E43">
      <w:pPr>
        <w:pStyle w:val="Normal1"/>
      </w:pPr>
      <w:r>
        <w:t xml:space="preserve">Slacalek, J., Tristani, O. and Violante, G.L., (2020). Household balance sheet channels of monetary policy: A back of the envelope calculation for the euro area. </w:t>
      </w:r>
      <w:r>
        <w:rPr>
          <w:i/>
        </w:rPr>
        <w:t>Journal of Economic Dynamics and Control</w:t>
      </w:r>
      <w:r>
        <w:t xml:space="preserve">, </w:t>
      </w:r>
      <w:r>
        <w:rPr>
          <w:i/>
        </w:rPr>
        <w:t>115</w:t>
      </w:r>
      <w:r>
        <w:t xml:space="preserve">, p.103879. </w:t>
      </w:r>
      <w:hyperlink r:id="rId24">
        <w:r>
          <w:rPr>
            <w:color w:val="1155CC"/>
            <w:u w:val="single"/>
          </w:rPr>
          <w:t>https://www.sciencedirect.com/science/article/pii/S0165188920300488</w:t>
        </w:r>
      </w:hyperlink>
      <w:r>
        <w:t>.</w:t>
      </w:r>
    </w:p>
    <w:p w14:paraId="4809A406" w14:textId="77777777" w:rsidR="00F77E43" w:rsidRDefault="00F77E43">
      <w:pPr>
        <w:pStyle w:val="Normal1"/>
      </w:pPr>
      <w:r>
        <w:t xml:space="preserve">Teall, J.L., (2022). </w:t>
      </w:r>
      <w:r>
        <w:rPr>
          <w:i/>
        </w:rPr>
        <w:t>Financial trading and investing</w:t>
      </w:r>
      <w:r>
        <w:t xml:space="preserve">. Academic Press. </w:t>
      </w:r>
      <w:hyperlink r:id="rId25">
        <w:r>
          <w:rPr>
            <w:color w:val="1155CC"/>
            <w:u w:val="single"/>
          </w:rPr>
          <w:t>https://books.google.com/books?hl=en&amp;lr=&amp;id=8mJjEAAAQBAJ&amp;oi=fnd&amp;pg=PP1&amp;dq=Regulation+of+Trading+and+Securities+Markets+John+L.+Teall,+in+Financial+Trading+and+Investing+(Third+Edition),+2023&amp;ots=hZT4cuuLwx&amp;sig=YIanNPhguriHk7YIENdak6yvbSU</w:t>
        </w:r>
      </w:hyperlink>
      <w:r>
        <w:t>.</w:t>
      </w:r>
    </w:p>
    <w:p w14:paraId="34E66807" w14:textId="77777777" w:rsidR="00F77E43" w:rsidRDefault="00F77E43">
      <w:pPr>
        <w:pStyle w:val="Normal1"/>
      </w:pPr>
      <w:r>
        <w:t xml:space="preserve">Team, C.F.I. (2023a) </w:t>
      </w:r>
      <w:r>
        <w:rPr>
          <w:i/>
        </w:rPr>
        <w:t>General ledger</w:t>
      </w:r>
      <w:r>
        <w:t xml:space="preserve">, </w:t>
      </w:r>
      <w:r>
        <w:rPr>
          <w:i/>
        </w:rPr>
        <w:t>Corporate Finance Institute</w:t>
      </w:r>
      <w:r>
        <w:t xml:space="preserve">. Available at: https://corporatefinanceinstitute.com/resources/accounting/general-ledger-gl/ (Accessed: 04 March 2024). </w:t>
      </w:r>
    </w:p>
    <w:p w14:paraId="063192F6" w14:textId="77777777" w:rsidR="00F77E43" w:rsidRDefault="00F77E43">
      <w:pPr>
        <w:pStyle w:val="Normal1"/>
      </w:pPr>
      <w:r>
        <w:t xml:space="preserve">Team, C.F.I. (2023b) </w:t>
      </w:r>
      <w:r>
        <w:rPr>
          <w:i/>
        </w:rPr>
        <w:t>Income statement</w:t>
      </w:r>
      <w:r>
        <w:t xml:space="preserve">, </w:t>
      </w:r>
      <w:r>
        <w:rPr>
          <w:i/>
        </w:rPr>
        <w:t>Corporate Finance Institute</w:t>
      </w:r>
      <w:r>
        <w:t xml:space="preserve">. Available at: https://corporatefinanceinstitute.com/resources/accounting/income-statement/ (Accessed: 04 March 2024). </w:t>
      </w:r>
    </w:p>
    <w:p w14:paraId="36DFA69C" w14:textId="77777777" w:rsidR="00F77E43" w:rsidRDefault="00F77E43">
      <w:pPr>
        <w:pStyle w:val="Normal1"/>
      </w:pPr>
      <w:r>
        <w:t xml:space="preserve">Team, C.F.I. (2023c) </w:t>
      </w:r>
      <w:r>
        <w:rPr>
          <w:i/>
        </w:rPr>
        <w:t>Earnings</w:t>
      </w:r>
      <w:r>
        <w:t xml:space="preserve">, </w:t>
      </w:r>
      <w:r>
        <w:rPr>
          <w:i/>
        </w:rPr>
        <w:t>Corporate Finance Institute</w:t>
      </w:r>
      <w:r>
        <w:t xml:space="preserve">. Available at: https://corporatefinanceinstitute.com/resources/valuation/earnings/ (Accessed: 04 March 2024). </w:t>
      </w:r>
    </w:p>
    <w:p w14:paraId="3D076DD6" w14:textId="77777777" w:rsidR="00F77E43" w:rsidRDefault="00F77E43">
      <w:pPr>
        <w:pStyle w:val="Normal1"/>
      </w:pPr>
      <w:r>
        <w:lastRenderedPageBreak/>
        <w:t xml:space="preserve">Tomasetti, B. (2024) </w:t>
      </w:r>
      <w:r>
        <w:rPr>
          <w:i/>
        </w:rPr>
        <w:t>Interest coverage ratio: Formula, example, analysis, calculator</w:t>
      </w:r>
      <w:r>
        <w:t xml:space="preserve">, </w:t>
      </w:r>
      <w:r>
        <w:rPr>
          <w:i/>
        </w:rPr>
        <w:t>Carbon collective</w:t>
      </w:r>
      <w:r>
        <w:t>. Available at: https://www.carboncollective.co/sustainable-investing/interest-coverage-ratio (Accessed: 04 March 2024).</w:t>
      </w:r>
    </w:p>
    <w:p w14:paraId="610D894D" w14:textId="77777777" w:rsidR="00F77E43" w:rsidRDefault="00F77E43">
      <w:pPr>
        <w:pStyle w:val="Normal1"/>
      </w:pPr>
      <w:r>
        <w:t xml:space="preserve">Wall Street Prep. (2023a) </w:t>
      </w:r>
      <w:r>
        <w:rPr>
          <w:i/>
        </w:rPr>
        <w:t>Prepaid expenses</w:t>
      </w:r>
      <w:r>
        <w:t xml:space="preserve">, </w:t>
      </w:r>
      <w:r>
        <w:rPr>
          <w:i/>
        </w:rPr>
        <w:t>Wall Street Prep</w:t>
      </w:r>
      <w:r>
        <w:t xml:space="preserve">. Available at: https://www.wallstreetprep.com/knowledge/prepaid-expense/ (Accessed: 04 March 2024). </w:t>
      </w:r>
    </w:p>
    <w:p w14:paraId="5F5931A7" w14:textId="77777777" w:rsidR="00F77E43" w:rsidRDefault="00F77E43">
      <w:pPr>
        <w:pStyle w:val="Normal1"/>
      </w:pPr>
      <w:r>
        <w:t xml:space="preserve">Wall Street Prep. (2023b) </w:t>
      </w:r>
      <w:r>
        <w:rPr>
          <w:i/>
        </w:rPr>
        <w:t>Gearing ratio</w:t>
      </w:r>
      <w:r>
        <w:t xml:space="preserve">, </w:t>
      </w:r>
      <w:r>
        <w:rPr>
          <w:i/>
        </w:rPr>
        <w:t>Wall Street Prep</w:t>
      </w:r>
      <w:r>
        <w:t>. Available at: https://www.wallstreetprep.com/knowledge/gearing-ratio/ (Accessed: 04 March 2024).</w:t>
      </w:r>
    </w:p>
    <w:p w14:paraId="7BD2B5F8" w14:textId="77777777" w:rsidR="00F77E43" w:rsidRDefault="00F77E43">
      <w:pPr>
        <w:pStyle w:val="Normal1"/>
      </w:pPr>
      <w:r>
        <w:t xml:space="preserve">Warren, C.S. and Jones, J.P., (2022). </w:t>
      </w:r>
      <w:r>
        <w:rPr>
          <w:i/>
        </w:rPr>
        <w:t>Corporate financial accounting</w:t>
      </w:r>
      <w:r>
        <w:t xml:space="preserve">. Cengage Learning. </w:t>
      </w:r>
      <w:hyperlink r:id="rId26">
        <w:r>
          <w:rPr>
            <w:color w:val="1155CC"/>
            <w:u w:val="single"/>
          </w:rPr>
          <w:t>https://thuvienso.hoasen.edu.vn/handle/123456789/13146</w:t>
        </w:r>
      </w:hyperlink>
      <w:r>
        <w:t>.</w:t>
      </w:r>
    </w:p>
    <w:sectPr w:rsidR="00F77E43" w:rsidSect="00F7163C">
      <w:footerReference w:type="default" r:id="rId27"/>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823AB" w14:textId="77777777" w:rsidR="00F7163C" w:rsidRDefault="00F7163C">
      <w:pPr>
        <w:spacing w:line="240" w:lineRule="auto"/>
      </w:pPr>
      <w:r>
        <w:separator/>
      </w:r>
    </w:p>
  </w:endnote>
  <w:endnote w:type="continuationSeparator" w:id="0">
    <w:p w14:paraId="370C2F98" w14:textId="77777777" w:rsidR="00F7163C" w:rsidRDefault="00F716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B7E7C" w14:textId="77777777" w:rsidR="00382155" w:rsidRDefault="00000000">
    <w:pPr>
      <w:pStyle w:val="Normal1"/>
      <w:jc w:val="right"/>
    </w:pPr>
    <w:r>
      <w:fldChar w:fldCharType="begin"/>
    </w:r>
    <w:r>
      <w:instrText>PAGE</w:instrText>
    </w:r>
    <w:r>
      <w:fldChar w:fldCharType="separate"/>
    </w:r>
    <w:r w:rsidR="00F77E4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47777" w14:textId="77777777" w:rsidR="00F7163C" w:rsidRDefault="00F7163C">
      <w:pPr>
        <w:spacing w:line="240" w:lineRule="auto"/>
      </w:pPr>
      <w:r>
        <w:separator/>
      </w:r>
    </w:p>
  </w:footnote>
  <w:footnote w:type="continuationSeparator" w:id="0">
    <w:p w14:paraId="7115D705" w14:textId="77777777" w:rsidR="00F7163C" w:rsidRDefault="00F716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C19D4"/>
    <w:multiLevelType w:val="hybridMultilevel"/>
    <w:tmpl w:val="00000000"/>
    <w:lvl w:ilvl="0" w:tplc="BF3CD91C">
      <w:start w:val="1"/>
      <w:numFmt w:val="lowerLetter"/>
      <w:lvlText w:val="%1."/>
      <w:lvlJc w:val="left"/>
      <w:pPr>
        <w:ind w:left="720" w:hanging="360"/>
      </w:pPr>
      <w:rPr>
        <w:u w:val="none"/>
      </w:rPr>
    </w:lvl>
    <w:lvl w:ilvl="1" w:tplc="855EF7D2">
      <w:start w:val="1"/>
      <w:numFmt w:val="lowerRoman"/>
      <w:lvlText w:val="%2."/>
      <w:lvlJc w:val="right"/>
      <w:pPr>
        <w:ind w:left="1440" w:hanging="360"/>
      </w:pPr>
      <w:rPr>
        <w:u w:val="none"/>
      </w:rPr>
    </w:lvl>
    <w:lvl w:ilvl="2" w:tplc="ED0A5032">
      <w:start w:val="1"/>
      <w:numFmt w:val="decimal"/>
      <w:lvlText w:val="%3."/>
      <w:lvlJc w:val="left"/>
      <w:pPr>
        <w:ind w:left="2160" w:hanging="360"/>
      </w:pPr>
      <w:rPr>
        <w:u w:val="none"/>
      </w:rPr>
    </w:lvl>
    <w:lvl w:ilvl="3" w:tplc="170C7322">
      <w:start w:val="1"/>
      <w:numFmt w:val="lowerLetter"/>
      <w:lvlText w:val="%4."/>
      <w:lvlJc w:val="left"/>
      <w:pPr>
        <w:ind w:left="2880" w:hanging="360"/>
      </w:pPr>
      <w:rPr>
        <w:u w:val="none"/>
      </w:rPr>
    </w:lvl>
    <w:lvl w:ilvl="4" w:tplc="608C683A">
      <w:start w:val="1"/>
      <w:numFmt w:val="lowerRoman"/>
      <w:lvlText w:val="%5."/>
      <w:lvlJc w:val="right"/>
      <w:pPr>
        <w:ind w:left="3600" w:hanging="360"/>
      </w:pPr>
      <w:rPr>
        <w:u w:val="none"/>
      </w:rPr>
    </w:lvl>
    <w:lvl w:ilvl="5" w:tplc="DFB6CE18">
      <w:start w:val="1"/>
      <w:numFmt w:val="decimal"/>
      <w:lvlText w:val="%6."/>
      <w:lvlJc w:val="left"/>
      <w:pPr>
        <w:ind w:left="4320" w:hanging="360"/>
      </w:pPr>
      <w:rPr>
        <w:u w:val="none"/>
      </w:rPr>
    </w:lvl>
    <w:lvl w:ilvl="6" w:tplc="032622CA">
      <w:start w:val="1"/>
      <w:numFmt w:val="lowerLetter"/>
      <w:lvlText w:val="%7."/>
      <w:lvlJc w:val="left"/>
      <w:pPr>
        <w:ind w:left="5040" w:hanging="360"/>
      </w:pPr>
      <w:rPr>
        <w:u w:val="none"/>
      </w:rPr>
    </w:lvl>
    <w:lvl w:ilvl="7" w:tplc="06728440">
      <w:start w:val="1"/>
      <w:numFmt w:val="lowerRoman"/>
      <w:lvlText w:val="%8."/>
      <w:lvlJc w:val="right"/>
      <w:pPr>
        <w:ind w:left="5760" w:hanging="360"/>
      </w:pPr>
      <w:rPr>
        <w:u w:val="none"/>
      </w:rPr>
    </w:lvl>
    <w:lvl w:ilvl="8" w:tplc="02D63FF4">
      <w:start w:val="1"/>
      <w:numFmt w:val="decimal"/>
      <w:lvlText w:val="%9."/>
      <w:lvlJc w:val="left"/>
      <w:pPr>
        <w:ind w:left="6480" w:hanging="360"/>
      </w:pPr>
      <w:rPr>
        <w:u w:val="none"/>
      </w:rPr>
    </w:lvl>
  </w:abstractNum>
  <w:num w:numId="1" w16cid:durableId="906383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155"/>
    <w:rsid w:val="00382155"/>
    <w:rsid w:val="009C2174"/>
    <w:rsid w:val="00F7163C"/>
    <w:rsid w:val="00F77E43"/>
    <w:rsid w:val="00FE4AC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F69CDD"/>
  <w15:docId w15:val="{1004A040-5B13-47F1-81FE-75540BED6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u w:val="single"/>
    </w:rPr>
  </w:style>
  <w:style w:type="paragraph" w:styleId="Heading2">
    <w:name w:val="heading 2"/>
    <w:basedOn w:val="Normal1"/>
    <w:next w:val="Normal1"/>
    <w:pPr>
      <w:keepNext/>
      <w:keepLines/>
      <w:spacing w:before="200" w:after="20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6"/>
      <w:szCs w:val="36"/>
    </w:rPr>
  </w:style>
  <w:style w:type="paragraph" w:styleId="Subtitle">
    <w:name w:val="Subtitle"/>
    <w:basedOn w:val="Normal1"/>
    <w:next w:val="Normal1"/>
    <w:pPr>
      <w:keepNext/>
      <w:keepLines/>
      <w:jc w:val="center"/>
    </w:pPr>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thuvienso.hoasen.edu.vn/handle/123456789/13146" TargetMode="External"/><Relationship Id="rId3" Type="http://schemas.openxmlformats.org/officeDocument/2006/relationships/settings" Target="settings.xml"/><Relationship Id="rId21" Type="http://schemas.openxmlformats.org/officeDocument/2006/relationships/hyperlink" Target="https://books.google.com/books?hl=en&amp;lr=&amp;id=2cl6EAAAQBAJ&amp;oi=fnd&amp;pg=PA25&amp;dq=income+statement&amp;ots=5YHDPraHG0&amp;sig=xnq5uyJ8MeSJuszHNgEtWnGP3oU"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books.google.com/books?hl=en&amp;lr=&amp;id=8mJjEAAAQBAJ&amp;oi=fnd&amp;pg=PP1&amp;dq=Regulation+of+Trading+and+Securities+Markets+John+L.+Teall,+in+Financial+Trading+and+Investing+(Third+Edition),+2023&amp;ots=hZT4cuuLwx&amp;sig=YIanNPhguriHk7YIENdak6yvbSU"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onlinelibrary.wiley.com/doi/abs/10.1111/1475-679X.12365"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encedirect.com/science/article/pii/S0165188920300488"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books.google.com/books?hl=en&amp;lr=&amp;id=Q7nEDwAAQBAJ&amp;oi=fnd&amp;pg=PR15&amp;dq=income+statement&amp;ots=iFBZ7JrQ7b&amp;sig=Vjx_1AIk0mSkbTQ0nG0-y9uSboY"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jurnalsyntaxadmiration.com/index.php/jurnal/article/view/90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3351</Words>
  <Characters>19103</Characters>
  <Application>Microsoft Office Word</Application>
  <DocSecurity>0</DocSecurity>
  <Lines>159</Lines>
  <Paragraphs>44</Paragraphs>
  <ScaleCrop>false</ScaleCrop>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TuniMize</cp:lastModifiedBy>
  <cp:revision>2</cp:revision>
  <dcterms:created xsi:type="dcterms:W3CDTF">2024-03-04T13:09:00Z</dcterms:created>
  <dcterms:modified xsi:type="dcterms:W3CDTF">2024-03-09T15:32:00Z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5d43ac47e2aeaeded561891db1a1dba2444252e7a1e7a4cdf8855847161e8dcc</vt:lpwstr>
  </property>
</Properties>
</file>