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529DEB8" w14:textId="0E55F26D" w:rsidR="005A6D82" w:rsidRPr="005A6D82" w:rsidRDefault="007E6D2E" w:rsidP="005A6D82">
      <w:pPr>
        <w:jc w:val="center"/>
        <w:rPr>
          <w:u w:val="single"/>
        </w:rPr>
      </w:pPr>
      <w:r>
        <w:rPr>
          <w:u w:val="single"/>
        </w:rPr>
        <w:t>Virgil’s Aeneid 8.671-688</w:t>
      </w:r>
    </w:p>
    <w:p w14:paraId="3668476D" w14:textId="7763663D" w:rsidR="00F466A3" w:rsidRDefault="00603D60" w:rsidP="00C77360">
      <w:pPr>
        <w:jc w:val="both"/>
      </w:pPr>
      <w:r>
        <w:t>Virgil</w:t>
      </w:r>
      <w:r w:rsidR="00CF3844">
        <w:t xml:space="preserve"> (</w:t>
      </w:r>
      <w:r w:rsidR="006E6A14">
        <w:t>70</w:t>
      </w:r>
      <w:r w:rsidR="00CF3844">
        <w:t xml:space="preserve">-19BCE) was a Roman poet who earned his fame while under the patronage of </w:t>
      </w:r>
      <w:r w:rsidR="007E5E94">
        <w:t>Maecenas</w:t>
      </w:r>
      <w:r w:rsidR="005D7F6F">
        <w:t>.</w:t>
      </w:r>
      <w:r w:rsidR="00CF3844">
        <w:rPr>
          <w:rStyle w:val="FootnoteReference"/>
        </w:rPr>
        <w:footnoteReference w:id="1"/>
      </w:r>
      <w:r w:rsidR="00C77360">
        <w:t xml:space="preserve"> </w:t>
      </w:r>
      <w:r w:rsidR="00CF3844">
        <w:t>The Aeneid</w:t>
      </w:r>
      <w:r w:rsidR="00C77360">
        <w:t>, possibly Virgil’s most famous poem,</w:t>
      </w:r>
      <w:r w:rsidR="00CF3844">
        <w:t xml:space="preserve"> is an epic poem, written in a similar style to that of Homer’s Odyssey and </w:t>
      </w:r>
      <w:proofErr w:type="spellStart"/>
      <w:r w:rsidR="00CF3844">
        <w:t>Illiad</w:t>
      </w:r>
      <w:proofErr w:type="spellEnd"/>
      <w:r w:rsidR="005D7F6F">
        <w:t>.</w:t>
      </w:r>
      <w:r w:rsidR="00CF3844">
        <w:rPr>
          <w:rStyle w:val="FootnoteReference"/>
        </w:rPr>
        <w:footnoteReference w:id="2"/>
      </w:r>
      <w:r w:rsidR="00CF3844">
        <w:t xml:space="preserve"> It tells the story of Aeneas and his wanderings from the battle of Troy to the foundation of </w:t>
      </w:r>
      <w:proofErr w:type="spellStart"/>
      <w:r w:rsidR="00CF3844">
        <w:t>Lavinium</w:t>
      </w:r>
      <w:proofErr w:type="spellEnd"/>
      <w:r w:rsidR="005D7F6F">
        <w:t>.</w:t>
      </w:r>
      <w:r w:rsidR="00CF3844">
        <w:rPr>
          <w:rStyle w:val="FootnoteReference"/>
        </w:rPr>
        <w:footnoteReference w:id="3"/>
      </w:r>
      <w:r w:rsidR="00C77360">
        <w:t xml:space="preserve"> </w:t>
      </w:r>
      <w:r w:rsidR="005D7F6F">
        <w:t xml:space="preserve">The </w:t>
      </w:r>
      <w:r w:rsidR="00C77360">
        <w:t xml:space="preserve">original text was </w:t>
      </w:r>
      <w:r w:rsidR="005D7F6F">
        <w:t>written in Latin.</w:t>
      </w:r>
      <w:r w:rsidR="005D7F6F">
        <w:rPr>
          <w:rStyle w:val="FootnoteReference"/>
        </w:rPr>
        <w:footnoteReference w:id="4"/>
      </w:r>
      <w:r w:rsidR="005D7F6F">
        <w:t xml:space="preserve"> This analysis uses a translation by David West from the Oxford Classical Text by Sir Roger </w:t>
      </w:r>
      <w:proofErr w:type="spellStart"/>
      <w:r w:rsidR="005D7F6F">
        <w:t>Mynors</w:t>
      </w:r>
      <w:proofErr w:type="spellEnd"/>
      <w:r w:rsidR="005D7F6F">
        <w:t>.</w:t>
      </w:r>
      <w:r w:rsidR="005D7F6F">
        <w:rPr>
          <w:rStyle w:val="FootnoteReference"/>
        </w:rPr>
        <w:footnoteReference w:id="5"/>
      </w:r>
      <w:r w:rsidR="005D7F6F">
        <w:t xml:space="preserve"> This extract is taken from book eight</w:t>
      </w:r>
      <w:r w:rsidR="006E6A14">
        <w:t>, which addresses the time that Aeneas was in the area that would become Rome.</w:t>
      </w:r>
      <w:r w:rsidR="006E6A14">
        <w:rPr>
          <w:rStyle w:val="FootnoteReference"/>
        </w:rPr>
        <w:footnoteReference w:id="6"/>
      </w:r>
      <w:r w:rsidR="007E5E94">
        <w:t xml:space="preserve"> </w:t>
      </w:r>
      <w:r w:rsidR="00F466A3">
        <w:t>It tells the story of the battle of Atrium, 29BCE.</w:t>
      </w:r>
      <w:r w:rsidR="00F466A3">
        <w:rPr>
          <w:rStyle w:val="FootnoteReference"/>
        </w:rPr>
        <w:footnoteReference w:id="7"/>
      </w:r>
    </w:p>
    <w:p w14:paraId="1CCDD86E" w14:textId="523A9F64" w:rsidR="00F466A3" w:rsidRDefault="001A4534" w:rsidP="00F466A3">
      <w:r>
        <w:t xml:space="preserve">Roman authors were influenced by the concepts presented in Greek </w:t>
      </w:r>
      <w:r w:rsidR="00D54604">
        <w:t>literature.</w:t>
      </w:r>
      <w:r w:rsidR="00D54604">
        <w:rPr>
          <w:rStyle w:val="FootnoteReference"/>
        </w:rPr>
        <w:footnoteReference w:id="8"/>
      </w:r>
      <w:r w:rsidR="00D54604">
        <w:t xml:space="preserve"> It would therefore make sense for Virgil to have been influenced by the works of Greek authors in his works. However, in the time of Virgil, Roman literature had come into its own</w:t>
      </w:r>
      <w:r w:rsidR="00D54604">
        <w:rPr>
          <w:rStyle w:val="FootnoteReference"/>
        </w:rPr>
        <w:footnoteReference w:id="9"/>
      </w:r>
      <w:r w:rsidR="00D54604">
        <w:t xml:space="preserve">, with the main similarities between Virgil and Homer were writing style the origins of the story. </w:t>
      </w:r>
    </w:p>
    <w:p w14:paraId="4E2A08AE" w14:textId="20292FCD" w:rsidR="005A6D82" w:rsidRDefault="00A95E3F" w:rsidP="00F466A3">
      <w:r>
        <w:t>Although Augustus isn’t mentioned in detail within the Aeneid, in total he is directly referenced to three times</w:t>
      </w:r>
      <w:r w:rsidR="00B46B0A">
        <w:t xml:space="preserve"> (1.286-94; 6.791-803; 8.671-88)</w:t>
      </w:r>
      <w:r>
        <w:t>, there are links within the story to say that the journeys of Aeneas do praise Augustus.</w:t>
      </w:r>
      <w:r w:rsidR="00F30836">
        <w:t xml:space="preserve"> </w:t>
      </w:r>
      <w:r w:rsidR="00B46B0A">
        <w:t>In book 8, Virgil is giving legitimacy to Augustus rule in Italy by also giving legitimacy to the actions of Aeneas.</w:t>
      </w:r>
      <w:r w:rsidR="00B46B0A">
        <w:rPr>
          <w:rStyle w:val="FootnoteReference"/>
        </w:rPr>
        <w:footnoteReference w:id="10"/>
      </w:r>
    </w:p>
    <w:p w14:paraId="24EFC305" w14:textId="54EBC489" w:rsidR="005A6D82" w:rsidRDefault="0054436C" w:rsidP="005A6D82">
      <w:r>
        <w:t>At the beginning of the extract it refers to “dolphins picked out in silver”.</w:t>
      </w:r>
      <w:r>
        <w:rPr>
          <w:rStyle w:val="FootnoteReference"/>
        </w:rPr>
        <w:footnoteReference w:id="11"/>
      </w:r>
      <w:r>
        <w:t xml:space="preserve"> The significance of </w:t>
      </w:r>
      <w:r w:rsidR="00565B39">
        <w:t>dolphins is seen in Greek literature. The earliest mention of dolphins in mythology is in the Homeric hymn to Apollo.</w:t>
      </w:r>
      <w:r w:rsidR="00565B39">
        <w:rPr>
          <w:rStyle w:val="FootnoteReference"/>
        </w:rPr>
        <w:footnoteReference w:id="12"/>
      </w:r>
      <w:r w:rsidR="009841AC">
        <w:t xml:space="preserve"> This shows not only the influence of Greek literature on Virgil but also would have told the reader of the legitimacy of Augustus</w:t>
      </w:r>
      <w:r w:rsidR="003460DE">
        <w:t>’ rule</w:t>
      </w:r>
      <w:r w:rsidR="009841AC">
        <w:t xml:space="preserve">. </w:t>
      </w:r>
      <w:r w:rsidR="003460DE">
        <w:t>Augustus claimed to have a special connection to the god</w:t>
      </w:r>
      <w:r w:rsidR="003460DE">
        <w:rPr>
          <w:rStyle w:val="FootnoteReference"/>
        </w:rPr>
        <w:footnoteReference w:id="13"/>
      </w:r>
      <w:r w:rsidR="00234154">
        <w:t>.</w:t>
      </w:r>
      <w:r w:rsidR="00135EF0">
        <w:t xml:space="preserve"> It could be argued that Augustus linked himself to Apollo to justify his rise to power at such a young age and maintained the link to give the impression of a ruler who would be forever young.</w:t>
      </w:r>
    </w:p>
    <w:p w14:paraId="73DF8C04" w14:textId="7E47E7F3" w:rsidR="00135EF0" w:rsidRDefault="004F0065" w:rsidP="00945D5E">
      <w:r>
        <w:t>The extract continues to talk about Augustus directly, stating that “from his forehead streamed a double flame and his fathers star shone above his head”.</w:t>
      </w:r>
      <w:r>
        <w:rPr>
          <w:rStyle w:val="FootnoteReference"/>
        </w:rPr>
        <w:footnoteReference w:id="14"/>
      </w:r>
      <w:r>
        <w:t xml:space="preserve"> </w:t>
      </w:r>
      <w:r w:rsidR="00945D5E">
        <w:t>The “double flame” streaming from his head references back to a previous passage of the same book which talks about Aeneas with a “fire-spurting helmet”.</w:t>
      </w:r>
      <w:r w:rsidR="00945D5E">
        <w:rPr>
          <w:rStyle w:val="FootnoteReference"/>
        </w:rPr>
        <w:footnoteReference w:id="15"/>
      </w:r>
      <w:r w:rsidR="00945D5E">
        <w:t xml:space="preserve"> </w:t>
      </w:r>
      <w:r w:rsidR="00F2488C">
        <w:t xml:space="preserve">This puts a parallel between </w:t>
      </w:r>
      <w:r w:rsidR="00ED09CD">
        <w:t>the two men and shows the connection between the</w:t>
      </w:r>
      <w:r w:rsidR="00366BE5">
        <w:t>m</w:t>
      </w:r>
      <w:r w:rsidR="00ED09CD">
        <w:t xml:space="preserve"> that Virgil was referencing within his work. </w:t>
      </w:r>
      <w:r w:rsidR="00E60CC5">
        <w:t xml:space="preserve">By having Augustus be crowned in flames in a similar fashion to Aeneas, </w:t>
      </w:r>
      <w:r w:rsidR="006E514C">
        <w:t xml:space="preserve">there is a visible link </w:t>
      </w:r>
      <w:r w:rsidR="00017965">
        <w:t>p</w:t>
      </w:r>
      <w:r w:rsidR="006E514C">
        <w:t>resented between the two of them.</w:t>
      </w:r>
      <w:r w:rsidR="001A712A">
        <w:t xml:space="preserve"> This connects Augustus to the bloodline of Aeneas and places him in a relationship to the founders of Rome and the father of the Roman people.</w:t>
      </w:r>
    </w:p>
    <w:p w14:paraId="279A599A" w14:textId="5FF7A63C" w:rsidR="001A712A" w:rsidRDefault="004904F2" w:rsidP="00945D5E">
      <w:r>
        <w:lastRenderedPageBreak/>
        <w:t>In the next line of the extract it states that “his fathers star shone above his head”.</w:t>
      </w:r>
      <w:r>
        <w:rPr>
          <w:rStyle w:val="FootnoteReference"/>
        </w:rPr>
        <w:footnoteReference w:id="16"/>
      </w:r>
      <w:r>
        <w:t xml:space="preserve"> </w:t>
      </w:r>
      <w:r w:rsidR="009C2E76">
        <w:t>The star that is being referred to is the Caesar’s comet that appeared during the funeral games held for Caesar in 44BCE.</w:t>
      </w:r>
      <w:r w:rsidR="009C2E76">
        <w:rPr>
          <w:rStyle w:val="FootnoteReference"/>
        </w:rPr>
        <w:footnoteReference w:id="17"/>
      </w:r>
      <w:r w:rsidR="009C2E76">
        <w:t xml:space="preserve"> It was held in common belief that this comet was evidence of Caesar being placed among the gods and he was deified by the Roman people.</w:t>
      </w:r>
      <w:r w:rsidR="009C2E76">
        <w:rPr>
          <w:rStyle w:val="FootnoteReference"/>
        </w:rPr>
        <w:footnoteReference w:id="18"/>
      </w:r>
      <w:r w:rsidR="009C2E76">
        <w:t xml:space="preserve"> As a result of this, Augustus would refer to himself as the “son of a god”.</w:t>
      </w:r>
      <w:r w:rsidR="009C2E76">
        <w:rPr>
          <w:rStyle w:val="FootnoteReference"/>
        </w:rPr>
        <w:footnoteReference w:id="19"/>
      </w:r>
      <w:r w:rsidR="009C2E76">
        <w:t xml:space="preserve"> This claim would give rise to a cult following which would be presented in forms of art.</w:t>
      </w:r>
      <w:r w:rsidR="009C2E76">
        <w:rPr>
          <w:rStyle w:val="FootnoteReference"/>
        </w:rPr>
        <w:footnoteReference w:id="20"/>
      </w:r>
      <w:r w:rsidR="00710184">
        <w:t xml:space="preserve"> By putting reference to the comet within the writing, Virgil is </w:t>
      </w:r>
      <w:r w:rsidR="005414D3">
        <w:t>solidifying the cult following of Augustus and displaying his status as the divine son of Caesar.</w:t>
      </w:r>
    </w:p>
    <w:p w14:paraId="3AB141BC" w14:textId="02DC9FE8" w:rsidR="005414D3" w:rsidRDefault="005414D3" w:rsidP="00945D5E">
      <w:r>
        <w:t xml:space="preserve">Near the end of the extract Virgil </w:t>
      </w:r>
      <w:proofErr w:type="gramStart"/>
      <w:r>
        <w:t>makes reference</w:t>
      </w:r>
      <w:proofErr w:type="gramEnd"/>
      <w:r>
        <w:t xml:space="preserve"> to </w:t>
      </w:r>
      <w:r w:rsidR="00C77360">
        <w:t>Cleopatra with the statement “his Egyptian wife”.</w:t>
      </w:r>
      <w:r w:rsidR="00C77360">
        <w:rPr>
          <w:rStyle w:val="FootnoteReference"/>
        </w:rPr>
        <w:footnoteReference w:id="21"/>
      </w:r>
      <w:r w:rsidR="00C77360">
        <w:t xml:space="preserve"> Within the extract she is referred to being “the greatest outrage of all”.</w:t>
      </w:r>
      <w:r w:rsidR="00C77360">
        <w:rPr>
          <w:rStyle w:val="FootnoteReference"/>
        </w:rPr>
        <w:footnoteReference w:id="22"/>
      </w:r>
      <w:r w:rsidR="0092586A">
        <w:t xml:space="preserve"> Cleopatra was viewed by the Romans as “a fatal omen”.</w:t>
      </w:r>
      <w:r w:rsidR="0092586A">
        <w:rPr>
          <w:rStyle w:val="FootnoteReference"/>
        </w:rPr>
        <w:footnoteReference w:id="23"/>
      </w:r>
      <w:r w:rsidR="0092586A">
        <w:t xml:space="preserve"> </w:t>
      </w:r>
      <w:r w:rsidR="005E6BBD">
        <w:t xml:space="preserve">It was likely that the Romans blamed Cleopatra for the issues that arose because of the division between Augustus and Mark Antony. It would be easy to but across the view that she is a terrible woman who wooed Mark Antony away than the claim that any Roman citizen was at fault for conflict. This is reflected by the way Virgil writes about her. By not stating her name, he is dehumanising her and not giving her </w:t>
      </w:r>
      <w:proofErr w:type="gramStart"/>
      <w:r w:rsidR="005E6BBD">
        <w:t>the same respect</w:t>
      </w:r>
      <w:proofErr w:type="gramEnd"/>
      <w:r w:rsidR="005E6BBD">
        <w:t xml:space="preserve"> any other strong military force would have been given. </w:t>
      </w:r>
    </w:p>
    <w:p w14:paraId="47FE9E0A" w14:textId="5BA4E1DE" w:rsidR="005E6BBD" w:rsidRDefault="005E6BBD" w:rsidP="005E6BBD">
      <w:r>
        <w:t xml:space="preserve">This extract tells of the battle between Augustus and Mark Antony, or as it could also be seen, Rome and those who opposed it. </w:t>
      </w:r>
      <w:r w:rsidR="008E3B98">
        <w:t xml:space="preserve">Virgil carefully presents it in this way as to avoid the idea that it was a civil war, being Roman against Roman. In this respect, some may assume that </w:t>
      </w:r>
      <w:proofErr w:type="gramStart"/>
      <w:r w:rsidR="008E3B98">
        <w:t>all of</w:t>
      </w:r>
      <w:proofErr w:type="gramEnd"/>
      <w:r w:rsidR="008E3B98">
        <w:t xml:space="preserve"> the Aeneid is written in a similar fashion that places Augustus as an amazing man, the son of a god, who will rule over the Roman world. However, this would be an unfair statement. The Aeneid does praise Augustus for his achievements, but it doesn’t place him on a pedestal. The Aeneid is, after all, the story of Aeneas and his travels after the fall of Troy. The brief mentions of and links to Augustus are </w:t>
      </w:r>
      <w:r w:rsidR="009743C7">
        <w:t xml:space="preserve">to connect Augustus to the great heroes of Troy and the rich history of Rome. This may be because of the patronage Virgil got from those close to Augustus. It may also be down to his own personal view of the man. What it does tell us is that </w:t>
      </w:r>
      <w:r w:rsidR="00FA409F">
        <w:t>the was a general view in Roman society that Augustus was connected to the history of Rome and held significance in this respect. The Aeneid would have solidified this view and helped Augustus in legitimising his position in power.</w:t>
      </w:r>
    </w:p>
    <w:p w14:paraId="64CB8F34" w14:textId="77777777" w:rsidR="00FA409F" w:rsidRDefault="00FA409F" w:rsidP="00BA121D"/>
    <w:p w14:paraId="237FE367" w14:textId="67D33FAC" w:rsidR="00FA409F" w:rsidRPr="00FA409F" w:rsidRDefault="00FA409F" w:rsidP="00BA121D">
      <w:r>
        <w:rPr>
          <w:u w:val="single"/>
        </w:rPr>
        <w:t>Bibliography</w:t>
      </w:r>
    </w:p>
    <w:p w14:paraId="71FB20BC" w14:textId="2CF2BFDF" w:rsidR="00E864D6" w:rsidRDefault="00E864D6" w:rsidP="00BA121D">
      <w:bookmarkStart w:id="0" w:name="_GoBack"/>
      <w:bookmarkEnd w:id="0"/>
      <w:r>
        <w:t xml:space="preserve">Catton, C. (1995) </w:t>
      </w:r>
      <w:r>
        <w:rPr>
          <w:i/>
        </w:rPr>
        <w:t>Dolphins in Ancient Mythology</w:t>
      </w:r>
      <w:r>
        <w:t xml:space="preserve">, Available at: </w:t>
      </w:r>
      <w:hyperlink r:id="rId8" w:history="1">
        <w:r w:rsidRPr="00DF3120">
          <w:rPr>
            <w:rStyle w:val="Hyperlink"/>
          </w:rPr>
          <w:t>https://www.pbs.org/wgbh/pages/frontline/shows/whales/man/myth.html</w:t>
        </w:r>
      </w:hyperlink>
      <w:r>
        <w:t xml:space="preserve"> (Accessed: 13/12/18)</w:t>
      </w:r>
    </w:p>
    <w:p w14:paraId="77B7A154" w14:textId="688589B8" w:rsidR="007176C4" w:rsidRDefault="007176C4" w:rsidP="00BA121D">
      <w:proofErr w:type="spellStart"/>
      <w:r>
        <w:t>Gurval</w:t>
      </w:r>
      <w:proofErr w:type="spellEnd"/>
      <w:r>
        <w:t xml:space="preserve">, R. A. (1997) ‘Caesar’s Comet: The politics and poetics of an Augustan myth’ </w:t>
      </w:r>
      <w:r>
        <w:rPr>
          <w:i/>
        </w:rPr>
        <w:t>Memoirs of the American Academy in Rome</w:t>
      </w:r>
      <w:r>
        <w:t xml:space="preserve"> Vol: 42, pp. 39-71, Available at: </w:t>
      </w:r>
      <w:hyperlink r:id="rId9" w:history="1">
        <w:r w:rsidRPr="00DF3120">
          <w:rPr>
            <w:rStyle w:val="Hyperlink"/>
          </w:rPr>
          <w:t>https://www.jstor.org/stable/4238747?seq=2#metadata_info_tab_contents</w:t>
        </w:r>
      </w:hyperlink>
      <w:r>
        <w:t xml:space="preserve"> (Accessed: 14/12/18)</w:t>
      </w:r>
    </w:p>
    <w:p w14:paraId="66013B6C" w14:textId="4AC58810" w:rsidR="007176C4" w:rsidRDefault="007176C4" w:rsidP="00BA121D">
      <w:r>
        <w:t xml:space="preserve">Haughton, B. (2011) </w:t>
      </w:r>
      <w:r>
        <w:rPr>
          <w:i/>
        </w:rPr>
        <w:t>Cleopatra and Antony</w:t>
      </w:r>
      <w:r>
        <w:t xml:space="preserve">, Available at: </w:t>
      </w:r>
      <w:hyperlink r:id="rId10" w:history="1">
        <w:r w:rsidRPr="00DF3120">
          <w:rPr>
            <w:rStyle w:val="Hyperlink"/>
          </w:rPr>
          <w:t>https://www.ancient.eu/article/197/cleopatra--</w:t>
        </w:r>
        <w:proofErr w:type="spellStart"/>
        <w:r w:rsidRPr="00DF3120">
          <w:rPr>
            <w:rStyle w:val="Hyperlink"/>
          </w:rPr>
          <w:t>antony</w:t>
        </w:r>
        <w:proofErr w:type="spellEnd"/>
        <w:r w:rsidRPr="00DF3120">
          <w:rPr>
            <w:rStyle w:val="Hyperlink"/>
          </w:rPr>
          <w:t>/</w:t>
        </w:r>
      </w:hyperlink>
      <w:r>
        <w:t xml:space="preserve"> (Accessed: 15/12/18)</w:t>
      </w:r>
    </w:p>
    <w:p w14:paraId="3FE74FEC" w14:textId="47AA469D" w:rsidR="00E864D6" w:rsidRDefault="00E864D6" w:rsidP="00BA121D">
      <w:r>
        <w:lastRenderedPageBreak/>
        <w:t xml:space="preserve">Murgatroyd, P. (2011) ‘Augustus and Apollo’ </w:t>
      </w:r>
      <w:r>
        <w:rPr>
          <w:i/>
        </w:rPr>
        <w:t>The Classical Review</w:t>
      </w:r>
      <w:r>
        <w:t xml:space="preserve"> Vol: 61, No. 1, pp. 127-9, Available at: </w:t>
      </w:r>
      <w:hyperlink r:id="rId11" w:history="1">
        <w:r w:rsidRPr="00DF3120">
          <w:rPr>
            <w:rStyle w:val="Hyperlink"/>
          </w:rPr>
          <w:t>https://www.jstor.org/stable/41301080?seq=1#metadata_info_tab_contents</w:t>
        </w:r>
      </w:hyperlink>
      <w:r>
        <w:t xml:space="preserve"> (Accessed: 13/12/18)</w:t>
      </w:r>
    </w:p>
    <w:p w14:paraId="6A63C4E8" w14:textId="7C78574A" w:rsidR="007176C4" w:rsidRDefault="007176C4" w:rsidP="00BA121D">
      <w:r>
        <w:t xml:space="preserve">Pandey, N. B. (2013) ‘Caesar’s Comet, the Julian Star, and the invention of Augustus’ </w:t>
      </w:r>
      <w:r>
        <w:rPr>
          <w:i/>
        </w:rPr>
        <w:t>Transactions of the American Philological Association</w:t>
      </w:r>
      <w:r>
        <w:t xml:space="preserve"> Vol: 143, pp. 405-46, Available at: </w:t>
      </w:r>
      <w:hyperlink r:id="rId12" w:history="1">
        <w:r w:rsidRPr="00DF3120">
          <w:rPr>
            <w:rStyle w:val="Hyperlink"/>
          </w:rPr>
          <w:t>https://muse.jhu.edu/article/527828</w:t>
        </w:r>
      </w:hyperlink>
      <w:r>
        <w:t xml:space="preserve"> (Accessed: 14/12/18)</w:t>
      </w:r>
    </w:p>
    <w:p w14:paraId="1635CBCE" w14:textId="7385DE4E" w:rsidR="00E864D6" w:rsidRDefault="00E864D6" w:rsidP="00E864D6">
      <w:r>
        <w:t xml:space="preserve">Virgil </w:t>
      </w:r>
      <w:r>
        <w:rPr>
          <w:i/>
        </w:rPr>
        <w:t>The Aeneid</w:t>
      </w:r>
      <w:r>
        <w:t xml:space="preserve"> D. West (Trans) 2003 London: Penguin Books Ltd</w:t>
      </w:r>
    </w:p>
    <w:p w14:paraId="71AE4706" w14:textId="65A0C1EE" w:rsidR="007176C4" w:rsidRDefault="007176C4" w:rsidP="00E864D6">
      <w:r>
        <w:t xml:space="preserve">Wasson, D. L. (2017) </w:t>
      </w:r>
      <w:r>
        <w:rPr>
          <w:i/>
        </w:rPr>
        <w:t>Roman Literature,</w:t>
      </w:r>
      <w:r>
        <w:t xml:space="preserve"> Available at: </w:t>
      </w:r>
      <w:hyperlink r:id="rId13" w:history="1">
        <w:r w:rsidRPr="002F4DA2">
          <w:rPr>
            <w:rStyle w:val="Hyperlink"/>
          </w:rPr>
          <w:t>https://www.ancient.eu/Roman_Literature/</w:t>
        </w:r>
      </w:hyperlink>
      <w:r>
        <w:t xml:space="preserve"> (Accessed: 13/12/18)</w:t>
      </w:r>
    </w:p>
    <w:sectPr w:rsidR="007176C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033AA3B" w14:textId="77777777" w:rsidR="00D36CB9" w:rsidRDefault="00D36CB9" w:rsidP="00CF3844">
      <w:pPr>
        <w:spacing w:after="0" w:line="240" w:lineRule="auto"/>
      </w:pPr>
      <w:r>
        <w:separator/>
      </w:r>
    </w:p>
  </w:endnote>
  <w:endnote w:type="continuationSeparator" w:id="0">
    <w:p w14:paraId="79FE3C61" w14:textId="77777777" w:rsidR="00D36CB9" w:rsidRDefault="00D36CB9" w:rsidP="00CF38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49654EE" w14:textId="77777777" w:rsidR="00D36CB9" w:rsidRDefault="00D36CB9" w:rsidP="00CF3844">
      <w:pPr>
        <w:spacing w:after="0" w:line="240" w:lineRule="auto"/>
      </w:pPr>
      <w:r>
        <w:separator/>
      </w:r>
    </w:p>
  </w:footnote>
  <w:footnote w:type="continuationSeparator" w:id="0">
    <w:p w14:paraId="2F6DD9E4" w14:textId="77777777" w:rsidR="00D36CB9" w:rsidRDefault="00D36CB9" w:rsidP="00CF3844">
      <w:pPr>
        <w:spacing w:after="0" w:line="240" w:lineRule="auto"/>
      </w:pPr>
      <w:r>
        <w:continuationSeparator/>
      </w:r>
    </w:p>
  </w:footnote>
  <w:footnote w:id="1">
    <w:p w14:paraId="6148B50D" w14:textId="5DFEEEE7" w:rsidR="00CF3844" w:rsidRDefault="00CF3844">
      <w:pPr>
        <w:pStyle w:val="FootnoteText"/>
      </w:pPr>
      <w:r>
        <w:rPr>
          <w:rStyle w:val="FootnoteReference"/>
        </w:rPr>
        <w:footnoteRef/>
      </w:r>
      <w:r>
        <w:t xml:space="preserve"> West, 1990, p. viii-ix</w:t>
      </w:r>
    </w:p>
  </w:footnote>
  <w:footnote w:id="2">
    <w:p w14:paraId="3B9C97F2" w14:textId="09ECE6B9" w:rsidR="00CF3844" w:rsidRDefault="00CF3844">
      <w:pPr>
        <w:pStyle w:val="FootnoteText"/>
      </w:pPr>
      <w:r>
        <w:rPr>
          <w:rStyle w:val="FootnoteReference"/>
        </w:rPr>
        <w:footnoteRef/>
      </w:r>
      <w:r>
        <w:t xml:space="preserve"> West, 1990, p. ix</w:t>
      </w:r>
    </w:p>
  </w:footnote>
  <w:footnote w:id="3">
    <w:p w14:paraId="306A406C" w14:textId="3136DE59" w:rsidR="00CF3844" w:rsidRDefault="00CF3844">
      <w:pPr>
        <w:pStyle w:val="FootnoteText"/>
      </w:pPr>
      <w:r>
        <w:rPr>
          <w:rStyle w:val="FootnoteReference"/>
        </w:rPr>
        <w:footnoteRef/>
      </w:r>
      <w:r>
        <w:t xml:space="preserve"> West, 1990, p. vii</w:t>
      </w:r>
    </w:p>
  </w:footnote>
  <w:footnote w:id="4">
    <w:p w14:paraId="69B99AB7" w14:textId="2617719F" w:rsidR="005D7F6F" w:rsidRDefault="005D7F6F">
      <w:pPr>
        <w:pStyle w:val="FootnoteText"/>
      </w:pPr>
      <w:r>
        <w:rPr>
          <w:rStyle w:val="FootnoteReference"/>
        </w:rPr>
        <w:footnoteRef/>
      </w:r>
      <w:r>
        <w:t xml:space="preserve"> West, 1990, p. xlv</w:t>
      </w:r>
    </w:p>
  </w:footnote>
  <w:footnote w:id="5">
    <w:p w14:paraId="2883C6F0" w14:textId="0A2FB93B" w:rsidR="005D7F6F" w:rsidRDefault="005D7F6F">
      <w:pPr>
        <w:pStyle w:val="FootnoteText"/>
      </w:pPr>
      <w:r>
        <w:rPr>
          <w:rStyle w:val="FootnoteReference"/>
        </w:rPr>
        <w:footnoteRef/>
      </w:r>
      <w:r>
        <w:t xml:space="preserve"> West, 1990, p. xlv</w:t>
      </w:r>
    </w:p>
  </w:footnote>
  <w:footnote w:id="6">
    <w:p w14:paraId="12BF0FFE" w14:textId="12726CF6" w:rsidR="006E6A14" w:rsidRDefault="006E6A14">
      <w:pPr>
        <w:pStyle w:val="FootnoteText"/>
      </w:pPr>
      <w:r>
        <w:rPr>
          <w:rStyle w:val="FootnoteReference"/>
        </w:rPr>
        <w:footnoteRef/>
      </w:r>
      <w:r>
        <w:t xml:space="preserve"> West, 1990, p. xxv</w:t>
      </w:r>
    </w:p>
  </w:footnote>
  <w:footnote w:id="7">
    <w:p w14:paraId="2DDD664F" w14:textId="7A095922" w:rsidR="00F466A3" w:rsidRDefault="00F466A3">
      <w:pPr>
        <w:pStyle w:val="FootnoteText"/>
      </w:pPr>
      <w:r>
        <w:rPr>
          <w:rStyle w:val="FootnoteReference"/>
        </w:rPr>
        <w:footnoteRef/>
      </w:r>
      <w:r>
        <w:t xml:space="preserve"> West, 1990, p. xxvii</w:t>
      </w:r>
    </w:p>
  </w:footnote>
  <w:footnote w:id="8">
    <w:p w14:paraId="4C32BE1B" w14:textId="3BF09A99" w:rsidR="00D54604" w:rsidRDefault="00D54604">
      <w:pPr>
        <w:pStyle w:val="FootnoteText"/>
      </w:pPr>
      <w:r>
        <w:rPr>
          <w:rStyle w:val="FootnoteReference"/>
        </w:rPr>
        <w:footnoteRef/>
      </w:r>
      <w:r>
        <w:t xml:space="preserve"> Wasson, 2017</w:t>
      </w:r>
    </w:p>
  </w:footnote>
  <w:footnote w:id="9">
    <w:p w14:paraId="67404028" w14:textId="42FAFD79" w:rsidR="00D54604" w:rsidRDefault="00D54604">
      <w:pPr>
        <w:pStyle w:val="FootnoteText"/>
      </w:pPr>
      <w:r>
        <w:rPr>
          <w:rStyle w:val="FootnoteReference"/>
        </w:rPr>
        <w:footnoteRef/>
      </w:r>
      <w:r>
        <w:t xml:space="preserve"> Wasson, 2017</w:t>
      </w:r>
    </w:p>
  </w:footnote>
  <w:footnote w:id="10">
    <w:p w14:paraId="0E9DEAB2" w14:textId="753D5F65" w:rsidR="00B46B0A" w:rsidRDefault="00B46B0A">
      <w:pPr>
        <w:pStyle w:val="FootnoteText"/>
      </w:pPr>
      <w:r>
        <w:rPr>
          <w:rStyle w:val="FootnoteReference"/>
        </w:rPr>
        <w:footnoteRef/>
      </w:r>
      <w:r>
        <w:t xml:space="preserve"> West, 1990, xxvi</w:t>
      </w:r>
    </w:p>
  </w:footnote>
  <w:footnote w:id="11">
    <w:p w14:paraId="7C8F4AE7" w14:textId="07BB81EB" w:rsidR="0054436C" w:rsidRDefault="0054436C">
      <w:pPr>
        <w:pStyle w:val="FootnoteText"/>
      </w:pPr>
      <w:r>
        <w:rPr>
          <w:rStyle w:val="FootnoteReference"/>
        </w:rPr>
        <w:footnoteRef/>
      </w:r>
      <w:r>
        <w:t xml:space="preserve"> </w:t>
      </w:r>
      <w:proofErr w:type="spellStart"/>
      <w:r>
        <w:t>Verg</w:t>
      </w:r>
      <w:proofErr w:type="spellEnd"/>
      <w:r>
        <w:t>. A. 8.673</w:t>
      </w:r>
    </w:p>
  </w:footnote>
  <w:footnote w:id="12">
    <w:p w14:paraId="110BBC3B" w14:textId="156E82D7" w:rsidR="00565B39" w:rsidRDefault="00565B39">
      <w:pPr>
        <w:pStyle w:val="FootnoteText"/>
      </w:pPr>
      <w:r>
        <w:rPr>
          <w:rStyle w:val="FootnoteReference"/>
        </w:rPr>
        <w:footnoteRef/>
      </w:r>
      <w:r>
        <w:t xml:space="preserve"> Catton, 1995</w:t>
      </w:r>
    </w:p>
  </w:footnote>
  <w:footnote w:id="13">
    <w:p w14:paraId="6C476FF4" w14:textId="1F750D17" w:rsidR="003460DE" w:rsidRDefault="003460DE">
      <w:pPr>
        <w:pStyle w:val="FootnoteText"/>
      </w:pPr>
      <w:r>
        <w:rPr>
          <w:rStyle w:val="FootnoteReference"/>
        </w:rPr>
        <w:footnoteRef/>
      </w:r>
      <w:r>
        <w:t xml:space="preserve"> Murgatroyd, 2011, p. 127</w:t>
      </w:r>
    </w:p>
  </w:footnote>
  <w:footnote w:id="14">
    <w:p w14:paraId="679714FF" w14:textId="69F82294" w:rsidR="004F0065" w:rsidRDefault="004F0065">
      <w:pPr>
        <w:pStyle w:val="FootnoteText"/>
      </w:pPr>
      <w:r>
        <w:rPr>
          <w:rStyle w:val="FootnoteReference"/>
        </w:rPr>
        <w:footnoteRef/>
      </w:r>
      <w:r>
        <w:t xml:space="preserve"> </w:t>
      </w:r>
      <w:proofErr w:type="spellStart"/>
      <w:r>
        <w:t>Verg</w:t>
      </w:r>
      <w:proofErr w:type="spellEnd"/>
      <w:r>
        <w:t>. A. 8.680-1</w:t>
      </w:r>
    </w:p>
  </w:footnote>
  <w:footnote w:id="15">
    <w:p w14:paraId="54B795F6" w14:textId="37A635E5" w:rsidR="00945D5E" w:rsidRDefault="00945D5E">
      <w:pPr>
        <w:pStyle w:val="FootnoteText"/>
      </w:pPr>
      <w:r>
        <w:rPr>
          <w:rStyle w:val="FootnoteReference"/>
        </w:rPr>
        <w:footnoteRef/>
      </w:r>
      <w:r>
        <w:t xml:space="preserve"> </w:t>
      </w:r>
      <w:proofErr w:type="spellStart"/>
      <w:r>
        <w:t>Verg</w:t>
      </w:r>
      <w:proofErr w:type="spellEnd"/>
      <w:r>
        <w:t>. A. 8.621</w:t>
      </w:r>
    </w:p>
  </w:footnote>
  <w:footnote w:id="16">
    <w:p w14:paraId="3215FA2F" w14:textId="2CAFB5CC" w:rsidR="004904F2" w:rsidRDefault="004904F2">
      <w:pPr>
        <w:pStyle w:val="FootnoteText"/>
      </w:pPr>
      <w:r>
        <w:rPr>
          <w:rStyle w:val="FootnoteReference"/>
        </w:rPr>
        <w:footnoteRef/>
      </w:r>
      <w:r>
        <w:t xml:space="preserve"> </w:t>
      </w:r>
      <w:proofErr w:type="spellStart"/>
      <w:r>
        <w:t>Verg</w:t>
      </w:r>
      <w:proofErr w:type="spellEnd"/>
      <w:r>
        <w:t>. A. 8.681</w:t>
      </w:r>
    </w:p>
  </w:footnote>
  <w:footnote w:id="17">
    <w:p w14:paraId="7A70C49C" w14:textId="75E51599" w:rsidR="009C2E76" w:rsidRDefault="009C2E76">
      <w:pPr>
        <w:pStyle w:val="FootnoteText"/>
      </w:pPr>
      <w:r>
        <w:rPr>
          <w:rStyle w:val="FootnoteReference"/>
        </w:rPr>
        <w:footnoteRef/>
      </w:r>
      <w:r>
        <w:t xml:space="preserve"> Pandey, 2013, p. 405</w:t>
      </w:r>
    </w:p>
  </w:footnote>
  <w:footnote w:id="18">
    <w:p w14:paraId="6E01B6CE" w14:textId="32DBB309" w:rsidR="009C2E76" w:rsidRDefault="009C2E76">
      <w:pPr>
        <w:pStyle w:val="FootnoteText"/>
      </w:pPr>
      <w:r>
        <w:rPr>
          <w:rStyle w:val="FootnoteReference"/>
        </w:rPr>
        <w:footnoteRef/>
      </w:r>
      <w:r>
        <w:t xml:space="preserve"> </w:t>
      </w:r>
      <w:proofErr w:type="spellStart"/>
      <w:r>
        <w:t>Gurval</w:t>
      </w:r>
      <w:proofErr w:type="spellEnd"/>
      <w:r>
        <w:t>, 1997, p. 39</w:t>
      </w:r>
    </w:p>
  </w:footnote>
  <w:footnote w:id="19">
    <w:p w14:paraId="469BF864" w14:textId="5F316C7D" w:rsidR="009C2E76" w:rsidRDefault="009C2E76">
      <w:pPr>
        <w:pStyle w:val="FootnoteText"/>
      </w:pPr>
      <w:r>
        <w:rPr>
          <w:rStyle w:val="FootnoteReference"/>
        </w:rPr>
        <w:footnoteRef/>
      </w:r>
      <w:r>
        <w:t xml:space="preserve"> </w:t>
      </w:r>
      <w:proofErr w:type="spellStart"/>
      <w:r>
        <w:t>Gurvel</w:t>
      </w:r>
      <w:proofErr w:type="spellEnd"/>
      <w:r>
        <w:t>, 1997, p. 39</w:t>
      </w:r>
    </w:p>
  </w:footnote>
  <w:footnote w:id="20">
    <w:p w14:paraId="206798A8" w14:textId="7135BE63" w:rsidR="009C2E76" w:rsidRDefault="009C2E76">
      <w:pPr>
        <w:pStyle w:val="FootnoteText"/>
      </w:pPr>
      <w:r>
        <w:rPr>
          <w:rStyle w:val="FootnoteReference"/>
        </w:rPr>
        <w:footnoteRef/>
      </w:r>
      <w:r>
        <w:t xml:space="preserve"> </w:t>
      </w:r>
      <w:proofErr w:type="spellStart"/>
      <w:r>
        <w:t>Gurval</w:t>
      </w:r>
      <w:proofErr w:type="spellEnd"/>
      <w:r>
        <w:t>, 1997, p. 40</w:t>
      </w:r>
    </w:p>
  </w:footnote>
  <w:footnote w:id="21">
    <w:p w14:paraId="13B6A7A5" w14:textId="13E62265" w:rsidR="00C77360" w:rsidRDefault="00C77360">
      <w:pPr>
        <w:pStyle w:val="FootnoteText"/>
      </w:pPr>
      <w:r>
        <w:rPr>
          <w:rStyle w:val="FootnoteReference"/>
        </w:rPr>
        <w:footnoteRef/>
      </w:r>
      <w:r>
        <w:t xml:space="preserve"> </w:t>
      </w:r>
      <w:proofErr w:type="spellStart"/>
      <w:r>
        <w:t>Verg</w:t>
      </w:r>
      <w:proofErr w:type="spellEnd"/>
      <w:r>
        <w:t>. A. 8.688</w:t>
      </w:r>
    </w:p>
  </w:footnote>
  <w:footnote w:id="22">
    <w:p w14:paraId="5C4F9561" w14:textId="0245CB4B" w:rsidR="00C77360" w:rsidRDefault="00C77360">
      <w:pPr>
        <w:pStyle w:val="FootnoteText"/>
      </w:pPr>
      <w:r>
        <w:rPr>
          <w:rStyle w:val="FootnoteReference"/>
        </w:rPr>
        <w:footnoteRef/>
      </w:r>
      <w:r>
        <w:t xml:space="preserve"> </w:t>
      </w:r>
      <w:proofErr w:type="spellStart"/>
      <w:r>
        <w:t>Verg</w:t>
      </w:r>
      <w:proofErr w:type="spellEnd"/>
      <w:r>
        <w:t>. A. 8.688</w:t>
      </w:r>
    </w:p>
  </w:footnote>
  <w:footnote w:id="23">
    <w:p w14:paraId="79A6E6DA" w14:textId="74A303DF" w:rsidR="0092586A" w:rsidRDefault="0092586A">
      <w:pPr>
        <w:pStyle w:val="FootnoteText"/>
      </w:pPr>
      <w:r>
        <w:rPr>
          <w:rStyle w:val="FootnoteReference"/>
        </w:rPr>
        <w:footnoteRef/>
      </w:r>
      <w:r>
        <w:t xml:space="preserve"> Haughton, 2011</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608597A"/>
    <w:multiLevelType w:val="hybridMultilevel"/>
    <w:tmpl w:val="36E6697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AA4837"/>
    <w:multiLevelType w:val="hybridMultilevel"/>
    <w:tmpl w:val="1EA87BA2"/>
    <w:lvl w:ilvl="0" w:tplc="31D065D6">
      <w:numFmt w:val="bullet"/>
      <w:lvlText w:val="-"/>
      <w:lvlJc w:val="left"/>
      <w:pPr>
        <w:ind w:left="405" w:hanging="360"/>
      </w:pPr>
      <w:rPr>
        <w:rFonts w:ascii="Calibri" w:eastAsiaTheme="minorHAnsi" w:hAnsi="Calibri" w:cs="Calibri" w:hint="default"/>
      </w:rPr>
    </w:lvl>
    <w:lvl w:ilvl="1" w:tplc="08090003" w:tentative="1">
      <w:start w:val="1"/>
      <w:numFmt w:val="bullet"/>
      <w:lvlText w:val="o"/>
      <w:lvlJc w:val="left"/>
      <w:pPr>
        <w:ind w:left="1125" w:hanging="360"/>
      </w:pPr>
      <w:rPr>
        <w:rFonts w:ascii="Courier New" w:hAnsi="Courier New" w:cs="Courier New" w:hint="default"/>
      </w:rPr>
    </w:lvl>
    <w:lvl w:ilvl="2" w:tplc="08090005" w:tentative="1">
      <w:start w:val="1"/>
      <w:numFmt w:val="bullet"/>
      <w:lvlText w:val=""/>
      <w:lvlJc w:val="left"/>
      <w:pPr>
        <w:ind w:left="1845" w:hanging="360"/>
      </w:pPr>
      <w:rPr>
        <w:rFonts w:ascii="Wingdings" w:hAnsi="Wingdings" w:hint="default"/>
      </w:rPr>
    </w:lvl>
    <w:lvl w:ilvl="3" w:tplc="08090001" w:tentative="1">
      <w:start w:val="1"/>
      <w:numFmt w:val="bullet"/>
      <w:lvlText w:val=""/>
      <w:lvlJc w:val="left"/>
      <w:pPr>
        <w:ind w:left="2565" w:hanging="360"/>
      </w:pPr>
      <w:rPr>
        <w:rFonts w:ascii="Symbol" w:hAnsi="Symbol" w:hint="default"/>
      </w:rPr>
    </w:lvl>
    <w:lvl w:ilvl="4" w:tplc="08090003" w:tentative="1">
      <w:start w:val="1"/>
      <w:numFmt w:val="bullet"/>
      <w:lvlText w:val="o"/>
      <w:lvlJc w:val="left"/>
      <w:pPr>
        <w:ind w:left="3285" w:hanging="360"/>
      </w:pPr>
      <w:rPr>
        <w:rFonts w:ascii="Courier New" w:hAnsi="Courier New" w:cs="Courier New" w:hint="default"/>
      </w:rPr>
    </w:lvl>
    <w:lvl w:ilvl="5" w:tplc="08090005" w:tentative="1">
      <w:start w:val="1"/>
      <w:numFmt w:val="bullet"/>
      <w:lvlText w:val=""/>
      <w:lvlJc w:val="left"/>
      <w:pPr>
        <w:ind w:left="4005" w:hanging="360"/>
      </w:pPr>
      <w:rPr>
        <w:rFonts w:ascii="Wingdings" w:hAnsi="Wingdings" w:hint="default"/>
      </w:rPr>
    </w:lvl>
    <w:lvl w:ilvl="6" w:tplc="08090001" w:tentative="1">
      <w:start w:val="1"/>
      <w:numFmt w:val="bullet"/>
      <w:lvlText w:val=""/>
      <w:lvlJc w:val="left"/>
      <w:pPr>
        <w:ind w:left="4725" w:hanging="360"/>
      </w:pPr>
      <w:rPr>
        <w:rFonts w:ascii="Symbol" w:hAnsi="Symbol" w:hint="default"/>
      </w:rPr>
    </w:lvl>
    <w:lvl w:ilvl="7" w:tplc="08090003" w:tentative="1">
      <w:start w:val="1"/>
      <w:numFmt w:val="bullet"/>
      <w:lvlText w:val="o"/>
      <w:lvlJc w:val="left"/>
      <w:pPr>
        <w:ind w:left="5445" w:hanging="360"/>
      </w:pPr>
      <w:rPr>
        <w:rFonts w:ascii="Courier New" w:hAnsi="Courier New" w:cs="Courier New" w:hint="default"/>
      </w:rPr>
    </w:lvl>
    <w:lvl w:ilvl="8" w:tplc="08090005" w:tentative="1">
      <w:start w:val="1"/>
      <w:numFmt w:val="bullet"/>
      <w:lvlText w:val=""/>
      <w:lvlJc w:val="left"/>
      <w:pPr>
        <w:ind w:left="6165" w:hanging="360"/>
      </w:pPr>
      <w:rPr>
        <w:rFonts w:ascii="Wingdings" w:hAnsi="Wingdings" w:hint="default"/>
      </w:rPr>
    </w:lvl>
  </w:abstractNum>
  <w:abstractNum w:abstractNumId="2" w15:restartNumberingAfterBreak="0">
    <w:nsid w:val="42E879D2"/>
    <w:multiLevelType w:val="hybridMultilevel"/>
    <w:tmpl w:val="8AD46A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8F751C6"/>
    <w:multiLevelType w:val="hybridMultilevel"/>
    <w:tmpl w:val="BF62987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6D2E"/>
    <w:rsid w:val="00017965"/>
    <w:rsid w:val="00031246"/>
    <w:rsid w:val="00043343"/>
    <w:rsid w:val="000832D2"/>
    <w:rsid w:val="00122014"/>
    <w:rsid w:val="00135EF0"/>
    <w:rsid w:val="00152E44"/>
    <w:rsid w:val="00193406"/>
    <w:rsid w:val="001A4534"/>
    <w:rsid w:val="001A712A"/>
    <w:rsid w:val="00234154"/>
    <w:rsid w:val="003460DE"/>
    <w:rsid w:val="00366BE5"/>
    <w:rsid w:val="00376AD1"/>
    <w:rsid w:val="004007D8"/>
    <w:rsid w:val="0043629C"/>
    <w:rsid w:val="004904F2"/>
    <w:rsid w:val="004F0065"/>
    <w:rsid w:val="005414D3"/>
    <w:rsid w:val="00541E29"/>
    <w:rsid w:val="0054436C"/>
    <w:rsid w:val="00565B39"/>
    <w:rsid w:val="005A6D82"/>
    <w:rsid w:val="005C01F9"/>
    <w:rsid w:val="005D7F6F"/>
    <w:rsid w:val="005E6BBD"/>
    <w:rsid w:val="00603D60"/>
    <w:rsid w:val="00673C38"/>
    <w:rsid w:val="006C01C8"/>
    <w:rsid w:val="006E514C"/>
    <w:rsid w:val="006E6A14"/>
    <w:rsid w:val="00710184"/>
    <w:rsid w:val="007176C4"/>
    <w:rsid w:val="00732046"/>
    <w:rsid w:val="00773364"/>
    <w:rsid w:val="007E5E94"/>
    <w:rsid w:val="007E6D2E"/>
    <w:rsid w:val="008E3B98"/>
    <w:rsid w:val="0092586A"/>
    <w:rsid w:val="00945D5E"/>
    <w:rsid w:val="009743C7"/>
    <w:rsid w:val="009841AC"/>
    <w:rsid w:val="00994228"/>
    <w:rsid w:val="009C0438"/>
    <w:rsid w:val="009C2E76"/>
    <w:rsid w:val="00A6387D"/>
    <w:rsid w:val="00A848A7"/>
    <w:rsid w:val="00A95E3F"/>
    <w:rsid w:val="00AC1DD2"/>
    <w:rsid w:val="00B02468"/>
    <w:rsid w:val="00B42EF6"/>
    <w:rsid w:val="00B46B0A"/>
    <w:rsid w:val="00B631D6"/>
    <w:rsid w:val="00BA121D"/>
    <w:rsid w:val="00BA379A"/>
    <w:rsid w:val="00C77360"/>
    <w:rsid w:val="00C85A23"/>
    <w:rsid w:val="00CD6AA7"/>
    <w:rsid w:val="00CF3844"/>
    <w:rsid w:val="00D36CB9"/>
    <w:rsid w:val="00D54604"/>
    <w:rsid w:val="00E60CC5"/>
    <w:rsid w:val="00E864D6"/>
    <w:rsid w:val="00E965FE"/>
    <w:rsid w:val="00ED09CD"/>
    <w:rsid w:val="00F2488C"/>
    <w:rsid w:val="00F30836"/>
    <w:rsid w:val="00F466A3"/>
    <w:rsid w:val="00FA40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009EF0"/>
  <w15:chartTrackingRefBased/>
  <w15:docId w15:val="{CEC331EB-EADA-4520-BB9E-F336257903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E6D2E"/>
    <w:pPr>
      <w:ind w:left="720"/>
      <w:contextualSpacing/>
    </w:pPr>
  </w:style>
  <w:style w:type="paragraph" w:styleId="FootnoteText">
    <w:name w:val="footnote text"/>
    <w:basedOn w:val="Normal"/>
    <w:link w:val="FootnoteTextChar"/>
    <w:uiPriority w:val="99"/>
    <w:semiHidden/>
    <w:unhideWhenUsed/>
    <w:rsid w:val="00CF384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F3844"/>
    <w:rPr>
      <w:sz w:val="20"/>
      <w:szCs w:val="20"/>
    </w:rPr>
  </w:style>
  <w:style w:type="character" w:styleId="FootnoteReference">
    <w:name w:val="footnote reference"/>
    <w:basedOn w:val="DefaultParagraphFont"/>
    <w:uiPriority w:val="99"/>
    <w:semiHidden/>
    <w:unhideWhenUsed/>
    <w:rsid w:val="00CF3844"/>
    <w:rPr>
      <w:vertAlign w:val="superscript"/>
    </w:rPr>
  </w:style>
  <w:style w:type="character" w:styleId="Hyperlink">
    <w:name w:val="Hyperlink"/>
    <w:basedOn w:val="DefaultParagraphFont"/>
    <w:uiPriority w:val="99"/>
    <w:unhideWhenUsed/>
    <w:rsid w:val="001A4534"/>
    <w:rPr>
      <w:color w:val="0000FF"/>
      <w:u w:val="single"/>
    </w:rPr>
  </w:style>
  <w:style w:type="character" w:styleId="UnresolvedMention">
    <w:name w:val="Unresolved Mention"/>
    <w:basedOn w:val="DefaultParagraphFont"/>
    <w:uiPriority w:val="99"/>
    <w:semiHidden/>
    <w:unhideWhenUsed/>
    <w:rsid w:val="001A453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1222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bs.org/wgbh/pages/frontline/shows/whales/man/myth.html" TargetMode="External"/><Relationship Id="rId13" Type="http://schemas.openxmlformats.org/officeDocument/2006/relationships/hyperlink" Target="https://www.ancient.eu/Roman_Literature/"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muse.jhu.edu/article/527828"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jstor.org/stable/41301080?seq=1#metadata_info_tab_contents"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ancient.eu/article/197/cleopatra--antony/" TargetMode="External"/><Relationship Id="rId4" Type="http://schemas.openxmlformats.org/officeDocument/2006/relationships/settings" Target="settings.xml"/><Relationship Id="rId9" Type="http://schemas.openxmlformats.org/officeDocument/2006/relationships/hyperlink" Target="https://www.jstor.org/stable/4238747?seq=2#metadata_info_tab_content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C65C1EB-484E-4446-8359-80E986B22A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707</TotalTime>
  <Pages>3</Pages>
  <Words>1023</Words>
  <Characters>5832</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Rhiannon Watts-Robinson</dc:creator>
  <cp:keywords/>
  <dc:description/>
  <cp:lastModifiedBy>Rhiannon Watts-Robinson</cp:lastModifiedBy>
  <cp:revision>13</cp:revision>
  <dcterms:created xsi:type="dcterms:W3CDTF">2018-12-11T11:31:00Z</dcterms:created>
  <dcterms:modified xsi:type="dcterms:W3CDTF">2018-12-17T13:29:00Z</dcterms:modified>
</cp:coreProperties>
</file>