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3BEE9" w14:textId="7A552D80" w:rsidR="00CB3568" w:rsidRDefault="00CB3568">
      <w:r>
        <w:rPr>
          <w:noProof/>
        </w:rPr>
        <w:drawing>
          <wp:anchor distT="0" distB="0" distL="114300" distR="114300" simplePos="0" relativeHeight="251656704" behindDoc="0" locked="0" layoutInCell="1" allowOverlap="1" wp14:anchorId="60D3E11D" wp14:editId="30BF88E7">
            <wp:simplePos x="0" y="0"/>
            <wp:positionH relativeFrom="margin">
              <wp:align>center</wp:align>
            </wp:positionH>
            <wp:positionV relativeFrom="paragraph">
              <wp:posOffset>-314</wp:posOffset>
            </wp:positionV>
            <wp:extent cx="2981202" cy="1188823"/>
            <wp:effectExtent l="0" t="0" r="0" b="0"/>
            <wp:wrapNone/>
            <wp:docPr id="9159631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963103" name="Picture 91596310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202" cy="11888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8BD929" w14:textId="72567862" w:rsidR="00CB3568" w:rsidRDefault="00CB3568"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F51344D" wp14:editId="3C679AFE">
                <wp:simplePos x="0" y="0"/>
                <wp:positionH relativeFrom="margin">
                  <wp:posOffset>-245009</wp:posOffset>
                </wp:positionH>
                <wp:positionV relativeFrom="paragraph">
                  <wp:posOffset>1351865</wp:posOffset>
                </wp:positionV>
                <wp:extent cx="6310266" cy="7206558"/>
                <wp:effectExtent l="0" t="0" r="0" b="0"/>
                <wp:wrapNone/>
                <wp:docPr id="193428813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0266" cy="7206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1A2DAF" w14:textId="0639E65A" w:rsidR="00CB3568" w:rsidRPr="004B691A" w:rsidRDefault="00CB3568" w:rsidP="00CB3568">
                            <w:pPr>
                              <w:spacing w:after="80" w:line="600" w:lineRule="auto"/>
                              <w:contextualSpacing/>
                              <w:rPr>
                                <w:rFonts w:ascii="Arial" w:eastAsiaTheme="majorEastAsia" w:hAnsi="Arial" w:cs="Arial"/>
                                <w:spacing w:val="-10"/>
                                <w:kern w:val="28"/>
                                <w:sz w:val="44"/>
                                <w:szCs w:val="44"/>
                                <w:lang w:eastAsia="zh-CN"/>
                              </w:rPr>
                            </w:pPr>
                            <w:r w:rsidRPr="004B691A">
                              <w:rPr>
                                <w:rFonts w:ascii="Arial" w:eastAsiaTheme="majorEastAsia" w:hAnsi="Arial" w:cs="Arial"/>
                                <w:b/>
                                <w:bCs/>
                                <w:spacing w:val="-10"/>
                                <w:kern w:val="28"/>
                                <w:sz w:val="44"/>
                                <w:szCs w:val="44"/>
                                <w:lang w:eastAsia="zh-CN"/>
                              </w:rPr>
                              <w:t xml:space="preserve">Module Name: </w:t>
                            </w:r>
                            <w:r w:rsidRPr="00CB3568"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Enterprise Development and Commercial Innovation</w:t>
                            </w:r>
                          </w:p>
                          <w:p w14:paraId="0A577256" w14:textId="34FB3273" w:rsidR="00CB3568" w:rsidRPr="00CB3568" w:rsidRDefault="00CB3568" w:rsidP="00CB3568">
                            <w:pPr>
                              <w:spacing w:before="212" w:line="600" w:lineRule="auto"/>
                              <w:rPr>
                                <w:rFonts w:ascii="Arial" w:eastAsiaTheme="minorEastAsia" w:hAnsi="Arial" w:cs="Arial"/>
                                <w:sz w:val="44"/>
                                <w:szCs w:val="44"/>
                                <w:lang w:eastAsia="zh-CN"/>
                              </w:rPr>
                            </w:pPr>
                            <w:r w:rsidRPr="00104702">
                              <w:rPr>
                                <w:rFonts w:ascii="Arial" w:eastAsiaTheme="minorEastAsia" w:hAnsi="Arial" w:cs="Arial"/>
                                <w:b/>
                                <w:bCs/>
                                <w:sz w:val="44"/>
                                <w:szCs w:val="44"/>
                                <w:lang w:eastAsia="zh-CN"/>
                              </w:rPr>
                              <w:t xml:space="preserve">Module Code: </w:t>
                            </w:r>
                            <w:r w:rsidRPr="00CB3568">
                              <w:rPr>
                                <w:rFonts w:ascii="Arial" w:eastAsiaTheme="minorEastAsia" w:hAnsi="Arial" w:cs="Arial"/>
                                <w:sz w:val="44"/>
                                <w:szCs w:val="44"/>
                                <w:lang w:eastAsia="zh-CN"/>
                              </w:rPr>
                              <w:t>BMBS</w:t>
                            </w:r>
                            <w:r>
                              <w:rPr>
                                <w:rFonts w:ascii="Arial" w:eastAsiaTheme="minorEastAsia" w:hAnsi="Arial" w:cs="Arial"/>
                                <w:sz w:val="44"/>
                                <w:szCs w:val="44"/>
                                <w:lang w:eastAsia="zh-CN"/>
                              </w:rPr>
                              <w:t>5000</w:t>
                            </w:r>
                          </w:p>
                          <w:p w14:paraId="7C539B76" w14:textId="77777777" w:rsidR="00CB3568" w:rsidRPr="00CB3568" w:rsidRDefault="00CB3568" w:rsidP="00CB3568">
                            <w:pPr>
                              <w:spacing w:before="3" w:line="600" w:lineRule="auto"/>
                              <w:rPr>
                                <w:rFonts w:ascii="Arial" w:eastAsiaTheme="minorEastAsia" w:hAnsi="Arial" w:cs="Arial"/>
                                <w:bCs/>
                                <w:sz w:val="44"/>
                                <w:szCs w:val="44"/>
                                <w:lang w:val="nl-NL" w:eastAsia="zh-CN"/>
                              </w:rPr>
                            </w:pPr>
                            <w:r w:rsidRPr="00CB3568">
                              <w:rPr>
                                <w:rFonts w:ascii="Arial" w:eastAsiaTheme="minorEastAsia" w:hAnsi="Arial" w:cs="Arial"/>
                                <w:b/>
                                <w:sz w:val="44"/>
                                <w:szCs w:val="44"/>
                                <w:lang w:val="nl-NL" w:eastAsia="zh-CN"/>
                              </w:rPr>
                              <w:t>Student Name:</w:t>
                            </w:r>
                            <w:r w:rsidRPr="00CB3568">
                              <w:rPr>
                                <w:rFonts w:ascii="Arial" w:eastAsiaTheme="minorEastAsia" w:hAnsi="Arial" w:cs="Arial"/>
                                <w:bCs/>
                                <w:sz w:val="44"/>
                                <w:szCs w:val="44"/>
                                <w:lang w:val="nl-NL" w:eastAsia="zh-CN"/>
                              </w:rPr>
                              <w:t xml:space="preserve"> Lauren Dalling</w:t>
                            </w:r>
                          </w:p>
                          <w:p w14:paraId="2E7FE9B1" w14:textId="77777777" w:rsidR="00CB3568" w:rsidRPr="00CB3568" w:rsidRDefault="00CB3568" w:rsidP="00CB3568">
                            <w:pPr>
                              <w:spacing w:before="3" w:line="600" w:lineRule="auto"/>
                              <w:rPr>
                                <w:rFonts w:ascii="Arial" w:eastAsiaTheme="minorEastAsia" w:hAnsi="Arial" w:cs="Arial"/>
                                <w:b/>
                                <w:sz w:val="44"/>
                                <w:szCs w:val="44"/>
                                <w:lang w:val="nl-NL" w:eastAsia="zh-CN"/>
                              </w:rPr>
                            </w:pPr>
                            <w:r w:rsidRPr="00CB3568">
                              <w:rPr>
                                <w:rFonts w:ascii="Arial" w:eastAsiaTheme="minorEastAsia" w:hAnsi="Arial" w:cs="Arial"/>
                                <w:b/>
                                <w:sz w:val="44"/>
                                <w:szCs w:val="44"/>
                                <w:lang w:val="nl-NL" w:eastAsia="zh-CN"/>
                              </w:rPr>
                              <w:t xml:space="preserve">Student Number: </w:t>
                            </w:r>
                            <w:r w:rsidRPr="00CB3568">
                              <w:rPr>
                                <w:rFonts w:ascii="Arial" w:eastAsiaTheme="minorEastAsia" w:hAnsi="Arial" w:cs="Arial"/>
                                <w:bCs/>
                                <w:sz w:val="44"/>
                                <w:szCs w:val="44"/>
                                <w:lang w:val="nl-NL" w:eastAsia="zh-CN"/>
                              </w:rPr>
                              <w:t>2506840</w:t>
                            </w:r>
                          </w:p>
                          <w:p w14:paraId="7C34ED76" w14:textId="1EA53E10" w:rsidR="00CB3568" w:rsidRDefault="00CB3568" w:rsidP="00CB3568">
                            <w:pPr>
                              <w:spacing w:line="600" w:lineRule="auto"/>
                              <w:rPr>
                                <w:rFonts w:ascii="Arial" w:eastAsiaTheme="minorEastAsia" w:hAnsi="Arial" w:cs="Arial"/>
                                <w:bCs/>
                                <w:sz w:val="44"/>
                                <w:szCs w:val="44"/>
                                <w:lang w:eastAsia="zh-CN"/>
                              </w:rPr>
                            </w:pPr>
                            <w:r w:rsidRPr="00AB3652">
                              <w:rPr>
                                <w:rFonts w:ascii="Arial" w:eastAsiaTheme="minorEastAsia" w:hAnsi="Arial" w:cs="Arial"/>
                                <w:b/>
                                <w:sz w:val="44"/>
                                <w:szCs w:val="44"/>
                                <w:lang w:eastAsia="zh-CN"/>
                              </w:rPr>
                              <w:t xml:space="preserve">Lecturer: </w:t>
                            </w:r>
                            <w:r w:rsidRPr="00AB3652">
                              <w:rPr>
                                <w:rFonts w:ascii="Arial" w:eastAsiaTheme="minorEastAsia" w:hAnsi="Arial" w:cs="Arial"/>
                                <w:bCs/>
                                <w:sz w:val="44"/>
                                <w:szCs w:val="44"/>
                                <w:lang w:eastAsia="zh-CN"/>
                              </w:rPr>
                              <w:t>Chris Wilkin</w:t>
                            </w:r>
                            <w:r w:rsidRPr="00AB3652">
                              <w:rPr>
                                <w:rFonts w:ascii="Arial" w:eastAsiaTheme="minorEastAsia" w:hAnsi="Arial" w:cs="Arial"/>
                                <w:b/>
                                <w:sz w:val="44"/>
                                <w:szCs w:val="44"/>
                                <w:lang w:eastAsia="zh-CN"/>
                              </w:rPr>
                              <w:br/>
                              <w:t xml:space="preserve">Deadline: </w:t>
                            </w:r>
                            <w:r>
                              <w:rPr>
                                <w:rFonts w:ascii="Arial" w:eastAsiaTheme="minorEastAsia" w:hAnsi="Arial" w:cs="Arial"/>
                                <w:bCs/>
                                <w:sz w:val="44"/>
                                <w:szCs w:val="44"/>
                                <w:lang w:eastAsia="zh-CN"/>
                              </w:rPr>
                              <w:t>12</w:t>
                            </w:r>
                            <w:r w:rsidRPr="00CB3568">
                              <w:rPr>
                                <w:rFonts w:ascii="Arial" w:eastAsiaTheme="minorEastAsia" w:hAnsi="Arial" w:cs="Arial"/>
                                <w:bCs/>
                                <w:sz w:val="44"/>
                                <w:szCs w:val="44"/>
                                <w:vertAlign w:val="superscript"/>
                                <w:lang w:eastAsia="zh-CN"/>
                              </w:rPr>
                              <w:t>th</w:t>
                            </w:r>
                            <w:r>
                              <w:rPr>
                                <w:rFonts w:ascii="Arial" w:eastAsiaTheme="minorEastAsia" w:hAnsi="Arial" w:cs="Arial"/>
                                <w:bCs/>
                                <w:sz w:val="44"/>
                                <w:szCs w:val="44"/>
                                <w:lang w:eastAsia="zh-CN"/>
                              </w:rPr>
                              <w:t xml:space="preserve"> October 23:59</w:t>
                            </w:r>
                          </w:p>
                          <w:p w14:paraId="268962B9" w14:textId="77777777" w:rsidR="00CB3568" w:rsidRDefault="00CB356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51344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9.3pt;margin-top:106.45pt;width:496.85pt;height:567.45pt;z-index:2516638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h/OLQIAAFUEAAAOAAAAZHJzL2Uyb0RvYy54bWysVE2P2yAQvVfqf0DcG9tpkm6tOKs0q1SV&#10;ot2VstWeCYbYEmYokNjpr++AnY9ue6p6wQMzvJl58/D8vmsUOQrratAFzUYpJUJzKGu9L+j3l/WH&#10;O0qcZ7pkCrQo6Ek4er94/27emlyMoQJVCksQRLu8NQWtvDd5kjheiYa5ERih0SnBNszj1u6T0rIW&#10;0RuVjNN0lrRgS2OBC+fw9KF30kXEl1Jw/ySlE56ogmJtPq42rruwJos5y/eWmarmQxnsH6poWK0x&#10;6QXqgXlGDrb+A6qpuQUH0o84NAlIWXMRe8BusvRNN9uKGRF7QXKcudDk/h8sfzxuzbMlvvsCHQ4w&#10;ENIalzs8DP100jbhi5US9COFpwttovOE4+HsY5aOZzNKOPo+jdPZdHoXcJLrdWOd/yqgIcEoqMW5&#10;RLrYceN8H3oOCdkcqLpc10rFTdCCWClLjgynqHwsEsF/i1KatKGUaRqBNYTrPbLSWMu1qWD5btcN&#10;ne6gPCEBFnptOMPXNRa5Yc4/M4tiwJ5R4P4JF6kAk8BgUVKB/fm38xCPM0IvJS2Kq6Dux4FZQYn6&#10;pnF6n7PJJKgxbiZT5IwSe+vZ3Xr0oVkBdp7hUzI8miHeq7MpLTSv+A6WISu6mOaYu6D+bK58L3l8&#10;R1wslzEI9WeY3+it4QE6MB1G8NK9MmuGOXkc8SOcZcjyN+PqY8NNDcuDB1nHWQaCe1YH3lG7UQ3D&#10;OwuP43Yfo65/g8UvAAAA//8DAFBLAwQUAAYACAAAACEAI863uuQAAAAMAQAADwAAAGRycy9kb3du&#10;cmV2LnhtbEyPy07DMBBF90j8gzVIbFDrPEibhjgVQkAldm0KiJ0bD0lEPI5iNwl/j1nBcnSP7j2T&#10;b2fdsREH2xoSEC4DYEiVUS3VAo7l0yIFZp0kJTtDKOAbLWyLy4tcZspMtMfx4GrmS8hmUkDjXJ9x&#10;bqsGtbRL0yP57NMMWjp/DjVXg5x8ue54FAQrrmVLfqGRPT40WH0dzlrAx039/mLn59cpTuL+cTeW&#10;6zdVCnF9Nd/fAXM4uz8YfvW9OhTe6WTOpCzrBCzidOVRAVEYbYB5YpMkIbCTR+PbdQq8yPn/J4of&#10;AAAA//8DAFBLAQItABQABgAIAAAAIQC2gziS/gAAAOEBAAATAAAAAAAAAAAAAAAAAAAAAABbQ29u&#10;dGVudF9UeXBlc10ueG1sUEsBAi0AFAAGAAgAAAAhADj9If/WAAAAlAEAAAsAAAAAAAAAAAAAAAAA&#10;LwEAAF9yZWxzLy5yZWxzUEsBAi0AFAAGAAgAAAAhAFTeH84tAgAAVQQAAA4AAAAAAAAAAAAAAAAA&#10;LgIAAGRycy9lMm9Eb2MueG1sUEsBAi0AFAAGAAgAAAAhACPOt7rkAAAADAEAAA8AAAAAAAAAAAAA&#10;AAAAhwQAAGRycy9kb3ducmV2LnhtbFBLBQYAAAAABAAEAPMAAACYBQAAAAA=&#10;" fillcolor="white [3201]" stroked="f" strokeweight=".5pt">
                <v:textbox>
                  <w:txbxContent>
                    <w:p w14:paraId="5F1A2DAF" w14:textId="0639E65A" w:rsidR="00CB3568" w:rsidRPr="004B691A" w:rsidRDefault="00CB3568" w:rsidP="00CB3568">
                      <w:pPr>
                        <w:spacing w:after="80" w:line="600" w:lineRule="auto"/>
                        <w:contextualSpacing/>
                        <w:rPr>
                          <w:rFonts w:ascii="Arial" w:eastAsiaTheme="majorEastAsia" w:hAnsi="Arial" w:cs="Arial"/>
                          <w:spacing w:val="-10"/>
                          <w:kern w:val="28"/>
                          <w:sz w:val="44"/>
                          <w:szCs w:val="44"/>
                          <w:lang w:eastAsia="zh-CN"/>
                        </w:rPr>
                      </w:pPr>
                      <w:r w:rsidRPr="004B691A">
                        <w:rPr>
                          <w:rFonts w:ascii="Arial" w:eastAsiaTheme="majorEastAsia" w:hAnsi="Arial" w:cs="Arial"/>
                          <w:b/>
                          <w:bCs/>
                          <w:spacing w:val="-10"/>
                          <w:kern w:val="28"/>
                          <w:sz w:val="44"/>
                          <w:szCs w:val="44"/>
                          <w:lang w:eastAsia="zh-CN"/>
                        </w:rPr>
                        <w:t xml:space="preserve">Module Name: </w:t>
                      </w:r>
                      <w:r w:rsidRPr="00CB3568">
                        <w:rPr>
                          <w:rFonts w:ascii="Arial" w:hAnsi="Arial" w:cs="Arial"/>
                          <w:sz w:val="44"/>
                          <w:szCs w:val="44"/>
                        </w:rPr>
                        <w:t>Enterprise Development and Commercial Innovation</w:t>
                      </w:r>
                    </w:p>
                    <w:p w14:paraId="0A577256" w14:textId="34FB3273" w:rsidR="00CB3568" w:rsidRPr="00CB3568" w:rsidRDefault="00CB3568" w:rsidP="00CB3568">
                      <w:pPr>
                        <w:spacing w:before="212" w:line="600" w:lineRule="auto"/>
                        <w:rPr>
                          <w:rFonts w:ascii="Arial" w:eastAsiaTheme="minorEastAsia" w:hAnsi="Arial" w:cs="Arial"/>
                          <w:sz w:val="44"/>
                          <w:szCs w:val="44"/>
                          <w:lang w:eastAsia="zh-CN"/>
                        </w:rPr>
                      </w:pPr>
                      <w:r w:rsidRPr="00104702">
                        <w:rPr>
                          <w:rFonts w:ascii="Arial" w:eastAsiaTheme="minorEastAsia" w:hAnsi="Arial" w:cs="Arial"/>
                          <w:b/>
                          <w:bCs/>
                          <w:sz w:val="44"/>
                          <w:szCs w:val="44"/>
                          <w:lang w:eastAsia="zh-CN"/>
                        </w:rPr>
                        <w:t xml:space="preserve">Module Code: </w:t>
                      </w:r>
                      <w:r w:rsidRPr="00CB3568">
                        <w:rPr>
                          <w:rFonts w:ascii="Arial" w:eastAsiaTheme="minorEastAsia" w:hAnsi="Arial" w:cs="Arial"/>
                          <w:sz w:val="44"/>
                          <w:szCs w:val="44"/>
                          <w:lang w:eastAsia="zh-CN"/>
                        </w:rPr>
                        <w:t>BMBS</w:t>
                      </w:r>
                      <w:r>
                        <w:rPr>
                          <w:rFonts w:ascii="Arial" w:eastAsiaTheme="minorEastAsia" w:hAnsi="Arial" w:cs="Arial"/>
                          <w:sz w:val="44"/>
                          <w:szCs w:val="44"/>
                          <w:lang w:eastAsia="zh-CN"/>
                        </w:rPr>
                        <w:t>5000</w:t>
                      </w:r>
                    </w:p>
                    <w:p w14:paraId="7C539B76" w14:textId="77777777" w:rsidR="00CB3568" w:rsidRPr="00CB3568" w:rsidRDefault="00CB3568" w:rsidP="00CB3568">
                      <w:pPr>
                        <w:spacing w:before="3" w:line="600" w:lineRule="auto"/>
                        <w:rPr>
                          <w:rFonts w:ascii="Arial" w:eastAsiaTheme="minorEastAsia" w:hAnsi="Arial" w:cs="Arial"/>
                          <w:bCs/>
                          <w:sz w:val="44"/>
                          <w:szCs w:val="44"/>
                          <w:lang w:val="nl-NL" w:eastAsia="zh-CN"/>
                        </w:rPr>
                      </w:pPr>
                      <w:r w:rsidRPr="00CB3568">
                        <w:rPr>
                          <w:rFonts w:ascii="Arial" w:eastAsiaTheme="minorEastAsia" w:hAnsi="Arial" w:cs="Arial"/>
                          <w:b/>
                          <w:sz w:val="44"/>
                          <w:szCs w:val="44"/>
                          <w:lang w:val="nl-NL" w:eastAsia="zh-CN"/>
                        </w:rPr>
                        <w:t>Student Name:</w:t>
                      </w:r>
                      <w:r w:rsidRPr="00CB3568">
                        <w:rPr>
                          <w:rFonts w:ascii="Arial" w:eastAsiaTheme="minorEastAsia" w:hAnsi="Arial" w:cs="Arial"/>
                          <w:bCs/>
                          <w:sz w:val="44"/>
                          <w:szCs w:val="44"/>
                          <w:lang w:val="nl-NL" w:eastAsia="zh-CN"/>
                        </w:rPr>
                        <w:t xml:space="preserve"> Lauren Dalling</w:t>
                      </w:r>
                    </w:p>
                    <w:p w14:paraId="2E7FE9B1" w14:textId="77777777" w:rsidR="00CB3568" w:rsidRPr="00CB3568" w:rsidRDefault="00CB3568" w:rsidP="00CB3568">
                      <w:pPr>
                        <w:spacing w:before="3" w:line="600" w:lineRule="auto"/>
                        <w:rPr>
                          <w:rFonts w:ascii="Arial" w:eastAsiaTheme="minorEastAsia" w:hAnsi="Arial" w:cs="Arial"/>
                          <w:b/>
                          <w:sz w:val="44"/>
                          <w:szCs w:val="44"/>
                          <w:lang w:val="nl-NL" w:eastAsia="zh-CN"/>
                        </w:rPr>
                      </w:pPr>
                      <w:r w:rsidRPr="00CB3568">
                        <w:rPr>
                          <w:rFonts w:ascii="Arial" w:eastAsiaTheme="minorEastAsia" w:hAnsi="Arial" w:cs="Arial"/>
                          <w:b/>
                          <w:sz w:val="44"/>
                          <w:szCs w:val="44"/>
                          <w:lang w:val="nl-NL" w:eastAsia="zh-CN"/>
                        </w:rPr>
                        <w:t xml:space="preserve">Student Number: </w:t>
                      </w:r>
                      <w:r w:rsidRPr="00CB3568">
                        <w:rPr>
                          <w:rFonts w:ascii="Arial" w:eastAsiaTheme="minorEastAsia" w:hAnsi="Arial" w:cs="Arial"/>
                          <w:bCs/>
                          <w:sz w:val="44"/>
                          <w:szCs w:val="44"/>
                          <w:lang w:val="nl-NL" w:eastAsia="zh-CN"/>
                        </w:rPr>
                        <w:t>2506840</w:t>
                      </w:r>
                    </w:p>
                    <w:p w14:paraId="7C34ED76" w14:textId="1EA53E10" w:rsidR="00CB3568" w:rsidRDefault="00CB3568" w:rsidP="00CB3568">
                      <w:pPr>
                        <w:spacing w:line="600" w:lineRule="auto"/>
                        <w:rPr>
                          <w:rFonts w:ascii="Arial" w:eastAsiaTheme="minorEastAsia" w:hAnsi="Arial" w:cs="Arial"/>
                          <w:bCs/>
                          <w:sz w:val="44"/>
                          <w:szCs w:val="44"/>
                          <w:lang w:eastAsia="zh-CN"/>
                        </w:rPr>
                      </w:pPr>
                      <w:r w:rsidRPr="00AB3652">
                        <w:rPr>
                          <w:rFonts w:ascii="Arial" w:eastAsiaTheme="minorEastAsia" w:hAnsi="Arial" w:cs="Arial"/>
                          <w:b/>
                          <w:sz w:val="44"/>
                          <w:szCs w:val="44"/>
                          <w:lang w:eastAsia="zh-CN"/>
                        </w:rPr>
                        <w:t xml:space="preserve">Lecturer: </w:t>
                      </w:r>
                      <w:r w:rsidRPr="00AB3652">
                        <w:rPr>
                          <w:rFonts w:ascii="Arial" w:eastAsiaTheme="minorEastAsia" w:hAnsi="Arial" w:cs="Arial"/>
                          <w:bCs/>
                          <w:sz w:val="44"/>
                          <w:szCs w:val="44"/>
                          <w:lang w:eastAsia="zh-CN"/>
                        </w:rPr>
                        <w:t>Chris Wilkin</w:t>
                      </w:r>
                      <w:r w:rsidRPr="00AB3652">
                        <w:rPr>
                          <w:rFonts w:ascii="Arial" w:eastAsiaTheme="minorEastAsia" w:hAnsi="Arial" w:cs="Arial"/>
                          <w:b/>
                          <w:sz w:val="44"/>
                          <w:szCs w:val="44"/>
                          <w:lang w:eastAsia="zh-CN"/>
                        </w:rPr>
                        <w:br/>
                        <w:t xml:space="preserve">Deadline: </w:t>
                      </w:r>
                      <w:r>
                        <w:rPr>
                          <w:rFonts w:ascii="Arial" w:eastAsiaTheme="minorEastAsia" w:hAnsi="Arial" w:cs="Arial"/>
                          <w:bCs/>
                          <w:sz w:val="44"/>
                          <w:szCs w:val="44"/>
                          <w:lang w:eastAsia="zh-CN"/>
                        </w:rPr>
                        <w:t>12</w:t>
                      </w:r>
                      <w:r w:rsidRPr="00CB3568">
                        <w:rPr>
                          <w:rFonts w:ascii="Arial" w:eastAsiaTheme="minorEastAsia" w:hAnsi="Arial" w:cs="Arial"/>
                          <w:bCs/>
                          <w:sz w:val="44"/>
                          <w:szCs w:val="44"/>
                          <w:vertAlign w:val="superscript"/>
                          <w:lang w:eastAsia="zh-CN"/>
                        </w:rPr>
                        <w:t>th</w:t>
                      </w:r>
                      <w:r>
                        <w:rPr>
                          <w:rFonts w:ascii="Arial" w:eastAsiaTheme="minorEastAsia" w:hAnsi="Arial" w:cs="Arial"/>
                          <w:bCs/>
                          <w:sz w:val="44"/>
                          <w:szCs w:val="44"/>
                          <w:lang w:eastAsia="zh-CN"/>
                        </w:rPr>
                        <w:t xml:space="preserve"> October 23:59</w:t>
                      </w:r>
                    </w:p>
                    <w:p w14:paraId="268962B9" w14:textId="77777777" w:rsidR="00CB3568" w:rsidRDefault="00CB3568"/>
                  </w:txbxContent>
                </v:textbox>
                <w10:wrap anchorx="margin"/>
              </v:shape>
            </w:pict>
          </mc:Fallback>
        </mc:AlternateContent>
      </w:r>
      <w:r>
        <w:br w:type="page"/>
      </w:r>
    </w:p>
    <w:p w14:paraId="0AB572BF" w14:textId="77777777" w:rsidR="00970A3A" w:rsidRPr="00970A3A" w:rsidRDefault="00970A3A" w:rsidP="00970A3A">
      <w:pPr>
        <w:rPr>
          <w:rFonts w:ascii="Arial" w:hAnsi="Arial" w:cs="Arial"/>
          <w:color w:val="156082" w:themeColor="accent1"/>
          <w:sz w:val="24"/>
          <w:szCs w:val="24"/>
        </w:rPr>
      </w:pPr>
      <w:r w:rsidRPr="00970A3A">
        <w:rPr>
          <w:rFonts w:ascii="Arial" w:hAnsi="Arial" w:cs="Arial"/>
          <w:color w:val="156082" w:themeColor="accent1"/>
          <w:sz w:val="24"/>
          <w:szCs w:val="24"/>
        </w:rPr>
        <w:lastRenderedPageBreak/>
        <w:t>AI Acknowledgement</w:t>
      </w:r>
    </w:p>
    <w:p w14:paraId="1BD2A35C" w14:textId="3E9407C8" w:rsidR="00970A3A" w:rsidRDefault="00970A3A" w:rsidP="00970A3A">
      <w:pPr>
        <w:rPr>
          <w:rFonts w:ascii="Arial" w:hAnsi="Arial" w:cs="Arial"/>
          <w:sz w:val="24"/>
          <w:szCs w:val="24"/>
        </w:rPr>
      </w:pPr>
    </w:p>
    <w:p w14:paraId="59153173" w14:textId="213A0469" w:rsidR="00970A3A" w:rsidRPr="00970A3A" w:rsidRDefault="00970A3A" w:rsidP="00970A3A">
      <w:pPr>
        <w:rPr>
          <w:rFonts w:ascii="Arial" w:hAnsi="Arial" w:cs="Arial"/>
          <w:sz w:val="24"/>
          <w:szCs w:val="24"/>
        </w:rPr>
      </w:pPr>
      <w:r w:rsidRPr="00970A3A">
        <w:rPr>
          <w:rFonts w:ascii="Arial" w:hAnsi="Arial" w:cs="Arial"/>
          <w:sz w:val="24"/>
          <w:szCs w:val="24"/>
        </w:rPr>
        <w:t>I acknowledge the use of Rive</w:t>
      </w:r>
      <w:r>
        <w:rPr>
          <w:rFonts w:ascii="Arial" w:hAnsi="Arial" w:cs="Arial"/>
          <w:sz w:val="24"/>
          <w:szCs w:val="24"/>
        </w:rPr>
        <w:t>r (</w:t>
      </w:r>
      <w:hyperlink r:id="rId10" w:history="1">
        <w:r w:rsidRPr="00DB5A99">
          <w:rPr>
            <w:rStyle w:val="Hyperlink"/>
            <w:rFonts w:ascii="Arial" w:hAnsi="Arial" w:cs="Arial"/>
            <w:sz w:val="24"/>
            <w:szCs w:val="24"/>
          </w:rPr>
          <w:t>https://meetriver.com/desktops/6ac4af2874cdfb6b03c6000b</w:t>
        </w:r>
      </w:hyperlink>
      <w:r>
        <w:rPr>
          <w:rFonts w:ascii="Arial" w:hAnsi="Arial" w:cs="Arial"/>
          <w:sz w:val="24"/>
          <w:szCs w:val="24"/>
        </w:rPr>
        <w:t xml:space="preserve">) </w:t>
      </w:r>
      <w:r w:rsidRPr="00970A3A">
        <w:rPr>
          <w:rFonts w:ascii="Arial" w:hAnsi="Arial" w:cs="Arial"/>
          <w:sz w:val="24"/>
          <w:szCs w:val="24"/>
        </w:rPr>
        <w:t>to help identify areas to consider when developing and strengthening my Value Proposition Canvas (VPC).</w:t>
      </w:r>
    </w:p>
    <w:p w14:paraId="1D16F354" w14:textId="77777777" w:rsidR="00970A3A" w:rsidRPr="00970A3A" w:rsidRDefault="00970A3A" w:rsidP="00970A3A">
      <w:pPr>
        <w:rPr>
          <w:rFonts w:ascii="Arial" w:hAnsi="Arial" w:cs="Arial"/>
          <w:sz w:val="24"/>
          <w:szCs w:val="24"/>
        </w:rPr>
      </w:pPr>
    </w:p>
    <w:p w14:paraId="14819C3C" w14:textId="7631CF76" w:rsidR="00970A3A" w:rsidRPr="00970A3A" w:rsidRDefault="00970A3A" w:rsidP="00970A3A">
      <w:pPr>
        <w:rPr>
          <w:rFonts w:ascii="Arial" w:hAnsi="Arial" w:cs="Arial"/>
          <w:sz w:val="24"/>
          <w:szCs w:val="24"/>
        </w:rPr>
      </w:pPr>
      <w:r w:rsidRPr="00970A3A">
        <w:rPr>
          <w:rFonts w:ascii="Arial" w:hAnsi="Arial" w:cs="Arial"/>
          <w:sz w:val="24"/>
          <w:szCs w:val="24"/>
        </w:rPr>
        <w:t>I acknowledge the use of Canva (</w:t>
      </w:r>
      <w:hyperlink r:id="rId11" w:history="1">
        <w:r w:rsidRPr="00DB5A99">
          <w:rPr>
            <w:rStyle w:val="Hyperlink"/>
            <w:rFonts w:ascii="Arial" w:hAnsi="Arial" w:cs="Arial"/>
            <w:sz w:val="24"/>
            <w:szCs w:val="24"/>
          </w:rPr>
          <w:t>https://www.canva.com/design/DAHVQtsnsvw/MBCKjfvQtoy3lV_djLQs6Q/edit</w:t>
        </w:r>
      </w:hyperlink>
      <w:r>
        <w:rPr>
          <w:rFonts w:ascii="Arial" w:hAnsi="Arial" w:cs="Arial"/>
          <w:sz w:val="24"/>
          <w:szCs w:val="24"/>
        </w:rPr>
        <w:t xml:space="preserve">) </w:t>
      </w:r>
      <w:r w:rsidRPr="00970A3A">
        <w:rPr>
          <w:rFonts w:ascii="Arial" w:hAnsi="Arial" w:cs="Arial"/>
          <w:sz w:val="24"/>
          <w:szCs w:val="24"/>
        </w:rPr>
        <w:t>to design my Business Model Canvas (BMC) and Value Proposition Canvas (VPC) using templates.</w:t>
      </w:r>
    </w:p>
    <w:p w14:paraId="4B535E8C" w14:textId="77777777" w:rsidR="00970A3A" w:rsidRPr="00970A3A" w:rsidRDefault="00970A3A" w:rsidP="00970A3A">
      <w:pPr>
        <w:rPr>
          <w:rFonts w:ascii="Arial" w:hAnsi="Arial" w:cs="Arial"/>
          <w:sz w:val="24"/>
          <w:szCs w:val="24"/>
        </w:rPr>
      </w:pPr>
    </w:p>
    <w:p w14:paraId="585EF5E7" w14:textId="772A41F0" w:rsidR="00970A3A" w:rsidRPr="00970A3A" w:rsidRDefault="00970A3A" w:rsidP="00970A3A">
      <w:pPr>
        <w:rPr>
          <w:rFonts w:ascii="Arial" w:hAnsi="Arial" w:cs="Arial"/>
          <w:sz w:val="24"/>
          <w:szCs w:val="24"/>
        </w:rPr>
      </w:pPr>
      <w:r w:rsidRPr="00970A3A">
        <w:rPr>
          <w:rFonts w:ascii="Arial" w:hAnsi="Arial" w:cs="Arial"/>
          <w:sz w:val="24"/>
          <w:szCs w:val="24"/>
        </w:rPr>
        <w:t>I acknowledge the use of HubSpot (</w:t>
      </w:r>
      <w:hyperlink r:id="rId12" w:history="1">
        <w:r w:rsidR="003C23F6" w:rsidRPr="00DB5A99">
          <w:rPr>
            <w:rStyle w:val="Hyperlink"/>
            <w:rFonts w:ascii="Arial" w:hAnsi="Arial" w:cs="Arial"/>
            <w:sz w:val="24"/>
            <w:szCs w:val="24"/>
          </w:rPr>
          <w:t>https://www.hubspot.com/make-my-persona#/</w:t>
        </w:r>
      </w:hyperlink>
      <w:r w:rsidR="003C23F6">
        <w:rPr>
          <w:rFonts w:ascii="Arial" w:hAnsi="Arial" w:cs="Arial"/>
          <w:sz w:val="24"/>
          <w:szCs w:val="24"/>
        </w:rPr>
        <w:t xml:space="preserve">) </w:t>
      </w:r>
      <w:r w:rsidRPr="00970A3A">
        <w:rPr>
          <w:rFonts w:ascii="Arial" w:hAnsi="Arial" w:cs="Arial"/>
          <w:sz w:val="24"/>
          <w:szCs w:val="24"/>
        </w:rPr>
        <w:t>to generate ideas and help develop my customer personas.</w:t>
      </w:r>
    </w:p>
    <w:p w14:paraId="4E0C7EFA" w14:textId="77777777" w:rsidR="00970A3A" w:rsidRPr="00970A3A" w:rsidRDefault="00970A3A" w:rsidP="00970A3A">
      <w:pPr>
        <w:rPr>
          <w:rFonts w:ascii="Arial" w:hAnsi="Arial" w:cs="Arial"/>
          <w:sz w:val="24"/>
          <w:szCs w:val="24"/>
        </w:rPr>
      </w:pPr>
    </w:p>
    <w:p w14:paraId="5070116A" w14:textId="77777777" w:rsidR="00970A3A" w:rsidRPr="00970A3A" w:rsidRDefault="00970A3A" w:rsidP="00970A3A">
      <w:pPr>
        <w:rPr>
          <w:rFonts w:ascii="Arial" w:hAnsi="Arial" w:cs="Arial"/>
          <w:sz w:val="24"/>
          <w:szCs w:val="24"/>
        </w:rPr>
      </w:pPr>
      <w:r w:rsidRPr="00970A3A">
        <w:rPr>
          <w:rFonts w:ascii="Arial" w:hAnsi="Arial" w:cs="Arial"/>
          <w:sz w:val="24"/>
          <w:szCs w:val="24"/>
        </w:rPr>
        <w:t>I confirm that I have not presented any AI-generated text as my own work.</w:t>
      </w:r>
    </w:p>
    <w:p w14:paraId="000EACD2" w14:textId="4C672838" w:rsidR="00970A3A" w:rsidRPr="00970A3A" w:rsidRDefault="00970A3A" w:rsidP="00970A3A">
      <w:pPr>
        <w:rPr>
          <w:rFonts w:ascii="Arial" w:hAnsi="Arial" w:cs="Arial"/>
          <w:sz w:val="24"/>
          <w:szCs w:val="24"/>
        </w:rPr>
      </w:pPr>
      <w:r w:rsidRPr="00970A3A">
        <w:rPr>
          <w:rFonts w:ascii="Arial" w:hAnsi="Arial" w:cs="Arial"/>
          <w:sz w:val="24"/>
          <w:szCs w:val="24"/>
        </w:rPr>
        <w:t>I confirm that I have copies of my drafts, notes and other resources used before and after using these tools, which I may be asked to provide as evidence.</w:t>
      </w:r>
    </w:p>
    <w:p w14:paraId="4FFB58A0" w14:textId="77777777" w:rsidR="00970A3A" w:rsidRPr="00970A3A" w:rsidRDefault="00970A3A">
      <w:pPr>
        <w:rPr>
          <w:rFonts w:ascii="Arial" w:hAnsi="Arial" w:cs="Arial"/>
          <w:sz w:val="24"/>
          <w:szCs w:val="24"/>
        </w:rPr>
      </w:pPr>
      <w:r w:rsidRPr="00970A3A">
        <w:rPr>
          <w:rFonts w:ascii="Arial" w:hAnsi="Arial" w:cs="Arial"/>
          <w:sz w:val="24"/>
          <w:szCs w:val="24"/>
        </w:rPr>
        <w:br w:type="page"/>
      </w:r>
    </w:p>
    <w:p w14:paraId="420E6DB8" w14:textId="303FC982" w:rsidR="00970A3A" w:rsidRPr="003C23F6" w:rsidRDefault="00970A3A" w:rsidP="00970A3A">
      <w:pPr>
        <w:rPr>
          <w:sz w:val="24"/>
          <w:szCs w:val="24"/>
        </w:rPr>
      </w:pPr>
      <w:r w:rsidRPr="003C23F6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4896" behindDoc="0" locked="0" layoutInCell="1" allowOverlap="1" wp14:anchorId="746DE9E6" wp14:editId="1E12C3D5">
            <wp:simplePos x="0" y="0"/>
            <wp:positionH relativeFrom="column">
              <wp:posOffset>226337</wp:posOffset>
            </wp:positionH>
            <wp:positionV relativeFrom="paragraph">
              <wp:posOffset>543208</wp:posOffset>
            </wp:positionV>
            <wp:extent cx="5731510" cy="4043680"/>
            <wp:effectExtent l="0" t="0" r="2540" b="0"/>
            <wp:wrapNone/>
            <wp:docPr id="20559750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975092" name="Picture 205597509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3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23F6">
        <w:rPr>
          <w:sz w:val="24"/>
          <w:szCs w:val="24"/>
        </w:rPr>
        <w:t>Value Proposition Canvas</w:t>
      </w:r>
    </w:p>
    <w:p w14:paraId="59C2FACE" w14:textId="77777777" w:rsidR="00970A3A" w:rsidRPr="00970A3A" w:rsidRDefault="00970A3A" w:rsidP="00970A3A"/>
    <w:p w14:paraId="6C3FC6A7" w14:textId="77777777" w:rsidR="00970A3A" w:rsidRPr="00970A3A" w:rsidRDefault="00970A3A" w:rsidP="00970A3A"/>
    <w:p w14:paraId="6748C19B" w14:textId="77777777" w:rsidR="00970A3A" w:rsidRPr="00970A3A" w:rsidRDefault="00970A3A" w:rsidP="00970A3A"/>
    <w:p w14:paraId="22601259" w14:textId="77777777" w:rsidR="00970A3A" w:rsidRPr="00970A3A" w:rsidRDefault="00970A3A" w:rsidP="00970A3A"/>
    <w:p w14:paraId="2975C076" w14:textId="77777777" w:rsidR="00970A3A" w:rsidRPr="00970A3A" w:rsidRDefault="00970A3A" w:rsidP="00970A3A"/>
    <w:p w14:paraId="34AC9297" w14:textId="77777777" w:rsidR="00970A3A" w:rsidRPr="00970A3A" w:rsidRDefault="00970A3A" w:rsidP="00970A3A"/>
    <w:p w14:paraId="69619583" w14:textId="77777777" w:rsidR="00970A3A" w:rsidRPr="00970A3A" w:rsidRDefault="00970A3A" w:rsidP="00970A3A"/>
    <w:p w14:paraId="3CFBABED" w14:textId="77777777" w:rsidR="00970A3A" w:rsidRPr="00970A3A" w:rsidRDefault="00970A3A" w:rsidP="00970A3A"/>
    <w:p w14:paraId="6B1E6F3D" w14:textId="77777777" w:rsidR="00970A3A" w:rsidRPr="00970A3A" w:rsidRDefault="00970A3A" w:rsidP="00970A3A"/>
    <w:p w14:paraId="1EC64300" w14:textId="77777777" w:rsidR="00970A3A" w:rsidRPr="00970A3A" w:rsidRDefault="00970A3A" w:rsidP="00970A3A"/>
    <w:p w14:paraId="5A8BF82B" w14:textId="77777777" w:rsidR="00970A3A" w:rsidRPr="00970A3A" w:rsidRDefault="00970A3A" w:rsidP="00970A3A"/>
    <w:p w14:paraId="45968826" w14:textId="77777777" w:rsidR="00970A3A" w:rsidRPr="00970A3A" w:rsidRDefault="00970A3A" w:rsidP="00970A3A"/>
    <w:p w14:paraId="704AA508" w14:textId="77777777" w:rsidR="00970A3A" w:rsidRPr="00970A3A" w:rsidRDefault="00970A3A" w:rsidP="00970A3A"/>
    <w:p w14:paraId="6A8BCB43" w14:textId="77777777" w:rsidR="00970A3A" w:rsidRPr="00970A3A" w:rsidRDefault="00970A3A" w:rsidP="00970A3A"/>
    <w:p w14:paraId="2BEED597" w14:textId="77777777" w:rsidR="00970A3A" w:rsidRPr="00970A3A" w:rsidRDefault="00970A3A" w:rsidP="00970A3A"/>
    <w:p w14:paraId="737500CE" w14:textId="77777777" w:rsidR="00970A3A" w:rsidRPr="00970A3A" w:rsidRDefault="00970A3A" w:rsidP="00970A3A"/>
    <w:p w14:paraId="0379E574" w14:textId="77777777" w:rsidR="00970A3A" w:rsidRPr="00970A3A" w:rsidRDefault="00970A3A" w:rsidP="00970A3A"/>
    <w:p w14:paraId="01F875ED" w14:textId="77777777" w:rsidR="00970A3A" w:rsidRDefault="00970A3A" w:rsidP="00970A3A"/>
    <w:p w14:paraId="67E700DA" w14:textId="2452AC3D" w:rsidR="00970A3A" w:rsidRDefault="00970A3A" w:rsidP="00970A3A">
      <w:r w:rsidRPr="003C23F6">
        <w:rPr>
          <w:sz w:val="24"/>
          <w:szCs w:val="24"/>
        </w:rPr>
        <w:t>Link to mind map:</w:t>
      </w:r>
      <w:r>
        <w:t xml:space="preserve"> </w:t>
      </w:r>
      <w:hyperlink r:id="rId14" w:history="1">
        <w:r w:rsidR="00CC3DC7" w:rsidRPr="00CC3DC7">
          <w:rPr>
            <w:rStyle w:val="Hyperlink"/>
          </w:rPr>
          <w:t>https://mm.tt/map/4085748227?t=gooj5gCWJD</w:t>
        </w:r>
      </w:hyperlink>
    </w:p>
    <w:p w14:paraId="5D9E0E9C" w14:textId="144E5CBF" w:rsidR="003C23F6" w:rsidRDefault="003C23F6" w:rsidP="00970A3A"/>
    <w:p w14:paraId="1D48D32C" w14:textId="77777777" w:rsidR="003C23F6" w:rsidRDefault="003C23F6">
      <w:r>
        <w:br w:type="page"/>
      </w:r>
    </w:p>
    <w:p w14:paraId="3DFC54CF" w14:textId="445CAF7F" w:rsidR="00970A3A" w:rsidRPr="003C23F6" w:rsidRDefault="003C23F6" w:rsidP="00970A3A">
      <w:pPr>
        <w:rPr>
          <w:rFonts w:ascii="Arial" w:hAnsi="Arial" w:cs="Arial"/>
          <w:sz w:val="24"/>
          <w:szCs w:val="24"/>
        </w:rPr>
      </w:pPr>
      <w:r w:rsidRPr="003C23F6">
        <w:rPr>
          <w:rFonts w:ascii="Arial" w:hAnsi="Arial" w:cs="Arial"/>
          <w:sz w:val="24"/>
          <w:szCs w:val="24"/>
        </w:rPr>
        <w:lastRenderedPageBreak/>
        <w:t>Reference List</w:t>
      </w:r>
    </w:p>
    <w:p w14:paraId="59AD08F1" w14:textId="77777777" w:rsidR="003C23F6" w:rsidRDefault="003C23F6" w:rsidP="00970A3A"/>
    <w:p w14:paraId="4D6D9B80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Blank, S. (2013). Why the lean start-up changes everything. </w:t>
      </w:r>
      <w:r w:rsidRPr="00933EB3">
        <w:rPr>
          <w:rFonts w:ascii="Arial" w:hAnsi="Arial" w:cs="Arial"/>
          <w:i/>
          <w:iCs/>
        </w:rPr>
        <w:t>Harvard Business Review</w:t>
      </w:r>
      <w:r w:rsidRPr="00933EB3">
        <w:rPr>
          <w:rFonts w:ascii="Arial" w:hAnsi="Arial" w:cs="Arial"/>
        </w:rPr>
        <w:t>, 91(5), pp.63–72.</w:t>
      </w:r>
    </w:p>
    <w:p w14:paraId="00F3491B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proofErr w:type="spellStart"/>
      <w:r w:rsidRPr="00933EB3">
        <w:rPr>
          <w:rFonts w:ascii="Arial" w:hAnsi="Arial" w:cs="Arial"/>
        </w:rPr>
        <w:t>Bocken</w:t>
      </w:r>
      <w:proofErr w:type="spellEnd"/>
      <w:r w:rsidRPr="00933EB3">
        <w:rPr>
          <w:rFonts w:ascii="Arial" w:hAnsi="Arial" w:cs="Arial"/>
        </w:rPr>
        <w:t xml:space="preserve">, N.M.P., </w:t>
      </w:r>
      <w:proofErr w:type="spellStart"/>
      <w:r w:rsidRPr="00933EB3">
        <w:rPr>
          <w:rFonts w:ascii="Arial" w:hAnsi="Arial" w:cs="Arial"/>
        </w:rPr>
        <w:t>Weissbrod</w:t>
      </w:r>
      <w:proofErr w:type="spellEnd"/>
      <w:r w:rsidRPr="00933EB3">
        <w:rPr>
          <w:rFonts w:ascii="Arial" w:hAnsi="Arial" w:cs="Arial"/>
        </w:rPr>
        <w:t xml:space="preserve">, I. and Antikainen, M. (2021). Business model experimentation for the circular economy: Definition and approaches. </w:t>
      </w:r>
      <w:r w:rsidRPr="00933EB3">
        <w:rPr>
          <w:rFonts w:ascii="Arial" w:hAnsi="Arial" w:cs="Arial"/>
          <w:i/>
          <w:iCs/>
        </w:rPr>
        <w:t>Circular Economy and Sustainability</w:t>
      </w:r>
      <w:r w:rsidRPr="00933EB3">
        <w:rPr>
          <w:rFonts w:ascii="Arial" w:hAnsi="Arial" w:cs="Arial"/>
        </w:rPr>
        <w:t>, [online] 1(1), pp.49–81. doi:10.1007/s43615-021-00026-z.</w:t>
      </w:r>
    </w:p>
    <w:p w14:paraId="10484EDA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Bowman, C. and Faulkner, D. (1994). Measuring product advantage using competitive benchmarking and customer perceptions. </w:t>
      </w:r>
      <w:r w:rsidRPr="00933EB3">
        <w:rPr>
          <w:rFonts w:ascii="Arial" w:hAnsi="Arial" w:cs="Arial"/>
          <w:i/>
          <w:iCs/>
        </w:rPr>
        <w:t>Long Range Planning</w:t>
      </w:r>
      <w:r w:rsidRPr="00933EB3">
        <w:rPr>
          <w:rFonts w:ascii="Arial" w:hAnsi="Arial" w:cs="Arial"/>
        </w:rPr>
        <w:t>, 27(1), pp.119–132. doi:10.1016/0024-6301(94)90012-4.</w:t>
      </w:r>
    </w:p>
    <w:p w14:paraId="4105C3F5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Brown, T. (2008). Design thinking. </w:t>
      </w:r>
      <w:r w:rsidRPr="00933EB3">
        <w:rPr>
          <w:rFonts w:ascii="Arial" w:hAnsi="Arial" w:cs="Arial"/>
          <w:i/>
          <w:iCs/>
        </w:rPr>
        <w:t>Harvard Business Review</w:t>
      </w:r>
      <w:r w:rsidRPr="00933EB3">
        <w:rPr>
          <w:rFonts w:ascii="Arial" w:hAnsi="Arial" w:cs="Arial"/>
        </w:rPr>
        <w:t>, 86(6), pp.84–92, 141.</w:t>
      </w:r>
    </w:p>
    <w:p w14:paraId="153B6D47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Card, A.J. (2017). The problem with ‘5 whys’. </w:t>
      </w:r>
      <w:r w:rsidRPr="00933EB3">
        <w:rPr>
          <w:rFonts w:ascii="Arial" w:hAnsi="Arial" w:cs="Arial"/>
          <w:i/>
          <w:iCs/>
        </w:rPr>
        <w:t>BMJ Quality &amp; Safety</w:t>
      </w:r>
      <w:r w:rsidRPr="00933EB3">
        <w:rPr>
          <w:rFonts w:ascii="Arial" w:hAnsi="Arial" w:cs="Arial"/>
        </w:rPr>
        <w:t xml:space="preserve">, [online] 26(8), pp.671–677. </w:t>
      </w:r>
      <w:proofErr w:type="spellStart"/>
      <w:r w:rsidRPr="00933EB3">
        <w:rPr>
          <w:rFonts w:ascii="Arial" w:hAnsi="Arial" w:cs="Arial"/>
        </w:rPr>
        <w:t>doi:https</w:t>
      </w:r>
      <w:proofErr w:type="spellEnd"/>
      <w:r w:rsidRPr="00933EB3">
        <w:rPr>
          <w:rFonts w:ascii="Arial" w:hAnsi="Arial" w:cs="Arial"/>
        </w:rPr>
        <w:t>://doi.org/10.1136/bmjqs-2016-005849.</w:t>
      </w:r>
    </w:p>
    <w:p w14:paraId="23DC01BB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Carroll, R. and Casselman, R.M. (2019). The lean discovery process: The case of </w:t>
      </w:r>
      <w:proofErr w:type="spellStart"/>
      <w:r w:rsidRPr="00933EB3">
        <w:rPr>
          <w:rFonts w:ascii="Arial" w:hAnsi="Arial" w:cs="Arial"/>
        </w:rPr>
        <w:t>raiserve</w:t>
      </w:r>
      <w:proofErr w:type="spellEnd"/>
      <w:r w:rsidRPr="00933EB3">
        <w:rPr>
          <w:rFonts w:ascii="Arial" w:hAnsi="Arial" w:cs="Arial"/>
        </w:rPr>
        <w:t xml:space="preserve">. </w:t>
      </w:r>
      <w:r w:rsidRPr="00933EB3">
        <w:rPr>
          <w:rFonts w:ascii="Arial" w:hAnsi="Arial" w:cs="Arial"/>
          <w:i/>
          <w:iCs/>
        </w:rPr>
        <w:t>Journal of Small Business and Enterprise Development</w:t>
      </w:r>
      <w:r w:rsidRPr="00933EB3">
        <w:rPr>
          <w:rFonts w:ascii="Arial" w:hAnsi="Arial" w:cs="Arial"/>
        </w:rPr>
        <w:t>, [online] 26(6/7), pp.765–782. doi:10.1108/jsbed-04-2019-0124.</w:t>
      </w:r>
    </w:p>
    <w:p w14:paraId="4A3B1A9B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Christen, T., Hess, M., </w:t>
      </w:r>
      <w:proofErr w:type="spellStart"/>
      <w:r w:rsidRPr="00933EB3">
        <w:rPr>
          <w:rFonts w:ascii="Arial" w:hAnsi="Arial" w:cs="Arial"/>
        </w:rPr>
        <w:t>Grichnik</w:t>
      </w:r>
      <w:proofErr w:type="spellEnd"/>
      <w:r w:rsidRPr="00933EB3">
        <w:rPr>
          <w:rFonts w:ascii="Arial" w:hAnsi="Arial" w:cs="Arial"/>
        </w:rPr>
        <w:t xml:space="preserve">, D. and Wincent, J. (2022). Value-based pricing in digital platforms: A machine learning approach to </w:t>
      </w:r>
      <w:proofErr w:type="spellStart"/>
      <w:r w:rsidRPr="00933EB3">
        <w:rPr>
          <w:rFonts w:ascii="Arial" w:hAnsi="Arial" w:cs="Arial"/>
        </w:rPr>
        <w:t>signaling</w:t>
      </w:r>
      <w:proofErr w:type="spellEnd"/>
      <w:r w:rsidRPr="00933EB3">
        <w:rPr>
          <w:rFonts w:ascii="Arial" w:hAnsi="Arial" w:cs="Arial"/>
        </w:rPr>
        <w:t xml:space="preserve"> beyond core product attributes in cross-platform settings. </w:t>
      </w:r>
      <w:r w:rsidRPr="00933EB3">
        <w:rPr>
          <w:rFonts w:ascii="Arial" w:hAnsi="Arial" w:cs="Arial"/>
          <w:i/>
          <w:iCs/>
        </w:rPr>
        <w:t>Journal of Business Research</w:t>
      </w:r>
      <w:r w:rsidRPr="00933EB3">
        <w:rPr>
          <w:rFonts w:ascii="Arial" w:hAnsi="Arial" w:cs="Arial"/>
        </w:rPr>
        <w:t>, [online] 152, pp.82–92. doi:10.1016/j.jbusres.2022.07.042.</w:t>
      </w:r>
    </w:p>
    <w:p w14:paraId="58788493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Fluhrer, P. and Brahm, T. (2023). Positioning in SMEs: Entrepreneurs’ perceptions and strategies. </w:t>
      </w:r>
      <w:r w:rsidRPr="00933EB3">
        <w:rPr>
          <w:rFonts w:ascii="Arial" w:hAnsi="Arial" w:cs="Arial"/>
          <w:i/>
          <w:iCs/>
        </w:rPr>
        <w:t>Journal of Research in Marketing and Entrepreneurship</w:t>
      </w:r>
      <w:r w:rsidRPr="00933EB3">
        <w:rPr>
          <w:rFonts w:ascii="Arial" w:hAnsi="Arial" w:cs="Arial"/>
        </w:rPr>
        <w:t>, 25(3). doi:10.1108/jrme-09-2021-0120.</w:t>
      </w:r>
    </w:p>
    <w:p w14:paraId="2282D432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Hankammer, S., Brenk, S., Fabry, H., Nordemann, A. and Piller, F.T. (2019). Towards circular business models: Identifying consumer needs based on the jobs-to-be-done theory. </w:t>
      </w:r>
      <w:r w:rsidRPr="00933EB3">
        <w:rPr>
          <w:rFonts w:ascii="Arial" w:hAnsi="Arial" w:cs="Arial"/>
          <w:i/>
          <w:iCs/>
        </w:rPr>
        <w:t>Journal of Cleaner Production</w:t>
      </w:r>
      <w:r w:rsidRPr="00933EB3">
        <w:rPr>
          <w:rFonts w:ascii="Arial" w:hAnsi="Arial" w:cs="Arial"/>
        </w:rPr>
        <w:t>, 231, pp.341–358. doi:10.1016/j.jclepro.2019.05.165.</w:t>
      </w:r>
    </w:p>
    <w:p w14:paraId="10133F02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lastRenderedPageBreak/>
        <w:t xml:space="preserve">Hulbert, B., Gilmore, A. and Carson, D. (2015). Opportunity recognition by growing SMEs: A managerial or entrepreneurial function? </w:t>
      </w:r>
      <w:r w:rsidRPr="00933EB3">
        <w:rPr>
          <w:rFonts w:ascii="Arial" w:hAnsi="Arial" w:cs="Arial"/>
          <w:i/>
          <w:iCs/>
        </w:rPr>
        <w:t>Journal of Strategic Marketing</w:t>
      </w:r>
      <w:r w:rsidRPr="00933EB3">
        <w:rPr>
          <w:rFonts w:ascii="Arial" w:hAnsi="Arial" w:cs="Arial"/>
        </w:rPr>
        <w:t>, 23(7), pp.616–642. doi:10.1080/0965254x.2014.1001868.</w:t>
      </w:r>
    </w:p>
    <w:p w14:paraId="4D64F615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J.L., A., Schmidt, A.L., </w:t>
      </w:r>
      <w:proofErr w:type="spellStart"/>
      <w:r w:rsidRPr="00933EB3">
        <w:rPr>
          <w:rFonts w:ascii="Arial" w:hAnsi="Arial" w:cs="Arial"/>
        </w:rPr>
        <w:t>Kanbach</w:t>
      </w:r>
      <w:proofErr w:type="spellEnd"/>
      <w:r w:rsidRPr="00933EB3">
        <w:rPr>
          <w:rFonts w:ascii="Arial" w:hAnsi="Arial" w:cs="Arial"/>
        </w:rPr>
        <w:t xml:space="preserve">, D.K. and Meyer, N. (2024). Enacting disruption: How entrepreneurial ventures innovate value propositions to increase the attractiveness of their technologies. </w:t>
      </w:r>
      <w:r w:rsidRPr="00933EB3">
        <w:rPr>
          <w:rFonts w:ascii="Arial" w:hAnsi="Arial" w:cs="Arial"/>
          <w:i/>
          <w:iCs/>
        </w:rPr>
        <w:t xml:space="preserve">International Journal of Entrepreneurial </w:t>
      </w:r>
      <w:proofErr w:type="spellStart"/>
      <w:r w:rsidRPr="00933EB3">
        <w:rPr>
          <w:rFonts w:ascii="Arial" w:hAnsi="Arial" w:cs="Arial"/>
          <w:i/>
          <w:iCs/>
        </w:rPr>
        <w:t>Behavior</w:t>
      </w:r>
      <w:proofErr w:type="spellEnd"/>
      <w:r w:rsidRPr="00933EB3">
        <w:rPr>
          <w:rFonts w:ascii="Arial" w:hAnsi="Arial" w:cs="Arial"/>
          <w:i/>
          <w:iCs/>
        </w:rPr>
        <w:t xml:space="preserve"> &amp; Research</w:t>
      </w:r>
      <w:r w:rsidRPr="00933EB3">
        <w:rPr>
          <w:rFonts w:ascii="Arial" w:hAnsi="Arial" w:cs="Arial"/>
        </w:rPr>
        <w:t>, 30(4), pp.885–915. doi:10.1108/IJEBR-07-2023-0688.</w:t>
      </w:r>
    </w:p>
    <w:p w14:paraId="354172F9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Kim, W.C. and Mauborgne, R. (2015). </w:t>
      </w:r>
      <w:r w:rsidRPr="00933EB3">
        <w:rPr>
          <w:rFonts w:ascii="Arial" w:hAnsi="Arial" w:cs="Arial"/>
          <w:i/>
          <w:iCs/>
        </w:rPr>
        <w:t>Blue ocean strategy : How to create uncontested market space and make the competition irrelevant</w:t>
      </w:r>
      <w:r w:rsidRPr="00933EB3">
        <w:rPr>
          <w:rFonts w:ascii="Arial" w:hAnsi="Arial" w:cs="Arial"/>
        </w:rPr>
        <w:t>. Massachusetts: Havard Business School Publishing Corporation.</w:t>
      </w:r>
    </w:p>
    <w:p w14:paraId="2AE49127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Kotler, P., Keller, K.L. and Chernev, A. (2022). </w:t>
      </w:r>
      <w:r w:rsidRPr="00933EB3">
        <w:rPr>
          <w:rFonts w:ascii="Arial" w:hAnsi="Arial" w:cs="Arial"/>
          <w:i/>
          <w:iCs/>
        </w:rPr>
        <w:t>Marketing management, global edition.</w:t>
      </w:r>
      <w:r w:rsidRPr="00933EB3">
        <w:rPr>
          <w:rFonts w:ascii="Arial" w:hAnsi="Arial" w:cs="Arial"/>
        </w:rPr>
        <w:t xml:space="preserve"> 16th </w:t>
      </w:r>
      <w:proofErr w:type="spellStart"/>
      <w:r w:rsidRPr="00933EB3">
        <w:rPr>
          <w:rFonts w:ascii="Arial" w:hAnsi="Arial" w:cs="Arial"/>
        </w:rPr>
        <w:t>edn</w:t>
      </w:r>
      <w:proofErr w:type="spellEnd"/>
      <w:r w:rsidRPr="00933EB3">
        <w:rPr>
          <w:rFonts w:ascii="Arial" w:hAnsi="Arial" w:cs="Arial"/>
        </w:rPr>
        <w:t>. S.L.: Pearson Education Limited.</w:t>
      </w:r>
    </w:p>
    <w:p w14:paraId="1DA13EB7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Lopez, E., Flecha-Ortiz, J.A., Santos-Corrada, M. and Dones, V. (2024). The role of organizational resilience in SME service innovation and value cocreation. </w:t>
      </w:r>
      <w:r w:rsidRPr="00933EB3">
        <w:rPr>
          <w:rFonts w:ascii="Arial" w:hAnsi="Arial" w:cs="Arial"/>
          <w:i/>
          <w:iCs/>
        </w:rPr>
        <w:t>Journal of Services Marketing</w:t>
      </w:r>
      <w:r w:rsidRPr="00933EB3">
        <w:rPr>
          <w:rFonts w:ascii="Arial" w:hAnsi="Arial" w:cs="Arial"/>
        </w:rPr>
        <w:t>, 38(4), pp.443–459. doi:10.1108/jsm-03-2023-0081.</w:t>
      </w:r>
    </w:p>
    <w:p w14:paraId="4DEFB923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Mankiw, N.G. (2021). </w:t>
      </w:r>
      <w:r w:rsidRPr="00933EB3">
        <w:rPr>
          <w:rFonts w:ascii="Arial" w:hAnsi="Arial" w:cs="Arial"/>
          <w:i/>
          <w:iCs/>
        </w:rPr>
        <w:t>Principles of economics</w:t>
      </w:r>
      <w:r w:rsidRPr="00933EB3">
        <w:rPr>
          <w:rFonts w:ascii="Arial" w:hAnsi="Arial" w:cs="Arial"/>
        </w:rPr>
        <w:t>. Boston, Ma: Cengage Learning.</w:t>
      </w:r>
    </w:p>
    <w:p w14:paraId="009E5893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Martin, M., Heiska, M. and Björklund, A. (2021). Environmental assessment of a product-service system for renting electric-powered tools. </w:t>
      </w:r>
      <w:r w:rsidRPr="00933EB3">
        <w:rPr>
          <w:rFonts w:ascii="Arial" w:hAnsi="Arial" w:cs="Arial"/>
          <w:i/>
          <w:iCs/>
        </w:rPr>
        <w:t>Journal of Cleaner Production</w:t>
      </w:r>
      <w:r w:rsidRPr="00933EB3">
        <w:rPr>
          <w:rFonts w:ascii="Arial" w:hAnsi="Arial" w:cs="Arial"/>
        </w:rPr>
        <w:t>, 281, p.125245. doi:10.1016/j.jclepro.2020.125245.</w:t>
      </w:r>
    </w:p>
    <w:p w14:paraId="55B89F3F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Mills, A. (2024). </w:t>
      </w:r>
      <w:r w:rsidRPr="00933EB3">
        <w:rPr>
          <w:rFonts w:ascii="Arial" w:hAnsi="Arial" w:cs="Arial"/>
          <w:i/>
          <w:iCs/>
        </w:rPr>
        <w:t>Designing the human business: Leveraging design thinking to craft powerful and innovative business models</w:t>
      </w:r>
      <w:r w:rsidRPr="00933EB3">
        <w:rPr>
          <w:rFonts w:ascii="Arial" w:hAnsi="Arial" w:cs="Arial"/>
        </w:rPr>
        <w:t xml:space="preserve">. </w:t>
      </w:r>
      <w:proofErr w:type="spellStart"/>
      <w:r w:rsidRPr="00933EB3">
        <w:rPr>
          <w:rFonts w:ascii="Arial" w:hAnsi="Arial" w:cs="Arial"/>
        </w:rPr>
        <w:t>Packt</w:t>
      </w:r>
      <w:proofErr w:type="spellEnd"/>
      <w:r w:rsidRPr="00933EB3">
        <w:rPr>
          <w:rFonts w:ascii="Arial" w:hAnsi="Arial" w:cs="Arial"/>
        </w:rPr>
        <w:t xml:space="preserve"> Publishing.</w:t>
      </w:r>
    </w:p>
    <w:p w14:paraId="26C2154C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Moritz, A., Diegel, W., Block, J. and Fisch, C. (2022). VC investors’ venture screening: The role of the decision maker’s education and experience. </w:t>
      </w:r>
      <w:r w:rsidRPr="00933EB3">
        <w:rPr>
          <w:rFonts w:ascii="Arial" w:hAnsi="Arial" w:cs="Arial"/>
          <w:i/>
          <w:iCs/>
        </w:rPr>
        <w:t>Journal of Business Economics</w:t>
      </w:r>
      <w:r w:rsidRPr="00933EB3">
        <w:rPr>
          <w:rFonts w:ascii="Arial" w:hAnsi="Arial" w:cs="Arial"/>
        </w:rPr>
        <w:t>, 92(1), pp.27–63. doi:10.1007/s11573-021-01042-z.</w:t>
      </w:r>
    </w:p>
    <w:p w14:paraId="7EB7C8A4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Osterwalder, A., Pigneur, Y., Bernarda, G. and Smith, A. (2014). </w:t>
      </w:r>
      <w:r w:rsidRPr="00933EB3">
        <w:rPr>
          <w:rFonts w:ascii="Arial" w:hAnsi="Arial" w:cs="Arial"/>
          <w:i/>
          <w:iCs/>
        </w:rPr>
        <w:t>Value proposition design : how to create products and services customers want.</w:t>
      </w:r>
      <w:r w:rsidRPr="00933EB3">
        <w:rPr>
          <w:rFonts w:ascii="Arial" w:hAnsi="Arial" w:cs="Arial"/>
        </w:rPr>
        <w:t xml:space="preserve"> John Wiley &amp; Sons.</w:t>
      </w:r>
    </w:p>
    <w:p w14:paraId="6B993915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Rahman, S.A., Khan, G.M., </w:t>
      </w:r>
      <w:proofErr w:type="spellStart"/>
      <w:r w:rsidRPr="00933EB3">
        <w:rPr>
          <w:rFonts w:ascii="Arial" w:hAnsi="Arial" w:cs="Arial"/>
        </w:rPr>
        <w:t>AlAbri</w:t>
      </w:r>
      <w:proofErr w:type="spellEnd"/>
      <w:r w:rsidRPr="00933EB3">
        <w:rPr>
          <w:rFonts w:ascii="Arial" w:hAnsi="Arial" w:cs="Arial"/>
        </w:rPr>
        <w:t xml:space="preserve">, S. and Taghizadeh, S.K. (2022). The role of Intellectual Capital on entrepreneurial opportunity recognition among SMEs in the </w:t>
      </w:r>
      <w:r w:rsidRPr="00933EB3">
        <w:rPr>
          <w:rFonts w:ascii="Arial" w:hAnsi="Arial" w:cs="Arial"/>
        </w:rPr>
        <w:lastRenderedPageBreak/>
        <w:t xml:space="preserve">sultanate of Oman. </w:t>
      </w:r>
      <w:r w:rsidRPr="00933EB3">
        <w:rPr>
          <w:rFonts w:ascii="Arial" w:hAnsi="Arial" w:cs="Arial"/>
          <w:i/>
          <w:iCs/>
        </w:rPr>
        <w:t>Journal of Intellectual Capital</w:t>
      </w:r>
      <w:r w:rsidRPr="00933EB3">
        <w:rPr>
          <w:rFonts w:ascii="Arial" w:hAnsi="Arial" w:cs="Arial"/>
        </w:rPr>
        <w:t>, 23(4), pp.816–839. doi:10.1108/JIC-05-2020-0177.</w:t>
      </w:r>
    </w:p>
    <w:p w14:paraId="702FBE0E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Rintamäki, T. and </w:t>
      </w:r>
      <w:proofErr w:type="spellStart"/>
      <w:r w:rsidRPr="00933EB3">
        <w:rPr>
          <w:rFonts w:ascii="Arial" w:hAnsi="Arial" w:cs="Arial"/>
        </w:rPr>
        <w:t>Saarijärvi</w:t>
      </w:r>
      <w:proofErr w:type="spellEnd"/>
      <w:r w:rsidRPr="00933EB3">
        <w:rPr>
          <w:rFonts w:ascii="Arial" w:hAnsi="Arial" w:cs="Arial"/>
        </w:rPr>
        <w:t xml:space="preserve">, H. (2021). An integrative framework for managing customer value propositions. </w:t>
      </w:r>
      <w:r w:rsidRPr="00933EB3">
        <w:rPr>
          <w:rFonts w:ascii="Arial" w:hAnsi="Arial" w:cs="Arial"/>
          <w:i/>
          <w:iCs/>
        </w:rPr>
        <w:t>Journal of Business Research</w:t>
      </w:r>
      <w:r w:rsidRPr="00933EB3">
        <w:rPr>
          <w:rFonts w:ascii="Arial" w:hAnsi="Arial" w:cs="Arial"/>
        </w:rPr>
        <w:t xml:space="preserve">, [online] 134, pp.754–764. </w:t>
      </w:r>
      <w:proofErr w:type="spellStart"/>
      <w:r w:rsidRPr="00933EB3">
        <w:rPr>
          <w:rFonts w:ascii="Arial" w:hAnsi="Arial" w:cs="Arial"/>
        </w:rPr>
        <w:t>doi:https</w:t>
      </w:r>
      <w:proofErr w:type="spellEnd"/>
      <w:r w:rsidRPr="00933EB3">
        <w:rPr>
          <w:rFonts w:ascii="Arial" w:hAnsi="Arial" w:cs="Arial"/>
        </w:rPr>
        <w:t>://doi.org/10.1016/j.jbusres.2021.05.030.</w:t>
      </w:r>
    </w:p>
    <w:p w14:paraId="729B20C9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Sanasi, S. (2023). Entrepreneurial experimentation in business model dynamics: Current understanding and future opportunities. </w:t>
      </w:r>
      <w:r w:rsidRPr="00933EB3">
        <w:rPr>
          <w:rFonts w:ascii="Arial" w:hAnsi="Arial" w:cs="Arial"/>
          <w:i/>
          <w:iCs/>
        </w:rPr>
        <w:t>International Entrepreneurship and Management Journal</w:t>
      </w:r>
      <w:r w:rsidRPr="00933EB3">
        <w:rPr>
          <w:rFonts w:ascii="Arial" w:hAnsi="Arial" w:cs="Arial"/>
        </w:rPr>
        <w:t>, 19. doi:10.1007/s11365-023-00836-7.</w:t>
      </w:r>
    </w:p>
    <w:p w14:paraId="4445A90B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Schoonover, H.A., Mont, O. and Klintman, M. (2022). Communicating access-based business models: Company framings of home furnishings rental. </w:t>
      </w:r>
      <w:r w:rsidRPr="00933EB3">
        <w:rPr>
          <w:rFonts w:ascii="Arial" w:hAnsi="Arial" w:cs="Arial"/>
          <w:i/>
          <w:iCs/>
        </w:rPr>
        <w:t>Cleaner and Responsible Consumption</w:t>
      </w:r>
      <w:r w:rsidRPr="00933EB3">
        <w:rPr>
          <w:rFonts w:ascii="Arial" w:hAnsi="Arial" w:cs="Arial"/>
        </w:rPr>
        <w:t>, 4, p.100047. doi:10.1016/j.clrc.2022.100047.</w:t>
      </w:r>
    </w:p>
    <w:p w14:paraId="3F72E5BC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Shane, S. and Venkataraman, S. (2000). The promise of entrepreneurship as a field of research. </w:t>
      </w:r>
      <w:r w:rsidRPr="00933EB3">
        <w:rPr>
          <w:rFonts w:ascii="Arial" w:hAnsi="Arial" w:cs="Arial"/>
          <w:i/>
          <w:iCs/>
        </w:rPr>
        <w:t>Academy of Management Review</w:t>
      </w:r>
      <w:r w:rsidRPr="00933EB3">
        <w:rPr>
          <w:rFonts w:ascii="Arial" w:hAnsi="Arial" w:cs="Arial"/>
        </w:rPr>
        <w:t>, 25(1), pp.217–226. doi:10.5465/amr.2000.2791611.</w:t>
      </w:r>
    </w:p>
    <w:p w14:paraId="35E435DD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Shepherd, D.A. and Patzelt, H. (2021). </w:t>
      </w:r>
      <w:r w:rsidRPr="00933EB3">
        <w:rPr>
          <w:rFonts w:ascii="Arial" w:hAnsi="Arial" w:cs="Arial"/>
          <w:i/>
          <w:iCs/>
        </w:rPr>
        <w:t>Entrepreneurial strategy starting, managing, and scaling new ventures</w:t>
      </w:r>
      <w:r w:rsidRPr="00933EB3">
        <w:rPr>
          <w:rFonts w:ascii="Arial" w:hAnsi="Arial" w:cs="Arial"/>
        </w:rPr>
        <w:t>. Springer International Publishing.</w:t>
      </w:r>
    </w:p>
    <w:p w14:paraId="0EF32D97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Shukla, Y., Mishra, S., Chatterjee, R. and Arora, V. (2023). Consumer minimalism for sustainability: Exploring the determinants of rental consumption intention. </w:t>
      </w:r>
      <w:r w:rsidRPr="00933EB3">
        <w:rPr>
          <w:rFonts w:ascii="Arial" w:hAnsi="Arial" w:cs="Arial"/>
          <w:i/>
          <w:iCs/>
        </w:rPr>
        <w:t>Journal of Consumer Behaviour</w:t>
      </w:r>
      <w:r w:rsidRPr="00933EB3">
        <w:rPr>
          <w:rFonts w:ascii="Arial" w:hAnsi="Arial" w:cs="Arial"/>
        </w:rPr>
        <w:t>, 23(2), pp.514–529. doi:10.1002/cb.2219.</w:t>
      </w:r>
    </w:p>
    <w:p w14:paraId="2228A637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Stevenson, R., Allen, J. and Wang, T. (2022). Failed but validated? The effect of market validation on persistence and performance after a crowdfunding failure. </w:t>
      </w:r>
      <w:r w:rsidRPr="00933EB3">
        <w:rPr>
          <w:rFonts w:ascii="Arial" w:hAnsi="Arial" w:cs="Arial"/>
          <w:i/>
          <w:iCs/>
        </w:rPr>
        <w:t>Journal of Business Venturing</w:t>
      </w:r>
      <w:r w:rsidRPr="00933EB3">
        <w:rPr>
          <w:rFonts w:ascii="Arial" w:hAnsi="Arial" w:cs="Arial"/>
        </w:rPr>
        <w:t>, 37(2), p.106175. doi:10.1016/j.jbusvent.2021.106175.</w:t>
      </w:r>
    </w:p>
    <w:p w14:paraId="0C7D53D7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>Teoh, M.F., Ahmad, N.H., Abdul</w:t>
      </w:r>
      <w:r w:rsidRPr="00933EB3">
        <w:rPr>
          <w:rFonts w:ascii="Cambria Math" w:hAnsi="Cambria Math" w:cs="Cambria Math"/>
        </w:rPr>
        <w:t>‐</w:t>
      </w:r>
      <w:r w:rsidRPr="00933EB3">
        <w:rPr>
          <w:rFonts w:ascii="Arial" w:hAnsi="Arial" w:cs="Arial"/>
        </w:rPr>
        <w:t>Halim, H. and Kan, W.H. (2023). Digital Business Model Innovation among small and medium</w:t>
      </w:r>
      <w:r w:rsidRPr="00933EB3">
        <w:rPr>
          <w:rFonts w:ascii="Cambria Math" w:hAnsi="Cambria Math" w:cs="Cambria Math"/>
        </w:rPr>
        <w:t>‐</w:t>
      </w:r>
      <w:r w:rsidRPr="00933EB3">
        <w:rPr>
          <w:rFonts w:ascii="Arial" w:hAnsi="Arial" w:cs="Arial"/>
        </w:rPr>
        <w:t xml:space="preserve">sized enterprises (SMEs). </w:t>
      </w:r>
      <w:r w:rsidRPr="00933EB3">
        <w:rPr>
          <w:rFonts w:ascii="Arial" w:hAnsi="Arial" w:cs="Arial"/>
          <w:i/>
          <w:iCs/>
        </w:rPr>
        <w:t>Global Business and Organizational Excellence</w:t>
      </w:r>
      <w:r w:rsidRPr="00933EB3">
        <w:rPr>
          <w:rFonts w:ascii="Arial" w:hAnsi="Arial" w:cs="Arial"/>
        </w:rPr>
        <w:t>, 42(6). doi:10.1002/joe.22200.</w:t>
      </w:r>
    </w:p>
    <w:p w14:paraId="3F061A00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proofErr w:type="spellStart"/>
      <w:r w:rsidRPr="00933EB3">
        <w:rPr>
          <w:rFonts w:ascii="Arial" w:hAnsi="Arial" w:cs="Arial"/>
        </w:rPr>
        <w:t>Tunn</w:t>
      </w:r>
      <w:proofErr w:type="spellEnd"/>
      <w:r w:rsidRPr="00933EB3">
        <w:rPr>
          <w:rFonts w:ascii="Arial" w:hAnsi="Arial" w:cs="Arial"/>
        </w:rPr>
        <w:t xml:space="preserve">, V.S.C., Van den Hende, E.A., </w:t>
      </w:r>
      <w:proofErr w:type="spellStart"/>
      <w:r w:rsidRPr="00933EB3">
        <w:rPr>
          <w:rFonts w:ascii="Arial" w:hAnsi="Arial" w:cs="Arial"/>
        </w:rPr>
        <w:t>Bocken</w:t>
      </w:r>
      <w:proofErr w:type="spellEnd"/>
      <w:r w:rsidRPr="00933EB3">
        <w:rPr>
          <w:rFonts w:ascii="Arial" w:hAnsi="Arial" w:cs="Arial"/>
        </w:rPr>
        <w:t xml:space="preserve">, N.M.P. and </w:t>
      </w:r>
      <w:proofErr w:type="spellStart"/>
      <w:r w:rsidRPr="00933EB3">
        <w:rPr>
          <w:rFonts w:ascii="Arial" w:hAnsi="Arial" w:cs="Arial"/>
        </w:rPr>
        <w:t>Schoormans</w:t>
      </w:r>
      <w:proofErr w:type="spellEnd"/>
      <w:r w:rsidRPr="00933EB3">
        <w:rPr>
          <w:rFonts w:ascii="Arial" w:hAnsi="Arial" w:cs="Arial"/>
        </w:rPr>
        <w:t>, J.P.L. (2021). Consumer adoption of access</w:t>
      </w:r>
      <w:r w:rsidRPr="00933EB3">
        <w:rPr>
          <w:rFonts w:ascii="Cambria Math" w:hAnsi="Cambria Math" w:cs="Cambria Math"/>
        </w:rPr>
        <w:t>‐</w:t>
      </w:r>
      <w:r w:rsidRPr="00933EB3">
        <w:rPr>
          <w:rFonts w:ascii="Arial" w:hAnsi="Arial" w:cs="Arial"/>
        </w:rPr>
        <w:t>based product</w:t>
      </w:r>
      <w:r w:rsidRPr="00933EB3">
        <w:rPr>
          <w:rFonts w:ascii="Cambria Math" w:hAnsi="Cambria Math" w:cs="Cambria Math"/>
        </w:rPr>
        <w:t>‐</w:t>
      </w:r>
      <w:r w:rsidRPr="00933EB3">
        <w:rPr>
          <w:rFonts w:ascii="Arial" w:hAnsi="Arial" w:cs="Arial"/>
        </w:rPr>
        <w:t xml:space="preserve">service systems: The influence of </w:t>
      </w:r>
      <w:r w:rsidRPr="00933EB3">
        <w:rPr>
          <w:rFonts w:ascii="Arial" w:hAnsi="Arial" w:cs="Arial"/>
        </w:rPr>
        <w:lastRenderedPageBreak/>
        <w:t xml:space="preserve">duration of use and type of product. </w:t>
      </w:r>
      <w:r w:rsidRPr="00933EB3">
        <w:rPr>
          <w:rFonts w:ascii="Arial" w:hAnsi="Arial" w:cs="Arial"/>
          <w:i/>
          <w:iCs/>
        </w:rPr>
        <w:t>Business Strategy and the Environment</w:t>
      </w:r>
      <w:r w:rsidRPr="00933EB3">
        <w:rPr>
          <w:rFonts w:ascii="Arial" w:hAnsi="Arial" w:cs="Arial"/>
        </w:rPr>
        <w:t>, [online] 30(6), pp.2796–2813. doi:10.1002/bse.2894.</w:t>
      </w:r>
    </w:p>
    <w:p w14:paraId="682042FF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proofErr w:type="spellStart"/>
      <w:r w:rsidRPr="00933EB3">
        <w:rPr>
          <w:rFonts w:ascii="Arial" w:hAnsi="Arial" w:cs="Arial"/>
        </w:rPr>
        <w:t>Ulwick</w:t>
      </w:r>
      <w:proofErr w:type="spellEnd"/>
      <w:r w:rsidRPr="00933EB3">
        <w:rPr>
          <w:rFonts w:ascii="Arial" w:hAnsi="Arial" w:cs="Arial"/>
        </w:rPr>
        <w:t xml:space="preserve">, A.W. (2016). </w:t>
      </w:r>
      <w:r w:rsidRPr="00933EB3">
        <w:rPr>
          <w:rFonts w:ascii="Arial" w:hAnsi="Arial" w:cs="Arial"/>
          <w:i/>
          <w:iCs/>
        </w:rPr>
        <w:t>Jobs to be done: Theory to practice</w:t>
      </w:r>
      <w:r w:rsidRPr="00933EB3">
        <w:rPr>
          <w:rFonts w:ascii="Arial" w:hAnsi="Arial" w:cs="Arial"/>
        </w:rPr>
        <w:t>. Idea Bite Press.</w:t>
      </w:r>
    </w:p>
    <w:p w14:paraId="38B7180A" w14:textId="77777777" w:rsidR="003C23F6" w:rsidRPr="00933EB3" w:rsidRDefault="003C23F6" w:rsidP="003C23F6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933EB3">
        <w:rPr>
          <w:rFonts w:ascii="Arial" w:hAnsi="Arial" w:cs="Arial"/>
        </w:rPr>
        <w:t xml:space="preserve">Which? Trusted Traders. (2024). </w:t>
      </w:r>
      <w:r w:rsidRPr="00933EB3">
        <w:rPr>
          <w:rFonts w:ascii="Arial" w:hAnsi="Arial" w:cs="Arial"/>
          <w:i/>
          <w:iCs/>
        </w:rPr>
        <w:t>Which? Trusted traders | 7 reasons why hiring tools can be better than buying them</w:t>
      </w:r>
      <w:r w:rsidRPr="00933EB3">
        <w:rPr>
          <w:rFonts w:ascii="Arial" w:hAnsi="Arial" w:cs="Arial"/>
        </w:rPr>
        <w:t>. [online] Available at: https://for-traders.which.co.uk/advice/7-reasons-why-hiring-tools-can-be-better-than-buying-them [Accessed 6 Oct. 2026].</w:t>
      </w:r>
    </w:p>
    <w:p w14:paraId="63E4E7DF" w14:textId="77777777" w:rsidR="003C23F6" w:rsidRPr="00970A3A" w:rsidRDefault="003C23F6" w:rsidP="00970A3A"/>
    <w:sectPr w:rsidR="003C23F6" w:rsidRPr="00970A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28752" w14:textId="77777777" w:rsidR="00E25EAA" w:rsidRDefault="00E25EAA" w:rsidP="00CB3568">
      <w:pPr>
        <w:spacing w:after="0" w:line="240" w:lineRule="auto"/>
      </w:pPr>
      <w:r>
        <w:separator/>
      </w:r>
    </w:p>
  </w:endnote>
  <w:endnote w:type="continuationSeparator" w:id="0">
    <w:p w14:paraId="55D8CE8D" w14:textId="77777777" w:rsidR="00E25EAA" w:rsidRDefault="00E25EAA" w:rsidP="00CB3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B05BE" w14:textId="77777777" w:rsidR="00E25EAA" w:rsidRDefault="00E25EAA" w:rsidP="00CB3568">
      <w:pPr>
        <w:spacing w:after="0" w:line="240" w:lineRule="auto"/>
      </w:pPr>
      <w:r>
        <w:separator/>
      </w:r>
    </w:p>
  </w:footnote>
  <w:footnote w:type="continuationSeparator" w:id="0">
    <w:p w14:paraId="65F687EB" w14:textId="77777777" w:rsidR="00E25EAA" w:rsidRDefault="00E25EAA" w:rsidP="00CB35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568"/>
    <w:rsid w:val="00345A99"/>
    <w:rsid w:val="003C23F6"/>
    <w:rsid w:val="00933EB3"/>
    <w:rsid w:val="00970A3A"/>
    <w:rsid w:val="00CB3568"/>
    <w:rsid w:val="00CC3DC7"/>
    <w:rsid w:val="00E25EAA"/>
    <w:rsid w:val="00EA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2E7C3D"/>
  <w15:chartTrackingRefBased/>
  <w15:docId w15:val="{750973D3-37A0-47DA-83BF-BDFFBF55B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3568"/>
  </w:style>
  <w:style w:type="paragraph" w:styleId="Heading1">
    <w:name w:val="heading 1"/>
    <w:basedOn w:val="Normal"/>
    <w:next w:val="Normal"/>
    <w:link w:val="Heading1Char"/>
    <w:uiPriority w:val="9"/>
    <w:qFormat/>
    <w:rsid w:val="00CB35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35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35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35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35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35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35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35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35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35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35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35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35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35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35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35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35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35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35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35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35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35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35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35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35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35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35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35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356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B35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3568"/>
  </w:style>
  <w:style w:type="paragraph" w:styleId="Footer">
    <w:name w:val="footer"/>
    <w:basedOn w:val="Normal"/>
    <w:link w:val="FooterChar"/>
    <w:uiPriority w:val="99"/>
    <w:unhideWhenUsed/>
    <w:rsid w:val="00CB35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3568"/>
  </w:style>
  <w:style w:type="character" w:styleId="Hyperlink">
    <w:name w:val="Hyperlink"/>
    <w:basedOn w:val="DefaultParagraphFont"/>
    <w:uiPriority w:val="99"/>
    <w:unhideWhenUsed/>
    <w:rsid w:val="00970A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0A3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C23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hubspot.com/make-my-persona#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anva.com/design/DAHVQtsnsvw/MBCKjfvQtoy3lV_djLQs6Q/edit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meetriver.com/desktops/6ac4af2874cdfb6b03c6000b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mm.tt/map/4085748227?t=gooj5gCWJ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9" ma:contentTypeDescription="Create a new document." ma:contentTypeScope="" ma:versionID="a7ffcb00145a871bb5b1dd3b4529900f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e07f3cc0875da1305c50b7449104a294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9593A2CB-2E17-43FF-90CD-22B1F454C2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8708A4-EFB3-441D-AC38-46F60E1157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EBA486-FEBC-470C-9038-F8F67431D516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Dalling (2506840)</dc:creator>
  <cp:keywords/>
  <dc:description/>
  <cp:lastModifiedBy>Lauren Dalling (2506840)</cp:lastModifiedBy>
  <cp:revision>2</cp:revision>
  <dcterms:created xsi:type="dcterms:W3CDTF">2026-10-12T20:15:00Z</dcterms:created>
  <dcterms:modified xsi:type="dcterms:W3CDTF">2026-10-12T20:15:00Z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