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15AC" w:rsidRDefault="00DE15AC" w:rsidP="00DE15AC">
      <w:pPr>
        <w:autoSpaceDE w:val="0"/>
        <w:autoSpaceDN w:val="0"/>
        <w:adjustRightInd w:val="0"/>
        <w:spacing w:after="200" w:line="276" w:lineRule="auto"/>
        <w:jc w:val="center"/>
        <w:rPr>
          <w:rFonts w:ascii="Calibri" w:hAnsi="Calibri" w:cs="Calibri"/>
          <w:b/>
          <w:bCs/>
          <w:sz w:val="32"/>
          <w:szCs w:val="32"/>
          <w:lang w:val="cy-GB"/>
        </w:rPr>
      </w:pPr>
      <w:r>
        <w:rPr>
          <w:rFonts w:ascii="Calibri" w:hAnsi="Calibri" w:cs="Calibri"/>
          <w:b/>
          <w:bCs/>
          <w:sz w:val="32"/>
          <w:szCs w:val="32"/>
          <w:lang w:val="cy-GB"/>
        </w:rPr>
        <w:t xml:space="preserve">Adolygiad Canol Lleoliad 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</w:pPr>
      <w:r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  <w:t>Beth yw’r Adolygiad Canol Lleoliad?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Ar ddiwedd y bloc lleoliad cyntaf, mae'n ofynnol i'r Mentor Dosbarth / Pwnc a / neu'r Uwch Fentor gwblhau'r Adolygiad Canol Lleoliad fel asesiad ffurfiannol o gynnydd y darpar athro hyd yma.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</w:pPr>
      <w:r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  <w:t>Ble medraf ddod o hyd yr Adolygiad Canol Lleoliad?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 xml:space="preserve">Mae hwn ar gael ar wefan CAADOC (PDPA) (www.swwcte.ac.uk). 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</w:pPr>
      <w:r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  <w:t>Ar beth ydy’r adolygiad yn adrodd?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Cynnydd y darpar athro tuag at y safonau SAC  newydd. Bydd yr adolygiad yn adrodd yn erbyn pob safon i ddangos os yw’r darpar athro ‘ar y trywydd iawn’, ‘ddim ar y trywydd iawn’, ‘tu hwnt i ddisgwyliadau’ neu ‘achos pryder’. Os yw darpar athro yn achos pryder, mae disgwyl y bydd hyn wedi ei rannu gyda’r tiwtor proffesiynol a/neu arweinydd y rhwydwaith yn ogystal â’r darpar athro. Mae’r mentor yn ystyried cynnydd y darpar athro mewn perthynas â’r disgwyliadau ar y cyfnod hwnnw yn y rhaglen.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Mae pob safon wedi’i rhannu i elfennau ac maen nhw’n cyfateb i’r nodweddion disgwyliedig  sy’n dangos lefel cynnydd presennol y darpar athro. Er mwyn cyrraedd at benderfyniad, bydd angen y mentor ystyried y ‘ffit orau’ mewn perthynas a’r elfennau o fewn y safon</w:t>
      </w:r>
      <w:r>
        <w:rPr>
          <w:rFonts w:ascii="Calibri" w:hAnsi="Calibri" w:cs="Calibri"/>
          <w:b/>
          <w:bCs/>
          <w:sz w:val="24"/>
          <w:szCs w:val="24"/>
          <w:lang w:val="cy-GB"/>
        </w:rPr>
        <w:t>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</w:pPr>
      <w:r>
        <w:rPr>
          <w:rFonts w:ascii="Calibri" w:hAnsi="Calibri" w:cs="Calibri"/>
          <w:b/>
          <w:bCs/>
          <w:i/>
          <w:iCs/>
          <w:sz w:val="24"/>
          <w:szCs w:val="24"/>
          <w:lang w:val="cy-GB"/>
        </w:rPr>
        <w:t>Pa dystiolaeth bydd y mentor yn defnyddio?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Mae pob agwedd o asesu wedi eu seilio ar golwg gyfannol o gynnydd y darpar athro. Fe ddylid cymryd tystiolaeth o amrywiaeth o ffynonellau. Mae’r rhain yn cynnwys: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>
        <w:rPr>
          <w:rFonts w:ascii="Wingdings" w:hAnsi="Wingdings" w:cs="Wingdings"/>
          <w:sz w:val="24"/>
          <w:szCs w:val="24"/>
          <w:lang w:val="cy-GB"/>
        </w:rPr>
        <w:t></w:t>
      </w:r>
      <w:r>
        <w:rPr>
          <w:rFonts w:ascii="Wingdings" w:hAnsi="Wingdings" w:cs="Wingdings"/>
          <w:sz w:val="24"/>
          <w:szCs w:val="24"/>
          <w:lang w:val="cy-GB"/>
        </w:rPr>
        <w:tab/>
      </w:r>
      <w:r>
        <w:rPr>
          <w:rFonts w:ascii="Calibri" w:hAnsi="Calibri" w:cs="Calibri"/>
          <w:sz w:val="24"/>
          <w:szCs w:val="24"/>
          <w:lang w:val="cy-GB"/>
        </w:rPr>
        <w:t>Y dyddlyfr dysgu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>
        <w:rPr>
          <w:rFonts w:ascii="Wingdings" w:hAnsi="Wingdings" w:cs="Wingdings"/>
          <w:sz w:val="24"/>
          <w:szCs w:val="24"/>
          <w:lang w:val="cy-GB"/>
        </w:rPr>
        <w:t></w:t>
      </w:r>
      <w:r>
        <w:rPr>
          <w:rFonts w:ascii="Wingdings" w:hAnsi="Wingdings" w:cs="Wingdings"/>
          <w:sz w:val="24"/>
          <w:szCs w:val="24"/>
          <w:lang w:val="cy-GB"/>
        </w:rPr>
        <w:tab/>
      </w:r>
      <w:r>
        <w:rPr>
          <w:rFonts w:ascii="Calibri" w:hAnsi="Calibri" w:cs="Calibri"/>
          <w:sz w:val="24"/>
          <w:szCs w:val="24"/>
          <w:lang w:val="cy-GB"/>
        </w:rPr>
        <w:t>Adfyfyrio wythnosol ac adrannau eraill o’r Pasport Dysgu Proffesiynol (PDP)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>
        <w:rPr>
          <w:rFonts w:ascii="Wingdings" w:hAnsi="Wingdings" w:cs="Wingdings"/>
          <w:sz w:val="24"/>
          <w:szCs w:val="24"/>
          <w:lang w:val="cy-GB"/>
        </w:rPr>
        <w:t></w:t>
      </w:r>
      <w:r>
        <w:rPr>
          <w:rFonts w:ascii="Wingdings" w:hAnsi="Wingdings" w:cs="Wingdings"/>
          <w:sz w:val="24"/>
          <w:szCs w:val="24"/>
          <w:lang w:val="cy-GB"/>
        </w:rPr>
        <w:tab/>
      </w:r>
      <w:r>
        <w:rPr>
          <w:rFonts w:ascii="Calibri" w:hAnsi="Calibri" w:cs="Calibri"/>
          <w:sz w:val="24"/>
          <w:szCs w:val="24"/>
          <w:lang w:val="cy-GB"/>
        </w:rPr>
        <w:t>Ffeil ar-lein PAP - cynllunio a gwerthuso gwersi, adnoddau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>
        <w:rPr>
          <w:rFonts w:ascii="Wingdings" w:hAnsi="Wingdings" w:cs="Wingdings"/>
          <w:sz w:val="24"/>
          <w:szCs w:val="24"/>
          <w:lang w:val="cy-GB"/>
        </w:rPr>
        <w:t></w:t>
      </w:r>
      <w:r>
        <w:rPr>
          <w:rFonts w:ascii="Wingdings" w:hAnsi="Wingdings" w:cs="Wingdings"/>
          <w:sz w:val="24"/>
          <w:szCs w:val="24"/>
          <w:lang w:val="cy-GB"/>
        </w:rPr>
        <w:tab/>
      </w:r>
      <w:r>
        <w:rPr>
          <w:rFonts w:ascii="Calibri" w:hAnsi="Calibri" w:cs="Calibri"/>
          <w:sz w:val="24"/>
          <w:szCs w:val="24"/>
          <w:lang w:val="cy-GB"/>
        </w:rPr>
        <w:t>Cyfarfodydd mentor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/>
        </w:rPr>
        <w:t>*Gweler enghraifft ar ddiwedd y ddogfen yma am syniadau.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24"/>
          <w:szCs w:val="24"/>
          <w:u w:val="single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u w:val="single"/>
          <w:lang w:val="cy-GB"/>
        </w:rPr>
        <w:t>Cryfderau/Meysydd datblygu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t>Safon y Gymraeg</w:t>
      </w:r>
      <w:r>
        <w:rPr>
          <w:rFonts w:ascii="Calibri" w:hAnsi="Calibri" w:cs="Calibri"/>
          <w:sz w:val="24"/>
          <w:szCs w:val="24"/>
          <w:lang w:val="cy-GB"/>
        </w:rPr>
        <w:t xml:space="preserve"> - Yn y dyfodol, bydd y rhain wedi cysylltu gyda Fframwaith Iaith Gymraeg sy’n cael ei gyflwyno a’i dreialu gan Lywodraeth Cymru eleni, a bydd disgwyl i ddarpar athrawon gyflwyno Portffolio Iaith Gymraeg yn eu PDP. Fe fydd sylwadau sy’n cyfeirio at ddefnydd a datblygiad Cymraeg y darpar athro.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lastRenderedPageBreak/>
        <w:t>Safon iaith lafar ac ysgrifenedig y darpar athro, fel sy’n addas</w:t>
      </w:r>
      <w:r>
        <w:rPr>
          <w:rFonts w:ascii="Calibri" w:hAnsi="Calibri" w:cs="Calibri"/>
          <w:sz w:val="24"/>
          <w:szCs w:val="24"/>
          <w:lang w:val="cy-GB"/>
        </w:rPr>
        <w:t xml:space="preserve"> - dylai’r sylwadau gyfeirio at safon iaith y darpar athro a sut mae e/hi yn datblygu iaith y disgyblion.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24"/>
          <w:szCs w:val="24"/>
          <w:u w:val="single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u w:val="single"/>
          <w:lang w:val="cy-GB"/>
        </w:rPr>
        <w:t>Adolygiad cynnydd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t xml:space="preserve">Rhowch sylw ar safon y dogfennaeth PDP </w:t>
      </w:r>
      <w:r>
        <w:rPr>
          <w:rFonts w:ascii="Calibri" w:hAnsi="Calibri" w:cs="Calibri"/>
          <w:sz w:val="24"/>
          <w:szCs w:val="24"/>
          <w:lang w:val="cy-GB"/>
        </w:rPr>
        <w:t>- bydd y mentor yn dewis disgrifiad o’r fwydlen sy’n disgrifio orau drefn a chyflawniad y darpar athro o’r ddogfennaeth ar y pwynt yma yn y rhaglen.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t>Nifer yr hanner dyddiau yn absennol o’r lleoliad</w:t>
      </w:r>
      <w:r>
        <w:rPr>
          <w:rFonts w:ascii="Calibri" w:hAnsi="Calibri" w:cs="Calibri"/>
          <w:sz w:val="24"/>
          <w:szCs w:val="24"/>
          <w:lang w:val="cy-GB"/>
        </w:rPr>
        <w:t xml:space="preserve">  - rhif o sesiynau 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t>Oes angen ymyrraeth pellach i sicrhau mwy o gynnydd?</w:t>
      </w:r>
      <w:r>
        <w:rPr>
          <w:rFonts w:ascii="Calibri" w:hAnsi="Calibri" w:cs="Calibri"/>
          <w:sz w:val="24"/>
          <w:szCs w:val="24"/>
          <w:lang w:val="cy-GB"/>
        </w:rPr>
        <w:t xml:space="preserve"> Os mae’r blwch yma wedi cael ei dicio, bydd disgrifiad byr o’r agweddau i ddatblygu.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24"/>
          <w:szCs w:val="24"/>
          <w:lang w:val="cy-GB"/>
        </w:rPr>
      </w:pPr>
      <w:r>
        <w:rPr>
          <w:rFonts w:ascii="Calibri" w:hAnsi="Calibri" w:cs="Calibri"/>
          <w:b/>
          <w:bCs/>
          <w:sz w:val="24"/>
          <w:szCs w:val="24"/>
          <w:lang w:val="cy-GB"/>
        </w:rPr>
        <w:t xml:space="preserve">Ydy’r cynnydd yn achos pryder? </w:t>
      </w:r>
      <w:r>
        <w:rPr>
          <w:rFonts w:ascii="Calibri" w:hAnsi="Calibri" w:cs="Calibri"/>
          <w:sz w:val="24"/>
          <w:szCs w:val="24"/>
          <w:lang w:val="cy-GB"/>
        </w:rPr>
        <w:t>Mae disgwyl bod y darpar athro, arweinydd y rhwydwaith a thiwtor proffesiynol yn gwybod am hyn.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24"/>
          <w:szCs w:val="24"/>
          <w:lang w:val="cy-GB"/>
        </w:rPr>
      </w:pPr>
      <w:r>
        <w:rPr>
          <w:rFonts w:ascii="Calibri" w:hAnsi="Calibri" w:cs="Calibri"/>
          <w:b/>
          <w:bCs/>
          <w:color w:val="333333"/>
          <w:sz w:val="24"/>
          <w:szCs w:val="24"/>
          <w:lang w:val="cy-GB"/>
        </w:rPr>
        <w:t xml:space="preserve">Oes agweddau o’r sesiwn yma ddylai gael eu rhannu fel arferion da? </w:t>
      </w:r>
      <w:r>
        <w:rPr>
          <w:rFonts w:ascii="Calibri" w:hAnsi="Calibri" w:cs="Calibri"/>
          <w:color w:val="333333"/>
          <w:sz w:val="24"/>
          <w:szCs w:val="24"/>
          <w:lang w:val="cy-GB"/>
        </w:rPr>
        <w:t>Bydd disgrifiad byr o’r agweddau i gael eu rhannu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rPr>
          <w:rFonts w:ascii="Calibri" w:hAnsi="Calibri" w:cs="Calibri"/>
          <w:b/>
          <w:bCs/>
          <w:sz w:val="28"/>
          <w:szCs w:val="28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jc w:val="center"/>
        <w:rPr>
          <w:rFonts w:ascii="Calibri" w:hAnsi="Calibri" w:cs="Calibri"/>
          <w:b/>
          <w:bCs/>
          <w:sz w:val="28"/>
          <w:szCs w:val="28"/>
          <w:lang w:val="cy-GB"/>
        </w:rPr>
      </w:pPr>
      <w:r>
        <w:rPr>
          <w:rFonts w:ascii="Calibri" w:hAnsi="Calibri" w:cs="Calibri"/>
          <w:b/>
          <w:bCs/>
          <w:sz w:val="28"/>
          <w:szCs w:val="28"/>
          <w:lang w:val="cy-GB"/>
        </w:rPr>
        <w:t>Canllaw cyflym i’r Adolygiad Canol Lleoliad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1.</w:t>
      </w:r>
      <w:r>
        <w:rPr>
          <w:rFonts w:ascii="Calibri" w:hAnsi="Calibri" w:cs="Calibri"/>
          <w:lang w:val="cy-GB"/>
        </w:rPr>
        <w:tab/>
        <w:t>Ewch i SWWCTE.ac.uk (Er mwyn newid iaith y wefan i’r Gymraeg cliciwch ar y botwm ‘Cymraeg’ sydd ar dop y dudalen).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2.</w:t>
      </w:r>
      <w:r>
        <w:rPr>
          <w:rFonts w:ascii="Calibri" w:hAnsi="Calibri" w:cs="Calibri"/>
          <w:lang w:val="cy-GB"/>
        </w:rPr>
        <w:tab/>
        <w:t>Dewiswch ‘Myfyrwyr’.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3.</w:t>
      </w:r>
      <w:r>
        <w:rPr>
          <w:rFonts w:ascii="Calibri" w:hAnsi="Calibri" w:cs="Calibri"/>
          <w:lang w:val="cy-GB"/>
        </w:rPr>
        <w:tab/>
        <w:t>Mewngofnodwch gan ddefnyddio eich manylion mewngofnodi.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 w:hanging="360"/>
        <w:jc w:val="both"/>
        <w:rPr>
          <w:rFonts w:ascii="Calibri" w:hAnsi="Calibri" w:cs="Calibri"/>
          <w:lang w:val="cy-GB"/>
        </w:rPr>
      </w:pPr>
      <w:r>
        <w:rPr>
          <w:rFonts w:ascii="Calibri" w:hAnsi="Calibri" w:cs="Calibri"/>
          <w:lang w:val="cy-GB"/>
        </w:rPr>
        <w:t>4.</w:t>
      </w:r>
      <w:r>
        <w:rPr>
          <w:rFonts w:ascii="Calibri" w:hAnsi="Calibri" w:cs="Calibri"/>
          <w:lang w:val="cy-GB"/>
        </w:rPr>
        <w:tab/>
        <w:t>Dewiswch yr adroddiad i ddarllen.</w:t>
      </w:r>
    </w:p>
    <w:p w:rsidR="00DE15AC" w:rsidRDefault="00DE15AC" w:rsidP="00DE15AC">
      <w:pPr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lang w:val="cy-GB"/>
        </w:rPr>
      </w:pPr>
    </w:p>
    <w:p w:rsidR="00DE15AC" w:rsidRDefault="00DE15AC" w:rsidP="00DE15AC">
      <w:pPr>
        <w:autoSpaceDE w:val="0"/>
        <w:autoSpaceDN w:val="0"/>
        <w:adjustRightInd w:val="0"/>
        <w:spacing w:after="0" w:line="240" w:lineRule="auto"/>
        <w:rPr>
          <w:rFonts w:ascii="Verdana" w:hAnsi="Verdana" w:cs="Verdana"/>
          <w:sz w:val="20"/>
          <w:szCs w:val="20"/>
        </w:rPr>
      </w:pPr>
    </w:p>
    <w:p w:rsidR="002077A2" w:rsidRPr="00DE15AC" w:rsidRDefault="002077A2" w:rsidP="00DE15AC">
      <w:bookmarkStart w:id="0" w:name="_GoBack"/>
      <w:bookmarkEnd w:id="0"/>
    </w:p>
    <w:sectPr w:rsidR="002077A2" w:rsidRPr="00DE15A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33043" w:rsidRDefault="00433043" w:rsidP="002077A2">
      <w:pPr>
        <w:spacing w:after="0" w:line="240" w:lineRule="auto"/>
      </w:pPr>
      <w:r>
        <w:separator/>
      </w:r>
    </w:p>
  </w:endnote>
  <w:endnote w:type="continuationSeparator" w:id="0">
    <w:p w:rsidR="00433043" w:rsidRDefault="00433043" w:rsidP="002077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6412344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077A2" w:rsidRDefault="002077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15A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077A2" w:rsidRDefault="002077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33043" w:rsidRDefault="00433043" w:rsidP="002077A2">
      <w:pPr>
        <w:spacing w:after="0" w:line="240" w:lineRule="auto"/>
      </w:pPr>
      <w:r>
        <w:separator/>
      </w:r>
    </w:p>
  </w:footnote>
  <w:footnote w:type="continuationSeparator" w:id="0">
    <w:p w:rsidR="00433043" w:rsidRDefault="00433043" w:rsidP="002077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353F5" w:rsidRDefault="00CB333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7B33F229" wp14:editId="12DE098E">
          <wp:simplePos x="0" y="0"/>
          <wp:positionH relativeFrom="column">
            <wp:posOffset>-542925</wp:posOffset>
          </wp:positionH>
          <wp:positionV relativeFrom="paragraph">
            <wp:posOffset>-363855</wp:posOffset>
          </wp:positionV>
          <wp:extent cx="1104900" cy="842010"/>
          <wp:effectExtent l="0" t="0" r="0" b="0"/>
          <wp:wrapTight wrapText="bothSides">
            <wp:wrapPolygon edited="0">
              <wp:start x="0" y="0"/>
              <wp:lineTo x="0" y="21014"/>
              <wp:lineTo x="21228" y="21014"/>
              <wp:lineTo x="21228" y="0"/>
              <wp:lineTo x="0" y="0"/>
            </wp:wrapPolygon>
          </wp:wrapTight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04900" cy="84201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76E03C3"/>
    <w:multiLevelType w:val="hybridMultilevel"/>
    <w:tmpl w:val="EB0E01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D24F0A"/>
    <w:multiLevelType w:val="hybridMultilevel"/>
    <w:tmpl w:val="40A2162C"/>
    <w:lvl w:ilvl="0" w:tplc="BAD04BF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77A2"/>
    <w:rsid w:val="002077A2"/>
    <w:rsid w:val="002E48EC"/>
    <w:rsid w:val="00433043"/>
    <w:rsid w:val="006F50D6"/>
    <w:rsid w:val="008C2E9A"/>
    <w:rsid w:val="008F4B69"/>
    <w:rsid w:val="00CB3337"/>
    <w:rsid w:val="00D56CCF"/>
    <w:rsid w:val="00DE15AC"/>
    <w:rsid w:val="00FF5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C4337"/>
  <w15:chartTrackingRefBased/>
  <w15:docId w15:val="{82AAD551-2EE5-4760-A56F-F6D1BBB325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77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77A2"/>
  </w:style>
  <w:style w:type="table" w:styleId="TableGrid">
    <w:name w:val="Table Grid"/>
    <w:basedOn w:val="TableNormal"/>
    <w:uiPriority w:val="59"/>
    <w:rsid w:val="002077A2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2077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77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455</Words>
  <Characters>2598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dc:description/>
  <cp:lastModifiedBy>Catharine Bleasdale</cp:lastModifiedBy>
  <cp:revision>2</cp:revision>
  <dcterms:created xsi:type="dcterms:W3CDTF">2019-11-29T09:28:00Z</dcterms:created>
  <dcterms:modified xsi:type="dcterms:W3CDTF">2019-11-29T09:28:00Z</dcterms:modified>
</cp:coreProperties>
</file>