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99380" w14:textId="77777777" w:rsidR="003A0362" w:rsidRDefault="003A0362" w:rsidP="00A8221F">
      <w:pPr>
        <w:spacing w:line="360" w:lineRule="auto"/>
        <w:jc w:val="center"/>
        <w:rPr>
          <w:sz w:val="34"/>
          <w:szCs w:val="34"/>
        </w:rPr>
      </w:pPr>
      <w:r>
        <w:rPr>
          <w:noProof/>
        </w:rPr>
        <w:drawing>
          <wp:inline distT="0" distB="0" distL="0" distR="0" wp14:anchorId="135E3305" wp14:editId="1FD7F918">
            <wp:extent cx="5899717" cy="1410079"/>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26690" cy="1416526"/>
                    </a:xfrm>
                    <a:prstGeom prst="rect">
                      <a:avLst/>
                    </a:prstGeom>
                    <a:noFill/>
                    <a:ln>
                      <a:noFill/>
                    </a:ln>
                  </pic:spPr>
                </pic:pic>
              </a:graphicData>
            </a:graphic>
          </wp:inline>
        </w:drawing>
      </w:r>
    </w:p>
    <w:p w14:paraId="116E20E0" w14:textId="77777777" w:rsidR="007C7976" w:rsidRDefault="007C7976" w:rsidP="00A8221F">
      <w:pPr>
        <w:spacing w:line="360" w:lineRule="auto"/>
        <w:jc w:val="center"/>
        <w:rPr>
          <w:b/>
          <w:bCs/>
          <w:sz w:val="38"/>
          <w:szCs w:val="38"/>
        </w:rPr>
      </w:pPr>
    </w:p>
    <w:p w14:paraId="7FCC5A81" w14:textId="1B2C66BD" w:rsidR="003A0362" w:rsidRPr="003A0362" w:rsidRDefault="003A0362" w:rsidP="00A8221F">
      <w:pPr>
        <w:spacing w:line="360" w:lineRule="auto"/>
        <w:jc w:val="center"/>
        <w:rPr>
          <w:b/>
          <w:bCs/>
          <w:sz w:val="38"/>
          <w:szCs w:val="38"/>
        </w:rPr>
      </w:pPr>
      <w:r w:rsidRPr="003A0362">
        <w:rPr>
          <w:b/>
          <w:bCs/>
          <w:sz w:val="38"/>
          <w:szCs w:val="38"/>
        </w:rPr>
        <w:t>Master of Business Administration</w:t>
      </w:r>
    </w:p>
    <w:p w14:paraId="5DB9123A" w14:textId="77777777" w:rsidR="003A0362" w:rsidRPr="003A0362" w:rsidRDefault="003A0362" w:rsidP="00A8221F">
      <w:pPr>
        <w:spacing w:line="360" w:lineRule="auto"/>
        <w:jc w:val="center"/>
        <w:rPr>
          <w:b/>
          <w:bCs/>
          <w:sz w:val="28"/>
          <w:szCs w:val="28"/>
        </w:rPr>
      </w:pPr>
      <w:r w:rsidRPr="003A0362">
        <w:rPr>
          <w:b/>
          <w:bCs/>
          <w:sz w:val="32"/>
          <w:szCs w:val="32"/>
        </w:rPr>
        <w:t>In International Business</w:t>
      </w:r>
    </w:p>
    <w:p w14:paraId="4BE59048" w14:textId="77777777" w:rsidR="003A0362" w:rsidRDefault="003A0362" w:rsidP="00A8221F">
      <w:pPr>
        <w:spacing w:line="360" w:lineRule="auto"/>
        <w:jc w:val="center"/>
        <w:rPr>
          <w:b/>
          <w:bCs/>
          <w:sz w:val="40"/>
          <w:szCs w:val="40"/>
        </w:rPr>
      </w:pPr>
    </w:p>
    <w:p w14:paraId="1FFD3595" w14:textId="714DACA8" w:rsidR="003A0362" w:rsidRPr="003A0362" w:rsidRDefault="003A0362" w:rsidP="00A8221F">
      <w:pPr>
        <w:spacing w:line="360" w:lineRule="auto"/>
        <w:jc w:val="center"/>
        <w:rPr>
          <w:sz w:val="40"/>
          <w:szCs w:val="40"/>
        </w:rPr>
      </w:pPr>
      <w:r w:rsidRPr="003A0362">
        <w:rPr>
          <w:b/>
          <w:bCs/>
          <w:sz w:val="40"/>
          <w:szCs w:val="40"/>
        </w:rPr>
        <w:t xml:space="preserve">Module name: </w:t>
      </w:r>
      <w:r w:rsidRPr="003A0362">
        <w:rPr>
          <w:sz w:val="40"/>
          <w:szCs w:val="40"/>
        </w:rPr>
        <w:t>Financial Management</w:t>
      </w:r>
    </w:p>
    <w:p w14:paraId="4FFD47EE" w14:textId="228145DA" w:rsidR="003A0362" w:rsidRPr="00511993" w:rsidRDefault="003A0362" w:rsidP="00511993">
      <w:pPr>
        <w:spacing w:line="360" w:lineRule="auto"/>
        <w:jc w:val="center"/>
        <w:rPr>
          <w:sz w:val="40"/>
          <w:szCs w:val="40"/>
        </w:rPr>
      </w:pPr>
      <w:r w:rsidRPr="003A0362">
        <w:rPr>
          <w:b/>
          <w:bCs/>
          <w:sz w:val="40"/>
          <w:szCs w:val="40"/>
        </w:rPr>
        <w:t>Module code</w:t>
      </w:r>
      <w:r w:rsidRPr="003A0362">
        <w:rPr>
          <w:sz w:val="40"/>
          <w:szCs w:val="40"/>
        </w:rPr>
        <w:t>:</w:t>
      </w:r>
      <w:r w:rsidRPr="003A0362">
        <w:rPr>
          <w:rFonts w:ascii="Segoe UI" w:eastAsia="Times New Roman" w:hAnsi="Segoe UI" w:cs="Segoe UI"/>
          <w:b/>
          <w:bCs/>
          <w:color w:val="FFFFFF"/>
          <w:kern w:val="36"/>
          <w:sz w:val="40"/>
          <w:szCs w:val="40"/>
        </w:rPr>
        <w:t xml:space="preserve"> </w:t>
      </w:r>
      <w:r w:rsidRPr="003A0362">
        <w:rPr>
          <w:sz w:val="40"/>
          <w:szCs w:val="40"/>
        </w:rPr>
        <w:t>(</w:t>
      </w:r>
      <w:r w:rsidR="00511993" w:rsidRPr="00511993">
        <w:rPr>
          <w:sz w:val="40"/>
          <w:szCs w:val="40"/>
        </w:rPr>
        <w:t>LCMB7002_LON</w:t>
      </w:r>
      <w:r w:rsidRPr="003A0362">
        <w:rPr>
          <w:sz w:val="40"/>
          <w:szCs w:val="40"/>
        </w:rPr>
        <w:t>)</w:t>
      </w:r>
    </w:p>
    <w:p w14:paraId="42BD5525" w14:textId="77777777" w:rsidR="003A0362" w:rsidRPr="003A0362" w:rsidRDefault="003A0362" w:rsidP="00A8221F">
      <w:pPr>
        <w:spacing w:line="360" w:lineRule="auto"/>
        <w:jc w:val="center"/>
        <w:rPr>
          <w:sz w:val="40"/>
          <w:szCs w:val="40"/>
        </w:rPr>
      </w:pPr>
      <w:r w:rsidRPr="003A0362">
        <w:rPr>
          <w:b/>
          <w:bCs/>
          <w:sz w:val="40"/>
          <w:szCs w:val="40"/>
        </w:rPr>
        <w:t>Lecturer name</w:t>
      </w:r>
      <w:r w:rsidRPr="003A0362">
        <w:rPr>
          <w:sz w:val="40"/>
          <w:szCs w:val="40"/>
        </w:rPr>
        <w:t>: Shengfeng Mei, Ghulam Mujtaba</w:t>
      </w:r>
    </w:p>
    <w:p w14:paraId="7478448E" w14:textId="77777777" w:rsidR="003A0362" w:rsidRPr="003A0362" w:rsidRDefault="003A0362" w:rsidP="00A8221F">
      <w:pPr>
        <w:spacing w:line="360" w:lineRule="auto"/>
        <w:jc w:val="center"/>
        <w:rPr>
          <w:sz w:val="40"/>
          <w:szCs w:val="40"/>
        </w:rPr>
      </w:pPr>
      <w:r w:rsidRPr="003A0362">
        <w:rPr>
          <w:b/>
          <w:bCs/>
          <w:sz w:val="40"/>
          <w:szCs w:val="40"/>
        </w:rPr>
        <w:t>Student name</w:t>
      </w:r>
      <w:r w:rsidRPr="003A0362">
        <w:rPr>
          <w:sz w:val="40"/>
          <w:szCs w:val="40"/>
        </w:rPr>
        <w:t>: Priyanshi Manoj Parikh</w:t>
      </w:r>
    </w:p>
    <w:p w14:paraId="44EAECCD" w14:textId="77777777" w:rsidR="003A0362" w:rsidRPr="003A0362" w:rsidRDefault="003A0362" w:rsidP="00A8221F">
      <w:pPr>
        <w:spacing w:line="360" w:lineRule="auto"/>
        <w:jc w:val="center"/>
        <w:rPr>
          <w:sz w:val="40"/>
          <w:szCs w:val="40"/>
        </w:rPr>
      </w:pPr>
      <w:r w:rsidRPr="003A0362">
        <w:rPr>
          <w:b/>
          <w:bCs/>
          <w:sz w:val="40"/>
          <w:szCs w:val="40"/>
        </w:rPr>
        <w:t>Student ID</w:t>
      </w:r>
      <w:r w:rsidRPr="003A0362">
        <w:rPr>
          <w:sz w:val="40"/>
          <w:szCs w:val="40"/>
        </w:rPr>
        <w:t>: 2543469</w:t>
      </w:r>
    </w:p>
    <w:p w14:paraId="038B6000" w14:textId="166CE6BE" w:rsidR="003A0362" w:rsidRDefault="003A0362" w:rsidP="00A8221F">
      <w:pPr>
        <w:spacing w:line="360" w:lineRule="auto"/>
        <w:jc w:val="center"/>
        <w:rPr>
          <w:sz w:val="40"/>
          <w:szCs w:val="40"/>
        </w:rPr>
      </w:pPr>
      <w:r w:rsidRPr="003A0362">
        <w:rPr>
          <w:b/>
          <w:bCs/>
          <w:sz w:val="40"/>
          <w:szCs w:val="40"/>
        </w:rPr>
        <w:t>Word count</w:t>
      </w:r>
      <w:r w:rsidRPr="003A0362">
        <w:rPr>
          <w:sz w:val="40"/>
          <w:szCs w:val="40"/>
        </w:rPr>
        <w:t>:</w:t>
      </w:r>
      <w:r w:rsidR="004D48C0">
        <w:rPr>
          <w:sz w:val="40"/>
          <w:szCs w:val="40"/>
        </w:rPr>
        <w:t xml:space="preserve"> 4401</w:t>
      </w:r>
    </w:p>
    <w:p w14:paraId="34E24485" w14:textId="5ADB4678" w:rsidR="004D48C0" w:rsidRPr="003A0362" w:rsidRDefault="004D48C0" w:rsidP="00A8221F">
      <w:pPr>
        <w:spacing w:line="360" w:lineRule="auto"/>
        <w:jc w:val="center"/>
        <w:rPr>
          <w:sz w:val="40"/>
          <w:szCs w:val="40"/>
        </w:rPr>
      </w:pPr>
      <w:r w:rsidRPr="00CC4827">
        <w:rPr>
          <w:b/>
          <w:bCs/>
          <w:sz w:val="40"/>
          <w:szCs w:val="40"/>
        </w:rPr>
        <w:t>Title:</w:t>
      </w:r>
      <w:r>
        <w:rPr>
          <w:sz w:val="40"/>
          <w:szCs w:val="40"/>
        </w:rPr>
        <w:t xml:space="preserve"> </w:t>
      </w:r>
      <w:r w:rsidR="00CC4827" w:rsidRPr="00CC4827">
        <w:rPr>
          <w:sz w:val="40"/>
          <w:szCs w:val="40"/>
        </w:rPr>
        <w:t>Financial Performance and Strategic Financial Management of InterContinental Hotels Group PLC</w:t>
      </w:r>
    </w:p>
    <w:p w14:paraId="14EE8637" w14:textId="77777777" w:rsidR="003A0362" w:rsidRPr="003A0362" w:rsidRDefault="003A0362" w:rsidP="00A8221F">
      <w:pPr>
        <w:spacing w:line="360" w:lineRule="auto"/>
        <w:jc w:val="center"/>
        <w:rPr>
          <w:sz w:val="40"/>
          <w:szCs w:val="40"/>
        </w:rPr>
      </w:pPr>
      <w:r w:rsidRPr="003A0362">
        <w:rPr>
          <w:b/>
          <w:bCs/>
          <w:sz w:val="40"/>
          <w:szCs w:val="40"/>
        </w:rPr>
        <w:t>Submission date</w:t>
      </w:r>
      <w:r w:rsidRPr="003A0362">
        <w:rPr>
          <w:sz w:val="40"/>
          <w:szCs w:val="40"/>
        </w:rPr>
        <w:t>: 13 August 2026</w:t>
      </w:r>
    </w:p>
    <w:p w14:paraId="1D9FB7E3" w14:textId="77777777" w:rsidR="003A0362" w:rsidRDefault="003A0362" w:rsidP="00A8221F">
      <w:pPr>
        <w:spacing w:line="360" w:lineRule="auto"/>
        <w:jc w:val="center"/>
      </w:pPr>
    </w:p>
    <w:p w14:paraId="364CAEF2" w14:textId="77777777" w:rsidR="004E063D" w:rsidRDefault="00A444D8" w:rsidP="00A8221F">
      <w:pPr>
        <w:spacing w:line="360" w:lineRule="auto"/>
      </w:pPr>
      <w:r>
        <w:br w:type="page"/>
      </w:r>
    </w:p>
    <w:p w14:paraId="29EAEA9B" w14:textId="659640D8" w:rsidR="00037FC0" w:rsidRPr="00D41904" w:rsidRDefault="004804FA" w:rsidP="00D41904">
      <w:pPr>
        <w:pStyle w:val="TOC1"/>
        <w:rPr>
          <w:rFonts w:ascii="Arial" w:hAnsi="Arial" w:cs="Arial"/>
          <w:sz w:val="32"/>
          <w:szCs w:val="32"/>
        </w:rPr>
      </w:pPr>
      <w:r w:rsidRPr="004804FA">
        <w:rPr>
          <w:rFonts w:ascii="Arial" w:hAnsi="Arial" w:cs="Arial"/>
          <w:sz w:val="32"/>
          <w:szCs w:val="32"/>
        </w:rPr>
        <w:lastRenderedPageBreak/>
        <w:t>Table of conten</w:t>
      </w:r>
      <w:bookmarkStart w:id="0" w:name="_Toc237519594"/>
      <w:bookmarkStart w:id="1" w:name="_Toc237520818"/>
      <w:r w:rsidR="00D41904">
        <w:rPr>
          <w:rFonts w:ascii="Arial" w:hAnsi="Arial" w:cs="Arial"/>
          <w:sz w:val="32"/>
          <w:szCs w:val="32"/>
        </w:rPr>
        <w:t>t</w:t>
      </w:r>
    </w:p>
    <w:p w14:paraId="24B13DFA" w14:textId="77777777" w:rsidR="00037FC0" w:rsidRDefault="00037FC0" w:rsidP="00037FC0"/>
    <w:p w14:paraId="5E8A848D" w14:textId="7FA8B243" w:rsidR="00D41904" w:rsidRDefault="00D41904">
      <w:pPr>
        <w:pStyle w:val="TOC1"/>
        <w:tabs>
          <w:tab w:val="right" w:leader="dot" w:pos="9736"/>
        </w:tabs>
        <w:rPr>
          <w:rFonts w:eastAsiaTheme="minorEastAsia" w:cstheme="minorBidi"/>
          <w:b w:val="0"/>
          <w:bCs w:val="0"/>
          <w:caps w:val="0"/>
          <w:noProof/>
          <w:kern w:val="2"/>
          <w:sz w:val="24"/>
          <w:szCs w:val="24"/>
          <w14:ligatures w14:val="standardContextual"/>
        </w:rPr>
      </w:pPr>
      <w:r>
        <w:fldChar w:fldCharType="begin"/>
      </w:r>
      <w:r>
        <w:instrText xml:space="preserve"> TOC \o "1-1" \h \z \u </w:instrText>
      </w:r>
      <w:r>
        <w:fldChar w:fldCharType="separate"/>
      </w:r>
      <w:hyperlink w:anchor="_Toc237521039" w:history="1">
        <w:r w:rsidRPr="00091DC2">
          <w:rPr>
            <w:rStyle w:val="Hyperlink"/>
            <w:rFonts w:ascii="Arial" w:hAnsi="Arial" w:cs="Arial"/>
            <w:noProof/>
          </w:rPr>
          <w:t>1. Financial Health Check</w:t>
        </w:r>
        <w:r>
          <w:rPr>
            <w:noProof/>
            <w:webHidden/>
          </w:rPr>
          <w:tab/>
        </w:r>
        <w:r>
          <w:rPr>
            <w:noProof/>
            <w:webHidden/>
          </w:rPr>
          <w:fldChar w:fldCharType="begin"/>
        </w:r>
        <w:r>
          <w:rPr>
            <w:noProof/>
            <w:webHidden/>
          </w:rPr>
          <w:instrText xml:space="preserve"> PAGEREF _Toc237521039 \h </w:instrText>
        </w:r>
        <w:r>
          <w:rPr>
            <w:noProof/>
            <w:webHidden/>
          </w:rPr>
        </w:r>
        <w:r>
          <w:rPr>
            <w:noProof/>
            <w:webHidden/>
          </w:rPr>
          <w:fldChar w:fldCharType="separate"/>
        </w:r>
        <w:r>
          <w:rPr>
            <w:noProof/>
            <w:webHidden/>
          </w:rPr>
          <w:t>4</w:t>
        </w:r>
        <w:r>
          <w:rPr>
            <w:noProof/>
            <w:webHidden/>
          </w:rPr>
          <w:fldChar w:fldCharType="end"/>
        </w:r>
      </w:hyperlink>
    </w:p>
    <w:p w14:paraId="030BF5E2" w14:textId="7327A6D3" w:rsidR="00D41904" w:rsidRDefault="00D41904">
      <w:pPr>
        <w:pStyle w:val="TOC1"/>
        <w:tabs>
          <w:tab w:val="right" w:leader="dot" w:pos="9736"/>
        </w:tabs>
        <w:rPr>
          <w:rFonts w:eastAsiaTheme="minorEastAsia" w:cstheme="minorBidi"/>
          <w:b w:val="0"/>
          <w:bCs w:val="0"/>
          <w:caps w:val="0"/>
          <w:noProof/>
          <w:kern w:val="2"/>
          <w:sz w:val="24"/>
          <w:szCs w:val="24"/>
          <w14:ligatures w14:val="standardContextual"/>
        </w:rPr>
      </w:pPr>
      <w:hyperlink w:anchor="_Toc237521040" w:history="1">
        <w:r w:rsidRPr="00091DC2">
          <w:rPr>
            <w:rStyle w:val="Hyperlink"/>
            <w:rFonts w:ascii="Arial" w:hAnsi="Arial" w:cs="Arial"/>
            <w:noProof/>
          </w:rPr>
          <w:t>2. Working Capital Management Analysis</w:t>
        </w:r>
        <w:r>
          <w:rPr>
            <w:noProof/>
            <w:webHidden/>
          </w:rPr>
          <w:tab/>
        </w:r>
        <w:r>
          <w:rPr>
            <w:noProof/>
            <w:webHidden/>
          </w:rPr>
          <w:fldChar w:fldCharType="begin"/>
        </w:r>
        <w:r>
          <w:rPr>
            <w:noProof/>
            <w:webHidden/>
          </w:rPr>
          <w:instrText xml:space="preserve"> PAGEREF _Toc237521040 \h </w:instrText>
        </w:r>
        <w:r>
          <w:rPr>
            <w:noProof/>
            <w:webHidden/>
          </w:rPr>
        </w:r>
        <w:r>
          <w:rPr>
            <w:noProof/>
            <w:webHidden/>
          </w:rPr>
          <w:fldChar w:fldCharType="separate"/>
        </w:r>
        <w:r>
          <w:rPr>
            <w:noProof/>
            <w:webHidden/>
          </w:rPr>
          <w:t>8</w:t>
        </w:r>
        <w:r>
          <w:rPr>
            <w:noProof/>
            <w:webHidden/>
          </w:rPr>
          <w:fldChar w:fldCharType="end"/>
        </w:r>
      </w:hyperlink>
    </w:p>
    <w:p w14:paraId="7CE49EB6" w14:textId="205EA3B9" w:rsidR="00D41904" w:rsidRDefault="00D41904">
      <w:pPr>
        <w:pStyle w:val="TOC1"/>
        <w:tabs>
          <w:tab w:val="right" w:leader="dot" w:pos="9736"/>
        </w:tabs>
        <w:rPr>
          <w:rFonts w:eastAsiaTheme="minorEastAsia" w:cstheme="minorBidi"/>
          <w:b w:val="0"/>
          <w:bCs w:val="0"/>
          <w:caps w:val="0"/>
          <w:noProof/>
          <w:kern w:val="2"/>
          <w:sz w:val="24"/>
          <w:szCs w:val="24"/>
          <w14:ligatures w14:val="standardContextual"/>
        </w:rPr>
      </w:pPr>
      <w:hyperlink w:anchor="_Toc237521041" w:history="1">
        <w:r w:rsidRPr="00091DC2">
          <w:rPr>
            <w:rStyle w:val="Hyperlink"/>
            <w:rFonts w:ascii="Arial" w:hAnsi="Arial" w:cs="Arial"/>
            <w:noProof/>
          </w:rPr>
          <w:t>3. Strategic Financial Restructuring Plan</w:t>
        </w:r>
        <w:r>
          <w:rPr>
            <w:noProof/>
            <w:webHidden/>
          </w:rPr>
          <w:tab/>
        </w:r>
        <w:r>
          <w:rPr>
            <w:noProof/>
            <w:webHidden/>
          </w:rPr>
          <w:fldChar w:fldCharType="begin"/>
        </w:r>
        <w:r>
          <w:rPr>
            <w:noProof/>
            <w:webHidden/>
          </w:rPr>
          <w:instrText xml:space="preserve"> PAGEREF _Toc237521041 \h </w:instrText>
        </w:r>
        <w:r>
          <w:rPr>
            <w:noProof/>
            <w:webHidden/>
          </w:rPr>
        </w:r>
        <w:r>
          <w:rPr>
            <w:noProof/>
            <w:webHidden/>
          </w:rPr>
          <w:fldChar w:fldCharType="separate"/>
        </w:r>
        <w:r>
          <w:rPr>
            <w:noProof/>
            <w:webHidden/>
          </w:rPr>
          <w:t>10</w:t>
        </w:r>
        <w:r>
          <w:rPr>
            <w:noProof/>
            <w:webHidden/>
          </w:rPr>
          <w:fldChar w:fldCharType="end"/>
        </w:r>
      </w:hyperlink>
    </w:p>
    <w:p w14:paraId="69A9B47D" w14:textId="6199BEAE" w:rsidR="00D41904" w:rsidRDefault="00D41904">
      <w:pPr>
        <w:pStyle w:val="TOC1"/>
        <w:tabs>
          <w:tab w:val="right" w:leader="dot" w:pos="9736"/>
        </w:tabs>
        <w:rPr>
          <w:rFonts w:eastAsiaTheme="minorEastAsia" w:cstheme="minorBidi"/>
          <w:b w:val="0"/>
          <w:bCs w:val="0"/>
          <w:caps w:val="0"/>
          <w:noProof/>
          <w:kern w:val="2"/>
          <w:sz w:val="24"/>
          <w:szCs w:val="24"/>
          <w14:ligatures w14:val="standardContextual"/>
        </w:rPr>
      </w:pPr>
      <w:hyperlink w:anchor="_Toc237521042" w:history="1">
        <w:r w:rsidRPr="00091DC2">
          <w:rPr>
            <w:rStyle w:val="Hyperlink"/>
            <w:rFonts w:ascii="Arial" w:hAnsi="Arial" w:cs="Arial"/>
            <w:noProof/>
          </w:rPr>
          <w:t>4. Investment Appraisal and Capital Budgeting</w:t>
        </w:r>
        <w:r>
          <w:rPr>
            <w:noProof/>
            <w:webHidden/>
          </w:rPr>
          <w:tab/>
        </w:r>
        <w:r>
          <w:rPr>
            <w:noProof/>
            <w:webHidden/>
          </w:rPr>
          <w:fldChar w:fldCharType="begin"/>
        </w:r>
        <w:r>
          <w:rPr>
            <w:noProof/>
            <w:webHidden/>
          </w:rPr>
          <w:instrText xml:space="preserve"> PAGEREF _Toc237521042 \h </w:instrText>
        </w:r>
        <w:r>
          <w:rPr>
            <w:noProof/>
            <w:webHidden/>
          </w:rPr>
        </w:r>
        <w:r>
          <w:rPr>
            <w:noProof/>
            <w:webHidden/>
          </w:rPr>
          <w:fldChar w:fldCharType="separate"/>
        </w:r>
        <w:r>
          <w:rPr>
            <w:noProof/>
            <w:webHidden/>
          </w:rPr>
          <w:t>12</w:t>
        </w:r>
        <w:r>
          <w:rPr>
            <w:noProof/>
            <w:webHidden/>
          </w:rPr>
          <w:fldChar w:fldCharType="end"/>
        </w:r>
      </w:hyperlink>
    </w:p>
    <w:p w14:paraId="2E7E0072" w14:textId="26EF4DC8" w:rsidR="00D41904" w:rsidRDefault="00D41904">
      <w:pPr>
        <w:pStyle w:val="TOC1"/>
        <w:tabs>
          <w:tab w:val="right" w:leader="dot" w:pos="9736"/>
        </w:tabs>
        <w:rPr>
          <w:rFonts w:eastAsiaTheme="minorEastAsia" w:cstheme="minorBidi"/>
          <w:b w:val="0"/>
          <w:bCs w:val="0"/>
          <w:caps w:val="0"/>
          <w:noProof/>
          <w:kern w:val="2"/>
          <w:sz w:val="24"/>
          <w:szCs w:val="24"/>
          <w14:ligatures w14:val="standardContextual"/>
        </w:rPr>
      </w:pPr>
      <w:hyperlink w:anchor="_Toc237521043" w:history="1">
        <w:r w:rsidRPr="00091DC2">
          <w:rPr>
            <w:rStyle w:val="Hyperlink"/>
            <w:rFonts w:ascii="Arial" w:hAnsi="Arial" w:cs="Arial"/>
            <w:noProof/>
          </w:rPr>
          <w:t>5. Critical Reflection on AI Usage</w:t>
        </w:r>
        <w:r>
          <w:rPr>
            <w:noProof/>
            <w:webHidden/>
          </w:rPr>
          <w:tab/>
        </w:r>
        <w:r>
          <w:rPr>
            <w:noProof/>
            <w:webHidden/>
          </w:rPr>
          <w:fldChar w:fldCharType="begin"/>
        </w:r>
        <w:r>
          <w:rPr>
            <w:noProof/>
            <w:webHidden/>
          </w:rPr>
          <w:instrText xml:space="preserve"> PAGEREF _Toc237521043 \h </w:instrText>
        </w:r>
        <w:r>
          <w:rPr>
            <w:noProof/>
            <w:webHidden/>
          </w:rPr>
        </w:r>
        <w:r>
          <w:rPr>
            <w:noProof/>
            <w:webHidden/>
          </w:rPr>
          <w:fldChar w:fldCharType="separate"/>
        </w:r>
        <w:r>
          <w:rPr>
            <w:noProof/>
            <w:webHidden/>
          </w:rPr>
          <w:t>16</w:t>
        </w:r>
        <w:r>
          <w:rPr>
            <w:noProof/>
            <w:webHidden/>
          </w:rPr>
          <w:fldChar w:fldCharType="end"/>
        </w:r>
      </w:hyperlink>
    </w:p>
    <w:p w14:paraId="32E3D182" w14:textId="0212E14B" w:rsidR="00D41904" w:rsidRDefault="00D41904">
      <w:pPr>
        <w:pStyle w:val="TOC1"/>
        <w:tabs>
          <w:tab w:val="right" w:leader="dot" w:pos="9736"/>
        </w:tabs>
        <w:rPr>
          <w:rFonts w:eastAsiaTheme="minorEastAsia" w:cstheme="minorBidi"/>
          <w:b w:val="0"/>
          <w:bCs w:val="0"/>
          <w:caps w:val="0"/>
          <w:noProof/>
          <w:kern w:val="2"/>
          <w:sz w:val="24"/>
          <w:szCs w:val="24"/>
          <w14:ligatures w14:val="standardContextual"/>
        </w:rPr>
      </w:pPr>
      <w:hyperlink w:anchor="_Toc237521044" w:history="1">
        <w:r w:rsidRPr="00091DC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_Toc237521044 \h </w:instrText>
        </w:r>
        <w:r>
          <w:rPr>
            <w:noProof/>
            <w:webHidden/>
          </w:rPr>
        </w:r>
        <w:r>
          <w:rPr>
            <w:noProof/>
            <w:webHidden/>
          </w:rPr>
          <w:fldChar w:fldCharType="separate"/>
        </w:r>
        <w:r>
          <w:rPr>
            <w:noProof/>
            <w:webHidden/>
          </w:rPr>
          <w:t>18</w:t>
        </w:r>
        <w:r>
          <w:rPr>
            <w:noProof/>
            <w:webHidden/>
          </w:rPr>
          <w:fldChar w:fldCharType="end"/>
        </w:r>
      </w:hyperlink>
    </w:p>
    <w:p w14:paraId="68E935A0" w14:textId="6E2E5D9D" w:rsidR="00D41904" w:rsidRDefault="00D41904">
      <w:pPr>
        <w:pStyle w:val="TOC1"/>
        <w:tabs>
          <w:tab w:val="right" w:leader="dot" w:pos="9736"/>
        </w:tabs>
        <w:rPr>
          <w:rFonts w:eastAsiaTheme="minorEastAsia" w:cstheme="minorBidi"/>
          <w:b w:val="0"/>
          <w:bCs w:val="0"/>
          <w:caps w:val="0"/>
          <w:noProof/>
          <w:kern w:val="2"/>
          <w:sz w:val="24"/>
          <w:szCs w:val="24"/>
          <w14:ligatures w14:val="standardContextual"/>
        </w:rPr>
      </w:pPr>
      <w:hyperlink w:anchor="_Toc237521045" w:history="1">
        <w:r w:rsidRPr="00091DC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_Toc237521045 \h </w:instrText>
        </w:r>
        <w:r>
          <w:rPr>
            <w:noProof/>
            <w:webHidden/>
          </w:rPr>
        </w:r>
        <w:r>
          <w:rPr>
            <w:noProof/>
            <w:webHidden/>
          </w:rPr>
          <w:fldChar w:fldCharType="separate"/>
        </w:r>
        <w:r>
          <w:rPr>
            <w:noProof/>
            <w:webHidden/>
          </w:rPr>
          <w:t>19</w:t>
        </w:r>
        <w:r>
          <w:rPr>
            <w:noProof/>
            <w:webHidden/>
          </w:rPr>
          <w:fldChar w:fldCharType="end"/>
        </w:r>
      </w:hyperlink>
    </w:p>
    <w:p w14:paraId="55BB2D51" w14:textId="0341483D" w:rsidR="00D41904" w:rsidRDefault="00D41904">
      <w:pPr>
        <w:pStyle w:val="TOC1"/>
        <w:tabs>
          <w:tab w:val="right" w:leader="dot" w:pos="9736"/>
        </w:tabs>
        <w:rPr>
          <w:rFonts w:eastAsiaTheme="minorEastAsia" w:cstheme="minorBidi"/>
          <w:b w:val="0"/>
          <w:bCs w:val="0"/>
          <w:caps w:val="0"/>
          <w:noProof/>
          <w:kern w:val="2"/>
          <w:sz w:val="24"/>
          <w:szCs w:val="24"/>
          <w14:ligatures w14:val="standardContextual"/>
        </w:rPr>
      </w:pPr>
      <w:hyperlink w:anchor="_Toc237521046" w:history="1">
        <w:r w:rsidRPr="00091DC2">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_Toc237521046 \h </w:instrText>
        </w:r>
        <w:r>
          <w:rPr>
            <w:noProof/>
            <w:webHidden/>
          </w:rPr>
        </w:r>
        <w:r>
          <w:rPr>
            <w:noProof/>
            <w:webHidden/>
          </w:rPr>
          <w:fldChar w:fldCharType="separate"/>
        </w:r>
        <w:r>
          <w:rPr>
            <w:noProof/>
            <w:webHidden/>
          </w:rPr>
          <w:t>23</w:t>
        </w:r>
        <w:r>
          <w:rPr>
            <w:noProof/>
            <w:webHidden/>
          </w:rPr>
          <w:fldChar w:fldCharType="end"/>
        </w:r>
      </w:hyperlink>
    </w:p>
    <w:p w14:paraId="14F3EB50" w14:textId="08C64F60" w:rsidR="00037FC0" w:rsidRPr="00037FC0" w:rsidRDefault="00D41904" w:rsidP="00037FC0">
      <w:r>
        <w:fldChar w:fldCharType="end"/>
      </w:r>
    </w:p>
    <w:p w14:paraId="243E9BA5" w14:textId="77777777" w:rsidR="00D41904" w:rsidRDefault="00D41904" w:rsidP="004804FA">
      <w:pPr>
        <w:pStyle w:val="TOC1"/>
        <w:rPr>
          <w:color w:val="1F4E78"/>
          <w:sz w:val="28"/>
          <w:szCs w:val="28"/>
        </w:rPr>
      </w:pPr>
    </w:p>
    <w:p w14:paraId="5B3D46BA" w14:textId="77777777" w:rsidR="00D41904" w:rsidRDefault="00D41904" w:rsidP="004804FA">
      <w:pPr>
        <w:pStyle w:val="TOC1"/>
        <w:rPr>
          <w:color w:val="1F4E78"/>
          <w:sz w:val="28"/>
          <w:szCs w:val="28"/>
        </w:rPr>
      </w:pPr>
    </w:p>
    <w:p w14:paraId="21639393" w14:textId="77777777" w:rsidR="00D41904" w:rsidRDefault="00D41904" w:rsidP="004804FA">
      <w:pPr>
        <w:pStyle w:val="TOC1"/>
        <w:rPr>
          <w:color w:val="1F4E78"/>
          <w:sz w:val="28"/>
          <w:szCs w:val="28"/>
        </w:rPr>
      </w:pPr>
    </w:p>
    <w:p w14:paraId="0668430D" w14:textId="77777777" w:rsidR="00D41904" w:rsidRDefault="00D41904" w:rsidP="004804FA">
      <w:pPr>
        <w:pStyle w:val="TOC1"/>
        <w:rPr>
          <w:color w:val="1F4E78"/>
          <w:sz w:val="28"/>
          <w:szCs w:val="28"/>
        </w:rPr>
      </w:pPr>
    </w:p>
    <w:p w14:paraId="1B7DD245" w14:textId="77777777" w:rsidR="00D41904" w:rsidRDefault="00D41904" w:rsidP="004804FA">
      <w:pPr>
        <w:pStyle w:val="TOC1"/>
        <w:rPr>
          <w:color w:val="1F4E78"/>
          <w:sz w:val="28"/>
          <w:szCs w:val="28"/>
        </w:rPr>
      </w:pPr>
    </w:p>
    <w:p w14:paraId="073A59E0" w14:textId="77777777" w:rsidR="00D41904" w:rsidRDefault="00D41904" w:rsidP="004804FA">
      <w:pPr>
        <w:pStyle w:val="TOC1"/>
        <w:rPr>
          <w:color w:val="1F4E78"/>
          <w:sz w:val="28"/>
          <w:szCs w:val="28"/>
        </w:rPr>
      </w:pPr>
    </w:p>
    <w:p w14:paraId="0333F3DE" w14:textId="77777777" w:rsidR="00D41904" w:rsidRDefault="00D41904" w:rsidP="004804FA">
      <w:pPr>
        <w:pStyle w:val="TOC1"/>
        <w:rPr>
          <w:color w:val="1F4E78"/>
          <w:sz w:val="28"/>
          <w:szCs w:val="28"/>
        </w:rPr>
      </w:pPr>
    </w:p>
    <w:p w14:paraId="79273BE6" w14:textId="77777777" w:rsidR="00D41904" w:rsidRDefault="00D41904" w:rsidP="004804FA">
      <w:pPr>
        <w:pStyle w:val="TOC1"/>
        <w:rPr>
          <w:color w:val="1F4E78"/>
          <w:sz w:val="28"/>
          <w:szCs w:val="28"/>
        </w:rPr>
      </w:pPr>
    </w:p>
    <w:p w14:paraId="2212765D" w14:textId="77777777" w:rsidR="00D41904" w:rsidRDefault="00D41904" w:rsidP="004804FA">
      <w:pPr>
        <w:pStyle w:val="TOC1"/>
        <w:rPr>
          <w:color w:val="1F4E78"/>
          <w:sz w:val="28"/>
          <w:szCs w:val="28"/>
        </w:rPr>
      </w:pPr>
    </w:p>
    <w:p w14:paraId="571390A9" w14:textId="77777777" w:rsidR="00D41904" w:rsidRDefault="00D41904" w:rsidP="004804FA">
      <w:pPr>
        <w:pStyle w:val="TOC1"/>
        <w:rPr>
          <w:color w:val="1F4E78"/>
          <w:sz w:val="28"/>
          <w:szCs w:val="28"/>
        </w:rPr>
      </w:pPr>
    </w:p>
    <w:p w14:paraId="6505D92B" w14:textId="77777777" w:rsidR="00D41904" w:rsidRDefault="00D41904" w:rsidP="004804FA">
      <w:pPr>
        <w:pStyle w:val="TOC1"/>
        <w:rPr>
          <w:color w:val="1F4E78"/>
          <w:sz w:val="28"/>
          <w:szCs w:val="28"/>
        </w:rPr>
      </w:pPr>
    </w:p>
    <w:p w14:paraId="5DC35ED7" w14:textId="77777777" w:rsidR="00D41904" w:rsidRDefault="00D41904" w:rsidP="004804FA">
      <w:pPr>
        <w:pStyle w:val="TOC1"/>
        <w:rPr>
          <w:color w:val="1F4E78"/>
          <w:sz w:val="28"/>
          <w:szCs w:val="28"/>
        </w:rPr>
      </w:pPr>
    </w:p>
    <w:p w14:paraId="2A4834E9" w14:textId="77777777" w:rsidR="00D41904" w:rsidRDefault="00D41904" w:rsidP="004804FA">
      <w:pPr>
        <w:pStyle w:val="TOC1"/>
        <w:rPr>
          <w:color w:val="1F4E78"/>
          <w:sz w:val="28"/>
          <w:szCs w:val="28"/>
        </w:rPr>
      </w:pPr>
    </w:p>
    <w:p w14:paraId="5FA66EB8" w14:textId="77777777" w:rsidR="00D41904" w:rsidRDefault="00D41904" w:rsidP="004804FA">
      <w:pPr>
        <w:pStyle w:val="TOC1"/>
        <w:rPr>
          <w:color w:val="1F4E78"/>
          <w:sz w:val="28"/>
          <w:szCs w:val="28"/>
        </w:rPr>
      </w:pPr>
    </w:p>
    <w:p w14:paraId="03AF6607" w14:textId="77777777" w:rsidR="00D41904" w:rsidRDefault="00D41904" w:rsidP="004804FA">
      <w:pPr>
        <w:pStyle w:val="TOC1"/>
        <w:rPr>
          <w:color w:val="1F4E78"/>
          <w:sz w:val="28"/>
          <w:szCs w:val="28"/>
        </w:rPr>
      </w:pPr>
    </w:p>
    <w:p w14:paraId="76F7C8D4" w14:textId="77777777" w:rsidR="003C225D" w:rsidRDefault="003C225D" w:rsidP="004804FA">
      <w:pPr>
        <w:pStyle w:val="TOC1"/>
        <w:rPr>
          <w:color w:val="1F4E78"/>
          <w:sz w:val="28"/>
          <w:szCs w:val="28"/>
        </w:rPr>
      </w:pPr>
    </w:p>
    <w:p w14:paraId="2CB42726" w14:textId="77777777" w:rsidR="003C225D" w:rsidRDefault="003C225D" w:rsidP="004804FA">
      <w:pPr>
        <w:pStyle w:val="TOC1"/>
        <w:rPr>
          <w:color w:val="1F4E78"/>
          <w:sz w:val="28"/>
          <w:szCs w:val="28"/>
        </w:rPr>
      </w:pPr>
    </w:p>
    <w:p w14:paraId="5FDF41DE" w14:textId="77777777" w:rsidR="003C225D" w:rsidRDefault="003C225D" w:rsidP="004804FA">
      <w:pPr>
        <w:pStyle w:val="TOC1"/>
        <w:rPr>
          <w:color w:val="1F4E78"/>
          <w:sz w:val="28"/>
          <w:szCs w:val="28"/>
        </w:rPr>
      </w:pPr>
    </w:p>
    <w:p w14:paraId="6FBA6C9E" w14:textId="77777777" w:rsidR="003C225D" w:rsidRDefault="003C225D" w:rsidP="004804FA">
      <w:pPr>
        <w:pStyle w:val="TOC1"/>
        <w:rPr>
          <w:color w:val="1F4E78"/>
          <w:sz w:val="28"/>
          <w:szCs w:val="28"/>
        </w:rPr>
      </w:pPr>
    </w:p>
    <w:p w14:paraId="55BE8775" w14:textId="77777777" w:rsidR="003C225D" w:rsidRDefault="003C225D" w:rsidP="004804FA">
      <w:pPr>
        <w:pStyle w:val="TOC1"/>
        <w:rPr>
          <w:color w:val="1F4E78"/>
          <w:sz w:val="28"/>
          <w:szCs w:val="28"/>
        </w:rPr>
      </w:pPr>
    </w:p>
    <w:p w14:paraId="2C9F3E64" w14:textId="77777777" w:rsidR="003C225D" w:rsidRDefault="003C225D" w:rsidP="004804FA">
      <w:pPr>
        <w:pStyle w:val="TOC1"/>
        <w:rPr>
          <w:color w:val="1F4E78"/>
          <w:sz w:val="28"/>
          <w:szCs w:val="28"/>
        </w:rPr>
      </w:pPr>
    </w:p>
    <w:p w14:paraId="725A0870" w14:textId="77777777" w:rsidR="003C225D" w:rsidRDefault="003C225D" w:rsidP="004804FA">
      <w:pPr>
        <w:pStyle w:val="TOC1"/>
        <w:rPr>
          <w:color w:val="1F4E78"/>
          <w:sz w:val="28"/>
          <w:szCs w:val="28"/>
        </w:rPr>
      </w:pPr>
    </w:p>
    <w:p w14:paraId="364CAEF3" w14:textId="74296023" w:rsidR="004E063D" w:rsidRPr="004804FA" w:rsidRDefault="00A444D8" w:rsidP="004804FA">
      <w:pPr>
        <w:pStyle w:val="TOC1"/>
        <w:rPr>
          <w:b w:val="0"/>
          <w:bCs w:val="0"/>
          <w:color w:val="1F4E78"/>
          <w:sz w:val="28"/>
          <w:szCs w:val="28"/>
        </w:rPr>
      </w:pPr>
      <w:r>
        <w:rPr>
          <w:color w:val="1F4E78"/>
          <w:sz w:val="28"/>
          <w:szCs w:val="28"/>
        </w:rPr>
        <w:lastRenderedPageBreak/>
        <w:t>Introduction</w:t>
      </w:r>
      <w:bookmarkEnd w:id="0"/>
      <w:bookmarkEnd w:id="1"/>
    </w:p>
    <w:p w14:paraId="6D94A627" w14:textId="77777777" w:rsidR="00836F6B" w:rsidRPr="00A8221F" w:rsidRDefault="00836F6B" w:rsidP="00A8221F">
      <w:pPr>
        <w:spacing w:line="360" w:lineRule="auto"/>
        <w:rPr>
          <w:rFonts w:ascii="Arial" w:hAnsi="Arial" w:cs="Arial"/>
          <w:sz w:val="24"/>
          <w:szCs w:val="24"/>
        </w:rPr>
      </w:pPr>
      <w:r w:rsidRPr="00A8221F">
        <w:rPr>
          <w:rFonts w:ascii="Arial" w:hAnsi="Arial" w:cs="Arial"/>
          <w:sz w:val="24"/>
          <w:szCs w:val="24"/>
        </w:rPr>
        <w:t xml:space="preserve">InterContinental Hotels Group PLC (“IHG”) is a British multinational hotel company, based in Windsor, England, whose shares are traded on the London Stock Exchange (FTSE 100) and on the New York Stock Exchange (NYSE), as an American Depository Receipt (IHG plc, 2026a). It offers a range of 21 hotel brands – from InterContinental to Kimpton and Regent at the luxury end of things, to Holiday Inn Express and Staybridge Suites – and more than 7,000 hotels and over one million rooms in upwards of 100 countries, backed by the IHG One Rewards loyalty programme that has expanded to over 160 million members (IHG plc, 2026a). IHG's asset-light approach, where the bulk of its revenue comes from franchise fees and hotel-management fees instead of owning hotel property, leads to less cyclicality in its asset values but still allows it to enjoy the economies of scale of a global brand, reservations system and loyalty program (Busch, 2023). </w:t>
      </w:r>
    </w:p>
    <w:p w14:paraId="5FC65691" w14:textId="77777777" w:rsidR="00836F6B" w:rsidRPr="00A8221F" w:rsidRDefault="00836F6B" w:rsidP="00A8221F">
      <w:pPr>
        <w:spacing w:line="360" w:lineRule="auto"/>
        <w:rPr>
          <w:rFonts w:ascii="Arial" w:hAnsi="Arial" w:cs="Arial"/>
          <w:sz w:val="24"/>
          <w:szCs w:val="24"/>
        </w:rPr>
      </w:pPr>
    </w:p>
    <w:p w14:paraId="364CAEF6" w14:textId="7AB729AA" w:rsidR="004E063D" w:rsidRPr="00A8221F" w:rsidRDefault="00836F6B" w:rsidP="00A8221F">
      <w:pPr>
        <w:spacing w:line="360" w:lineRule="auto"/>
        <w:rPr>
          <w:rFonts w:ascii="Arial" w:hAnsi="Arial" w:cs="Arial"/>
          <w:sz w:val="24"/>
          <w:szCs w:val="24"/>
        </w:rPr>
      </w:pPr>
      <w:r w:rsidRPr="00A8221F">
        <w:rPr>
          <w:rFonts w:ascii="Arial" w:hAnsi="Arial" w:cs="Arial"/>
          <w:sz w:val="24"/>
          <w:szCs w:val="24"/>
        </w:rPr>
        <w:t>This report is written from the perspective of IHG's Chief Financial Officer who is preparing a Board review. It has three inter-related objectives: firstly, to analyse the actual performance of IHG in the financial period FY2021 to FY2025, and what that indicates about the Group's financial strengths and weaknesses; secondly, to then use that analysis to develop a suitable financial plan for the Group, which includes the working capital, the financing mix and the balance-sheet structure; and thirdly, to formally apply investment-appraisal financial discipline to three potential capital projects, ensuring that any recommendation to the Board is based on evidenc rather than intuition. The report continues by performing a financial health check (Section 1), a working capital review (Section 2), a restructuring strategy (Section 3), an investment appraisal (Section 4), and reflection on the use and verification of AI tools during the analysis (Section 5).</w:t>
      </w:r>
      <w:r w:rsidR="00A444D8" w:rsidRPr="00A8221F">
        <w:rPr>
          <w:rFonts w:ascii="Arial" w:hAnsi="Arial" w:cs="Arial"/>
          <w:sz w:val="24"/>
          <w:szCs w:val="24"/>
        </w:rPr>
        <w:br w:type="page"/>
      </w:r>
    </w:p>
    <w:p w14:paraId="364CAEF7" w14:textId="77777777" w:rsidR="004E063D" w:rsidRPr="00A8221F" w:rsidRDefault="00A444D8" w:rsidP="00A8221F">
      <w:pPr>
        <w:pStyle w:val="Heading1"/>
        <w:spacing w:before="380" w:after="180" w:line="360" w:lineRule="auto"/>
        <w:rPr>
          <w:rFonts w:ascii="Arial" w:hAnsi="Arial" w:cs="Arial"/>
          <w:sz w:val="24"/>
          <w:szCs w:val="24"/>
        </w:rPr>
      </w:pPr>
      <w:bookmarkStart w:id="2" w:name="_Toc237519595"/>
      <w:bookmarkStart w:id="3" w:name="_Toc237520819"/>
      <w:bookmarkStart w:id="4" w:name="_Toc237521039"/>
      <w:r w:rsidRPr="00A8221F">
        <w:rPr>
          <w:rFonts w:ascii="Arial" w:hAnsi="Arial" w:cs="Arial"/>
          <w:b/>
          <w:bCs/>
          <w:color w:val="1F4E78"/>
          <w:sz w:val="24"/>
          <w:szCs w:val="24"/>
        </w:rPr>
        <w:lastRenderedPageBreak/>
        <w:t>1. Financial Health Check</w:t>
      </w:r>
      <w:bookmarkEnd w:id="2"/>
      <w:bookmarkEnd w:id="3"/>
      <w:bookmarkEnd w:id="4"/>
    </w:p>
    <w:p w14:paraId="364CAEF8" w14:textId="77777777" w:rsidR="004E063D" w:rsidRPr="00A8221F" w:rsidRDefault="00A444D8" w:rsidP="00A8221F">
      <w:pPr>
        <w:pStyle w:val="Heading2"/>
        <w:spacing w:before="280" w:after="140" w:line="360" w:lineRule="auto"/>
        <w:rPr>
          <w:rFonts w:ascii="Arial" w:hAnsi="Arial" w:cs="Arial"/>
          <w:sz w:val="24"/>
          <w:szCs w:val="24"/>
        </w:rPr>
      </w:pPr>
      <w:bookmarkStart w:id="5" w:name="_Toc237519596"/>
      <w:bookmarkStart w:id="6" w:name="_Toc237520820"/>
      <w:r w:rsidRPr="00A8221F">
        <w:rPr>
          <w:rFonts w:ascii="Arial" w:hAnsi="Arial" w:cs="Arial"/>
          <w:b/>
          <w:bCs/>
          <w:color w:val="1F4E78"/>
          <w:sz w:val="24"/>
          <w:szCs w:val="24"/>
        </w:rPr>
        <w:t>(a) Five-Year Financial Trend</w:t>
      </w:r>
      <w:bookmarkEnd w:id="5"/>
      <w:bookmarkEnd w:id="6"/>
    </w:p>
    <w:p w14:paraId="655E5812" w14:textId="77777777" w:rsidR="00C245EB" w:rsidRPr="00A8221F" w:rsidRDefault="00C245EB" w:rsidP="00A8221F">
      <w:pPr>
        <w:pStyle w:val="Heading2"/>
        <w:spacing w:before="280" w:after="140" w:line="360" w:lineRule="auto"/>
        <w:rPr>
          <w:rFonts w:ascii="Arial" w:hAnsi="Arial" w:cs="Arial"/>
          <w:b/>
          <w:bCs/>
          <w:color w:val="auto"/>
          <w:sz w:val="24"/>
          <w:szCs w:val="24"/>
        </w:rPr>
      </w:pPr>
      <w:bookmarkStart w:id="7" w:name="_Toc237519597"/>
      <w:bookmarkStart w:id="8" w:name="_Toc237520821"/>
      <w:r w:rsidRPr="00A8221F">
        <w:rPr>
          <w:rFonts w:ascii="Arial" w:hAnsi="Arial" w:cs="Arial"/>
          <w:color w:val="auto"/>
          <w:sz w:val="24"/>
          <w:szCs w:val="24"/>
        </w:rPr>
        <w:t>The financial statement of IHG for the financial years (FY) 2021-2025 is quite clear in terms of the recovery and growth path it is on (IHG plc, 2026c; StockAnalysis.com, 2026). Revenue increased from $2,907m in FY2021 to $5,189m in FY2025. Operating profit (EBIT) increased by over 200% to $1,198m and EBITDA grew by more than 400%, to $1,344m. Net income grew to $759m and free cash flow grew to $870m. Diluted EPS rose more than threefold to $4.87, which included profit growth and a decrease in the number of shares due to continued buybacks. The balance sheet is another story: shareholders' equity was already negative at $1,474m in FY2021, but dropped even further to a deficit of $2,736m by FY2025 as, on one hand, cash was repatriated to shareholders through dividends and buybacks, and on the other hand, retained earnings were consistently less than cash returned to shareholders, a deliberate capital-allocation choice that is explored in more detail below and in Section 3 that shows no weakness in the trading.</w:t>
      </w:r>
      <w:bookmarkEnd w:id="8"/>
      <w:r w:rsidRPr="00A8221F">
        <w:rPr>
          <w:rFonts w:ascii="Arial" w:hAnsi="Arial" w:cs="Arial"/>
          <w:b/>
          <w:bCs/>
          <w:color w:val="auto"/>
          <w:sz w:val="24"/>
          <w:szCs w:val="24"/>
        </w:rPr>
        <w:t xml:space="preserve"> </w:t>
      </w:r>
    </w:p>
    <w:p w14:paraId="364CAEFA" w14:textId="355051C9" w:rsidR="004E063D" w:rsidRPr="00A8221F" w:rsidRDefault="00A444D8" w:rsidP="00A8221F">
      <w:pPr>
        <w:pStyle w:val="Heading2"/>
        <w:spacing w:before="280" w:after="140" w:line="360" w:lineRule="auto"/>
        <w:rPr>
          <w:rFonts w:ascii="Arial" w:hAnsi="Arial" w:cs="Arial"/>
          <w:sz w:val="24"/>
          <w:szCs w:val="24"/>
        </w:rPr>
      </w:pPr>
      <w:bookmarkStart w:id="9" w:name="_Toc237520822"/>
      <w:r w:rsidRPr="00A8221F">
        <w:rPr>
          <w:rFonts w:ascii="Arial" w:hAnsi="Arial" w:cs="Arial"/>
          <w:b/>
          <w:bCs/>
          <w:color w:val="1F4E78"/>
          <w:sz w:val="24"/>
          <w:szCs w:val="24"/>
        </w:rPr>
        <w:t>(b) Ratio Analysis</w:t>
      </w:r>
      <w:bookmarkEnd w:id="7"/>
      <w:bookmarkEnd w:id="9"/>
    </w:p>
    <w:p w14:paraId="364CAEFB"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Six categories of ratio were examined: profitability, liquidity, efficiency, gearing, investment, and cash flow. A full five-year data set is provided in Appendix 1; the key findings for each category are summarised below.</w:t>
      </w:r>
    </w:p>
    <w:p w14:paraId="364CAEFC" w14:textId="77777777" w:rsidR="004E063D" w:rsidRPr="00A8221F" w:rsidRDefault="00A444D8" w:rsidP="00A8221F">
      <w:pPr>
        <w:pStyle w:val="Heading3"/>
        <w:spacing w:before="200" w:after="100" w:line="360" w:lineRule="auto"/>
        <w:rPr>
          <w:rFonts w:ascii="Arial" w:hAnsi="Arial" w:cs="Arial"/>
        </w:rPr>
      </w:pPr>
      <w:bookmarkStart w:id="10" w:name="_Toc237519598"/>
      <w:bookmarkStart w:id="11" w:name="_Toc237520823"/>
      <w:r w:rsidRPr="00A8221F">
        <w:rPr>
          <w:rFonts w:ascii="Arial" w:hAnsi="Arial" w:cs="Arial"/>
          <w:b/>
          <w:bCs/>
          <w:color w:val="2E4E6B"/>
        </w:rPr>
        <w:t>Profitability</w:t>
      </w:r>
      <w:bookmarkEnd w:id="10"/>
      <w:bookmarkEnd w:id="11"/>
    </w:p>
    <w:p w14:paraId="364CAEFD"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Profitability ratios measure how effectively revenue and capital are converted into profit (Wall Street Prep, 2024). IHG's net profit margin rose from 9.1% (FY2021) to 14.6% (FY2025), and operating margin from 17.0% to 23.1%, evidencing strong operating leverage: because most of IHG's cost base is fixed at corporate level, growth in the fee-earning hotel system converts disproportionately into profit. Return on capital employed more than doubled, from 16.0% to 36.9%, reflecting the capital efficiency inherent in an asset-light franchise model.</w:t>
      </w:r>
    </w:p>
    <w:p w14:paraId="026A6A03" w14:textId="77777777" w:rsidR="00A775B4" w:rsidRPr="00A8221F" w:rsidRDefault="00A775B4" w:rsidP="00A8221F">
      <w:pPr>
        <w:pStyle w:val="Heading3"/>
        <w:spacing w:before="200" w:after="100" w:line="360" w:lineRule="auto"/>
        <w:rPr>
          <w:rFonts w:ascii="Arial" w:hAnsi="Arial" w:cs="Arial"/>
          <w:b/>
          <w:bCs/>
          <w:color w:val="2E4E6B"/>
        </w:rPr>
      </w:pPr>
      <w:bookmarkStart w:id="12" w:name="_Toc237519601"/>
      <w:bookmarkStart w:id="13" w:name="_Toc237520824"/>
      <w:r w:rsidRPr="00A8221F">
        <w:rPr>
          <w:rFonts w:ascii="Arial" w:hAnsi="Arial" w:cs="Arial"/>
          <w:b/>
          <w:bCs/>
          <w:color w:val="2E4E6B"/>
        </w:rPr>
        <w:t>Liquidity Ratios</w:t>
      </w:r>
      <w:bookmarkEnd w:id="13"/>
    </w:p>
    <w:p w14:paraId="4771A3D8" w14:textId="77777777" w:rsidR="00A775B4" w:rsidRPr="00A8221F" w:rsidRDefault="00A775B4" w:rsidP="00A8221F">
      <w:pPr>
        <w:pStyle w:val="Heading3"/>
        <w:spacing w:before="200" w:after="100" w:line="360" w:lineRule="auto"/>
        <w:rPr>
          <w:rFonts w:ascii="Arial" w:hAnsi="Arial" w:cs="Arial"/>
          <w:color w:val="auto"/>
        </w:rPr>
      </w:pPr>
      <w:bookmarkStart w:id="14" w:name="_Toc237520825"/>
      <w:r w:rsidRPr="00A8221F">
        <w:rPr>
          <w:rFonts w:ascii="Arial" w:hAnsi="Arial" w:cs="Arial"/>
          <w:color w:val="auto"/>
        </w:rPr>
        <w:t xml:space="preserve">Liquidity ratios gauge a company’s ability to satisfy short-term debts (Fachrian and Hidayat, 2023). In this case, the opposite is true as both the current ratio declined from 1.27x to 0.98x and the quick ratio (almost identical considering insignificant inventories) declined from 1.27x to 0.97x within five years, making current liabilities greater than current assets. </w:t>
      </w:r>
      <w:r w:rsidRPr="00A8221F">
        <w:rPr>
          <w:rFonts w:ascii="Arial" w:hAnsi="Arial" w:cs="Arial"/>
          <w:color w:val="auto"/>
        </w:rPr>
        <w:lastRenderedPageBreak/>
        <w:t>Whether this poses a real problem is discussed further below in part (d) as the response will depend largely on the benchmark applied.</w:t>
      </w:r>
      <w:bookmarkEnd w:id="14"/>
    </w:p>
    <w:p w14:paraId="6DA77C7F" w14:textId="77777777" w:rsidR="00A775B4" w:rsidRPr="00A8221F" w:rsidRDefault="00A775B4" w:rsidP="00A8221F">
      <w:pPr>
        <w:pStyle w:val="Heading3"/>
        <w:spacing w:before="200" w:after="100" w:line="360" w:lineRule="auto"/>
        <w:rPr>
          <w:rFonts w:ascii="Arial" w:hAnsi="Arial" w:cs="Arial"/>
          <w:b/>
          <w:bCs/>
          <w:color w:val="2E4E6B"/>
        </w:rPr>
      </w:pPr>
      <w:bookmarkStart w:id="15" w:name="_Toc237520826"/>
      <w:r w:rsidRPr="00A8221F">
        <w:rPr>
          <w:rFonts w:ascii="Arial" w:hAnsi="Arial" w:cs="Arial"/>
          <w:b/>
          <w:bCs/>
          <w:color w:val="2E4E6B"/>
        </w:rPr>
        <w:t>Efficiency Ratios</w:t>
      </w:r>
      <w:bookmarkEnd w:id="15"/>
    </w:p>
    <w:p w14:paraId="33D82A31" w14:textId="77777777" w:rsidR="00A775B4" w:rsidRPr="00A8221F" w:rsidRDefault="00A775B4" w:rsidP="00A8221F">
      <w:pPr>
        <w:pStyle w:val="Heading3"/>
        <w:spacing w:before="200" w:after="100" w:line="360" w:lineRule="auto"/>
        <w:rPr>
          <w:rFonts w:ascii="Arial" w:hAnsi="Arial" w:cs="Arial"/>
          <w:b/>
          <w:bCs/>
          <w:color w:val="2E4E6B"/>
        </w:rPr>
      </w:pPr>
      <w:bookmarkStart w:id="16" w:name="_Toc237520827"/>
      <w:r w:rsidRPr="00A8221F">
        <w:rPr>
          <w:rFonts w:ascii="Arial" w:hAnsi="Arial" w:cs="Arial"/>
          <w:color w:val="auto"/>
        </w:rPr>
        <w:t>Efficiency ratios measure efficiency of asset management in generating revenue (Corporate Finance Institute, 2026a). Both asset turnover and receivable days increased from 0.62x to around 1.0x and from 72.2 to 60.5, respectively, reflecting a more mature and efficient fee collection process. The cash conversion cycle of IHG (receivables days minus payables days) was negative for all five years (approximately -32 days for FY2021 to -9 days for FY2025), which is elaborated upon in Section 2(a</w:t>
      </w:r>
      <w:r w:rsidRPr="00A8221F">
        <w:rPr>
          <w:rFonts w:ascii="Arial" w:hAnsi="Arial" w:cs="Arial"/>
          <w:b/>
          <w:bCs/>
          <w:color w:val="2E4E6B"/>
        </w:rPr>
        <w:t>)</w:t>
      </w:r>
      <w:bookmarkEnd w:id="16"/>
    </w:p>
    <w:p w14:paraId="364CAF02" w14:textId="06D757D8" w:rsidR="004E063D" w:rsidRPr="00A8221F" w:rsidRDefault="00A444D8" w:rsidP="00A8221F">
      <w:pPr>
        <w:pStyle w:val="Heading3"/>
        <w:spacing w:before="200" w:after="100" w:line="360" w:lineRule="auto"/>
        <w:rPr>
          <w:rFonts w:ascii="Arial" w:hAnsi="Arial" w:cs="Arial"/>
        </w:rPr>
      </w:pPr>
      <w:bookmarkStart w:id="17" w:name="_Toc237520828"/>
      <w:r w:rsidRPr="00A8221F">
        <w:rPr>
          <w:rFonts w:ascii="Arial" w:hAnsi="Arial" w:cs="Arial"/>
          <w:b/>
          <w:bCs/>
          <w:color w:val="2E4E6B"/>
        </w:rPr>
        <w:t>Gearing</w:t>
      </w:r>
      <w:bookmarkEnd w:id="12"/>
      <w:bookmarkEnd w:id="17"/>
    </w:p>
    <w:p w14:paraId="7ADD7DB2" w14:textId="77777777" w:rsidR="0072289C" w:rsidRPr="00A8221F" w:rsidRDefault="0072289C" w:rsidP="00A8221F">
      <w:pPr>
        <w:pStyle w:val="Heading3"/>
        <w:spacing w:before="200" w:after="100" w:line="360" w:lineRule="auto"/>
        <w:rPr>
          <w:rFonts w:ascii="Arial" w:hAnsi="Arial" w:cs="Arial"/>
          <w:color w:val="auto"/>
        </w:rPr>
      </w:pPr>
      <w:bookmarkStart w:id="18" w:name="_Toc237519603"/>
      <w:bookmarkStart w:id="19" w:name="_Toc237520829"/>
      <w:r w:rsidRPr="00A8221F">
        <w:rPr>
          <w:rFonts w:ascii="Arial" w:hAnsi="Arial" w:cs="Arial"/>
          <w:color w:val="auto"/>
        </w:rPr>
        <w:t>Gearing shows the level of debt and the ability to pay it back (Rusu and Roman, 2022). Since the shareholders' equity has been negative every year in the review period, the traditional debt/equity ratio does not work for IHG, while net debt/EBITDA and interest cover ratios are used. Net debt/EBITDA has decreased from 2.64x to 1.87x in FY2023 and increased again to 2.59x in FY2025 with the resumption of debt-financed buybacks. Interest cover ratio has been improving from 3.36x to 5.93x (with a peak of 8.46x in FY2023) indicating that the growth in EBIT has so far outpaced the increase in debt servicing costs.</w:t>
      </w:r>
      <w:bookmarkEnd w:id="19"/>
    </w:p>
    <w:p w14:paraId="1E2C212F" w14:textId="77777777" w:rsidR="0072289C" w:rsidRPr="00A8221F" w:rsidRDefault="0072289C" w:rsidP="00A8221F">
      <w:pPr>
        <w:pStyle w:val="Heading3"/>
        <w:spacing w:before="200" w:after="100" w:line="360" w:lineRule="auto"/>
        <w:rPr>
          <w:rFonts w:ascii="Arial" w:hAnsi="Arial" w:cs="Arial"/>
          <w:color w:val="auto"/>
        </w:rPr>
      </w:pPr>
      <w:bookmarkStart w:id="20" w:name="_Toc237520830"/>
      <w:r w:rsidRPr="00A8221F">
        <w:rPr>
          <w:rFonts w:ascii="Arial" w:hAnsi="Arial" w:cs="Arial"/>
          <w:b/>
          <w:bCs/>
          <w:color w:val="2E4E6B"/>
        </w:rPr>
        <w:t>Investment</w:t>
      </w:r>
      <w:bookmarkEnd w:id="20"/>
    </w:p>
    <w:p w14:paraId="7239B8CF" w14:textId="77777777" w:rsidR="0072289C" w:rsidRPr="00A8221F" w:rsidRDefault="0072289C" w:rsidP="00A8221F">
      <w:pPr>
        <w:pStyle w:val="Heading3"/>
        <w:spacing w:before="200" w:after="100" w:line="360" w:lineRule="auto"/>
        <w:rPr>
          <w:rFonts w:ascii="Arial" w:hAnsi="Arial" w:cs="Arial"/>
          <w:color w:val="auto"/>
        </w:rPr>
      </w:pPr>
      <w:bookmarkStart w:id="21" w:name="_Toc237520831"/>
      <w:r w:rsidRPr="00A8221F">
        <w:rPr>
          <w:rFonts w:ascii="Arial" w:hAnsi="Arial" w:cs="Arial"/>
          <w:color w:val="auto"/>
        </w:rPr>
        <w:t>Investment ratios show the amount earned by the shareholders (Accaglobal, 2026). The return on equity has no meaning since the negative value in the denominator converts the growing profit into negative (−18% to −28%). More useful indicators are diluted EPS and dividends per share: EPS have grown from $1.45 to $4.87, while DPS – from $0.86 to $1.845.</w:t>
      </w:r>
      <w:bookmarkEnd w:id="21"/>
    </w:p>
    <w:p w14:paraId="364CAF06" w14:textId="749AD065" w:rsidR="004E063D" w:rsidRPr="00A8221F" w:rsidRDefault="00A444D8" w:rsidP="00A8221F">
      <w:pPr>
        <w:pStyle w:val="Heading3"/>
        <w:spacing w:before="200" w:after="100" w:line="360" w:lineRule="auto"/>
        <w:rPr>
          <w:rFonts w:ascii="Arial" w:hAnsi="Arial" w:cs="Arial"/>
        </w:rPr>
      </w:pPr>
      <w:bookmarkStart w:id="22" w:name="_Toc237520832"/>
      <w:r w:rsidRPr="00A8221F">
        <w:rPr>
          <w:rFonts w:ascii="Arial" w:hAnsi="Arial" w:cs="Arial"/>
          <w:b/>
          <w:bCs/>
          <w:color w:val="2E4E6B"/>
        </w:rPr>
        <w:t>Cash Flow</w:t>
      </w:r>
      <w:bookmarkEnd w:id="18"/>
      <w:bookmarkEnd w:id="22"/>
    </w:p>
    <w:p w14:paraId="364CAF07"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Cash flow ratios reveal how much cash a business actually generates, as opposed to reports (Seretidou et al., 2025). IHG's operating cash flow margin moved from 21.9% to 17.3% (dipping to 14.7% in FY2024), while free cash flow rose in absolute terms from $619m to $870m and consistently exceeded net income — evidence of high cash-quality earnings rather than accounting profit alone.</w:t>
      </w:r>
    </w:p>
    <w:p w14:paraId="7714FCD9" w14:textId="77777777" w:rsidR="004804FA" w:rsidRDefault="004804FA" w:rsidP="00A8221F">
      <w:pPr>
        <w:pStyle w:val="Heading2"/>
        <w:spacing w:before="280" w:after="140" w:line="360" w:lineRule="auto"/>
        <w:rPr>
          <w:rFonts w:ascii="Arial" w:hAnsi="Arial" w:cs="Arial"/>
          <w:b/>
          <w:bCs/>
          <w:color w:val="1F4E78"/>
          <w:sz w:val="24"/>
          <w:szCs w:val="24"/>
        </w:rPr>
      </w:pPr>
      <w:bookmarkStart w:id="23" w:name="_Toc237519604"/>
    </w:p>
    <w:p w14:paraId="364CAF08" w14:textId="7902AF88" w:rsidR="004E063D" w:rsidRPr="00A8221F" w:rsidRDefault="00A444D8" w:rsidP="00A8221F">
      <w:pPr>
        <w:pStyle w:val="Heading2"/>
        <w:spacing w:before="280" w:after="140" w:line="360" w:lineRule="auto"/>
        <w:rPr>
          <w:rFonts w:ascii="Arial" w:hAnsi="Arial" w:cs="Arial"/>
          <w:sz w:val="24"/>
          <w:szCs w:val="24"/>
        </w:rPr>
      </w:pPr>
      <w:bookmarkStart w:id="24" w:name="_Toc237520833"/>
      <w:r w:rsidRPr="00A8221F">
        <w:rPr>
          <w:rFonts w:ascii="Arial" w:hAnsi="Arial" w:cs="Arial"/>
          <w:b/>
          <w:bCs/>
          <w:color w:val="1F4E78"/>
          <w:sz w:val="24"/>
          <w:szCs w:val="24"/>
        </w:rPr>
        <w:lastRenderedPageBreak/>
        <w:t>(c) Trends, Strengths and Threats</w:t>
      </w:r>
      <w:bookmarkEnd w:id="23"/>
      <w:bookmarkEnd w:id="24"/>
    </w:p>
    <w:p w14:paraId="798A8DEA" w14:textId="77777777" w:rsidR="00552B08" w:rsidRPr="00A8221F" w:rsidRDefault="00552B08" w:rsidP="00A8221F">
      <w:pPr>
        <w:pStyle w:val="Heading2"/>
        <w:spacing w:before="280" w:after="140" w:line="360" w:lineRule="auto"/>
        <w:rPr>
          <w:rFonts w:ascii="Arial" w:hAnsi="Arial" w:cs="Arial"/>
          <w:color w:val="auto"/>
          <w:sz w:val="24"/>
          <w:szCs w:val="24"/>
        </w:rPr>
      </w:pPr>
      <w:bookmarkStart w:id="25" w:name="_Toc237519605"/>
      <w:bookmarkStart w:id="26" w:name="_Toc237520834"/>
      <w:r w:rsidRPr="00A8221F">
        <w:rPr>
          <w:rFonts w:ascii="Arial" w:hAnsi="Arial" w:cs="Arial"/>
          <w:color w:val="auto"/>
          <w:sz w:val="24"/>
          <w:szCs w:val="24"/>
        </w:rPr>
        <w:t>Three key themes emerge from the five-year analysis: ongoing improvement in profitability and capital efficiency from the trough in FY2022; a balance sheet that has become increasingly leveraged on a book basis through capital returns rather than trading losses; and declining liquidity starting from an already relatively low level in FY2021 to below-1.0x current and quick ratios from FY2023 onwards.</w:t>
      </w:r>
      <w:bookmarkEnd w:id="26"/>
    </w:p>
    <w:p w14:paraId="580D0A3E" w14:textId="77777777" w:rsidR="00552B08" w:rsidRPr="00A8221F" w:rsidRDefault="00552B08" w:rsidP="00A8221F">
      <w:pPr>
        <w:pStyle w:val="Heading2"/>
        <w:spacing w:before="280" w:after="140" w:line="360" w:lineRule="auto"/>
        <w:rPr>
          <w:rFonts w:ascii="Arial" w:hAnsi="Arial" w:cs="Arial"/>
          <w:b/>
          <w:bCs/>
          <w:color w:val="auto"/>
          <w:sz w:val="24"/>
          <w:szCs w:val="24"/>
        </w:rPr>
      </w:pPr>
      <w:bookmarkStart w:id="27" w:name="_Toc237520835"/>
      <w:r w:rsidRPr="00A8221F">
        <w:rPr>
          <w:rFonts w:ascii="Arial" w:hAnsi="Arial" w:cs="Arial"/>
          <w:color w:val="auto"/>
          <w:sz w:val="24"/>
          <w:szCs w:val="24"/>
        </w:rPr>
        <w:t>The positive aspects are an unusually high margin and capital efficient business and management model; an ROCE near 37%; consistent free cash flow generation; a global diversified brand portfolio and presence along with a future fee revenue pipeline (694 hotels/102,100 rooms in FY2025); and interest cover nearly doubling from FY2021 despite a bigger debt pile. Negative points are a negative and worsening book equity position which makes it harder to cope with a demand shock from the balance sheet point of view; a negative RevPAR trend in Greater China (−1.6% in FY2025) against a positive one elsewhere; increasing gross interest expense as the result of debt pile expansion; and a capital allocation approach where buybacks take precedence leaving limited room for M&amp;A activity or additional demand shocks financing without debt.</w:t>
      </w:r>
      <w:bookmarkEnd w:id="27"/>
      <w:r w:rsidRPr="00A8221F">
        <w:rPr>
          <w:rFonts w:ascii="Arial" w:hAnsi="Arial" w:cs="Arial"/>
          <w:b/>
          <w:bCs/>
          <w:color w:val="auto"/>
          <w:sz w:val="24"/>
          <w:szCs w:val="24"/>
        </w:rPr>
        <w:t xml:space="preserve"> </w:t>
      </w:r>
    </w:p>
    <w:p w14:paraId="364CAF0B" w14:textId="47B07889" w:rsidR="004E063D" w:rsidRPr="00A8221F" w:rsidRDefault="00A444D8" w:rsidP="00A8221F">
      <w:pPr>
        <w:pStyle w:val="Heading2"/>
        <w:spacing w:before="280" w:after="140" w:line="360" w:lineRule="auto"/>
        <w:rPr>
          <w:rFonts w:ascii="Arial" w:hAnsi="Arial" w:cs="Arial"/>
          <w:sz w:val="24"/>
          <w:szCs w:val="24"/>
        </w:rPr>
      </w:pPr>
      <w:bookmarkStart w:id="28" w:name="_Toc237520836"/>
      <w:r w:rsidRPr="00A8221F">
        <w:rPr>
          <w:rFonts w:ascii="Arial" w:hAnsi="Arial" w:cs="Arial"/>
          <w:b/>
          <w:bCs/>
          <w:color w:val="1F4E78"/>
          <w:sz w:val="24"/>
          <w:szCs w:val="24"/>
        </w:rPr>
        <w:t>(d) Liquidity Against Industry Benchmarks</w:t>
      </w:r>
      <w:bookmarkEnd w:id="25"/>
      <w:bookmarkEnd w:id="28"/>
    </w:p>
    <w:p w14:paraId="54BAA781" w14:textId="77777777" w:rsidR="00C07C72" w:rsidRPr="00A8221F" w:rsidRDefault="00C07C72" w:rsidP="00A8221F">
      <w:pPr>
        <w:spacing w:before="80" w:after="180" w:line="360" w:lineRule="auto"/>
        <w:rPr>
          <w:rFonts w:ascii="Arial" w:hAnsi="Arial" w:cs="Arial"/>
          <w:sz w:val="24"/>
          <w:szCs w:val="24"/>
        </w:rPr>
      </w:pPr>
      <w:r w:rsidRPr="00A8221F">
        <w:rPr>
          <w:rFonts w:ascii="Arial" w:hAnsi="Arial" w:cs="Arial"/>
          <w:sz w:val="24"/>
          <w:szCs w:val="24"/>
        </w:rPr>
        <w:t>The current ratio of 0.98x (for FY2025) is considerably lower than the benchmark corporate finance industry-wide norm of 1.5x–2.0x, but also lower than what would be expected for asset-intensive firms operating through real estate investment trust structures like Host Hotels &amp; Resorts, which has had a current ratio of more than 4x in recent years due to holding significant cash reserves, in contrast with its different operating model (Macrotrends, 2026). For IHG, however, the right comparison is not Host Hotels &amp; Resorts but other asset-light players in its industry using the same business model based on franchising and hotel management, namely Marriott International, with a current ratio of about 0.45x in recent years, and Hilton Worldwide, with a current ratio of about 0.70x–0.80x (Macrotrends, 2026; StockAnalysis.com, 2026). Against those peers, the current ratio of ~0.98x for IHG is in fact the highest, not the lowest, driven by low inventory levels and deferred revenue/loyalty balances in current liabilities (Karim et al., 2023).</w:t>
      </w:r>
    </w:p>
    <w:p w14:paraId="3C882747" w14:textId="77777777" w:rsidR="004804FA" w:rsidRDefault="004804FA" w:rsidP="00A8221F">
      <w:pPr>
        <w:spacing w:before="80" w:after="180" w:line="360" w:lineRule="auto"/>
        <w:rPr>
          <w:rFonts w:ascii="Arial" w:hAnsi="Arial" w:cs="Arial"/>
          <w:i/>
          <w:iCs/>
          <w:color w:val="555555"/>
          <w:sz w:val="24"/>
          <w:szCs w:val="24"/>
        </w:rPr>
      </w:pPr>
    </w:p>
    <w:p w14:paraId="130CEA9D" w14:textId="77777777" w:rsidR="004804FA" w:rsidRDefault="004804FA" w:rsidP="00A8221F">
      <w:pPr>
        <w:spacing w:before="80" w:after="180" w:line="360" w:lineRule="auto"/>
        <w:rPr>
          <w:rFonts w:ascii="Arial" w:hAnsi="Arial" w:cs="Arial"/>
          <w:i/>
          <w:iCs/>
          <w:color w:val="555555"/>
          <w:sz w:val="24"/>
          <w:szCs w:val="24"/>
        </w:rPr>
      </w:pPr>
    </w:p>
    <w:p w14:paraId="6DE7A6F2" w14:textId="77777777" w:rsidR="004804FA" w:rsidRDefault="004804FA" w:rsidP="00A8221F">
      <w:pPr>
        <w:spacing w:before="80" w:after="180" w:line="360" w:lineRule="auto"/>
        <w:rPr>
          <w:rFonts w:ascii="Arial" w:hAnsi="Arial" w:cs="Arial"/>
          <w:i/>
          <w:iCs/>
          <w:color w:val="555555"/>
          <w:sz w:val="24"/>
          <w:szCs w:val="24"/>
        </w:rPr>
      </w:pPr>
    </w:p>
    <w:p w14:paraId="364CAF0D" w14:textId="71914A98"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lastRenderedPageBreak/>
        <w:t>Table 1: IHG liquidity vs asset-light hotel peers.</w:t>
      </w:r>
    </w:p>
    <w:tbl>
      <w:tblPr>
        <w:tblW w:w="935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3116"/>
        <w:gridCol w:w="3117"/>
        <w:gridCol w:w="3117"/>
      </w:tblGrid>
      <w:tr w:rsidR="004E063D" w:rsidRPr="00A8221F" w14:paraId="364CAF11" w14:textId="77777777">
        <w:trPr>
          <w:tblHeader/>
        </w:trPr>
        <w:tc>
          <w:tcPr>
            <w:tcW w:w="3116" w:type="dxa"/>
            <w:shd w:val="clear" w:color="auto" w:fill="1F4E78"/>
            <w:tcMar>
              <w:top w:w="60" w:type="dxa"/>
              <w:left w:w="100" w:type="dxa"/>
              <w:bottom w:w="60" w:type="dxa"/>
              <w:right w:w="100" w:type="dxa"/>
            </w:tcMar>
            <w:vAlign w:val="center"/>
          </w:tcPr>
          <w:p w14:paraId="364CAF0E" w14:textId="77777777" w:rsidR="004E063D" w:rsidRPr="00A8221F" w:rsidRDefault="00A444D8" w:rsidP="00A8221F">
            <w:pPr>
              <w:spacing w:line="360" w:lineRule="auto"/>
              <w:rPr>
                <w:rFonts w:ascii="Arial" w:hAnsi="Arial" w:cs="Arial"/>
                <w:sz w:val="24"/>
                <w:szCs w:val="24"/>
              </w:rPr>
            </w:pPr>
            <w:r w:rsidRPr="00A8221F">
              <w:rPr>
                <w:rFonts w:ascii="Arial" w:hAnsi="Arial" w:cs="Arial"/>
                <w:b/>
                <w:bCs/>
                <w:color w:val="FFFFFF"/>
                <w:sz w:val="24"/>
                <w:szCs w:val="24"/>
              </w:rPr>
              <w:t>Company</w:t>
            </w:r>
          </w:p>
        </w:tc>
        <w:tc>
          <w:tcPr>
            <w:tcW w:w="3116" w:type="dxa"/>
            <w:shd w:val="clear" w:color="auto" w:fill="1F4E78"/>
            <w:tcMar>
              <w:top w:w="60" w:type="dxa"/>
              <w:left w:w="100" w:type="dxa"/>
              <w:bottom w:w="60" w:type="dxa"/>
              <w:right w:w="100" w:type="dxa"/>
            </w:tcMar>
            <w:vAlign w:val="center"/>
          </w:tcPr>
          <w:p w14:paraId="364CAF0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Current Ratio</w:t>
            </w:r>
          </w:p>
        </w:tc>
        <w:tc>
          <w:tcPr>
            <w:tcW w:w="3116" w:type="dxa"/>
            <w:shd w:val="clear" w:color="auto" w:fill="1F4E78"/>
            <w:tcMar>
              <w:top w:w="60" w:type="dxa"/>
              <w:left w:w="100" w:type="dxa"/>
              <w:bottom w:w="60" w:type="dxa"/>
              <w:right w:w="100" w:type="dxa"/>
            </w:tcMar>
            <w:vAlign w:val="center"/>
          </w:tcPr>
          <w:p w14:paraId="364CAF1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Business Model</w:t>
            </w:r>
          </w:p>
        </w:tc>
      </w:tr>
      <w:tr w:rsidR="004E063D" w:rsidRPr="00A8221F" w14:paraId="364CAF15" w14:textId="77777777">
        <w:tc>
          <w:tcPr>
            <w:tcW w:w="3116" w:type="dxa"/>
            <w:tcMar>
              <w:top w:w="60" w:type="dxa"/>
              <w:left w:w="100" w:type="dxa"/>
              <w:bottom w:w="60" w:type="dxa"/>
              <w:right w:w="100" w:type="dxa"/>
            </w:tcMar>
            <w:vAlign w:val="center"/>
          </w:tcPr>
          <w:p w14:paraId="364CAF12"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IHG</w:t>
            </w:r>
          </w:p>
        </w:tc>
        <w:tc>
          <w:tcPr>
            <w:tcW w:w="3116" w:type="dxa"/>
            <w:tcMar>
              <w:top w:w="60" w:type="dxa"/>
              <w:left w:w="100" w:type="dxa"/>
              <w:bottom w:w="60" w:type="dxa"/>
              <w:right w:w="100" w:type="dxa"/>
            </w:tcMar>
            <w:vAlign w:val="center"/>
          </w:tcPr>
          <w:p w14:paraId="364CAF1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0.98x</w:t>
            </w:r>
          </w:p>
        </w:tc>
        <w:tc>
          <w:tcPr>
            <w:tcW w:w="3116" w:type="dxa"/>
            <w:tcMar>
              <w:top w:w="60" w:type="dxa"/>
              <w:left w:w="100" w:type="dxa"/>
              <w:bottom w:w="60" w:type="dxa"/>
              <w:right w:w="100" w:type="dxa"/>
            </w:tcMar>
            <w:vAlign w:val="center"/>
          </w:tcPr>
          <w:p w14:paraId="364CAF1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Asset-light franchise/management (98%+ fee-based)</w:t>
            </w:r>
          </w:p>
        </w:tc>
      </w:tr>
      <w:tr w:rsidR="004E063D" w:rsidRPr="00A8221F" w14:paraId="364CAF19" w14:textId="77777777">
        <w:tc>
          <w:tcPr>
            <w:tcW w:w="3116" w:type="dxa"/>
            <w:shd w:val="clear" w:color="auto" w:fill="F2F2F2"/>
            <w:tcMar>
              <w:top w:w="60" w:type="dxa"/>
              <w:left w:w="100" w:type="dxa"/>
              <w:bottom w:w="60" w:type="dxa"/>
              <w:right w:w="100" w:type="dxa"/>
            </w:tcMar>
            <w:vAlign w:val="center"/>
          </w:tcPr>
          <w:p w14:paraId="364CAF16"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Hilton Worldwide</w:t>
            </w:r>
          </w:p>
        </w:tc>
        <w:tc>
          <w:tcPr>
            <w:tcW w:w="3116" w:type="dxa"/>
            <w:shd w:val="clear" w:color="auto" w:fill="F2F2F2"/>
            <w:tcMar>
              <w:top w:w="60" w:type="dxa"/>
              <w:left w:w="100" w:type="dxa"/>
              <w:bottom w:w="60" w:type="dxa"/>
              <w:right w:w="100" w:type="dxa"/>
            </w:tcMar>
            <w:vAlign w:val="center"/>
          </w:tcPr>
          <w:p w14:paraId="364CAF1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~0.70–0.80x</w:t>
            </w:r>
          </w:p>
        </w:tc>
        <w:tc>
          <w:tcPr>
            <w:tcW w:w="3116" w:type="dxa"/>
            <w:shd w:val="clear" w:color="auto" w:fill="F2F2F2"/>
            <w:tcMar>
              <w:top w:w="60" w:type="dxa"/>
              <w:left w:w="100" w:type="dxa"/>
              <w:bottom w:w="60" w:type="dxa"/>
              <w:right w:w="100" w:type="dxa"/>
            </w:tcMar>
            <w:vAlign w:val="center"/>
          </w:tcPr>
          <w:p w14:paraId="364CAF1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Asset-light franchise/management</w:t>
            </w:r>
          </w:p>
        </w:tc>
      </w:tr>
      <w:tr w:rsidR="004E063D" w:rsidRPr="00A8221F" w14:paraId="364CAF1D" w14:textId="77777777">
        <w:tc>
          <w:tcPr>
            <w:tcW w:w="3116" w:type="dxa"/>
            <w:tcMar>
              <w:top w:w="60" w:type="dxa"/>
              <w:left w:w="100" w:type="dxa"/>
              <w:bottom w:w="60" w:type="dxa"/>
              <w:right w:w="100" w:type="dxa"/>
            </w:tcMar>
            <w:vAlign w:val="center"/>
          </w:tcPr>
          <w:p w14:paraId="364CAF1A"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Marriott International</w:t>
            </w:r>
          </w:p>
        </w:tc>
        <w:tc>
          <w:tcPr>
            <w:tcW w:w="3116" w:type="dxa"/>
            <w:tcMar>
              <w:top w:w="60" w:type="dxa"/>
              <w:left w:w="100" w:type="dxa"/>
              <w:bottom w:w="60" w:type="dxa"/>
              <w:right w:w="100" w:type="dxa"/>
            </w:tcMar>
            <w:vAlign w:val="center"/>
          </w:tcPr>
          <w:p w14:paraId="364CAF1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~0.45x</w:t>
            </w:r>
          </w:p>
        </w:tc>
        <w:tc>
          <w:tcPr>
            <w:tcW w:w="3116" w:type="dxa"/>
            <w:tcMar>
              <w:top w:w="60" w:type="dxa"/>
              <w:left w:w="100" w:type="dxa"/>
              <w:bottom w:w="60" w:type="dxa"/>
              <w:right w:w="100" w:type="dxa"/>
            </w:tcMar>
            <w:vAlign w:val="center"/>
          </w:tcPr>
          <w:p w14:paraId="364CAF1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Asset-light franchise/management</w:t>
            </w:r>
          </w:p>
        </w:tc>
      </w:tr>
      <w:tr w:rsidR="004E063D" w:rsidRPr="00A8221F" w14:paraId="364CAF21" w14:textId="77777777">
        <w:tc>
          <w:tcPr>
            <w:tcW w:w="3116" w:type="dxa"/>
            <w:shd w:val="clear" w:color="auto" w:fill="F2F2F2"/>
            <w:tcMar>
              <w:top w:w="60" w:type="dxa"/>
              <w:left w:w="100" w:type="dxa"/>
              <w:bottom w:w="60" w:type="dxa"/>
              <w:right w:w="100" w:type="dxa"/>
            </w:tcMar>
            <w:vAlign w:val="center"/>
          </w:tcPr>
          <w:p w14:paraId="364CAF1E"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Host Hotels &amp; Resorts</w:t>
            </w:r>
          </w:p>
        </w:tc>
        <w:tc>
          <w:tcPr>
            <w:tcW w:w="3116" w:type="dxa"/>
            <w:shd w:val="clear" w:color="auto" w:fill="F2F2F2"/>
            <w:tcMar>
              <w:top w:w="60" w:type="dxa"/>
              <w:left w:w="100" w:type="dxa"/>
              <w:bottom w:w="60" w:type="dxa"/>
              <w:right w:w="100" w:type="dxa"/>
            </w:tcMar>
            <w:vAlign w:val="center"/>
          </w:tcPr>
          <w:p w14:paraId="364CAF1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~4.0x</w:t>
            </w:r>
          </w:p>
        </w:tc>
        <w:tc>
          <w:tcPr>
            <w:tcW w:w="3116" w:type="dxa"/>
            <w:shd w:val="clear" w:color="auto" w:fill="F2F2F2"/>
            <w:tcMar>
              <w:top w:w="60" w:type="dxa"/>
              <w:left w:w="100" w:type="dxa"/>
              <w:bottom w:w="60" w:type="dxa"/>
              <w:right w:w="100" w:type="dxa"/>
            </w:tcMar>
            <w:vAlign w:val="center"/>
          </w:tcPr>
          <w:p w14:paraId="364CAF2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Owned-asset REIT (not a direct comparator)</w:t>
            </w:r>
          </w:p>
        </w:tc>
      </w:tr>
      <w:tr w:rsidR="004E063D" w:rsidRPr="00A8221F" w14:paraId="364CAF25" w14:textId="77777777">
        <w:tc>
          <w:tcPr>
            <w:tcW w:w="3116" w:type="dxa"/>
            <w:tcMar>
              <w:top w:w="60" w:type="dxa"/>
              <w:left w:w="100" w:type="dxa"/>
              <w:bottom w:w="60" w:type="dxa"/>
              <w:right w:w="100" w:type="dxa"/>
            </w:tcMar>
            <w:vAlign w:val="center"/>
          </w:tcPr>
          <w:p w14:paraId="364CAF22"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Generic textbook benchmark</w:t>
            </w:r>
          </w:p>
        </w:tc>
        <w:tc>
          <w:tcPr>
            <w:tcW w:w="3116" w:type="dxa"/>
            <w:tcMar>
              <w:top w:w="60" w:type="dxa"/>
              <w:left w:w="100" w:type="dxa"/>
              <w:bottom w:w="60" w:type="dxa"/>
              <w:right w:w="100" w:type="dxa"/>
            </w:tcMar>
            <w:vAlign w:val="center"/>
          </w:tcPr>
          <w:p w14:paraId="364CAF2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1.5x–2.0x</w:t>
            </w:r>
          </w:p>
        </w:tc>
        <w:tc>
          <w:tcPr>
            <w:tcW w:w="3116" w:type="dxa"/>
            <w:tcMar>
              <w:top w:w="60" w:type="dxa"/>
              <w:left w:w="100" w:type="dxa"/>
              <w:bottom w:w="60" w:type="dxa"/>
              <w:right w:w="100" w:type="dxa"/>
            </w:tcMar>
            <w:vAlign w:val="center"/>
          </w:tcPr>
          <w:p w14:paraId="364CAF2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General/asset-heavy norm</w:t>
            </w:r>
          </w:p>
        </w:tc>
      </w:tr>
    </w:tbl>
    <w:p w14:paraId="364CAF26" w14:textId="77777777" w:rsidR="004E063D" w:rsidRPr="00A8221F" w:rsidRDefault="00A444D8" w:rsidP="00A8221F">
      <w:pPr>
        <w:spacing w:line="360" w:lineRule="auto"/>
        <w:rPr>
          <w:rFonts w:ascii="Arial" w:hAnsi="Arial" w:cs="Arial"/>
          <w:sz w:val="24"/>
          <w:szCs w:val="24"/>
        </w:rPr>
      </w:pPr>
      <w:r w:rsidRPr="00A8221F">
        <w:rPr>
          <w:rFonts w:ascii="Arial" w:hAnsi="Arial" w:cs="Arial"/>
          <w:sz w:val="24"/>
          <w:szCs w:val="24"/>
        </w:rPr>
        <w:br w:type="page"/>
      </w:r>
    </w:p>
    <w:p w14:paraId="364CAF27" w14:textId="77777777" w:rsidR="004E063D" w:rsidRPr="00A8221F" w:rsidRDefault="00A444D8" w:rsidP="00A8221F">
      <w:pPr>
        <w:pStyle w:val="Heading1"/>
        <w:spacing w:before="380" w:after="180" w:line="360" w:lineRule="auto"/>
        <w:rPr>
          <w:rFonts w:ascii="Arial" w:hAnsi="Arial" w:cs="Arial"/>
          <w:sz w:val="24"/>
          <w:szCs w:val="24"/>
        </w:rPr>
      </w:pPr>
      <w:bookmarkStart w:id="29" w:name="_Toc237519606"/>
      <w:bookmarkStart w:id="30" w:name="_Toc237520837"/>
      <w:bookmarkStart w:id="31" w:name="_Toc237521040"/>
      <w:r w:rsidRPr="00A8221F">
        <w:rPr>
          <w:rFonts w:ascii="Arial" w:hAnsi="Arial" w:cs="Arial"/>
          <w:b/>
          <w:bCs/>
          <w:color w:val="1F4E78"/>
          <w:sz w:val="24"/>
          <w:szCs w:val="24"/>
        </w:rPr>
        <w:lastRenderedPageBreak/>
        <w:t>2. Working Capital Management Analysis</w:t>
      </w:r>
      <w:bookmarkEnd w:id="29"/>
      <w:bookmarkEnd w:id="30"/>
      <w:bookmarkEnd w:id="31"/>
    </w:p>
    <w:p w14:paraId="364CAF28" w14:textId="77777777" w:rsidR="004E063D" w:rsidRPr="00A8221F" w:rsidRDefault="00A444D8" w:rsidP="00A8221F">
      <w:pPr>
        <w:pStyle w:val="Heading2"/>
        <w:spacing w:before="280" w:after="140" w:line="360" w:lineRule="auto"/>
        <w:rPr>
          <w:rFonts w:ascii="Arial" w:hAnsi="Arial" w:cs="Arial"/>
          <w:sz w:val="24"/>
          <w:szCs w:val="24"/>
        </w:rPr>
      </w:pPr>
      <w:bookmarkStart w:id="32" w:name="_Toc237519607"/>
      <w:bookmarkStart w:id="33" w:name="_Toc237520838"/>
      <w:r w:rsidRPr="00A8221F">
        <w:rPr>
          <w:rFonts w:ascii="Arial" w:hAnsi="Arial" w:cs="Arial"/>
          <w:b/>
          <w:bCs/>
          <w:color w:val="1F4E78"/>
          <w:sz w:val="24"/>
          <w:szCs w:val="24"/>
        </w:rPr>
        <w:t>(a) The Cash Operating Cycle</w:t>
      </w:r>
      <w:bookmarkEnd w:id="32"/>
      <w:bookmarkEnd w:id="33"/>
    </w:p>
    <w:p w14:paraId="65780062" w14:textId="77777777" w:rsidR="00352D66" w:rsidRPr="00A8221F" w:rsidRDefault="00352D66" w:rsidP="00A8221F">
      <w:pPr>
        <w:spacing w:after="200" w:line="360" w:lineRule="auto"/>
        <w:jc w:val="both"/>
        <w:rPr>
          <w:rFonts w:ascii="Arial" w:hAnsi="Arial" w:cs="Arial"/>
          <w:sz w:val="24"/>
          <w:szCs w:val="24"/>
        </w:rPr>
      </w:pPr>
      <w:r w:rsidRPr="00A8221F">
        <w:rPr>
          <w:rFonts w:ascii="Arial" w:hAnsi="Arial" w:cs="Arial"/>
          <w:sz w:val="24"/>
          <w:szCs w:val="24"/>
        </w:rPr>
        <w:t>The cash operating cycle is the time span between the payment of operating inputs and the collection of the cash from the customers, and it is an important measure of the company's liquidity management (Karim et al., 2023). The inventory held by IHG is insignificant — less than $5m for the entire analysis period – as the risk associated with physical inventory rests on the franchisees and managed hotel owners. The accounts receivable are mostly from franchise royalty and management fees, and are estimated to be about 60 days, affected by the billing cycle and the financial standing of the franchisees. On the other side of the cycle, the increasing deferred revenue balance – particularly the IHG One Rewards loyalty obligation, which went up from $617m to $829m during the analysis period – along with payables related to the costs of managed hotels that have to be reimbursed, give the company a structurally negative cash operating cycle, estimated to be about −32 days in FY2021 and −9 days by FY2025.</w:t>
      </w:r>
    </w:p>
    <w:p w14:paraId="364CAF2A" w14:textId="63880D23" w:rsidR="004E063D" w:rsidRPr="00A8221F" w:rsidRDefault="00352D66" w:rsidP="00A8221F">
      <w:pPr>
        <w:spacing w:after="200" w:line="360" w:lineRule="auto"/>
        <w:jc w:val="both"/>
        <w:rPr>
          <w:rFonts w:ascii="Arial" w:hAnsi="Arial" w:cs="Arial"/>
          <w:sz w:val="24"/>
          <w:szCs w:val="24"/>
        </w:rPr>
      </w:pPr>
      <w:r w:rsidRPr="00A8221F">
        <w:rPr>
          <w:rFonts w:ascii="Arial" w:hAnsi="Arial" w:cs="Arial"/>
          <w:sz w:val="24"/>
          <w:szCs w:val="24"/>
        </w:rPr>
        <w:t>This implies that IHG receives and retains the cash in advance of making payments – a true, inexpensive form of working capital financing that has been declining continuously despite increasing leverage on the balance sheet.</w:t>
      </w:r>
      <w:r w:rsidR="007E68DB" w:rsidRPr="00A8221F">
        <w:rPr>
          <w:rFonts w:ascii="Arial" w:hAnsi="Arial" w:cs="Arial"/>
          <w:sz w:val="24"/>
          <w:szCs w:val="24"/>
        </w:rPr>
        <w:t xml:space="preserve"> </w:t>
      </w:r>
      <w:r w:rsidR="00A444D8" w:rsidRPr="00A8221F">
        <w:rPr>
          <w:rFonts w:ascii="Arial" w:hAnsi="Arial" w:cs="Arial"/>
          <w:sz w:val="24"/>
          <w:szCs w:val="24"/>
        </w:rPr>
        <w:t>That narrowing trend, more than the absolute negative figure, is what the Board should watch.</w:t>
      </w:r>
    </w:p>
    <w:p w14:paraId="364CAF2B" w14:textId="77777777" w:rsidR="004E063D" w:rsidRPr="00A8221F" w:rsidRDefault="00A444D8" w:rsidP="00A8221F">
      <w:pPr>
        <w:pStyle w:val="Heading2"/>
        <w:spacing w:before="280" w:after="140" w:line="360" w:lineRule="auto"/>
        <w:rPr>
          <w:rFonts w:ascii="Arial" w:hAnsi="Arial" w:cs="Arial"/>
          <w:sz w:val="24"/>
          <w:szCs w:val="24"/>
        </w:rPr>
      </w:pPr>
      <w:bookmarkStart w:id="34" w:name="_Toc237519608"/>
      <w:bookmarkStart w:id="35" w:name="_Toc237520839"/>
      <w:r w:rsidRPr="00A8221F">
        <w:rPr>
          <w:rFonts w:ascii="Arial" w:hAnsi="Arial" w:cs="Arial"/>
          <w:b/>
          <w:bCs/>
          <w:color w:val="1F4E78"/>
          <w:sz w:val="24"/>
          <w:szCs w:val="24"/>
        </w:rPr>
        <w:t>(b) Improving Liquidity Through Working Capital Reform</w:t>
      </w:r>
      <w:bookmarkEnd w:id="34"/>
      <w:bookmarkEnd w:id="35"/>
    </w:p>
    <w:p w14:paraId="3A887636" w14:textId="77777777" w:rsidR="00BA5685" w:rsidRPr="00A8221F" w:rsidRDefault="00BA5685" w:rsidP="00A8221F">
      <w:pPr>
        <w:spacing w:after="200" w:line="360" w:lineRule="auto"/>
        <w:jc w:val="both"/>
        <w:rPr>
          <w:rFonts w:ascii="Arial" w:hAnsi="Arial" w:cs="Arial"/>
          <w:sz w:val="24"/>
          <w:szCs w:val="24"/>
        </w:rPr>
      </w:pPr>
      <w:r w:rsidRPr="00A8221F">
        <w:rPr>
          <w:rFonts w:ascii="Arial" w:hAnsi="Arial" w:cs="Arial"/>
          <w:sz w:val="24"/>
          <w:szCs w:val="24"/>
        </w:rPr>
        <w:t>With the current and quick ratios now falling below 1.0x and the cash coverage of current liabilities more than halved (cash ratio 0.89x to 0.54x during this period), three recommendations are made, guided by the working capital management literature (Wang &amp; Nie, 2025).</w:t>
      </w:r>
    </w:p>
    <w:p w14:paraId="364CAF2D" w14:textId="4855D49F" w:rsidR="004E063D" w:rsidRPr="00A8221F" w:rsidRDefault="00BA5685" w:rsidP="00A8221F">
      <w:pPr>
        <w:spacing w:after="200" w:line="360" w:lineRule="auto"/>
        <w:jc w:val="both"/>
        <w:rPr>
          <w:rFonts w:ascii="Arial" w:hAnsi="Arial" w:cs="Arial"/>
          <w:sz w:val="24"/>
          <w:szCs w:val="24"/>
        </w:rPr>
      </w:pPr>
      <w:r w:rsidRPr="00A8221F">
        <w:rPr>
          <w:rFonts w:ascii="Arial" w:hAnsi="Arial" w:cs="Arial"/>
          <w:sz w:val="24"/>
          <w:szCs w:val="24"/>
        </w:rPr>
        <w:t xml:space="preserve">First, tighter receivables management is feasible: consolidating billing for franchisees and management fees across regions, uniform timing of invoices, automation of reminder letters for overdue payments, and small discounts for prompt payment can potentially reduce collections time from the current average of about 60 days by five to ten days without additional financing (Shah O., 2025). Second, active management of the float generated by customer loyalty programmes is necessary – the increase in membership of IHG One Rewards programme and partnerships will generate higher unearned revenues, a low-cost financing option, as long as the liability for redemptions is carefully reserved. Third, payment terms of the payables associated with reimbursable hotel costs can be harmonised and, </w:t>
      </w:r>
      <w:r w:rsidRPr="00A8221F">
        <w:rPr>
          <w:rFonts w:ascii="Arial" w:hAnsi="Arial" w:cs="Arial"/>
          <w:sz w:val="24"/>
          <w:szCs w:val="24"/>
        </w:rPr>
        <w:lastRenderedPageBreak/>
        <w:t xml:space="preserve">where appropriate, extended through supplier finance programs allowing major suppliers to receive payment from a third party financier earlier than IHG makes payment </w:t>
      </w:r>
      <w:r w:rsidR="00A444D8" w:rsidRPr="00A8221F">
        <w:rPr>
          <w:rFonts w:ascii="Arial" w:hAnsi="Arial" w:cs="Arial"/>
          <w:sz w:val="24"/>
          <w:szCs w:val="24"/>
        </w:rPr>
        <w:t>(Lien, 2024; Zheng et al., 2025) — though this must be pursued with care, since aggressive term extension risks damaging relationships with smaller suppliers and carries the ethical and reputational concerns discussed in Section 3(c).</w:t>
      </w:r>
    </w:p>
    <w:p w14:paraId="364CAF2E"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Underpinning all three, a more centralised global cash-pooling structure would help, given IHG holds cash across multiple currencies and legal entities in over 100 countries (Kubranová, 2020). This would improve visibility of Group-wide liquidity and reduce reliance on local cash buffers, complementing a larger committed-but-undrawn revolving credit facility, which is the most direct backstop against a sub-1.0x current ratio.</w:t>
      </w:r>
    </w:p>
    <w:p w14:paraId="364CAF2F" w14:textId="77777777" w:rsidR="004E063D" w:rsidRPr="00A8221F" w:rsidRDefault="00A444D8" w:rsidP="00A8221F">
      <w:pPr>
        <w:pStyle w:val="Heading2"/>
        <w:spacing w:before="280" w:after="140" w:line="360" w:lineRule="auto"/>
        <w:rPr>
          <w:rFonts w:ascii="Arial" w:hAnsi="Arial" w:cs="Arial"/>
          <w:sz w:val="24"/>
          <w:szCs w:val="24"/>
        </w:rPr>
      </w:pPr>
      <w:bookmarkStart w:id="36" w:name="_Toc237519609"/>
      <w:bookmarkStart w:id="37" w:name="_Toc237520840"/>
      <w:r w:rsidRPr="00A8221F">
        <w:rPr>
          <w:rFonts w:ascii="Arial" w:hAnsi="Arial" w:cs="Arial"/>
          <w:b/>
          <w:bCs/>
          <w:color w:val="1F4E78"/>
          <w:sz w:val="24"/>
          <w:szCs w:val="24"/>
        </w:rPr>
        <w:t>(c) Short-Term vs Long-Term Financing</w:t>
      </w:r>
      <w:bookmarkEnd w:id="36"/>
      <w:bookmarkEnd w:id="37"/>
    </w:p>
    <w:p w14:paraId="364CAF30"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IHG already blends short-term facilities (revolving credit lines, commercial paper) with long-term instruments (bonds, term loans); long-term debt stood at $3,723m in FY2025 against a current portion of long-term debt that has grown to $478m. Short-term financing is cheaper on a running-cost basis and well suited to smoothing the modest, recurring seasonal swings inherent in fee collection, but carries refinancing risk that becomes acute exactly when credit markets tighten in a downturn (Prudential, 2019; Shah A., 2025). Long-term financing costs more in coupon terms but removes that refinancing risk and better matches the multi-year duration of brand investment and the ongoing buyback programme.</w:t>
      </w:r>
    </w:p>
    <w:p w14:paraId="364CAF31"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Given the current portion of debt has nearly doubled year-on-year and net debt/EBITDA is trending back up toward 2.6x, IHG should term out a larger share of near-term maturities into longer-dated, fixed-rate instruments — including exploring a sustainability-linked bond tranche, discussed in Section 3(c) — while reserving short-term facilities strictly for working-capital smoothing rather than for funding buybacks, which should increasingly come from recurring free cash flow instead.</w:t>
      </w:r>
    </w:p>
    <w:p w14:paraId="364CAF32" w14:textId="77777777" w:rsidR="004E063D" w:rsidRPr="00A8221F" w:rsidRDefault="00A444D8" w:rsidP="00A8221F">
      <w:pPr>
        <w:spacing w:line="360" w:lineRule="auto"/>
        <w:rPr>
          <w:rFonts w:ascii="Arial" w:hAnsi="Arial" w:cs="Arial"/>
          <w:sz w:val="24"/>
          <w:szCs w:val="24"/>
        </w:rPr>
      </w:pPr>
      <w:r w:rsidRPr="00A8221F">
        <w:rPr>
          <w:rFonts w:ascii="Arial" w:hAnsi="Arial" w:cs="Arial"/>
          <w:sz w:val="24"/>
          <w:szCs w:val="24"/>
        </w:rPr>
        <w:br w:type="page"/>
      </w:r>
    </w:p>
    <w:p w14:paraId="364CAF33" w14:textId="77777777" w:rsidR="004E063D" w:rsidRPr="00A8221F" w:rsidRDefault="00A444D8" w:rsidP="00A8221F">
      <w:pPr>
        <w:pStyle w:val="Heading1"/>
        <w:spacing w:before="380" w:after="180" w:line="360" w:lineRule="auto"/>
        <w:rPr>
          <w:rFonts w:ascii="Arial" w:hAnsi="Arial" w:cs="Arial"/>
          <w:sz w:val="24"/>
          <w:szCs w:val="24"/>
        </w:rPr>
      </w:pPr>
      <w:bookmarkStart w:id="38" w:name="_Toc237519610"/>
      <w:bookmarkStart w:id="39" w:name="_Toc237520841"/>
      <w:bookmarkStart w:id="40" w:name="_Toc237521041"/>
      <w:r w:rsidRPr="00A8221F">
        <w:rPr>
          <w:rFonts w:ascii="Arial" w:hAnsi="Arial" w:cs="Arial"/>
          <w:b/>
          <w:bCs/>
          <w:color w:val="1F4E78"/>
          <w:sz w:val="24"/>
          <w:szCs w:val="24"/>
        </w:rPr>
        <w:lastRenderedPageBreak/>
        <w:t>3. Strategic Financial Restructuring Plan</w:t>
      </w:r>
      <w:bookmarkEnd w:id="38"/>
      <w:bookmarkEnd w:id="39"/>
      <w:bookmarkEnd w:id="40"/>
    </w:p>
    <w:p w14:paraId="364CAF34" w14:textId="77777777" w:rsidR="004E063D" w:rsidRPr="00A8221F" w:rsidRDefault="00A444D8" w:rsidP="00A8221F">
      <w:pPr>
        <w:pStyle w:val="Heading2"/>
        <w:spacing w:before="280" w:after="140" w:line="360" w:lineRule="auto"/>
        <w:rPr>
          <w:rFonts w:ascii="Arial" w:hAnsi="Arial" w:cs="Arial"/>
          <w:sz w:val="24"/>
          <w:szCs w:val="24"/>
        </w:rPr>
      </w:pPr>
      <w:bookmarkStart w:id="41" w:name="_Toc237519611"/>
      <w:bookmarkStart w:id="42" w:name="_Toc237520842"/>
      <w:r w:rsidRPr="00A8221F">
        <w:rPr>
          <w:rFonts w:ascii="Arial" w:hAnsi="Arial" w:cs="Arial"/>
          <w:b/>
          <w:bCs/>
          <w:color w:val="1F4E78"/>
          <w:sz w:val="24"/>
          <w:szCs w:val="24"/>
        </w:rPr>
        <w:t>(a) Restructuring Options</w:t>
      </w:r>
      <w:bookmarkEnd w:id="41"/>
      <w:bookmarkEnd w:id="42"/>
    </w:p>
    <w:p w14:paraId="364CAF35"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IHG is not in financial distress — it has been profitable throughout the review period — so restructuring here means capital-structure and portfolio optimisation, not turnaround (Oord, 2024). Three complementary options are set out in Table 2 and discussed below.</w:t>
      </w:r>
    </w:p>
    <w:p w14:paraId="364CAF36"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Table 2: Restructuring options assessed for IHG.</w:t>
      </w:r>
    </w:p>
    <w:tbl>
      <w:tblPr>
        <w:tblW w:w="935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2600"/>
        <w:gridCol w:w="4200"/>
        <w:gridCol w:w="2550"/>
      </w:tblGrid>
      <w:tr w:rsidR="004E063D" w:rsidRPr="00A8221F" w14:paraId="364CAF3A" w14:textId="77777777">
        <w:trPr>
          <w:tblHeader/>
        </w:trPr>
        <w:tc>
          <w:tcPr>
            <w:tcW w:w="2600" w:type="dxa"/>
            <w:shd w:val="clear" w:color="auto" w:fill="1F4E78"/>
            <w:tcMar>
              <w:top w:w="60" w:type="dxa"/>
              <w:left w:w="100" w:type="dxa"/>
              <w:bottom w:w="60" w:type="dxa"/>
              <w:right w:w="100" w:type="dxa"/>
            </w:tcMar>
            <w:vAlign w:val="center"/>
          </w:tcPr>
          <w:p w14:paraId="364CAF37" w14:textId="77777777" w:rsidR="004E063D" w:rsidRPr="00A8221F" w:rsidRDefault="00A444D8" w:rsidP="00A8221F">
            <w:pPr>
              <w:spacing w:line="360" w:lineRule="auto"/>
              <w:rPr>
                <w:rFonts w:ascii="Arial" w:hAnsi="Arial" w:cs="Arial"/>
                <w:sz w:val="24"/>
                <w:szCs w:val="24"/>
              </w:rPr>
            </w:pPr>
            <w:r w:rsidRPr="00A8221F">
              <w:rPr>
                <w:rFonts w:ascii="Arial" w:hAnsi="Arial" w:cs="Arial"/>
                <w:b/>
                <w:bCs/>
                <w:color w:val="FFFFFF"/>
                <w:sz w:val="24"/>
                <w:szCs w:val="24"/>
              </w:rPr>
              <w:t>Option</w:t>
            </w:r>
          </w:p>
        </w:tc>
        <w:tc>
          <w:tcPr>
            <w:tcW w:w="4200" w:type="dxa"/>
            <w:shd w:val="clear" w:color="auto" w:fill="1F4E78"/>
            <w:tcMar>
              <w:top w:w="60" w:type="dxa"/>
              <w:left w:w="100" w:type="dxa"/>
              <w:bottom w:w="60" w:type="dxa"/>
              <w:right w:w="100" w:type="dxa"/>
            </w:tcMar>
            <w:vAlign w:val="center"/>
          </w:tcPr>
          <w:p w14:paraId="364CAF3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Mechanism</w:t>
            </w:r>
          </w:p>
        </w:tc>
        <w:tc>
          <w:tcPr>
            <w:tcW w:w="2550" w:type="dxa"/>
            <w:shd w:val="clear" w:color="auto" w:fill="1F4E78"/>
            <w:tcMar>
              <w:top w:w="60" w:type="dxa"/>
              <w:left w:w="100" w:type="dxa"/>
              <w:bottom w:w="60" w:type="dxa"/>
              <w:right w:w="100" w:type="dxa"/>
            </w:tcMar>
            <w:vAlign w:val="center"/>
          </w:tcPr>
          <w:p w14:paraId="364CAF3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Primary rationale</w:t>
            </w:r>
          </w:p>
        </w:tc>
      </w:tr>
      <w:tr w:rsidR="004E063D" w:rsidRPr="00A8221F" w14:paraId="364CAF3E" w14:textId="77777777">
        <w:tc>
          <w:tcPr>
            <w:tcW w:w="2600" w:type="dxa"/>
            <w:tcMar>
              <w:top w:w="60" w:type="dxa"/>
              <w:left w:w="100" w:type="dxa"/>
              <w:bottom w:w="60" w:type="dxa"/>
              <w:right w:w="100" w:type="dxa"/>
            </w:tcMar>
            <w:vAlign w:val="center"/>
          </w:tcPr>
          <w:p w14:paraId="364CAF3B"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Continued divestiture of owned real estate</w:t>
            </w:r>
          </w:p>
        </w:tc>
        <w:tc>
          <w:tcPr>
            <w:tcW w:w="4200" w:type="dxa"/>
            <w:tcMar>
              <w:top w:w="60" w:type="dxa"/>
              <w:left w:w="100" w:type="dxa"/>
              <w:bottom w:w="60" w:type="dxa"/>
              <w:right w:w="100" w:type="dxa"/>
            </w:tcMar>
            <w:vAlign w:val="center"/>
          </w:tcPr>
          <w:p w14:paraId="364CAF3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Sell any remaining owned/leased hotel assets not aligned with the asset-light model; recycle proceeds into brand, technology and loyalty investment (Oktaviyani et al., 2020).</w:t>
            </w:r>
          </w:p>
        </w:tc>
        <w:tc>
          <w:tcPr>
            <w:tcW w:w="2550" w:type="dxa"/>
            <w:tcMar>
              <w:top w:w="60" w:type="dxa"/>
              <w:left w:w="100" w:type="dxa"/>
              <w:bottom w:w="60" w:type="dxa"/>
              <w:right w:w="100" w:type="dxa"/>
            </w:tcMar>
            <w:vAlign w:val="center"/>
          </w:tcPr>
          <w:p w14:paraId="364CAF3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Raises ROCE further; reduces property-price cyclicality; simplifies the portfolio.</w:t>
            </w:r>
          </w:p>
        </w:tc>
      </w:tr>
      <w:tr w:rsidR="004E063D" w:rsidRPr="00A8221F" w14:paraId="364CAF42" w14:textId="77777777">
        <w:tc>
          <w:tcPr>
            <w:tcW w:w="2600" w:type="dxa"/>
            <w:shd w:val="clear" w:color="auto" w:fill="F2F2F2"/>
            <w:tcMar>
              <w:top w:w="60" w:type="dxa"/>
              <w:left w:w="100" w:type="dxa"/>
              <w:bottom w:w="60" w:type="dxa"/>
              <w:right w:w="100" w:type="dxa"/>
            </w:tcMar>
            <w:vAlign w:val="center"/>
          </w:tcPr>
          <w:p w14:paraId="364CAF3F"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Disciplined bolt-on M&amp;A</w:t>
            </w:r>
          </w:p>
        </w:tc>
        <w:tc>
          <w:tcPr>
            <w:tcW w:w="4200" w:type="dxa"/>
            <w:shd w:val="clear" w:color="auto" w:fill="F2F2F2"/>
            <w:tcMar>
              <w:top w:w="60" w:type="dxa"/>
              <w:left w:w="100" w:type="dxa"/>
              <w:bottom w:w="60" w:type="dxa"/>
              <w:right w:w="100" w:type="dxa"/>
            </w:tcMar>
            <w:vAlign w:val="center"/>
          </w:tcPr>
          <w:p w14:paraId="364CAF4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Continue targeted acquisitions in high-growth segments, as with the 2025 Ruby Hotels deal, funded by a mix of free cash flow and debt (Shijaku et al., 2025).</w:t>
            </w:r>
          </w:p>
        </w:tc>
        <w:tc>
          <w:tcPr>
            <w:tcW w:w="2550" w:type="dxa"/>
            <w:shd w:val="clear" w:color="auto" w:fill="F2F2F2"/>
            <w:tcMar>
              <w:top w:w="60" w:type="dxa"/>
              <w:left w:w="100" w:type="dxa"/>
              <w:bottom w:w="60" w:type="dxa"/>
              <w:right w:w="100" w:type="dxa"/>
            </w:tcMar>
            <w:vAlign w:val="center"/>
          </w:tcPr>
          <w:p w14:paraId="364CAF4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Expands the fee-earning system and cross-sell base without the leverage of a transformational merger.</w:t>
            </w:r>
          </w:p>
        </w:tc>
      </w:tr>
      <w:tr w:rsidR="004E063D" w:rsidRPr="00A8221F" w14:paraId="364CAF46" w14:textId="77777777">
        <w:tc>
          <w:tcPr>
            <w:tcW w:w="2600" w:type="dxa"/>
            <w:tcMar>
              <w:top w:w="60" w:type="dxa"/>
              <w:left w:w="100" w:type="dxa"/>
              <w:bottom w:w="60" w:type="dxa"/>
              <w:right w:w="100" w:type="dxa"/>
            </w:tcMar>
            <w:vAlign w:val="center"/>
          </w:tcPr>
          <w:p w14:paraId="364CAF43"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Moderated buyback pace</w:t>
            </w:r>
          </w:p>
        </w:tc>
        <w:tc>
          <w:tcPr>
            <w:tcW w:w="4200" w:type="dxa"/>
            <w:tcMar>
              <w:top w:w="60" w:type="dxa"/>
              <w:left w:w="100" w:type="dxa"/>
              <w:bottom w:w="60" w:type="dxa"/>
              <w:right w:w="100" w:type="dxa"/>
            </w:tcMar>
            <w:vAlign w:val="center"/>
          </w:tcPr>
          <w:p w14:paraId="364CAF4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Slow debt-funded repurchases in years where net debt/EBITDA is at or above 2.5x, retaining more earnings (Prokop, 2025).</w:t>
            </w:r>
          </w:p>
        </w:tc>
        <w:tc>
          <w:tcPr>
            <w:tcW w:w="2550" w:type="dxa"/>
            <w:tcMar>
              <w:top w:w="60" w:type="dxa"/>
              <w:left w:w="100" w:type="dxa"/>
              <w:bottom w:w="60" w:type="dxa"/>
              <w:right w:w="100" w:type="dxa"/>
            </w:tcMar>
            <w:vAlign w:val="center"/>
          </w:tcPr>
          <w:p w14:paraId="364CAF4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Self-funded, non-dilutive way to rebuild book-equity headroom and protect the credit profile.</w:t>
            </w:r>
          </w:p>
        </w:tc>
      </w:tr>
    </w:tbl>
    <w:p w14:paraId="364CAF47"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A primary equity issuance is deliberately not proposed: IHG is strongly cash-generative, and a fresh share issue would be dilutive and unnecessary in the base case; it is best held in reserve as a contingency response to a severe, prolonged demand shock rather than deployed now.</w:t>
      </w:r>
    </w:p>
    <w:p w14:paraId="364CAF48" w14:textId="77777777" w:rsidR="004E063D" w:rsidRPr="00A8221F" w:rsidRDefault="00A444D8" w:rsidP="00A8221F">
      <w:pPr>
        <w:pStyle w:val="Heading2"/>
        <w:spacing w:before="280" w:after="140" w:line="360" w:lineRule="auto"/>
        <w:rPr>
          <w:rFonts w:ascii="Arial" w:hAnsi="Arial" w:cs="Arial"/>
          <w:sz w:val="24"/>
          <w:szCs w:val="24"/>
        </w:rPr>
      </w:pPr>
      <w:bookmarkStart w:id="43" w:name="_Toc237519612"/>
      <w:bookmarkStart w:id="44" w:name="_Toc237520843"/>
      <w:r w:rsidRPr="00A8221F">
        <w:rPr>
          <w:rFonts w:ascii="Arial" w:hAnsi="Arial" w:cs="Arial"/>
          <w:b/>
          <w:bCs/>
          <w:color w:val="1F4E78"/>
          <w:sz w:val="24"/>
          <w:szCs w:val="24"/>
        </w:rPr>
        <w:t>(b) Impact on Shareholder Value, Debt and Flexibility</w:t>
      </w:r>
      <w:bookmarkEnd w:id="43"/>
      <w:bookmarkEnd w:id="44"/>
    </w:p>
    <w:p w14:paraId="364CAF49"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 xml:space="preserve">Divestiture tends to create near-term value through higher cash flow and improved ROIC, though the loss of income from sold assets can weigh on future earnings (Teschner and Paul, 2020); it also directly reduces net debt and improves borrowing capacity, and simplifies </w:t>
      </w:r>
      <w:r w:rsidRPr="00A8221F">
        <w:rPr>
          <w:rFonts w:ascii="Arial" w:hAnsi="Arial" w:cs="Arial"/>
          <w:sz w:val="24"/>
          <w:szCs w:val="24"/>
        </w:rPr>
        <w:lastRenderedPageBreak/>
        <w:t>operations for management. Bolt-on M&amp;A can generate durable value where synergies are realised promptly, but integration failure risks value destruction (Giannopoulos et al., 2023) and increases near-term leverage, requiring a clear deleveraging plan; it also demands short-term integration resource but expands the Group's reach into new markets and segments (Shijaku et al., 2025). Moderating buybacks is mildly dilutive to the EPS-growth momentum that a shrinking share count has been generating, and may be read cautiously by the market in the short run, but it materially reduces the risk of the Group being forced into a dilutive, value-destructive equity raise during a future downturn (Nguyen Thi et al., 2025) — trading a small amount of near-term optics for materially improved medium-term resilience and continued flexibility to invest through the cycle.</w:t>
      </w:r>
    </w:p>
    <w:p w14:paraId="364CAF4A" w14:textId="77777777" w:rsidR="004E063D" w:rsidRPr="00A8221F" w:rsidRDefault="00A444D8" w:rsidP="00A8221F">
      <w:pPr>
        <w:pStyle w:val="Heading2"/>
        <w:spacing w:before="280" w:after="140" w:line="360" w:lineRule="auto"/>
        <w:rPr>
          <w:rFonts w:ascii="Arial" w:hAnsi="Arial" w:cs="Arial"/>
          <w:sz w:val="24"/>
          <w:szCs w:val="24"/>
        </w:rPr>
      </w:pPr>
      <w:bookmarkStart w:id="45" w:name="_Toc237519613"/>
      <w:bookmarkStart w:id="46" w:name="_Toc237520844"/>
      <w:r w:rsidRPr="00A8221F">
        <w:rPr>
          <w:rFonts w:ascii="Arial" w:hAnsi="Arial" w:cs="Arial"/>
          <w:b/>
          <w:bCs/>
          <w:color w:val="1F4E78"/>
          <w:sz w:val="24"/>
          <w:szCs w:val="24"/>
        </w:rPr>
        <w:t>(c) International and Ethical Dimensions</w:t>
      </w:r>
      <w:bookmarkEnd w:id="45"/>
      <w:bookmarkEnd w:id="46"/>
    </w:p>
    <w:p w14:paraId="364CAF4B"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Operating across more than 100 countries and reporting in US dollars from a UK domicile exposes IHG's restructuring plan to several cross-border dynamics (Widjaja, 2021). Tax: IHG must navigate the OECD's global minimum tax framework, which coordinates the reallocation of taxing rights across the jurisdictions in which multinational groups operate (OECD, 2026); any divestiture or M&amp;A activity should be underpinned by transparent, arm's-length transfer pricing on intercompany franchise and management-fee flows, both to manage tax risk and protect reputation. Currency: fee income arises in a wide range of local currencies while debt and reporting skew to US dollars and sterling, warranting continued natural hedging and FX forward cover, with particular attention to RMB volatility given the Greater China RevPAR softness noted in Section 1(c).</w:t>
      </w:r>
    </w:p>
    <w:p w14:paraId="364CAF4C"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Ethically, restructuring decisions affect employees, franchisees and local communities, and should be pursued as a responsible transition rather than a purely financial exercise (Amiri et al., 2022). IHG's Corporate Social Responsibility and ESG commitments should not be set aside in the process (Christensen et al., 2021); this includes continuing to fund the “Journey to Tomorrow” 2030 responsible-business programme covering carbon, water and waste reduction and community investment (IHG plc, 2024), and ensuring any renegotiation of supplier payment terms (Section 2(b)) preserves fair terms for smaller suppliers rather than using scale to extract unilaterally longer payment windows.</w:t>
      </w:r>
    </w:p>
    <w:p w14:paraId="364CAF4D" w14:textId="77777777" w:rsidR="004E063D" w:rsidRPr="00A8221F" w:rsidRDefault="00A444D8" w:rsidP="00A8221F">
      <w:pPr>
        <w:spacing w:line="360" w:lineRule="auto"/>
        <w:rPr>
          <w:rFonts w:ascii="Arial" w:hAnsi="Arial" w:cs="Arial"/>
          <w:sz w:val="24"/>
          <w:szCs w:val="24"/>
        </w:rPr>
      </w:pPr>
      <w:r w:rsidRPr="00A8221F">
        <w:rPr>
          <w:rFonts w:ascii="Arial" w:hAnsi="Arial" w:cs="Arial"/>
          <w:sz w:val="24"/>
          <w:szCs w:val="24"/>
        </w:rPr>
        <w:br w:type="page"/>
      </w:r>
    </w:p>
    <w:p w14:paraId="364CAF4E" w14:textId="77777777" w:rsidR="004E063D" w:rsidRPr="00A8221F" w:rsidRDefault="00A444D8" w:rsidP="00A8221F">
      <w:pPr>
        <w:pStyle w:val="Heading1"/>
        <w:spacing w:before="380" w:after="180" w:line="360" w:lineRule="auto"/>
        <w:rPr>
          <w:rFonts w:ascii="Arial" w:hAnsi="Arial" w:cs="Arial"/>
          <w:sz w:val="24"/>
          <w:szCs w:val="24"/>
        </w:rPr>
      </w:pPr>
      <w:bookmarkStart w:id="47" w:name="_Toc237519614"/>
      <w:bookmarkStart w:id="48" w:name="_Toc237520845"/>
      <w:bookmarkStart w:id="49" w:name="_Toc237521042"/>
      <w:r w:rsidRPr="00A8221F">
        <w:rPr>
          <w:rFonts w:ascii="Arial" w:hAnsi="Arial" w:cs="Arial"/>
          <w:b/>
          <w:bCs/>
          <w:color w:val="1F4E78"/>
          <w:sz w:val="24"/>
          <w:szCs w:val="24"/>
        </w:rPr>
        <w:lastRenderedPageBreak/>
        <w:t>4. Investment Appraisal and Capital Budgeting</w:t>
      </w:r>
      <w:bookmarkEnd w:id="47"/>
      <w:bookmarkEnd w:id="48"/>
      <w:bookmarkEnd w:id="49"/>
    </w:p>
    <w:p w14:paraId="364CAF4F"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IHG is evaluating three mutually exclusive £50m projects, each with a five-year cash-flow profile, against an 8% cost of capital and straight-line depreciation to zero (£10m per annum per project). Project A yields £10m, £12m, £14m, £10m and £8m across Years 1–5; Project B yields a constant £11m per year; Project C yields £5m, £10m, £20m, £25m and £5m. Five appraisal techniques are applied below; full year-by-year workings for all three projects appear in Appendix 3 and in the accompanying Excel workbook, where every figure is computed by live formula and cross-checked against an independent Python calculation.</w:t>
      </w:r>
    </w:p>
    <w:p w14:paraId="364CAF50" w14:textId="77777777" w:rsidR="004E063D" w:rsidRPr="00A8221F" w:rsidRDefault="00A444D8" w:rsidP="00A8221F">
      <w:pPr>
        <w:pStyle w:val="Heading2"/>
        <w:spacing w:before="280" w:after="140" w:line="360" w:lineRule="auto"/>
        <w:rPr>
          <w:rFonts w:ascii="Arial" w:hAnsi="Arial" w:cs="Arial"/>
          <w:sz w:val="24"/>
          <w:szCs w:val="24"/>
        </w:rPr>
      </w:pPr>
      <w:bookmarkStart w:id="50" w:name="_Toc237519615"/>
      <w:bookmarkStart w:id="51" w:name="_Toc237520846"/>
      <w:r w:rsidRPr="00A8221F">
        <w:rPr>
          <w:rFonts w:ascii="Arial" w:hAnsi="Arial" w:cs="Arial"/>
          <w:b/>
          <w:bCs/>
          <w:color w:val="1F4E78"/>
          <w:sz w:val="24"/>
          <w:szCs w:val="24"/>
        </w:rPr>
        <w:t>Payback Period</w:t>
      </w:r>
      <w:bookmarkEnd w:id="50"/>
      <w:bookmarkEnd w:id="51"/>
    </w:p>
    <w:p w14:paraId="364CAF51"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Payback period measures how long a project's cumulative cash inflows take to recover the initial outlay (Wall Street Prep, 2025). Project A recovers £46m by the end of Year 4, leaving £4m to be recovered from Year 5's £8m inflow, giving a payback of 4.5 years. Project B recovers £44m by Year 4, leaving £6m against an £11m Year-5 inflow, giving 4.55 years. Project C recovers £35m by Year 3, leaving £15m against a £25m Year-4 inflow, giving 3.6 years — the shortest of the three.</w:t>
      </w:r>
    </w:p>
    <w:p w14:paraId="364CAF52" w14:textId="77777777" w:rsidR="004E063D" w:rsidRPr="00A8221F" w:rsidRDefault="00A444D8" w:rsidP="00A8221F">
      <w:pPr>
        <w:pStyle w:val="Heading2"/>
        <w:spacing w:before="280" w:after="140" w:line="360" w:lineRule="auto"/>
        <w:rPr>
          <w:rFonts w:ascii="Arial" w:hAnsi="Arial" w:cs="Arial"/>
          <w:sz w:val="24"/>
          <w:szCs w:val="24"/>
        </w:rPr>
      </w:pPr>
      <w:bookmarkStart w:id="52" w:name="_Toc237519616"/>
      <w:bookmarkStart w:id="53" w:name="_Toc237520847"/>
      <w:r w:rsidRPr="00A8221F">
        <w:rPr>
          <w:rFonts w:ascii="Arial" w:hAnsi="Arial" w:cs="Arial"/>
          <w:b/>
          <w:bCs/>
          <w:color w:val="1F4E78"/>
          <w:sz w:val="24"/>
          <w:szCs w:val="24"/>
        </w:rPr>
        <w:t>Accounting Rate of Return</w:t>
      </w:r>
      <w:bookmarkEnd w:id="52"/>
      <w:bookmarkEnd w:id="53"/>
    </w:p>
    <w:p w14:paraId="364CAF53"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ARR relates average annual accounting profit to average investment (Rajgopal et al., 2023). Against an average investment of £25m (half of £50m) and annual depreciation of £10m, Project A's total accounting profit of £4m (from £54m of inflows less £50m of depreciation) gives an average annual profit of £0.8m and an ARR of 3.2%. Project B's £5m total profit gives an average of £1.0m and an ARR of 4.0%. Project C's £15m total profit gives an average of £3.0m and an ARR of 12.0% — three to four times higher than the other two projects.</w:t>
      </w:r>
    </w:p>
    <w:p w14:paraId="364CAF54" w14:textId="77777777" w:rsidR="004E063D" w:rsidRPr="00A8221F" w:rsidRDefault="00A444D8" w:rsidP="00A8221F">
      <w:pPr>
        <w:pStyle w:val="Heading2"/>
        <w:spacing w:before="280" w:after="140" w:line="360" w:lineRule="auto"/>
        <w:rPr>
          <w:rFonts w:ascii="Arial" w:hAnsi="Arial" w:cs="Arial"/>
          <w:sz w:val="24"/>
          <w:szCs w:val="24"/>
        </w:rPr>
      </w:pPr>
      <w:bookmarkStart w:id="54" w:name="_Toc237519617"/>
      <w:bookmarkStart w:id="55" w:name="_Toc237520848"/>
      <w:r w:rsidRPr="00A8221F">
        <w:rPr>
          <w:rFonts w:ascii="Arial" w:hAnsi="Arial" w:cs="Arial"/>
          <w:b/>
          <w:bCs/>
          <w:color w:val="1F4E78"/>
          <w:sz w:val="24"/>
          <w:szCs w:val="24"/>
        </w:rPr>
        <w:t>Net Present Value and Profitability Index</w:t>
      </w:r>
      <w:bookmarkEnd w:id="54"/>
      <w:bookmarkEnd w:id="55"/>
    </w:p>
    <w:p w14:paraId="364CAF55"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NPV discounts a project's future cash flows to present value and nets off the initial outlay, explicitly pricing in the time value of money (Corporate Finance Institute, 2026b); PI expresses that present value per pound invested and is the correct ranking tool under capital rationing (Ogunbiyi, 2023). At 8%, Project A's inflows discount to £43.46m against a £50m outlay, an NPV of −£6.54m and a PI of 0.869. Project B's inflows discount to £43.92m, an NPV of −£6.08m and a PI of 0.878. Project C's inflows discount to £50.86m, an NPV of +£0.86m and a PI of 1.017 — the only project that is NPV-positive and the only one with a PI above 1.0.</w:t>
      </w:r>
    </w:p>
    <w:p w14:paraId="364CAF56" w14:textId="77777777" w:rsidR="004E063D" w:rsidRPr="00A8221F" w:rsidRDefault="00A444D8" w:rsidP="00A8221F">
      <w:pPr>
        <w:pStyle w:val="Heading2"/>
        <w:spacing w:before="280" w:after="140" w:line="360" w:lineRule="auto"/>
        <w:rPr>
          <w:rFonts w:ascii="Arial" w:hAnsi="Arial" w:cs="Arial"/>
          <w:sz w:val="24"/>
          <w:szCs w:val="24"/>
        </w:rPr>
      </w:pPr>
      <w:bookmarkStart w:id="56" w:name="_Toc237519618"/>
      <w:bookmarkStart w:id="57" w:name="_Toc237520849"/>
      <w:r w:rsidRPr="00A8221F">
        <w:rPr>
          <w:rFonts w:ascii="Arial" w:hAnsi="Arial" w:cs="Arial"/>
          <w:b/>
          <w:bCs/>
          <w:color w:val="1F4E78"/>
          <w:sz w:val="24"/>
          <w:szCs w:val="24"/>
        </w:rPr>
        <w:lastRenderedPageBreak/>
        <w:t>Internal Rate of Return</w:t>
      </w:r>
      <w:bookmarkEnd w:id="56"/>
      <w:bookmarkEnd w:id="57"/>
    </w:p>
    <w:p w14:paraId="364CAF57"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IRR is the discount rate at which NPV equals zero (Wall Street Prep, 2026). Project A's IRR is 2.72%, Project B's is 3.26%, and Project C's is 8.59% — the only one of the three that clears IHG's 8% cost of capital.</w:t>
      </w:r>
    </w:p>
    <w:p w14:paraId="364CAF58"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Table 3: Investment appraisal summary @ 8% discount rate.</w:t>
      </w:r>
    </w:p>
    <w:tbl>
      <w:tblPr>
        <w:tblW w:w="935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2337"/>
        <w:gridCol w:w="2337"/>
        <w:gridCol w:w="2338"/>
        <w:gridCol w:w="2338"/>
      </w:tblGrid>
      <w:tr w:rsidR="004E063D" w:rsidRPr="00A8221F" w14:paraId="364CAF5D" w14:textId="77777777">
        <w:trPr>
          <w:tblHeader/>
        </w:trPr>
        <w:tc>
          <w:tcPr>
            <w:tcW w:w="2337" w:type="dxa"/>
            <w:shd w:val="clear" w:color="auto" w:fill="1F4E78"/>
            <w:tcMar>
              <w:top w:w="60" w:type="dxa"/>
              <w:left w:w="100" w:type="dxa"/>
              <w:bottom w:w="60" w:type="dxa"/>
              <w:right w:w="100" w:type="dxa"/>
            </w:tcMar>
            <w:vAlign w:val="center"/>
          </w:tcPr>
          <w:p w14:paraId="364CAF59" w14:textId="77777777" w:rsidR="004E063D" w:rsidRPr="00A8221F" w:rsidRDefault="00A444D8" w:rsidP="00A8221F">
            <w:pPr>
              <w:spacing w:line="360" w:lineRule="auto"/>
              <w:rPr>
                <w:rFonts w:ascii="Arial" w:hAnsi="Arial" w:cs="Arial"/>
                <w:sz w:val="24"/>
                <w:szCs w:val="24"/>
              </w:rPr>
            </w:pPr>
            <w:r w:rsidRPr="00A8221F">
              <w:rPr>
                <w:rFonts w:ascii="Arial" w:hAnsi="Arial" w:cs="Arial"/>
                <w:b/>
                <w:bCs/>
                <w:color w:val="FFFFFF"/>
                <w:sz w:val="24"/>
                <w:szCs w:val="24"/>
              </w:rPr>
              <w:t>Metric</w:t>
            </w:r>
          </w:p>
        </w:tc>
        <w:tc>
          <w:tcPr>
            <w:tcW w:w="2337" w:type="dxa"/>
            <w:shd w:val="clear" w:color="auto" w:fill="1F4E78"/>
            <w:tcMar>
              <w:top w:w="60" w:type="dxa"/>
              <w:left w:w="100" w:type="dxa"/>
              <w:bottom w:w="60" w:type="dxa"/>
              <w:right w:w="100" w:type="dxa"/>
            </w:tcMar>
            <w:vAlign w:val="center"/>
          </w:tcPr>
          <w:p w14:paraId="364CAF5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Project A</w:t>
            </w:r>
          </w:p>
        </w:tc>
        <w:tc>
          <w:tcPr>
            <w:tcW w:w="2337" w:type="dxa"/>
            <w:shd w:val="clear" w:color="auto" w:fill="1F4E78"/>
            <w:tcMar>
              <w:top w:w="60" w:type="dxa"/>
              <w:left w:w="100" w:type="dxa"/>
              <w:bottom w:w="60" w:type="dxa"/>
              <w:right w:w="100" w:type="dxa"/>
            </w:tcMar>
            <w:vAlign w:val="center"/>
          </w:tcPr>
          <w:p w14:paraId="364CAF5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Project B</w:t>
            </w:r>
          </w:p>
        </w:tc>
        <w:tc>
          <w:tcPr>
            <w:tcW w:w="2337" w:type="dxa"/>
            <w:shd w:val="clear" w:color="auto" w:fill="1F4E78"/>
            <w:tcMar>
              <w:top w:w="60" w:type="dxa"/>
              <w:left w:w="100" w:type="dxa"/>
              <w:bottom w:w="60" w:type="dxa"/>
              <w:right w:w="100" w:type="dxa"/>
            </w:tcMar>
            <w:vAlign w:val="center"/>
          </w:tcPr>
          <w:p w14:paraId="364CAF5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Project C</w:t>
            </w:r>
          </w:p>
        </w:tc>
      </w:tr>
      <w:tr w:rsidR="004E063D" w:rsidRPr="00A8221F" w14:paraId="364CAF62" w14:textId="77777777">
        <w:tc>
          <w:tcPr>
            <w:tcW w:w="2337" w:type="dxa"/>
            <w:tcMar>
              <w:top w:w="60" w:type="dxa"/>
              <w:left w:w="100" w:type="dxa"/>
              <w:bottom w:w="60" w:type="dxa"/>
              <w:right w:w="100" w:type="dxa"/>
            </w:tcMar>
            <w:vAlign w:val="center"/>
          </w:tcPr>
          <w:p w14:paraId="364CAF5E"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Payback period</w:t>
            </w:r>
          </w:p>
        </w:tc>
        <w:tc>
          <w:tcPr>
            <w:tcW w:w="2337" w:type="dxa"/>
            <w:tcMar>
              <w:top w:w="60" w:type="dxa"/>
              <w:left w:w="100" w:type="dxa"/>
              <w:bottom w:w="60" w:type="dxa"/>
              <w:right w:w="100" w:type="dxa"/>
            </w:tcMar>
            <w:vAlign w:val="center"/>
          </w:tcPr>
          <w:p w14:paraId="364CAF5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4.50 years</w:t>
            </w:r>
          </w:p>
        </w:tc>
        <w:tc>
          <w:tcPr>
            <w:tcW w:w="2337" w:type="dxa"/>
            <w:tcMar>
              <w:top w:w="60" w:type="dxa"/>
              <w:left w:w="100" w:type="dxa"/>
              <w:bottom w:w="60" w:type="dxa"/>
              <w:right w:w="100" w:type="dxa"/>
            </w:tcMar>
            <w:vAlign w:val="center"/>
          </w:tcPr>
          <w:p w14:paraId="364CAF6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4.55 years</w:t>
            </w:r>
          </w:p>
        </w:tc>
        <w:tc>
          <w:tcPr>
            <w:tcW w:w="2337" w:type="dxa"/>
            <w:tcMar>
              <w:top w:w="60" w:type="dxa"/>
              <w:left w:w="100" w:type="dxa"/>
              <w:bottom w:w="60" w:type="dxa"/>
              <w:right w:w="100" w:type="dxa"/>
            </w:tcMar>
            <w:vAlign w:val="center"/>
          </w:tcPr>
          <w:p w14:paraId="364CAF6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3.60 years</w:t>
            </w:r>
          </w:p>
        </w:tc>
      </w:tr>
      <w:tr w:rsidR="004E063D" w:rsidRPr="00A8221F" w14:paraId="364CAF67" w14:textId="77777777">
        <w:tc>
          <w:tcPr>
            <w:tcW w:w="2337" w:type="dxa"/>
            <w:shd w:val="clear" w:color="auto" w:fill="F2F2F2"/>
            <w:tcMar>
              <w:top w:w="60" w:type="dxa"/>
              <w:left w:w="100" w:type="dxa"/>
              <w:bottom w:w="60" w:type="dxa"/>
              <w:right w:w="100" w:type="dxa"/>
            </w:tcMar>
            <w:vAlign w:val="center"/>
          </w:tcPr>
          <w:p w14:paraId="364CAF63"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ARR (average investment basis)</w:t>
            </w:r>
          </w:p>
        </w:tc>
        <w:tc>
          <w:tcPr>
            <w:tcW w:w="2337" w:type="dxa"/>
            <w:shd w:val="clear" w:color="auto" w:fill="F2F2F2"/>
            <w:tcMar>
              <w:top w:w="60" w:type="dxa"/>
              <w:left w:w="100" w:type="dxa"/>
              <w:bottom w:w="60" w:type="dxa"/>
              <w:right w:w="100" w:type="dxa"/>
            </w:tcMar>
            <w:vAlign w:val="center"/>
          </w:tcPr>
          <w:p w14:paraId="364CAF6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3.2%</w:t>
            </w:r>
          </w:p>
        </w:tc>
        <w:tc>
          <w:tcPr>
            <w:tcW w:w="2337" w:type="dxa"/>
            <w:shd w:val="clear" w:color="auto" w:fill="F2F2F2"/>
            <w:tcMar>
              <w:top w:w="60" w:type="dxa"/>
              <w:left w:w="100" w:type="dxa"/>
              <w:bottom w:w="60" w:type="dxa"/>
              <w:right w:w="100" w:type="dxa"/>
            </w:tcMar>
            <w:vAlign w:val="center"/>
          </w:tcPr>
          <w:p w14:paraId="364CAF6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4.0%</w:t>
            </w:r>
          </w:p>
        </w:tc>
        <w:tc>
          <w:tcPr>
            <w:tcW w:w="2337" w:type="dxa"/>
            <w:shd w:val="clear" w:color="auto" w:fill="F2F2F2"/>
            <w:tcMar>
              <w:top w:w="60" w:type="dxa"/>
              <w:left w:w="100" w:type="dxa"/>
              <w:bottom w:w="60" w:type="dxa"/>
              <w:right w:w="100" w:type="dxa"/>
            </w:tcMar>
            <w:vAlign w:val="center"/>
          </w:tcPr>
          <w:p w14:paraId="364CAF6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12.0%</w:t>
            </w:r>
          </w:p>
        </w:tc>
      </w:tr>
      <w:tr w:rsidR="004E063D" w:rsidRPr="00A8221F" w14:paraId="364CAF6C" w14:textId="77777777">
        <w:tc>
          <w:tcPr>
            <w:tcW w:w="2337" w:type="dxa"/>
            <w:tcMar>
              <w:top w:w="60" w:type="dxa"/>
              <w:left w:w="100" w:type="dxa"/>
              <w:bottom w:w="60" w:type="dxa"/>
              <w:right w:w="100" w:type="dxa"/>
            </w:tcMar>
            <w:vAlign w:val="center"/>
          </w:tcPr>
          <w:p w14:paraId="364CAF68"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NPV</w:t>
            </w:r>
          </w:p>
        </w:tc>
        <w:tc>
          <w:tcPr>
            <w:tcW w:w="2337" w:type="dxa"/>
            <w:tcMar>
              <w:top w:w="60" w:type="dxa"/>
              <w:left w:w="100" w:type="dxa"/>
              <w:bottom w:w="60" w:type="dxa"/>
              <w:right w:w="100" w:type="dxa"/>
            </w:tcMar>
            <w:vAlign w:val="center"/>
          </w:tcPr>
          <w:p w14:paraId="364CAF6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£(6.54)m</w:t>
            </w:r>
          </w:p>
        </w:tc>
        <w:tc>
          <w:tcPr>
            <w:tcW w:w="2337" w:type="dxa"/>
            <w:tcMar>
              <w:top w:w="60" w:type="dxa"/>
              <w:left w:w="100" w:type="dxa"/>
              <w:bottom w:w="60" w:type="dxa"/>
              <w:right w:w="100" w:type="dxa"/>
            </w:tcMar>
            <w:vAlign w:val="center"/>
          </w:tcPr>
          <w:p w14:paraId="364CAF6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£(6.08)m</w:t>
            </w:r>
          </w:p>
        </w:tc>
        <w:tc>
          <w:tcPr>
            <w:tcW w:w="2337" w:type="dxa"/>
            <w:tcMar>
              <w:top w:w="60" w:type="dxa"/>
              <w:left w:w="100" w:type="dxa"/>
              <w:bottom w:w="60" w:type="dxa"/>
              <w:right w:w="100" w:type="dxa"/>
            </w:tcMar>
            <w:vAlign w:val="center"/>
          </w:tcPr>
          <w:p w14:paraId="364CAF6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£0.86m</w:t>
            </w:r>
          </w:p>
        </w:tc>
      </w:tr>
      <w:tr w:rsidR="004E063D" w:rsidRPr="00A8221F" w14:paraId="364CAF71" w14:textId="77777777">
        <w:tc>
          <w:tcPr>
            <w:tcW w:w="2337" w:type="dxa"/>
            <w:shd w:val="clear" w:color="auto" w:fill="F2F2F2"/>
            <w:tcMar>
              <w:top w:w="60" w:type="dxa"/>
              <w:left w:w="100" w:type="dxa"/>
              <w:bottom w:w="60" w:type="dxa"/>
              <w:right w:w="100" w:type="dxa"/>
            </w:tcMar>
            <w:vAlign w:val="center"/>
          </w:tcPr>
          <w:p w14:paraId="364CAF6D"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Profitability Index</w:t>
            </w:r>
          </w:p>
        </w:tc>
        <w:tc>
          <w:tcPr>
            <w:tcW w:w="2337" w:type="dxa"/>
            <w:shd w:val="clear" w:color="auto" w:fill="F2F2F2"/>
            <w:tcMar>
              <w:top w:w="60" w:type="dxa"/>
              <w:left w:w="100" w:type="dxa"/>
              <w:bottom w:w="60" w:type="dxa"/>
              <w:right w:w="100" w:type="dxa"/>
            </w:tcMar>
            <w:vAlign w:val="center"/>
          </w:tcPr>
          <w:p w14:paraId="364CAF6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0.869</w:t>
            </w:r>
          </w:p>
        </w:tc>
        <w:tc>
          <w:tcPr>
            <w:tcW w:w="2337" w:type="dxa"/>
            <w:shd w:val="clear" w:color="auto" w:fill="F2F2F2"/>
            <w:tcMar>
              <w:top w:w="60" w:type="dxa"/>
              <w:left w:w="100" w:type="dxa"/>
              <w:bottom w:w="60" w:type="dxa"/>
              <w:right w:w="100" w:type="dxa"/>
            </w:tcMar>
            <w:vAlign w:val="center"/>
          </w:tcPr>
          <w:p w14:paraId="364CAF6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0.878</w:t>
            </w:r>
          </w:p>
        </w:tc>
        <w:tc>
          <w:tcPr>
            <w:tcW w:w="2337" w:type="dxa"/>
            <w:shd w:val="clear" w:color="auto" w:fill="F2F2F2"/>
            <w:tcMar>
              <w:top w:w="60" w:type="dxa"/>
              <w:left w:w="100" w:type="dxa"/>
              <w:bottom w:w="60" w:type="dxa"/>
              <w:right w:w="100" w:type="dxa"/>
            </w:tcMar>
            <w:vAlign w:val="center"/>
          </w:tcPr>
          <w:p w14:paraId="364CAF7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1.017</w:t>
            </w:r>
          </w:p>
        </w:tc>
      </w:tr>
      <w:tr w:rsidR="004E063D" w:rsidRPr="00A8221F" w14:paraId="364CAF76" w14:textId="77777777">
        <w:tc>
          <w:tcPr>
            <w:tcW w:w="2337" w:type="dxa"/>
            <w:tcMar>
              <w:top w:w="60" w:type="dxa"/>
              <w:left w:w="100" w:type="dxa"/>
              <w:bottom w:w="60" w:type="dxa"/>
              <w:right w:w="100" w:type="dxa"/>
            </w:tcMar>
            <w:vAlign w:val="center"/>
          </w:tcPr>
          <w:p w14:paraId="364CAF72"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IRR</w:t>
            </w:r>
          </w:p>
        </w:tc>
        <w:tc>
          <w:tcPr>
            <w:tcW w:w="2337" w:type="dxa"/>
            <w:tcMar>
              <w:top w:w="60" w:type="dxa"/>
              <w:left w:w="100" w:type="dxa"/>
              <w:bottom w:w="60" w:type="dxa"/>
              <w:right w:w="100" w:type="dxa"/>
            </w:tcMar>
            <w:vAlign w:val="center"/>
          </w:tcPr>
          <w:p w14:paraId="364CAF7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2.72%</w:t>
            </w:r>
          </w:p>
        </w:tc>
        <w:tc>
          <w:tcPr>
            <w:tcW w:w="2337" w:type="dxa"/>
            <w:tcMar>
              <w:top w:w="60" w:type="dxa"/>
              <w:left w:w="100" w:type="dxa"/>
              <w:bottom w:w="60" w:type="dxa"/>
              <w:right w:w="100" w:type="dxa"/>
            </w:tcMar>
            <w:vAlign w:val="center"/>
          </w:tcPr>
          <w:p w14:paraId="364CAF7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3.26%</w:t>
            </w:r>
          </w:p>
        </w:tc>
        <w:tc>
          <w:tcPr>
            <w:tcW w:w="2337" w:type="dxa"/>
            <w:tcMar>
              <w:top w:w="60" w:type="dxa"/>
              <w:left w:w="100" w:type="dxa"/>
              <w:bottom w:w="60" w:type="dxa"/>
              <w:right w:w="100" w:type="dxa"/>
            </w:tcMar>
            <w:vAlign w:val="center"/>
          </w:tcPr>
          <w:p w14:paraId="364CAF7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8.59%</w:t>
            </w:r>
          </w:p>
        </w:tc>
      </w:tr>
      <w:tr w:rsidR="004E063D" w:rsidRPr="00A8221F" w14:paraId="364CAF7B" w14:textId="77777777">
        <w:tc>
          <w:tcPr>
            <w:tcW w:w="2337" w:type="dxa"/>
            <w:shd w:val="clear" w:color="auto" w:fill="F2F2F2"/>
            <w:tcMar>
              <w:top w:w="60" w:type="dxa"/>
              <w:left w:w="100" w:type="dxa"/>
              <w:bottom w:w="60" w:type="dxa"/>
              <w:right w:w="100" w:type="dxa"/>
            </w:tcMar>
            <w:vAlign w:val="center"/>
          </w:tcPr>
          <w:p w14:paraId="364CAF77"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Clears 8% hurdle?</w:t>
            </w:r>
          </w:p>
        </w:tc>
        <w:tc>
          <w:tcPr>
            <w:tcW w:w="2337" w:type="dxa"/>
            <w:shd w:val="clear" w:color="auto" w:fill="F2F2F2"/>
            <w:tcMar>
              <w:top w:w="60" w:type="dxa"/>
              <w:left w:w="100" w:type="dxa"/>
              <w:bottom w:w="60" w:type="dxa"/>
              <w:right w:w="100" w:type="dxa"/>
            </w:tcMar>
            <w:vAlign w:val="center"/>
          </w:tcPr>
          <w:p w14:paraId="364CAF7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No</w:t>
            </w:r>
          </w:p>
        </w:tc>
        <w:tc>
          <w:tcPr>
            <w:tcW w:w="2337" w:type="dxa"/>
            <w:shd w:val="clear" w:color="auto" w:fill="F2F2F2"/>
            <w:tcMar>
              <w:top w:w="60" w:type="dxa"/>
              <w:left w:w="100" w:type="dxa"/>
              <w:bottom w:w="60" w:type="dxa"/>
              <w:right w:w="100" w:type="dxa"/>
            </w:tcMar>
            <w:vAlign w:val="center"/>
          </w:tcPr>
          <w:p w14:paraId="364CAF7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No</w:t>
            </w:r>
          </w:p>
        </w:tc>
        <w:tc>
          <w:tcPr>
            <w:tcW w:w="2337" w:type="dxa"/>
            <w:shd w:val="clear" w:color="auto" w:fill="F2F2F2"/>
            <w:tcMar>
              <w:top w:w="60" w:type="dxa"/>
              <w:left w:w="100" w:type="dxa"/>
              <w:bottom w:w="60" w:type="dxa"/>
              <w:right w:w="100" w:type="dxa"/>
            </w:tcMar>
            <w:vAlign w:val="center"/>
          </w:tcPr>
          <w:p w14:paraId="364CAF7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Yes</w:t>
            </w:r>
          </w:p>
        </w:tc>
      </w:tr>
    </w:tbl>
    <w:p w14:paraId="364CAF7C" w14:textId="77777777" w:rsidR="004E063D" w:rsidRPr="00A8221F" w:rsidRDefault="00A444D8" w:rsidP="00A8221F">
      <w:pPr>
        <w:spacing w:after="100" w:line="360" w:lineRule="auto"/>
        <w:jc w:val="center"/>
        <w:rPr>
          <w:rFonts w:ascii="Arial" w:hAnsi="Arial" w:cs="Arial"/>
          <w:sz w:val="24"/>
          <w:szCs w:val="24"/>
        </w:rPr>
      </w:pPr>
      <w:r w:rsidRPr="00A8221F">
        <w:rPr>
          <w:rFonts w:ascii="Arial" w:hAnsi="Arial" w:cs="Arial"/>
          <w:noProof/>
          <w:sz w:val="24"/>
          <w:szCs w:val="24"/>
        </w:rPr>
        <w:drawing>
          <wp:inline distT="0" distB="0" distL="0" distR="0" wp14:anchorId="364CB0F6" wp14:editId="364CB0F7">
            <wp:extent cx="3429000" cy="2352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3429000" cy="2352675"/>
                    </a:xfrm>
                    <a:prstGeom prst="rect">
                      <a:avLst/>
                    </a:prstGeom>
                  </pic:spPr>
                </pic:pic>
              </a:graphicData>
            </a:graphic>
          </wp:inline>
        </w:drawing>
      </w:r>
    </w:p>
    <w:p w14:paraId="364CAF7D"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Figure 1: NPV by project @ 8% discount rate.</w:t>
      </w:r>
    </w:p>
    <w:p w14:paraId="75536818" w14:textId="77777777" w:rsidR="004804FA" w:rsidRDefault="004804FA" w:rsidP="00A8221F">
      <w:pPr>
        <w:pStyle w:val="Heading2"/>
        <w:spacing w:before="280" w:after="140" w:line="360" w:lineRule="auto"/>
        <w:rPr>
          <w:rFonts w:ascii="Arial" w:hAnsi="Arial" w:cs="Arial"/>
          <w:b/>
          <w:bCs/>
          <w:color w:val="1F4E78"/>
          <w:sz w:val="24"/>
          <w:szCs w:val="24"/>
        </w:rPr>
      </w:pPr>
      <w:bookmarkStart w:id="58" w:name="_Toc237519619"/>
    </w:p>
    <w:p w14:paraId="2D463AF0" w14:textId="77777777" w:rsidR="004804FA" w:rsidRDefault="004804FA" w:rsidP="00A8221F">
      <w:pPr>
        <w:pStyle w:val="Heading2"/>
        <w:spacing w:before="280" w:after="140" w:line="360" w:lineRule="auto"/>
        <w:rPr>
          <w:rFonts w:ascii="Arial" w:hAnsi="Arial" w:cs="Arial"/>
          <w:b/>
          <w:bCs/>
          <w:color w:val="1F4E78"/>
          <w:sz w:val="24"/>
          <w:szCs w:val="24"/>
        </w:rPr>
      </w:pPr>
    </w:p>
    <w:p w14:paraId="6189A5F8" w14:textId="77777777" w:rsidR="004804FA" w:rsidRDefault="004804FA" w:rsidP="00A8221F">
      <w:pPr>
        <w:pStyle w:val="Heading2"/>
        <w:spacing w:before="280" w:after="140" w:line="360" w:lineRule="auto"/>
        <w:rPr>
          <w:rFonts w:ascii="Arial" w:hAnsi="Arial" w:cs="Arial"/>
          <w:b/>
          <w:bCs/>
          <w:color w:val="1F4E78"/>
          <w:sz w:val="24"/>
          <w:szCs w:val="24"/>
        </w:rPr>
      </w:pPr>
    </w:p>
    <w:p w14:paraId="3A7FE62A" w14:textId="77777777" w:rsidR="004804FA" w:rsidRDefault="004804FA" w:rsidP="00A8221F">
      <w:pPr>
        <w:pStyle w:val="Heading2"/>
        <w:spacing w:before="280" w:after="140" w:line="360" w:lineRule="auto"/>
        <w:rPr>
          <w:rFonts w:ascii="Arial" w:hAnsi="Arial" w:cs="Arial"/>
          <w:b/>
          <w:bCs/>
          <w:color w:val="1F4E78"/>
          <w:sz w:val="24"/>
          <w:szCs w:val="24"/>
        </w:rPr>
      </w:pPr>
    </w:p>
    <w:p w14:paraId="3E800EF6" w14:textId="77777777" w:rsidR="004804FA" w:rsidRDefault="004804FA" w:rsidP="00A8221F">
      <w:pPr>
        <w:pStyle w:val="Heading2"/>
        <w:spacing w:before="280" w:after="140" w:line="360" w:lineRule="auto"/>
        <w:rPr>
          <w:rFonts w:ascii="Arial" w:hAnsi="Arial" w:cs="Arial"/>
          <w:b/>
          <w:bCs/>
          <w:color w:val="1F4E78"/>
          <w:sz w:val="24"/>
          <w:szCs w:val="24"/>
        </w:rPr>
      </w:pPr>
    </w:p>
    <w:p w14:paraId="364CAF7E" w14:textId="57ADB831" w:rsidR="004E063D" w:rsidRPr="00A8221F" w:rsidRDefault="00A444D8" w:rsidP="00A8221F">
      <w:pPr>
        <w:pStyle w:val="Heading2"/>
        <w:spacing w:before="280" w:after="140" w:line="360" w:lineRule="auto"/>
        <w:rPr>
          <w:rFonts w:ascii="Arial" w:hAnsi="Arial" w:cs="Arial"/>
          <w:sz w:val="24"/>
          <w:szCs w:val="24"/>
        </w:rPr>
      </w:pPr>
      <w:bookmarkStart w:id="59" w:name="_Toc237520850"/>
      <w:r w:rsidRPr="00A8221F">
        <w:rPr>
          <w:rFonts w:ascii="Arial" w:hAnsi="Arial" w:cs="Arial"/>
          <w:b/>
          <w:bCs/>
          <w:color w:val="1F4E78"/>
          <w:sz w:val="24"/>
          <w:szCs w:val="24"/>
        </w:rPr>
        <w:lastRenderedPageBreak/>
        <w:t>Recommendation</w:t>
      </w:r>
      <w:bookmarkEnd w:id="58"/>
      <w:bookmarkEnd w:id="59"/>
    </w:p>
    <w:p w14:paraId="364CAF7F"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Project C is recommended without qualification: it wins on every one of the five methods, and — critically — it is the only project that creates value at IHG's cost of capital, while Projects A and B both destroy value despite showing positive accounting returns and eventually paying back on an undiscounted basis. This is precisely why payback and ARR cannot be used in isolation: neither accounts for the time value of money, and both mask the fact that A's and B's cash flows arrive too late, and in too modest a size, to compensate for the 8% discount rate. IHG's own financial position reinforces the recommendation — ROCE near 37%, interest cover of 5.9x, net debt/EBITDA around 2.6x and FY2025 free cash flow of $870m together mean Project C could be funded from internal cash generation without recourse to new debt or equity, and without stressing any of the credit metrics identified in Section 1.</w:t>
      </w:r>
    </w:p>
    <w:p w14:paraId="364CAF80"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Non-financial risk should still be diligenced before sign-off. Politically, if Project C sits in an emerging or single-country market, expropriation, capital-control and planning risk should be assessed, with particular reference to the Greater China RevPAR softness already observed. Project C's own cash-flow shape is itself worth investigating: inflows collapse from £25m in Year 4 to just £5m in Year 5, a pattern consistent with new competitive supply, a scheduled renovation, or a management-contract expiry, and management should be asked to justify this before the Board approves the project. Finally, if Project C would require IHG to hold or co-invest in a physical asset, that would sit awkwardly against the divestiture-led, asset-light strategy recommended in Section 3, and the ownership structure should be confirmed as consistent with Group strategy.</w:t>
      </w:r>
    </w:p>
    <w:p w14:paraId="364CAF81" w14:textId="77777777" w:rsidR="004E063D" w:rsidRPr="00A8221F" w:rsidRDefault="00A444D8" w:rsidP="00A8221F">
      <w:pPr>
        <w:pStyle w:val="Heading2"/>
        <w:spacing w:before="280" w:after="140" w:line="360" w:lineRule="auto"/>
        <w:rPr>
          <w:rFonts w:ascii="Arial" w:hAnsi="Arial" w:cs="Arial"/>
          <w:sz w:val="24"/>
          <w:szCs w:val="24"/>
        </w:rPr>
      </w:pPr>
      <w:bookmarkStart w:id="60" w:name="_Toc237519620"/>
      <w:bookmarkStart w:id="61" w:name="_Toc237520851"/>
      <w:r w:rsidRPr="00A8221F">
        <w:rPr>
          <w:rFonts w:ascii="Arial" w:hAnsi="Arial" w:cs="Arial"/>
          <w:b/>
          <w:bCs/>
          <w:color w:val="1F4E78"/>
          <w:sz w:val="24"/>
          <w:szCs w:val="24"/>
        </w:rPr>
        <w:t>Capital Rationing at a £100m Budget</w:t>
      </w:r>
      <w:bookmarkEnd w:id="60"/>
      <w:bookmarkEnd w:id="61"/>
    </w:p>
    <w:p w14:paraId="364CAF82"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Capital rationing addresses how to allocate a limited pool of funds across competing projects (Lorentzen and Osmundsen, 2023). With £100m available and each project requiring £50m, IHG could in principle fund any two of the three. Ranking by PI — the theoretically correct metric here, since it measures value created per pound of scarce capital — places Project C first (1.017), Project B second (0.878) and Project A third (0.869). But PI ranking alone does not settle the question when more than one project has a PI below 1.0, so the combinations themselves must be compared directly.</w:t>
      </w:r>
    </w:p>
    <w:p w14:paraId="364CAF83"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Table 4: Combined NPV of feasible project pairings within the £100m budget.</w:t>
      </w:r>
    </w:p>
    <w:tbl>
      <w:tblPr>
        <w:tblW w:w="935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3116"/>
        <w:gridCol w:w="3117"/>
        <w:gridCol w:w="3117"/>
      </w:tblGrid>
      <w:tr w:rsidR="004E063D" w:rsidRPr="00A8221F" w14:paraId="364CAF87" w14:textId="77777777">
        <w:trPr>
          <w:tblHeader/>
        </w:trPr>
        <w:tc>
          <w:tcPr>
            <w:tcW w:w="3116" w:type="dxa"/>
            <w:shd w:val="clear" w:color="auto" w:fill="1F4E78"/>
            <w:tcMar>
              <w:top w:w="60" w:type="dxa"/>
              <w:left w:w="100" w:type="dxa"/>
              <w:bottom w:w="60" w:type="dxa"/>
              <w:right w:w="100" w:type="dxa"/>
            </w:tcMar>
            <w:vAlign w:val="center"/>
          </w:tcPr>
          <w:p w14:paraId="364CAF84" w14:textId="77777777" w:rsidR="004E063D" w:rsidRPr="00A8221F" w:rsidRDefault="00A444D8" w:rsidP="00A8221F">
            <w:pPr>
              <w:spacing w:line="360" w:lineRule="auto"/>
              <w:rPr>
                <w:rFonts w:ascii="Arial" w:hAnsi="Arial" w:cs="Arial"/>
                <w:sz w:val="24"/>
                <w:szCs w:val="24"/>
              </w:rPr>
            </w:pPr>
            <w:r w:rsidRPr="00A8221F">
              <w:rPr>
                <w:rFonts w:ascii="Arial" w:hAnsi="Arial" w:cs="Arial"/>
                <w:b/>
                <w:bCs/>
                <w:color w:val="FFFFFF"/>
                <w:sz w:val="24"/>
                <w:szCs w:val="24"/>
              </w:rPr>
              <w:lastRenderedPageBreak/>
              <w:t>Combination</w:t>
            </w:r>
          </w:p>
        </w:tc>
        <w:tc>
          <w:tcPr>
            <w:tcW w:w="3116" w:type="dxa"/>
            <w:shd w:val="clear" w:color="auto" w:fill="1F4E78"/>
            <w:tcMar>
              <w:top w:w="60" w:type="dxa"/>
              <w:left w:w="100" w:type="dxa"/>
              <w:bottom w:w="60" w:type="dxa"/>
              <w:right w:w="100" w:type="dxa"/>
            </w:tcMar>
            <w:vAlign w:val="center"/>
          </w:tcPr>
          <w:p w14:paraId="364CAF8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Total Outlay</w:t>
            </w:r>
          </w:p>
        </w:tc>
        <w:tc>
          <w:tcPr>
            <w:tcW w:w="3116" w:type="dxa"/>
            <w:shd w:val="clear" w:color="auto" w:fill="1F4E78"/>
            <w:tcMar>
              <w:top w:w="60" w:type="dxa"/>
              <w:left w:w="100" w:type="dxa"/>
              <w:bottom w:w="60" w:type="dxa"/>
              <w:right w:w="100" w:type="dxa"/>
            </w:tcMar>
            <w:vAlign w:val="center"/>
          </w:tcPr>
          <w:p w14:paraId="364CAF8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Combined NPV</w:t>
            </w:r>
          </w:p>
        </w:tc>
      </w:tr>
      <w:tr w:rsidR="004E063D" w:rsidRPr="00A8221F" w14:paraId="364CAF8B" w14:textId="77777777">
        <w:tc>
          <w:tcPr>
            <w:tcW w:w="3116" w:type="dxa"/>
            <w:tcMar>
              <w:top w:w="60" w:type="dxa"/>
              <w:left w:w="100" w:type="dxa"/>
              <w:bottom w:w="60" w:type="dxa"/>
              <w:right w:w="100" w:type="dxa"/>
            </w:tcMar>
            <w:vAlign w:val="center"/>
          </w:tcPr>
          <w:p w14:paraId="364CAF88"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A + B</w:t>
            </w:r>
          </w:p>
        </w:tc>
        <w:tc>
          <w:tcPr>
            <w:tcW w:w="3116" w:type="dxa"/>
            <w:tcMar>
              <w:top w:w="60" w:type="dxa"/>
              <w:left w:w="100" w:type="dxa"/>
              <w:bottom w:w="60" w:type="dxa"/>
              <w:right w:w="100" w:type="dxa"/>
            </w:tcMar>
            <w:vAlign w:val="center"/>
          </w:tcPr>
          <w:p w14:paraId="364CAF8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£100m</w:t>
            </w:r>
          </w:p>
        </w:tc>
        <w:tc>
          <w:tcPr>
            <w:tcW w:w="3116" w:type="dxa"/>
            <w:tcMar>
              <w:top w:w="60" w:type="dxa"/>
              <w:left w:w="100" w:type="dxa"/>
              <w:bottom w:w="60" w:type="dxa"/>
              <w:right w:w="100" w:type="dxa"/>
            </w:tcMar>
            <w:vAlign w:val="center"/>
          </w:tcPr>
          <w:p w14:paraId="364CAF8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£(12.62)m</w:t>
            </w:r>
          </w:p>
        </w:tc>
      </w:tr>
      <w:tr w:rsidR="004E063D" w:rsidRPr="00A8221F" w14:paraId="364CAF8F" w14:textId="77777777">
        <w:tc>
          <w:tcPr>
            <w:tcW w:w="3116" w:type="dxa"/>
            <w:shd w:val="clear" w:color="auto" w:fill="F2F2F2"/>
            <w:tcMar>
              <w:top w:w="60" w:type="dxa"/>
              <w:left w:w="100" w:type="dxa"/>
              <w:bottom w:w="60" w:type="dxa"/>
              <w:right w:w="100" w:type="dxa"/>
            </w:tcMar>
            <w:vAlign w:val="center"/>
          </w:tcPr>
          <w:p w14:paraId="364CAF8C"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A + C</w:t>
            </w:r>
          </w:p>
        </w:tc>
        <w:tc>
          <w:tcPr>
            <w:tcW w:w="3116" w:type="dxa"/>
            <w:shd w:val="clear" w:color="auto" w:fill="F2F2F2"/>
            <w:tcMar>
              <w:top w:w="60" w:type="dxa"/>
              <w:left w:w="100" w:type="dxa"/>
              <w:bottom w:w="60" w:type="dxa"/>
              <w:right w:w="100" w:type="dxa"/>
            </w:tcMar>
            <w:vAlign w:val="center"/>
          </w:tcPr>
          <w:p w14:paraId="364CAF8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£100m</w:t>
            </w:r>
          </w:p>
        </w:tc>
        <w:tc>
          <w:tcPr>
            <w:tcW w:w="3116" w:type="dxa"/>
            <w:shd w:val="clear" w:color="auto" w:fill="F2F2F2"/>
            <w:tcMar>
              <w:top w:w="60" w:type="dxa"/>
              <w:left w:w="100" w:type="dxa"/>
              <w:bottom w:w="60" w:type="dxa"/>
              <w:right w:w="100" w:type="dxa"/>
            </w:tcMar>
            <w:vAlign w:val="center"/>
          </w:tcPr>
          <w:p w14:paraId="364CAF8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£(5.69)m</w:t>
            </w:r>
          </w:p>
        </w:tc>
      </w:tr>
      <w:tr w:rsidR="004E063D" w:rsidRPr="00A8221F" w14:paraId="364CAF93" w14:textId="77777777">
        <w:tc>
          <w:tcPr>
            <w:tcW w:w="3116" w:type="dxa"/>
            <w:tcMar>
              <w:top w:w="60" w:type="dxa"/>
              <w:left w:w="100" w:type="dxa"/>
              <w:bottom w:w="60" w:type="dxa"/>
              <w:right w:w="100" w:type="dxa"/>
            </w:tcMar>
            <w:vAlign w:val="center"/>
          </w:tcPr>
          <w:p w14:paraId="364CAF90"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B + C</w:t>
            </w:r>
          </w:p>
        </w:tc>
        <w:tc>
          <w:tcPr>
            <w:tcW w:w="3116" w:type="dxa"/>
            <w:tcMar>
              <w:top w:w="60" w:type="dxa"/>
              <w:left w:w="100" w:type="dxa"/>
              <w:bottom w:w="60" w:type="dxa"/>
              <w:right w:w="100" w:type="dxa"/>
            </w:tcMar>
            <w:vAlign w:val="center"/>
          </w:tcPr>
          <w:p w14:paraId="364CAF9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£100m</w:t>
            </w:r>
          </w:p>
        </w:tc>
        <w:tc>
          <w:tcPr>
            <w:tcW w:w="3116" w:type="dxa"/>
            <w:tcMar>
              <w:top w:w="60" w:type="dxa"/>
              <w:left w:w="100" w:type="dxa"/>
              <w:bottom w:w="60" w:type="dxa"/>
              <w:right w:w="100" w:type="dxa"/>
            </w:tcMar>
            <w:vAlign w:val="center"/>
          </w:tcPr>
          <w:p w14:paraId="364CAF9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£(5.22)m</w:t>
            </w:r>
          </w:p>
        </w:tc>
      </w:tr>
      <w:tr w:rsidR="004E063D" w:rsidRPr="00A8221F" w14:paraId="364CAF97" w14:textId="77777777">
        <w:tc>
          <w:tcPr>
            <w:tcW w:w="3116" w:type="dxa"/>
            <w:shd w:val="clear" w:color="auto" w:fill="F2F2F2"/>
            <w:tcMar>
              <w:top w:w="60" w:type="dxa"/>
              <w:left w:w="100" w:type="dxa"/>
              <w:bottom w:w="60" w:type="dxa"/>
              <w:right w:w="100" w:type="dxa"/>
            </w:tcMar>
            <w:vAlign w:val="center"/>
          </w:tcPr>
          <w:p w14:paraId="364CAF94"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Project C only</w:t>
            </w:r>
          </w:p>
        </w:tc>
        <w:tc>
          <w:tcPr>
            <w:tcW w:w="3116" w:type="dxa"/>
            <w:shd w:val="clear" w:color="auto" w:fill="F2F2F2"/>
            <w:tcMar>
              <w:top w:w="60" w:type="dxa"/>
              <w:left w:w="100" w:type="dxa"/>
              <w:bottom w:w="60" w:type="dxa"/>
              <w:right w:w="100" w:type="dxa"/>
            </w:tcMar>
            <w:vAlign w:val="center"/>
          </w:tcPr>
          <w:p w14:paraId="364CAF9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£50m</w:t>
            </w:r>
          </w:p>
        </w:tc>
        <w:tc>
          <w:tcPr>
            <w:tcW w:w="3116" w:type="dxa"/>
            <w:shd w:val="clear" w:color="auto" w:fill="F2F2F2"/>
            <w:tcMar>
              <w:top w:w="60" w:type="dxa"/>
              <w:left w:w="100" w:type="dxa"/>
              <w:bottom w:w="60" w:type="dxa"/>
              <w:right w:w="100" w:type="dxa"/>
            </w:tcMar>
            <w:vAlign w:val="center"/>
          </w:tcPr>
          <w:p w14:paraId="364CAF9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£0.86m</w:t>
            </w:r>
          </w:p>
        </w:tc>
      </w:tr>
    </w:tbl>
    <w:p w14:paraId="364CAF98"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Every combination that includes A and/or B produces a lower combined NPV than accepting Project C alone, because both destroy value individually. Since capital rationing exists to maximise value created, not to maximise capital deployed, the optimal choice is Project C alone: invest £50m, decline both A and B, and redeploy the unused £50m to debt reduction, a future value-accretive opportunity, or the ordinary shareholder-return programme — any of which, unlike A or B, does not destroy value at IHG's cost of capital.</w:t>
      </w:r>
    </w:p>
    <w:p w14:paraId="364CAF99" w14:textId="77777777" w:rsidR="004E063D" w:rsidRPr="00A8221F" w:rsidRDefault="00A444D8" w:rsidP="00A8221F">
      <w:pPr>
        <w:spacing w:line="360" w:lineRule="auto"/>
        <w:rPr>
          <w:rFonts w:ascii="Arial" w:hAnsi="Arial" w:cs="Arial"/>
          <w:sz w:val="24"/>
          <w:szCs w:val="24"/>
        </w:rPr>
      </w:pPr>
      <w:r w:rsidRPr="00A8221F">
        <w:rPr>
          <w:rFonts w:ascii="Arial" w:hAnsi="Arial" w:cs="Arial"/>
          <w:sz w:val="24"/>
          <w:szCs w:val="24"/>
        </w:rPr>
        <w:br w:type="page"/>
      </w:r>
    </w:p>
    <w:p w14:paraId="364CAF9A" w14:textId="77777777" w:rsidR="004E063D" w:rsidRPr="00A8221F" w:rsidRDefault="00A444D8" w:rsidP="00A8221F">
      <w:pPr>
        <w:pStyle w:val="Heading1"/>
        <w:spacing w:before="380" w:after="180" w:line="360" w:lineRule="auto"/>
        <w:rPr>
          <w:rFonts w:ascii="Arial" w:hAnsi="Arial" w:cs="Arial"/>
          <w:sz w:val="24"/>
          <w:szCs w:val="24"/>
        </w:rPr>
      </w:pPr>
      <w:bookmarkStart w:id="62" w:name="_Toc237519621"/>
      <w:bookmarkStart w:id="63" w:name="_Toc237520852"/>
      <w:bookmarkStart w:id="64" w:name="_Toc237521043"/>
      <w:r w:rsidRPr="00A8221F">
        <w:rPr>
          <w:rFonts w:ascii="Arial" w:hAnsi="Arial" w:cs="Arial"/>
          <w:b/>
          <w:bCs/>
          <w:color w:val="1F4E78"/>
          <w:sz w:val="24"/>
          <w:szCs w:val="24"/>
        </w:rPr>
        <w:lastRenderedPageBreak/>
        <w:t>5. Critical Reflection on AI Usage</w:t>
      </w:r>
      <w:bookmarkEnd w:id="62"/>
      <w:bookmarkEnd w:id="63"/>
      <w:bookmarkEnd w:id="64"/>
    </w:p>
    <w:p w14:paraId="364CAF9B" w14:textId="77777777" w:rsidR="004E063D" w:rsidRPr="00A8221F" w:rsidRDefault="00A444D8" w:rsidP="00A8221F">
      <w:pPr>
        <w:pStyle w:val="Heading2"/>
        <w:spacing w:before="280" w:after="140" w:line="360" w:lineRule="auto"/>
        <w:rPr>
          <w:rFonts w:ascii="Arial" w:hAnsi="Arial" w:cs="Arial"/>
          <w:sz w:val="24"/>
          <w:szCs w:val="24"/>
        </w:rPr>
      </w:pPr>
      <w:bookmarkStart w:id="65" w:name="_Toc237519622"/>
      <w:bookmarkStart w:id="66" w:name="_Toc237520853"/>
      <w:r w:rsidRPr="00A8221F">
        <w:rPr>
          <w:rFonts w:ascii="Arial" w:hAnsi="Arial" w:cs="Arial"/>
          <w:b/>
          <w:bCs/>
          <w:color w:val="1F4E78"/>
          <w:sz w:val="24"/>
          <w:szCs w:val="24"/>
        </w:rPr>
        <w:t>(a) Tool Disclosure</w:t>
      </w:r>
      <w:bookmarkEnd w:id="65"/>
      <w:bookmarkEnd w:id="66"/>
    </w:p>
    <w:p w14:paraId="364CAF9C"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This report was prepared with the assistance of Claude (Anthropic), used for three specific tasks: retrieving IHG's FY2021–FY2025 financial data from IHG plc's own investor-relations releases, SEC filings, and standardised financial databases; building the ratio-analysis and investment-appraisal calculations in Excel with live formulas; and structuring and drafting the narrative in this report. The analytical direction, interpretation and final recommendations are my own, developed by reviewing and testing the AI-assisted outputs described below.</w:t>
      </w:r>
    </w:p>
    <w:p w14:paraId="364CAF9D" w14:textId="77777777" w:rsidR="004E063D" w:rsidRPr="00A8221F" w:rsidRDefault="00A444D8" w:rsidP="00A8221F">
      <w:pPr>
        <w:pStyle w:val="Heading2"/>
        <w:spacing w:before="280" w:after="140" w:line="360" w:lineRule="auto"/>
        <w:rPr>
          <w:rFonts w:ascii="Arial" w:hAnsi="Arial" w:cs="Arial"/>
          <w:sz w:val="24"/>
          <w:szCs w:val="24"/>
        </w:rPr>
      </w:pPr>
      <w:bookmarkStart w:id="67" w:name="_Toc237519623"/>
      <w:bookmarkStart w:id="68" w:name="_Toc237520854"/>
      <w:r w:rsidRPr="00A8221F">
        <w:rPr>
          <w:rFonts w:ascii="Arial" w:hAnsi="Arial" w:cs="Arial"/>
          <w:b/>
          <w:bCs/>
          <w:color w:val="1F4E78"/>
          <w:sz w:val="24"/>
          <w:szCs w:val="24"/>
        </w:rPr>
        <w:t>(b) Critical Evaluation of AI Output</w:t>
      </w:r>
      <w:bookmarkEnd w:id="67"/>
      <w:bookmarkEnd w:id="68"/>
    </w:p>
    <w:p w14:paraId="364CAF9E"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I treated no AI output as correct by default. Every externally sourced figure was checked against a primary source — IHG's own results announcements or SEC filings — rather than accepted from a single aggregator, and I explicitly distinguished IHG's fee-based “revenue from reportable segments” (roughly $2.5bn) from total consolidated revenue including reimbursed costs (roughly $5.2bn), since these are easily conflated. Every ratio in this report was independently recomputed from underlying line items rather than taken on trust. In doing so, I found and corrected a logic error in an early draft of the payback-period formula, where a cumulative cash flow already net of the £50m outlay was compared against that same £50m a second time, producing an incorrect “not recovered” result for all three projects; this was caught by cross-checking against an independent calculation, traced to its cause, corrected, and re-verified through a full recalculation that confirmed zero residual formula errors.</w:t>
      </w:r>
    </w:p>
    <w:p w14:paraId="364CAF9F" w14:textId="77777777" w:rsidR="004E063D" w:rsidRPr="00A8221F" w:rsidRDefault="00A444D8" w:rsidP="00A8221F">
      <w:pPr>
        <w:pStyle w:val="Heading2"/>
        <w:spacing w:before="280" w:after="140" w:line="360" w:lineRule="auto"/>
        <w:rPr>
          <w:rFonts w:ascii="Arial" w:hAnsi="Arial" w:cs="Arial"/>
          <w:sz w:val="24"/>
          <w:szCs w:val="24"/>
        </w:rPr>
      </w:pPr>
      <w:bookmarkStart w:id="69" w:name="_Toc237519624"/>
      <w:bookmarkStart w:id="70" w:name="_Toc237520855"/>
      <w:r w:rsidRPr="00A8221F">
        <w:rPr>
          <w:rFonts w:ascii="Arial" w:hAnsi="Arial" w:cs="Arial"/>
          <w:b/>
          <w:bCs/>
          <w:color w:val="1F4E78"/>
          <w:sz w:val="24"/>
          <w:szCs w:val="24"/>
        </w:rPr>
        <w:t>(c) Contribution Analysis</w:t>
      </w:r>
      <w:bookmarkEnd w:id="69"/>
      <w:bookmarkEnd w:id="70"/>
    </w:p>
    <w:p w14:paraId="364CAFA0"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The mechanical work — locating public financial data, performing calculations, and producing a first-pass draft structure — was AI-assisted. The judgement was mine: reading IHG's negative book equity as a deliberate consequence of its buyback policy rather than distress; recommending a slower buyback pace to rebuild balance-sheet headroom; rejecting Projects A and B despite their positive accounting returns on NPV/IRR grounds; flagging Project C's Year-5 cash-flow drop as a matter for further diligence; and the ethical, tax and ESG framing in Section 3 are all my own analysis, for which I take direct responsibility.</w:t>
      </w:r>
    </w:p>
    <w:p w14:paraId="364CAFA1" w14:textId="77777777" w:rsidR="004E063D" w:rsidRPr="00A8221F" w:rsidRDefault="00A444D8" w:rsidP="00A8221F">
      <w:pPr>
        <w:pStyle w:val="Heading2"/>
        <w:spacing w:before="280" w:after="140" w:line="360" w:lineRule="auto"/>
        <w:rPr>
          <w:rFonts w:ascii="Arial" w:hAnsi="Arial" w:cs="Arial"/>
          <w:sz w:val="24"/>
          <w:szCs w:val="24"/>
        </w:rPr>
      </w:pPr>
      <w:bookmarkStart w:id="71" w:name="_Toc237519625"/>
      <w:bookmarkStart w:id="72" w:name="_Toc237520856"/>
      <w:r w:rsidRPr="00A8221F">
        <w:rPr>
          <w:rFonts w:ascii="Arial" w:hAnsi="Arial" w:cs="Arial"/>
          <w:b/>
          <w:bCs/>
          <w:color w:val="1F4E78"/>
          <w:sz w:val="24"/>
          <w:szCs w:val="24"/>
        </w:rPr>
        <w:t>(d) Ethical and Professional Reflection</w:t>
      </w:r>
      <w:bookmarkEnd w:id="71"/>
      <w:bookmarkEnd w:id="72"/>
    </w:p>
    <w:p w14:paraId="364CAFA2"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 xml:space="preserve">Using AI on a report of this kind raises three points worth stating plainly. Transparency: a Board relying on this analysis for capital-allocation decisions is entitled to know which parts </w:t>
      </w:r>
      <w:r w:rsidRPr="00A8221F">
        <w:rPr>
          <w:rFonts w:ascii="Arial" w:hAnsi="Arial" w:cs="Arial"/>
          <w:sz w:val="24"/>
          <w:szCs w:val="24"/>
        </w:rPr>
        <w:lastRenderedPageBreak/>
        <w:t>were AI-assisted and how they were checked, rather than have AI output presented as unassisted human work. Data privacy: everything used here was public, listed-company disclosure — no confidential internal data or personal information was involved, which is the correct boundary for any genuine use of AI on Board-level material. Over-reliance: the payback-formula error above is a concrete reminder that AI output can be fluent and internally consistent while still being wrong, and that no CFO should present an AI-derived figure externally without independently verifying it; in a real executive setting, this points toward a formal policy requiring named human sign-off on any figure used to support a capital-allocation decision.</w:t>
      </w:r>
    </w:p>
    <w:p w14:paraId="364CAFA3" w14:textId="77777777" w:rsidR="004E063D" w:rsidRPr="00A8221F" w:rsidRDefault="00A444D8" w:rsidP="00A8221F">
      <w:pPr>
        <w:spacing w:line="360" w:lineRule="auto"/>
        <w:rPr>
          <w:rFonts w:ascii="Arial" w:hAnsi="Arial" w:cs="Arial"/>
          <w:sz w:val="24"/>
          <w:szCs w:val="24"/>
        </w:rPr>
      </w:pPr>
      <w:r w:rsidRPr="00A8221F">
        <w:rPr>
          <w:rFonts w:ascii="Arial" w:hAnsi="Arial" w:cs="Arial"/>
          <w:sz w:val="24"/>
          <w:szCs w:val="24"/>
        </w:rPr>
        <w:br w:type="page"/>
      </w:r>
    </w:p>
    <w:p w14:paraId="364CAFA4" w14:textId="77777777" w:rsidR="004E063D" w:rsidRPr="00A8221F" w:rsidRDefault="00A444D8" w:rsidP="00A8221F">
      <w:pPr>
        <w:pStyle w:val="Heading1"/>
        <w:spacing w:before="380" w:after="180" w:line="360" w:lineRule="auto"/>
        <w:rPr>
          <w:rFonts w:ascii="Arial" w:hAnsi="Arial" w:cs="Arial"/>
          <w:sz w:val="24"/>
          <w:szCs w:val="24"/>
        </w:rPr>
      </w:pPr>
      <w:bookmarkStart w:id="73" w:name="_Toc237519626"/>
      <w:bookmarkStart w:id="74" w:name="_Toc237520857"/>
      <w:bookmarkStart w:id="75" w:name="_Toc237521044"/>
      <w:r w:rsidRPr="00A8221F">
        <w:rPr>
          <w:rFonts w:ascii="Arial" w:hAnsi="Arial" w:cs="Arial"/>
          <w:b/>
          <w:bCs/>
          <w:color w:val="1F4E78"/>
          <w:sz w:val="24"/>
          <w:szCs w:val="24"/>
        </w:rPr>
        <w:lastRenderedPageBreak/>
        <w:t>Conclusion</w:t>
      </w:r>
      <w:bookmarkEnd w:id="73"/>
      <w:bookmarkEnd w:id="74"/>
      <w:bookmarkEnd w:id="75"/>
    </w:p>
    <w:p w14:paraId="364CAFA5"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IHG's underlying trading performance over FY2021–FY2025 has been strong across every profit and cash-flow measure examined in this report, and its capital-light franchise model continues to generate an unusually high return on capital employed for the sector. The concerns this report identifies sit on the balance sheet rather than in the trading business: liquidity ratios below 1.0x, a shareholders' deficit that has continued to widen, and net debt/EBITDA drifting back up as buybacks have resumed at scale. None of this points to distress, but all of it argues for the moderated, self-funded restructuring set out in Section 3 — slower buybacks in higher-leverage years, tighter receivables and treasury management, and a longer-dated debt maturity profile — rather than for either inaction or a more dramatic intervention such as a primary equity raise.</w:t>
      </w:r>
    </w:p>
    <w:p w14:paraId="364CAFA6"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On the capital projects put to the Board, the appraisal is unambiguous: Project C is the only one of the three that creates value at IHG's cost of capital, and remains the right choice even when a full £100m of capital is available, since neither Project A nor Project B is worth funding on its own merits. Taken together, the recommendations in this report point toward a financial strategy that protects IHG's genuine operating strengths while addressing the capital-structure risks that its own five-year record has begun to reveal.</w:t>
      </w:r>
    </w:p>
    <w:p w14:paraId="364CAFA7" w14:textId="77777777" w:rsidR="004E063D" w:rsidRPr="00A8221F" w:rsidRDefault="00A444D8" w:rsidP="00A8221F">
      <w:pPr>
        <w:spacing w:line="360" w:lineRule="auto"/>
        <w:rPr>
          <w:rFonts w:ascii="Arial" w:hAnsi="Arial" w:cs="Arial"/>
          <w:sz w:val="24"/>
          <w:szCs w:val="24"/>
        </w:rPr>
      </w:pPr>
      <w:r w:rsidRPr="00A8221F">
        <w:rPr>
          <w:rFonts w:ascii="Arial" w:hAnsi="Arial" w:cs="Arial"/>
          <w:sz w:val="24"/>
          <w:szCs w:val="24"/>
        </w:rPr>
        <w:br w:type="page"/>
      </w:r>
    </w:p>
    <w:p w14:paraId="364CAFA8" w14:textId="77777777" w:rsidR="004E063D" w:rsidRPr="00A8221F" w:rsidRDefault="00A444D8" w:rsidP="00A8221F">
      <w:pPr>
        <w:pStyle w:val="Heading1"/>
        <w:spacing w:before="380" w:after="180" w:line="360" w:lineRule="auto"/>
        <w:rPr>
          <w:rFonts w:ascii="Arial" w:hAnsi="Arial" w:cs="Arial"/>
          <w:sz w:val="24"/>
          <w:szCs w:val="24"/>
        </w:rPr>
      </w:pPr>
      <w:bookmarkStart w:id="76" w:name="_Toc237519627"/>
      <w:bookmarkStart w:id="77" w:name="_Toc237520858"/>
      <w:bookmarkStart w:id="78" w:name="_Toc237521045"/>
      <w:r w:rsidRPr="00A8221F">
        <w:rPr>
          <w:rFonts w:ascii="Arial" w:hAnsi="Arial" w:cs="Arial"/>
          <w:b/>
          <w:bCs/>
          <w:color w:val="1F4E78"/>
          <w:sz w:val="24"/>
          <w:szCs w:val="24"/>
        </w:rPr>
        <w:lastRenderedPageBreak/>
        <w:t>References</w:t>
      </w:r>
      <w:bookmarkEnd w:id="76"/>
      <w:bookmarkEnd w:id="77"/>
      <w:bookmarkEnd w:id="78"/>
    </w:p>
    <w:p w14:paraId="364CAFA9"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Accaglobal. (2026) Ratio analysis, Home. Available at: https://www.accaglobal.com/gb/en/student/exam-support-resources/fundamentals-exams-study-resources/f2/technical-articles/ratio-analysis.html [Accessed: 13 August 2026].</w:t>
      </w:r>
    </w:p>
    <w:p w14:paraId="364CAFAA"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Amiri, S., King, D.R. and Duesing, R.J. (2022). Managing divestments as projects: Benefits of stakeholder orientation. International Journal of Project Management, 40(4). Available at: https://www.sciencedirect.com/science/article/abs/pii/S0263786322000461.</w:t>
      </w:r>
    </w:p>
    <w:p w14:paraId="364CAFAB"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Busch, G. (2023). How hotel franchise business models generate high returns and excess cash flow. American Money Management. Available at: https://www.amminvest.com/how-marriotts-business-model-generates-high-returns-and-excess-cash-flow/ [Accessed 13 Aug. 2026].</w:t>
      </w:r>
    </w:p>
    <w:p w14:paraId="364CAFAC"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Christensen, H.B., Hail, L. and Leuz, C. (2021). Mandatory CSR and sustainability reporting: Economic analysis and literature review. Review of Accounting Studies, 26(3), pp.1176–1248.</w:t>
      </w:r>
    </w:p>
    <w:p w14:paraId="364CAFAD"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Corporate Finance Institute. (2026a) Efficiency ratios. Available at: https://corporatefinanceinstitute.com/resources/accounting/efficiency-ratios/ [Accessed: 13 August 2026].</w:t>
      </w:r>
    </w:p>
    <w:p w14:paraId="364CAFAE"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Corporate Finance Institute. (2026b) Net present value (NPV). Available at: https://corporatefinanceinstitute.com/resources/valuation/net-present-value-npv/ [Accessed: 13 August 2026].</w:t>
      </w:r>
    </w:p>
    <w:p w14:paraId="364CAFAF"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Fachrian, Z. and Hidayat, W.W. (2023). The influence of liquidity ratio as current (CR), (DER) ratio leverage and asset structure on return on investment of coal companies. International Journal of Accounting and Management Information Systems, 1(1), pp.17–31.</w:t>
      </w:r>
    </w:p>
    <w:p w14:paraId="364CAFB0"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Giannopoulos, G., Lianou, A. and Elmarzouky, M. (2023). The impact of M&amp;As on shareholders' wealth: Evidence from Greece. Journal of Risk and Financial Management, 16(3), p.199.</w:t>
      </w:r>
    </w:p>
    <w:p w14:paraId="364CAFB1"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IHG plc (2026a) About us. Available at: https://www.ihgplc.com/en/about-us [Accessed: 13 August 2026].</w:t>
      </w:r>
    </w:p>
    <w:p w14:paraId="364CAFB2"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lastRenderedPageBreak/>
        <w:t>IHG plc (2026b) Investors — Annual report and results centre. Available at: https://www.ihgplc.com/en/investors [Accessed: 13 August 2026].</w:t>
      </w:r>
    </w:p>
    <w:p w14:paraId="364CAFB3"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IHG plc (2026c) Full year results for the year to 31 December 2025. Available at: https://www.ihgplc.com/en/news-and-media/news-releases/2026/full-year-results-for-the-year-to-31-dec-2025 [Accessed: 13 August 2026].</w:t>
      </w:r>
    </w:p>
    <w:p w14:paraId="364CAFB4"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IHG plc (2024) Journey to Tomorrow. Available at: https://www.ihgplc.com/en/responsible-business/journey-to-tomorrow [Accessed: 13 August 2026].</w:t>
      </w:r>
    </w:p>
    <w:p w14:paraId="364CAFB5"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IHG plc /NEW/ (2026) Form 20-F, FY2025. U.S. Securities and Exchange Commission. Available at: https://www.sec.gov/Archives/edgar/data/0000858446/000085844626000010/ihg-20251231.htm [Accessed: 13 August 2026].</w:t>
      </w:r>
    </w:p>
    <w:p w14:paraId="364CAFB6"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Karim, R., Mamun, A. Al and Kamruzzaman, A.S.Md. (2023). Cash conversion cycle and financial performance: Evidence from manufacturing firms of Bangladesh. Asian Journal of Economics and Banking, 8(1).</w:t>
      </w:r>
    </w:p>
    <w:p w14:paraId="364CAFB7"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Kubranová, M. (2020). Cash concentration and liquidity policy. Available at: https://www.shs-conferences.org/articles/shsconf/pdf/2020/11/shsconf_appsconf2020_01039.pdf [Accessed 13 Aug. 2026].</w:t>
      </w:r>
    </w:p>
    <w:p w14:paraId="364CAFB8"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Lien, C. (2024). Liquidity management through contracts with customers. Available at: https://papers.ssrn.com/sol3/Delivery.cfm/4210805.pdf?abstractid=4210805&amp;mirid=1.</w:t>
      </w:r>
    </w:p>
    <w:p w14:paraId="364CAFB9"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Lorentzen, S. and Osmundsen, P. (2023). Capital rationing and business cycles in the Norwegian petroleum industry. SSRN Working Paper 4549624.</w:t>
      </w:r>
    </w:p>
    <w:p w14:paraId="364CAFBA"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Macrotrends (2026) Intercontinental Hotels Group quick ratio 2010–2025. Available at: https://www.macrotrends.net/stocks/charts/IHG/intercontinental-hotels-group/quick-ratio [Accessed: 13 August 2026].</w:t>
      </w:r>
    </w:p>
    <w:p w14:paraId="364CAFBB"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Nguyen Thi, C., Anh, K.T. and Tran, K.B.N. (2025). Corporate distress and financial restructuring decisions in different stages of life cycle. Journal of Economics and Development, 27(3), pp.264–276.</w:t>
      </w:r>
    </w:p>
    <w:p w14:paraId="364CAFBC"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OECD (2026). Cross-border and international tax. Available at: https://www.oecd.org/en/topics/cross-border-and-international-tax.html [Accessed: 13 August 2026].</w:t>
      </w:r>
    </w:p>
    <w:p w14:paraId="364CAFBD"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lastRenderedPageBreak/>
        <w:t>Ogunbiyi, J.O. (2023). Practical demonstrations of the use of select property investment viability appraisal models: Net present value, profitability index and net terminal value. Urban Economics &amp; Regional Studies eJournal, 16(82).</w:t>
      </w:r>
    </w:p>
    <w:p w14:paraId="364CAFBE"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Oktaviyani, Sudhartio, L. and Wahyuni, S. (2020). Financial need vs core business focus. Proceedings of the International Conference on Business and Management Research (ICBMR 2020).</w:t>
      </w:r>
    </w:p>
    <w:p w14:paraId="364CAFBF"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Oord, B. (2024). What is financial restructuring? FBM Corporate Finance. Available at: https://www.fbm.nl/en/what-is-financial-restructuring/ [Accessed 13 Aug. 2026].</w:t>
      </w:r>
    </w:p>
    <w:p w14:paraId="364CAFC0"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Prokop, S. (2025). Restructuring capital and business turnaround financing. Medium. Available at: https://medium.com/@stanprokop/restructuring-capital-and-business-turnaround-financing-08f6dcabb84a [Accessed 13 Aug. 2026].</w:t>
      </w:r>
    </w:p>
    <w:p w14:paraId="364CAFC1"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Prudential (2019). The benefits of long-term vs. short-term financing. Available at: https://www.prudentialprivatecapital.com/perspectives/the-benefits-of-long-term-vs-short-term-financing [Accessed 13 Aug. 2026].</w:t>
      </w:r>
    </w:p>
    <w:p w14:paraId="364CAFC2"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Rajgopal, S., Srivastava, A. and Zhao, R. (2023). Do digital technology firms earn excess profits? Alternative perspectives. The Accounting Review, 98(4), pp.321–344.</w:t>
      </w:r>
    </w:p>
    <w:p w14:paraId="364CAFC3"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Rusu, V.D. and Roman, A. (2022). The relationship between financing decision of SMEs and their performance. In: Business Development and Economic Governance in Southeastern Europe. Cham: Springer, pp.353–367.</w:t>
      </w:r>
    </w:p>
    <w:p w14:paraId="364CAFC4"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Seretidou, D., Billios, D. and Stavropoulos, A. (2025). Integrative analysis of traditional and cash flow financial ratios: Insights from a systematic comparative review. Risks, 13(4), p.62.</w:t>
      </w:r>
    </w:p>
    <w:p w14:paraId="364CAFC5"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Shah, A. (2025). Strategic financing: Choosing between short-term, medium-term, and long-term options. Medium. Available at: https://medium.com/@arjunshah311220/strategic-financing-choosing-between-short-term-medium-term-and-long-term-options-fce10e2811a4.</w:t>
      </w:r>
    </w:p>
    <w:p w14:paraId="364CAFC6"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Shah, O. (2025). Gain transformation momentum early by optimizing working capital. McKinsey &amp; Company. Available at: https://www.mckinsey.com/capabilities/transformation/our-insights/gain-transformation-momentum-early-by-optimizing-working-capital [Accessed 13 Aug. 2026].</w:t>
      </w:r>
    </w:p>
    <w:p w14:paraId="364CAFC7"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lastRenderedPageBreak/>
        <w:t>Shijaku, E., Lou, B. and Bauer, F. (2025). Exploring synergies in business restructuring: A dynamic framework. Business Horizons, 69(2), pp.179–196.</w:t>
      </w:r>
    </w:p>
    <w:p w14:paraId="364CAFC8"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StockAnalysis.com (2026) InterContinental Hotels Group (IHG) — Financials. Available at: https://stockanalysis.com/stocks/ihg/financials/ [Accessed: 13 August 2026].</w:t>
      </w:r>
    </w:p>
    <w:p w14:paraId="364CAFC9"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Teschner, N. and Paul, H. (2020). The impact of divestitures on shareholder wealth – the DACH case. European Journal of Management and Business Economics, 30(1), pp.55–71.</w:t>
      </w:r>
    </w:p>
    <w:p w14:paraId="364CAFCA"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Wall Street Prep. (2024) Profitability ratios. Available at: https://www.wallstreetprep.com/knowledge/profitability-ratio/ [Accessed: 13 August 2026].</w:t>
      </w:r>
    </w:p>
    <w:p w14:paraId="364CAFCB"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Wall Street Prep. (2025) Payback period. Available at: https://www.wallstreetprep.com/knowledge/payback-period/ [Accessed: 13 August 2026].</w:t>
      </w:r>
    </w:p>
    <w:p w14:paraId="364CAFCC"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Wall Street Prep. (2026) Internal rate of return (IRR): Formula + calculator. Available at: https://www.wallstreetprep.com/knowledge/irr-internal-rate-of-return/ [Accessed: 13 August 2026].</w:t>
      </w:r>
    </w:p>
    <w:p w14:paraId="364CAFCD"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Wang, D. and Nie, H. (2025). Business process digitalization and efficiency of corporate working capital management. International Review of Economics &amp; Finance, 104, p.104606.</w:t>
      </w:r>
    </w:p>
    <w:p w14:paraId="364CAFCE"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Widjaja, G. (2021). Impact of transfer pricing toward benefits and sustainable of multinational hotel industry. Linguistics and Culture Review, 5(S4), pp.2090–2101.</w:t>
      </w:r>
    </w:p>
    <w:p w14:paraId="364CAFCF" w14:textId="77777777" w:rsidR="004E063D" w:rsidRPr="00A8221F" w:rsidRDefault="00A444D8" w:rsidP="00A8221F">
      <w:pPr>
        <w:spacing w:after="160" w:line="360" w:lineRule="auto"/>
        <w:ind w:left="400" w:hanging="400"/>
        <w:rPr>
          <w:rFonts w:ascii="Arial" w:hAnsi="Arial" w:cs="Arial"/>
          <w:sz w:val="24"/>
          <w:szCs w:val="24"/>
        </w:rPr>
      </w:pPr>
      <w:r w:rsidRPr="00A8221F">
        <w:rPr>
          <w:rFonts w:ascii="Arial" w:hAnsi="Arial" w:cs="Arial"/>
          <w:sz w:val="24"/>
          <w:szCs w:val="24"/>
        </w:rPr>
        <w:t>Zheng, M., Wang, R., Ye, J. and Li, T. (2025). How does supply chain finance enhance firms' supply chain resilience? International Review of Economics &amp; Finance, p.104231.</w:t>
      </w:r>
    </w:p>
    <w:p w14:paraId="364CAFD0" w14:textId="77777777" w:rsidR="004E063D" w:rsidRPr="00A8221F" w:rsidRDefault="00A444D8" w:rsidP="00A8221F">
      <w:pPr>
        <w:spacing w:line="360" w:lineRule="auto"/>
        <w:rPr>
          <w:rFonts w:ascii="Arial" w:hAnsi="Arial" w:cs="Arial"/>
          <w:sz w:val="24"/>
          <w:szCs w:val="24"/>
        </w:rPr>
      </w:pPr>
      <w:r w:rsidRPr="00A8221F">
        <w:rPr>
          <w:rFonts w:ascii="Arial" w:hAnsi="Arial" w:cs="Arial"/>
          <w:sz w:val="24"/>
          <w:szCs w:val="24"/>
        </w:rPr>
        <w:br w:type="page"/>
      </w:r>
    </w:p>
    <w:p w14:paraId="364CAFD1" w14:textId="77777777" w:rsidR="004E063D" w:rsidRPr="00A8221F" w:rsidRDefault="00A444D8" w:rsidP="00A8221F">
      <w:pPr>
        <w:pStyle w:val="Heading1"/>
        <w:spacing w:before="380" w:after="180" w:line="360" w:lineRule="auto"/>
        <w:rPr>
          <w:rFonts w:ascii="Arial" w:hAnsi="Arial" w:cs="Arial"/>
          <w:sz w:val="24"/>
          <w:szCs w:val="24"/>
        </w:rPr>
      </w:pPr>
      <w:bookmarkStart w:id="79" w:name="_Toc237519628"/>
      <w:bookmarkStart w:id="80" w:name="_Toc237520859"/>
      <w:bookmarkStart w:id="81" w:name="_Toc237521046"/>
      <w:r w:rsidRPr="00A8221F">
        <w:rPr>
          <w:rFonts w:ascii="Arial" w:hAnsi="Arial" w:cs="Arial"/>
          <w:b/>
          <w:bCs/>
          <w:color w:val="1F4E78"/>
          <w:sz w:val="24"/>
          <w:szCs w:val="24"/>
        </w:rPr>
        <w:lastRenderedPageBreak/>
        <w:t>Appendices</w:t>
      </w:r>
      <w:bookmarkEnd w:id="79"/>
      <w:bookmarkEnd w:id="80"/>
      <w:bookmarkEnd w:id="81"/>
    </w:p>
    <w:p w14:paraId="364CAFD2" w14:textId="77777777" w:rsidR="004E063D" w:rsidRPr="00A8221F" w:rsidRDefault="00A444D8" w:rsidP="00A8221F">
      <w:pPr>
        <w:pStyle w:val="Heading2"/>
        <w:spacing w:before="280" w:after="140" w:line="360" w:lineRule="auto"/>
        <w:rPr>
          <w:rFonts w:ascii="Arial" w:hAnsi="Arial" w:cs="Arial"/>
          <w:sz w:val="24"/>
          <w:szCs w:val="24"/>
        </w:rPr>
      </w:pPr>
      <w:bookmarkStart w:id="82" w:name="_Toc237519629"/>
      <w:bookmarkStart w:id="83" w:name="_Toc237520860"/>
      <w:r w:rsidRPr="00A8221F">
        <w:rPr>
          <w:rFonts w:ascii="Arial" w:hAnsi="Arial" w:cs="Arial"/>
          <w:b/>
          <w:bCs/>
          <w:color w:val="1F4E78"/>
          <w:sz w:val="24"/>
          <w:szCs w:val="24"/>
        </w:rPr>
        <w:t>Appendix 1: Five-Year Ratio Summary</w:t>
      </w:r>
      <w:bookmarkEnd w:id="82"/>
      <w:bookmarkEnd w:id="83"/>
    </w:p>
    <w:p w14:paraId="364CAFD3"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Table A1: Full ratio summary, FY2021–FY2025. Source: IHG plc (2026c); StockAnalysis.com (2026); author's calculations.</w:t>
      </w:r>
    </w:p>
    <w:tbl>
      <w:tblPr>
        <w:tblW w:w="935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2200"/>
        <w:gridCol w:w="1430"/>
        <w:gridCol w:w="1430"/>
        <w:gridCol w:w="1430"/>
        <w:gridCol w:w="1430"/>
        <w:gridCol w:w="1430"/>
      </w:tblGrid>
      <w:tr w:rsidR="004E063D" w:rsidRPr="00A8221F" w14:paraId="364CAFDA" w14:textId="77777777">
        <w:trPr>
          <w:tblHeader/>
        </w:trPr>
        <w:tc>
          <w:tcPr>
            <w:tcW w:w="2200" w:type="dxa"/>
            <w:shd w:val="clear" w:color="auto" w:fill="1F4E78"/>
            <w:tcMar>
              <w:top w:w="60" w:type="dxa"/>
              <w:left w:w="100" w:type="dxa"/>
              <w:bottom w:w="60" w:type="dxa"/>
              <w:right w:w="100" w:type="dxa"/>
            </w:tcMar>
            <w:vAlign w:val="center"/>
          </w:tcPr>
          <w:p w14:paraId="364CAFD4" w14:textId="77777777" w:rsidR="004E063D" w:rsidRPr="00A8221F" w:rsidRDefault="00A444D8" w:rsidP="00A8221F">
            <w:pPr>
              <w:spacing w:line="360" w:lineRule="auto"/>
              <w:rPr>
                <w:rFonts w:ascii="Arial" w:hAnsi="Arial" w:cs="Arial"/>
                <w:sz w:val="24"/>
                <w:szCs w:val="24"/>
              </w:rPr>
            </w:pPr>
            <w:r w:rsidRPr="00A8221F">
              <w:rPr>
                <w:rFonts w:ascii="Arial" w:hAnsi="Arial" w:cs="Arial"/>
                <w:b/>
                <w:bCs/>
                <w:color w:val="FFFFFF"/>
                <w:sz w:val="24"/>
                <w:szCs w:val="24"/>
              </w:rPr>
              <w:t>Ratio</w:t>
            </w:r>
          </w:p>
        </w:tc>
        <w:tc>
          <w:tcPr>
            <w:tcW w:w="1430" w:type="dxa"/>
            <w:shd w:val="clear" w:color="auto" w:fill="1F4E78"/>
            <w:tcMar>
              <w:top w:w="60" w:type="dxa"/>
              <w:left w:w="100" w:type="dxa"/>
              <w:bottom w:w="60" w:type="dxa"/>
              <w:right w:w="100" w:type="dxa"/>
            </w:tcMar>
            <w:vAlign w:val="center"/>
          </w:tcPr>
          <w:p w14:paraId="364CAFD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FY21</w:t>
            </w:r>
          </w:p>
        </w:tc>
        <w:tc>
          <w:tcPr>
            <w:tcW w:w="1430" w:type="dxa"/>
            <w:shd w:val="clear" w:color="auto" w:fill="1F4E78"/>
            <w:tcMar>
              <w:top w:w="60" w:type="dxa"/>
              <w:left w:w="100" w:type="dxa"/>
              <w:bottom w:w="60" w:type="dxa"/>
              <w:right w:w="100" w:type="dxa"/>
            </w:tcMar>
            <w:vAlign w:val="center"/>
          </w:tcPr>
          <w:p w14:paraId="364CAFD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FY22</w:t>
            </w:r>
          </w:p>
        </w:tc>
        <w:tc>
          <w:tcPr>
            <w:tcW w:w="1430" w:type="dxa"/>
            <w:shd w:val="clear" w:color="auto" w:fill="1F4E78"/>
            <w:tcMar>
              <w:top w:w="60" w:type="dxa"/>
              <w:left w:w="100" w:type="dxa"/>
              <w:bottom w:w="60" w:type="dxa"/>
              <w:right w:w="100" w:type="dxa"/>
            </w:tcMar>
            <w:vAlign w:val="center"/>
          </w:tcPr>
          <w:p w14:paraId="364CAFD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FY23</w:t>
            </w:r>
          </w:p>
        </w:tc>
        <w:tc>
          <w:tcPr>
            <w:tcW w:w="1430" w:type="dxa"/>
            <w:shd w:val="clear" w:color="auto" w:fill="1F4E78"/>
            <w:tcMar>
              <w:top w:w="60" w:type="dxa"/>
              <w:left w:w="100" w:type="dxa"/>
              <w:bottom w:w="60" w:type="dxa"/>
              <w:right w:w="100" w:type="dxa"/>
            </w:tcMar>
            <w:vAlign w:val="center"/>
          </w:tcPr>
          <w:p w14:paraId="364CAFD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FY24</w:t>
            </w:r>
          </w:p>
        </w:tc>
        <w:tc>
          <w:tcPr>
            <w:tcW w:w="1430" w:type="dxa"/>
            <w:shd w:val="clear" w:color="auto" w:fill="1F4E78"/>
            <w:tcMar>
              <w:top w:w="60" w:type="dxa"/>
              <w:left w:w="100" w:type="dxa"/>
              <w:bottom w:w="60" w:type="dxa"/>
              <w:right w:w="100" w:type="dxa"/>
            </w:tcMar>
            <w:vAlign w:val="center"/>
          </w:tcPr>
          <w:p w14:paraId="364CAFD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FY25</w:t>
            </w:r>
          </w:p>
        </w:tc>
      </w:tr>
      <w:tr w:rsidR="004E063D" w:rsidRPr="00A8221F" w14:paraId="364CAFE1" w14:textId="77777777">
        <w:tc>
          <w:tcPr>
            <w:tcW w:w="2200" w:type="dxa"/>
            <w:tcMar>
              <w:top w:w="60" w:type="dxa"/>
              <w:left w:w="100" w:type="dxa"/>
              <w:bottom w:w="60" w:type="dxa"/>
              <w:right w:w="100" w:type="dxa"/>
            </w:tcMar>
            <w:vAlign w:val="center"/>
          </w:tcPr>
          <w:p w14:paraId="364CAFDB"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Gross margin</w:t>
            </w:r>
          </w:p>
        </w:tc>
        <w:tc>
          <w:tcPr>
            <w:tcW w:w="1430" w:type="dxa"/>
            <w:tcMar>
              <w:top w:w="60" w:type="dxa"/>
              <w:left w:w="100" w:type="dxa"/>
              <w:bottom w:w="60" w:type="dxa"/>
              <w:right w:w="100" w:type="dxa"/>
            </w:tcMar>
            <w:vAlign w:val="center"/>
          </w:tcPr>
          <w:p w14:paraId="364CAFD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30.4%</w:t>
            </w:r>
          </w:p>
        </w:tc>
        <w:tc>
          <w:tcPr>
            <w:tcW w:w="1430" w:type="dxa"/>
            <w:tcMar>
              <w:top w:w="60" w:type="dxa"/>
              <w:left w:w="100" w:type="dxa"/>
              <w:bottom w:w="60" w:type="dxa"/>
              <w:right w:w="100" w:type="dxa"/>
            </w:tcMar>
            <w:vAlign w:val="center"/>
          </w:tcPr>
          <w:p w14:paraId="364CAFD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27.7%</w:t>
            </w:r>
          </w:p>
        </w:tc>
        <w:tc>
          <w:tcPr>
            <w:tcW w:w="1430" w:type="dxa"/>
            <w:tcMar>
              <w:top w:w="60" w:type="dxa"/>
              <w:left w:w="100" w:type="dxa"/>
              <w:bottom w:w="60" w:type="dxa"/>
              <w:right w:w="100" w:type="dxa"/>
            </w:tcMar>
            <w:vAlign w:val="center"/>
          </w:tcPr>
          <w:p w14:paraId="364CAFD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30.7%</w:t>
            </w:r>
          </w:p>
        </w:tc>
        <w:tc>
          <w:tcPr>
            <w:tcW w:w="1430" w:type="dxa"/>
            <w:tcMar>
              <w:top w:w="60" w:type="dxa"/>
              <w:left w:w="100" w:type="dxa"/>
              <w:bottom w:w="60" w:type="dxa"/>
              <w:right w:w="100" w:type="dxa"/>
            </w:tcMar>
            <w:vAlign w:val="center"/>
          </w:tcPr>
          <w:p w14:paraId="364CAFD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29.6%</w:t>
            </w:r>
          </w:p>
        </w:tc>
        <w:tc>
          <w:tcPr>
            <w:tcW w:w="1430" w:type="dxa"/>
            <w:tcMar>
              <w:top w:w="60" w:type="dxa"/>
              <w:left w:w="100" w:type="dxa"/>
              <w:bottom w:w="60" w:type="dxa"/>
              <w:right w:w="100" w:type="dxa"/>
            </w:tcMar>
            <w:vAlign w:val="center"/>
          </w:tcPr>
          <w:p w14:paraId="364CAFE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31.3%</w:t>
            </w:r>
          </w:p>
        </w:tc>
      </w:tr>
      <w:tr w:rsidR="004E063D" w:rsidRPr="00A8221F" w14:paraId="364CAFE8" w14:textId="77777777">
        <w:tc>
          <w:tcPr>
            <w:tcW w:w="2200" w:type="dxa"/>
            <w:shd w:val="clear" w:color="auto" w:fill="F2F2F2"/>
            <w:tcMar>
              <w:top w:w="60" w:type="dxa"/>
              <w:left w:w="100" w:type="dxa"/>
              <w:bottom w:w="60" w:type="dxa"/>
              <w:right w:w="100" w:type="dxa"/>
            </w:tcMar>
            <w:vAlign w:val="center"/>
          </w:tcPr>
          <w:p w14:paraId="364CAFE2"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Operating (EBIT) margin</w:t>
            </w:r>
          </w:p>
        </w:tc>
        <w:tc>
          <w:tcPr>
            <w:tcW w:w="1430" w:type="dxa"/>
            <w:shd w:val="clear" w:color="auto" w:fill="F2F2F2"/>
            <w:tcMar>
              <w:top w:w="60" w:type="dxa"/>
              <w:left w:w="100" w:type="dxa"/>
              <w:bottom w:w="60" w:type="dxa"/>
              <w:right w:w="100" w:type="dxa"/>
            </w:tcMar>
            <w:vAlign w:val="center"/>
          </w:tcPr>
          <w:p w14:paraId="364CAFE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17.0%</w:t>
            </w:r>
          </w:p>
        </w:tc>
        <w:tc>
          <w:tcPr>
            <w:tcW w:w="1430" w:type="dxa"/>
            <w:shd w:val="clear" w:color="auto" w:fill="F2F2F2"/>
            <w:tcMar>
              <w:top w:w="60" w:type="dxa"/>
              <w:left w:w="100" w:type="dxa"/>
              <w:bottom w:w="60" w:type="dxa"/>
              <w:right w:w="100" w:type="dxa"/>
            </w:tcMar>
            <w:vAlign w:val="center"/>
          </w:tcPr>
          <w:p w14:paraId="364CAFE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16.1%</w:t>
            </w:r>
          </w:p>
        </w:tc>
        <w:tc>
          <w:tcPr>
            <w:tcW w:w="1430" w:type="dxa"/>
            <w:shd w:val="clear" w:color="auto" w:fill="F2F2F2"/>
            <w:tcMar>
              <w:top w:w="60" w:type="dxa"/>
              <w:left w:w="100" w:type="dxa"/>
              <w:bottom w:w="60" w:type="dxa"/>
              <w:right w:w="100" w:type="dxa"/>
            </w:tcMar>
            <w:vAlign w:val="center"/>
          </w:tcPr>
          <w:p w14:paraId="364CAFE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23.1%</w:t>
            </w:r>
          </w:p>
        </w:tc>
        <w:tc>
          <w:tcPr>
            <w:tcW w:w="1430" w:type="dxa"/>
            <w:shd w:val="clear" w:color="auto" w:fill="F2F2F2"/>
            <w:tcMar>
              <w:top w:w="60" w:type="dxa"/>
              <w:left w:w="100" w:type="dxa"/>
              <w:bottom w:w="60" w:type="dxa"/>
              <w:right w:w="100" w:type="dxa"/>
            </w:tcMar>
            <w:vAlign w:val="center"/>
          </w:tcPr>
          <w:p w14:paraId="364CAFE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21.2%</w:t>
            </w:r>
          </w:p>
        </w:tc>
        <w:tc>
          <w:tcPr>
            <w:tcW w:w="1430" w:type="dxa"/>
            <w:shd w:val="clear" w:color="auto" w:fill="F2F2F2"/>
            <w:tcMar>
              <w:top w:w="60" w:type="dxa"/>
              <w:left w:w="100" w:type="dxa"/>
              <w:bottom w:w="60" w:type="dxa"/>
              <w:right w:w="100" w:type="dxa"/>
            </w:tcMar>
            <w:vAlign w:val="center"/>
          </w:tcPr>
          <w:p w14:paraId="364CAFE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23.1%</w:t>
            </w:r>
          </w:p>
        </w:tc>
      </w:tr>
      <w:tr w:rsidR="004E063D" w:rsidRPr="00A8221F" w14:paraId="364CAFEF" w14:textId="77777777">
        <w:tc>
          <w:tcPr>
            <w:tcW w:w="2200" w:type="dxa"/>
            <w:tcMar>
              <w:top w:w="60" w:type="dxa"/>
              <w:left w:w="100" w:type="dxa"/>
              <w:bottom w:w="60" w:type="dxa"/>
              <w:right w:w="100" w:type="dxa"/>
            </w:tcMar>
            <w:vAlign w:val="center"/>
          </w:tcPr>
          <w:p w14:paraId="364CAFE9"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Net margin</w:t>
            </w:r>
          </w:p>
        </w:tc>
        <w:tc>
          <w:tcPr>
            <w:tcW w:w="1430" w:type="dxa"/>
            <w:tcMar>
              <w:top w:w="60" w:type="dxa"/>
              <w:left w:w="100" w:type="dxa"/>
              <w:bottom w:w="60" w:type="dxa"/>
              <w:right w:w="100" w:type="dxa"/>
            </w:tcMar>
            <w:vAlign w:val="center"/>
          </w:tcPr>
          <w:p w14:paraId="364CAFE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9.1%</w:t>
            </w:r>
          </w:p>
        </w:tc>
        <w:tc>
          <w:tcPr>
            <w:tcW w:w="1430" w:type="dxa"/>
            <w:tcMar>
              <w:top w:w="60" w:type="dxa"/>
              <w:left w:w="100" w:type="dxa"/>
              <w:bottom w:w="60" w:type="dxa"/>
              <w:right w:w="100" w:type="dxa"/>
            </w:tcMar>
            <w:vAlign w:val="center"/>
          </w:tcPr>
          <w:p w14:paraId="364CAFE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9.7%</w:t>
            </w:r>
          </w:p>
        </w:tc>
        <w:tc>
          <w:tcPr>
            <w:tcW w:w="1430" w:type="dxa"/>
            <w:tcMar>
              <w:top w:w="60" w:type="dxa"/>
              <w:left w:w="100" w:type="dxa"/>
              <w:bottom w:w="60" w:type="dxa"/>
              <w:right w:w="100" w:type="dxa"/>
            </w:tcMar>
            <w:vAlign w:val="center"/>
          </w:tcPr>
          <w:p w14:paraId="364CAFE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16.2%</w:t>
            </w:r>
          </w:p>
        </w:tc>
        <w:tc>
          <w:tcPr>
            <w:tcW w:w="1430" w:type="dxa"/>
            <w:tcMar>
              <w:top w:w="60" w:type="dxa"/>
              <w:left w:w="100" w:type="dxa"/>
              <w:bottom w:w="60" w:type="dxa"/>
              <w:right w:w="100" w:type="dxa"/>
            </w:tcMar>
            <w:vAlign w:val="center"/>
          </w:tcPr>
          <w:p w14:paraId="364CAFE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12.8%</w:t>
            </w:r>
          </w:p>
        </w:tc>
        <w:tc>
          <w:tcPr>
            <w:tcW w:w="1430" w:type="dxa"/>
            <w:tcMar>
              <w:top w:w="60" w:type="dxa"/>
              <w:left w:w="100" w:type="dxa"/>
              <w:bottom w:w="60" w:type="dxa"/>
              <w:right w:w="100" w:type="dxa"/>
            </w:tcMar>
            <w:vAlign w:val="center"/>
          </w:tcPr>
          <w:p w14:paraId="364CAFE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14.6%</w:t>
            </w:r>
          </w:p>
        </w:tc>
      </w:tr>
      <w:tr w:rsidR="004E063D" w:rsidRPr="00A8221F" w14:paraId="364CAFF6" w14:textId="77777777">
        <w:tc>
          <w:tcPr>
            <w:tcW w:w="2200" w:type="dxa"/>
            <w:shd w:val="clear" w:color="auto" w:fill="F2F2F2"/>
            <w:tcMar>
              <w:top w:w="60" w:type="dxa"/>
              <w:left w:w="100" w:type="dxa"/>
              <w:bottom w:w="60" w:type="dxa"/>
              <w:right w:w="100" w:type="dxa"/>
            </w:tcMar>
            <w:vAlign w:val="center"/>
          </w:tcPr>
          <w:p w14:paraId="364CAFF0"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ROCE</w:t>
            </w:r>
          </w:p>
        </w:tc>
        <w:tc>
          <w:tcPr>
            <w:tcW w:w="1430" w:type="dxa"/>
            <w:shd w:val="clear" w:color="auto" w:fill="F2F2F2"/>
            <w:tcMar>
              <w:top w:w="60" w:type="dxa"/>
              <w:left w:w="100" w:type="dxa"/>
              <w:bottom w:w="60" w:type="dxa"/>
              <w:right w:w="100" w:type="dxa"/>
            </w:tcMar>
            <w:vAlign w:val="center"/>
          </w:tcPr>
          <w:p w14:paraId="364CAFF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16.0%</w:t>
            </w:r>
          </w:p>
        </w:tc>
        <w:tc>
          <w:tcPr>
            <w:tcW w:w="1430" w:type="dxa"/>
            <w:shd w:val="clear" w:color="auto" w:fill="F2F2F2"/>
            <w:tcMar>
              <w:top w:w="60" w:type="dxa"/>
              <w:left w:w="100" w:type="dxa"/>
              <w:bottom w:w="60" w:type="dxa"/>
              <w:right w:w="100" w:type="dxa"/>
            </w:tcMar>
            <w:vAlign w:val="center"/>
          </w:tcPr>
          <w:p w14:paraId="364CAFF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23.5%</w:t>
            </w:r>
          </w:p>
        </w:tc>
        <w:tc>
          <w:tcPr>
            <w:tcW w:w="1430" w:type="dxa"/>
            <w:shd w:val="clear" w:color="auto" w:fill="F2F2F2"/>
            <w:tcMar>
              <w:top w:w="60" w:type="dxa"/>
              <w:left w:w="100" w:type="dxa"/>
              <w:bottom w:w="60" w:type="dxa"/>
              <w:right w:w="100" w:type="dxa"/>
            </w:tcMar>
            <w:vAlign w:val="center"/>
          </w:tcPr>
          <w:p w14:paraId="364CAFF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40.6%</w:t>
            </w:r>
          </w:p>
        </w:tc>
        <w:tc>
          <w:tcPr>
            <w:tcW w:w="1430" w:type="dxa"/>
            <w:shd w:val="clear" w:color="auto" w:fill="F2F2F2"/>
            <w:tcMar>
              <w:top w:w="60" w:type="dxa"/>
              <w:left w:w="100" w:type="dxa"/>
              <w:bottom w:w="60" w:type="dxa"/>
              <w:right w:w="100" w:type="dxa"/>
            </w:tcMar>
            <w:vAlign w:val="center"/>
          </w:tcPr>
          <w:p w14:paraId="364CAFF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36.9%</w:t>
            </w:r>
          </w:p>
        </w:tc>
        <w:tc>
          <w:tcPr>
            <w:tcW w:w="1430" w:type="dxa"/>
            <w:shd w:val="clear" w:color="auto" w:fill="F2F2F2"/>
            <w:tcMar>
              <w:top w:w="60" w:type="dxa"/>
              <w:left w:w="100" w:type="dxa"/>
              <w:bottom w:w="60" w:type="dxa"/>
              <w:right w:w="100" w:type="dxa"/>
            </w:tcMar>
            <w:vAlign w:val="center"/>
          </w:tcPr>
          <w:p w14:paraId="364CAFF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36.9%</w:t>
            </w:r>
          </w:p>
        </w:tc>
      </w:tr>
      <w:tr w:rsidR="004E063D" w:rsidRPr="00A8221F" w14:paraId="364CAFFD" w14:textId="77777777">
        <w:tc>
          <w:tcPr>
            <w:tcW w:w="2200" w:type="dxa"/>
            <w:tcMar>
              <w:top w:w="60" w:type="dxa"/>
              <w:left w:w="100" w:type="dxa"/>
              <w:bottom w:w="60" w:type="dxa"/>
              <w:right w:w="100" w:type="dxa"/>
            </w:tcMar>
            <w:vAlign w:val="center"/>
          </w:tcPr>
          <w:p w14:paraId="364CAFF7"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ROE (ending equity; n/m — deficit)</w:t>
            </w:r>
          </w:p>
        </w:tc>
        <w:tc>
          <w:tcPr>
            <w:tcW w:w="1430" w:type="dxa"/>
            <w:tcMar>
              <w:top w:w="60" w:type="dxa"/>
              <w:left w:w="100" w:type="dxa"/>
              <w:bottom w:w="60" w:type="dxa"/>
              <w:right w:w="100" w:type="dxa"/>
            </w:tcMar>
            <w:vAlign w:val="center"/>
          </w:tcPr>
          <w:p w14:paraId="364CAFF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−18.0%</w:t>
            </w:r>
          </w:p>
        </w:tc>
        <w:tc>
          <w:tcPr>
            <w:tcW w:w="1430" w:type="dxa"/>
            <w:tcMar>
              <w:top w:w="60" w:type="dxa"/>
              <w:left w:w="100" w:type="dxa"/>
              <w:bottom w:w="60" w:type="dxa"/>
              <w:right w:w="100" w:type="dxa"/>
            </w:tcMar>
            <w:vAlign w:val="center"/>
          </w:tcPr>
          <w:p w14:paraId="364CAFF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−23.4%</w:t>
            </w:r>
          </w:p>
        </w:tc>
        <w:tc>
          <w:tcPr>
            <w:tcW w:w="1430" w:type="dxa"/>
            <w:tcMar>
              <w:top w:w="60" w:type="dxa"/>
              <w:left w:w="100" w:type="dxa"/>
              <w:bottom w:w="60" w:type="dxa"/>
              <w:right w:w="100" w:type="dxa"/>
            </w:tcMar>
            <w:vAlign w:val="center"/>
          </w:tcPr>
          <w:p w14:paraId="364CAFF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−38.5%</w:t>
            </w:r>
          </w:p>
        </w:tc>
        <w:tc>
          <w:tcPr>
            <w:tcW w:w="1430" w:type="dxa"/>
            <w:tcMar>
              <w:top w:w="60" w:type="dxa"/>
              <w:left w:w="100" w:type="dxa"/>
              <w:bottom w:w="60" w:type="dxa"/>
              <w:right w:w="100" w:type="dxa"/>
            </w:tcMar>
            <w:vAlign w:val="center"/>
          </w:tcPr>
          <w:p w14:paraId="364CAFF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−27.2%</w:t>
            </w:r>
          </w:p>
        </w:tc>
        <w:tc>
          <w:tcPr>
            <w:tcW w:w="1430" w:type="dxa"/>
            <w:tcMar>
              <w:top w:w="60" w:type="dxa"/>
              <w:left w:w="100" w:type="dxa"/>
              <w:bottom w:w="60" w:type="dxa"/>
              <w:right w:w="100" w:type="dxa"/>
            </w:tcMar>
            <w:vAlign w:val="center"/>
          </w:tcPr>
          <w:p w14:paraId="364CAFF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−27.7%</w:t>
            </w:r>
          </w:p>
        </w:tc>
      </w:tr>
      <w:tr w:rsidR="004E063D" w:rsidRPr="00A8221F" w14:paraId="364CB004" w14:textId="77777777">
        <w:tc>
          <w:tcPr>
            <w:tcW w:w="2200" w:type="dxa"/>
            <w:shd w:val="clear" w:color="auto" w:fill="F2F2F2"/>
            <w:tcMar>
              <w:top w:w="60" w:type="dxa"/>
              <w:left w:w="100" w:type="dxa"/>
              <w:bottom w:w="60" w:type="dxa"/>
              <w:right w:w="100" w:type="dxa"/>
            </w:tcMar>
            <w:vAlign w:val="center"/>
          </w:tcPr>
          <w:p w14:paraId="364CAFFE"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Current ratio</w:t>
            </w:r>
          </w:p>
        </w:tc>
        <w:tc>
          <w:tcPr>
            <w:tcW w:w="1430" w:type="dxa"/>
            <w:shd w:val="clear" w:color="auto" w:fill="F2F2F2"/>
            <w:tcMar>
              <w:top w:w="60" w:type="dxa"/>
              <w:left w:w="100" w:type="dxa"/>
              <w:bottom w:w="60" w:type="dxa"/>
              <w:right w:w="100" w:type="dxa"/>
            </w:tcMar>
            <w:vAlign w:val="center"/>
          </w:tcPr>
          <w:p w14:paraId="364CAFF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1.27x</w:t>
            </w:r>
          </w:p>
        </w:tc>
        <w:tc>
          <w:tcPr>
            <w:tcW w:w="1430" w:type="dxa"/>
            <w:shd w:val="clear" w:color="auto" w:fill="F2F2F2"/>
            <w:tcMar>
              <w:top w:w="60" w:type="dxa"/>
              <w:left w:w="100" w:type="dxa"/>
              <w:bottom w:w="60" w:type="dxa"/>
              <w:right w:w="100" w:type="dxa"/>
            </w:tcMar>
            <w:vAlign w:val="center"/>
          </w:tcPr>
          <w:p w14:paraId="364CB00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1.09x</w:t>
            </w:r>
          </w:p>
        </w:tc>
        <w:tc>
          <w:tcPr>
            <w:tcW w:w="1430" w:type="dxa"/>
            <w:shd w:val="clear" w:color="auto" w:fill="F2F2F2"/>
            <w:tcMar>
              <w:top w:w="60" w:type="dxa"/>
              <w:left w:w="100" w:type="dxa"/>
              <w:bottom w:w="60" w:type="dxa"/>
              <w:right w:w="100" w:type="dxa"/>
            </w:tcMar>
            <w:vAlign w:val="center"/>
          </w:tcPr>
          <w:p w14:paraId="364CB00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0.97x</w:t>
            </w:r>
          </w:p>
        </w:tc>
        <w:tc>
          <w:tcPr>
            <w:tcW w:w="1430" w:type="dxa"/>
            <w:shd w:val="clear" w:color="auto" w:fill="F2F2F2"/>
            <w:tcMar>
              <w:top w:w="60" w:type="dxa"/>
              <w:left w:w="100" w:type="dxa"/>
              <w:bottom w:w="60" w:type="dxa"/>
              <w:right w:w="100" w:type="dxa"/>
            </w:tcMar>
            <w:vAlign w:val="center"/>
          </w:tcPr>
          <w:p w14:paraId="364CB00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0.97x</w:t>
            </w:r>
          </w:p>
        </w:tc>
        <w:tc>
          <w:tcPr>
            <w:tcW w:w="1430" w:type="dxa"/>
            <w:shd w:val="clear" w:color="auto" w:fill="F2F2F2"/>
            <w:tcMar>
              <w:top w:w="60" w:type="dxa"/>
              <w:left w:w="100" w:type="dxa"/>
              <w:bottom w:w="60" w:type="dxa"/>
              <w:right w:w="100" w:type="dxa"/>
            </w:tcMar>
            <w:vAlign w:val="center"/>
          </w:tcPr>
          <w:p w14:paraId="364CB00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0.98x</w:t>
            </w:r>
          </w:p>
        </w:tc>
      </w:tr>
      <w:tr w:rsidR="004E063D" w:rsidRPr="00A8221F" w14:paraId="364CB00B" w14:textId="77777777">
        <w:tc>
          <w:tcPr>
            <w:tcW w:w="2200" w:type="dxa"/>
            <w:tcMar>
              <w:top w:w="60" w:type="dxa"/>
              <w:left w:w="100" w:type="dxa"/>
              <w:bottom w:w="60" w:type="dxa"/>
              <w:right w:w="100" w:type="dxa"/>
            </w:tcMar>
            <w:vAlign w:val="center"/>
          </w:tcPr>
          <w:p w14:paraId="364CB005"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Quick ratio</w:t>
            </w:r>
          </w:p>
        </w:tc>
        <w:tc>
          <w:tcPr>
            <w:tcW w:w="1430" w:type="dxa"/>
            <w:tcMar>
              <w:top w:w="60" w:type="dxa"/>
              <w:left w:w="100" w:type="dxa"/>
              <w:bottom w:w="60" w:type="dxa"/>
              <w:right w:w="100" w:type="dxa"/>
            </w:tcMar>
            <w:vAlign w:val="center"/>
          </w:tcPr>
          <w:p w14:paraId="364CB00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1.27x</w:t>
            </w:r>
          </w:p>
        </w:tc>
        <w:tc>
          <w:tcPr>
            <w:tcW w:w="1430" w:type="dxa"/>
            <w:tcMar>
              <w:top w:w="60" w:type="dxa"/>
              <w:left w:w="100" w:type="dxa"/>
              <w:bottom w:w="60" w:type="dxa"/>
              <w:right w:w="100" w:type="dxa"/>
            </w:tcMar>
            <w:vAlign w:val="center"/>
          </w:tcPr>
          <w:p w14:paraId="364CB00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1.08x</w:t>
            </w:r>
          </w:p>
        </w:tc>
        <w:tc>
          <w:tcPr>
            <w:tcW w:w="1430" w:type="dxa"/>
            <w:tcMar>
              <w:top w:w="60" w:type="dxa"/>
              <w:left w:w="100" w:type="dxa"/>
              <w:bottom w:w="60" w:type="dxa"/>
              <w:right w:w="100" w:type="dxa"/>
            </w:tcMar>
            <w:vAlign w:val="center"/>
          </w:tcPr>
          <w:p w14:paraId="364CB00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0.97x</w:t>
            </w:r>
          </w:p>
        </w:tc>
        <w:tc>
          <w:tcPr>
            <w:tcW w:w="1430" w:type="dxa"/>
            <w:tcMar>
              <w:top w:w="60" w:type="dxa"/>
              <w:left w:w="100" w:type="dxa"/>
              <w:bottom w:w="60" w:type="dxa"/>
              <w:right w:w="100" w:type="dxa"/>
            </w:tcMar>
            <w:vAlign w:val="center"/>
          </w:tcPr>
          <w:p w14:paraId="364CB00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0.97x</w:t>
            </w:r>
          </w:p>
        </w:tc>
        <w:tc>
          <w:tcPr>
            <w:tcW w:w="1430" w:type="dxa"/>
            <w:tcMar>
              <w:top w:w="60" w:type="dxa"/>
              <w:left w:w="100" w:type="dxa"/>
              <w:bottom w:w="60" w:type="dxa"/>
              <w:right w:w="100" w:type="dxa"/>
            </w:tcMar>
            <w:vAlign w:val="center"/>
          </w:tcPr>
          <w:p w14:paraId="364CB00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0.97x</w:t>
            </w:r>
          </w:p>
        </w:tc>
      </w:tr>
      <w:tr w:rsidR="004E063D" w:rsidRPr="00A8221F" w14:paraId="364CB012" w14:textId="77777777">
        <w:tc>
          <w:tcPr>
            <w:tcW w:w="2200" w:type="dxa"/>
            <w:shd w:val="clear" w:color="auto" w:fill="F2F2F2"/>
            <w:tcMar>
              <w:top w:w="60" w:type="dxa"/>
              <w:left w:w="100" w:type="dxa"/>
              <w:bottom w:w="60" w:type="dxa"/>
              <w:right w:w="100" w:type="dxa"/>
            </w:tcMar>
            <w:vAlign w:val="center"/>
          </w:tcPr>
          <w:p w14:paraId="364CB00C"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Cash ratio</w:t>
            </w:r>
          </w:p>
        </w:tc>
        <w:tc>
          <w:tcPr>
            <w:tcW w:w="1430" w:type="dxa"/>
            <w:shd w:val="clear" w:color="auto" w:fill="F2F2F2"/>
            <w:tcMar>
              <w:top w:w="60" w:type="dxa"/>
              <w:left w:w="100" w:type="dxa"/>
              <w:bottom w:w="60" w:type="dxa"/>
              <w:right w:w="100" w:type="dxa"/>
            </w:tcMar>
            <w:vAlign w:val="center"/>
          </w:tcPr>
          <w:p w14:paraId="364CB00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0.89x</w:t>
            </w:r>
          </w:p>
        </w:tc>
        <w:tc>
          <w:tcPr>
            <w:tcW w:w="1430" w:type="dxa"/>
            <w:shd w:val="clear" w:color="auto" w:fill="F2F2F2"/>
            <w:tcMar>
              <w:top w:w="60" w:type="dxa"/>
              <w:left w:w="100" w:type="dxa"/>
              <w:bottom w:w="60" w:type="dxa"/>
              <w:right w:w="100" w:type="dxa"/>
            </w:tcMar>
            <w:vAlign w:val="center"/>
          </w:tcPr>
          <w:p w14:paraId="364CB00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0.63x</w:t>
            </w:r>
          </w:p>
        </w:tc>
        <w:tc>
          <w:tcPr>
            <w:tcW w:w="1430" w:type="dxa"/>
            <w:shd w:val="clear" w:color="auto" w:fill="F2F2F2"/>
            <w:tcMar>
              <w:top w:w="60" w:type="dxa"/>
              <w:left w:w="100" w:type="dxa"/>
              <w:bottom w:w="60" w:type="dxa"/>
              <w:right w:w="100" w:type="dxa"/>
            </w:tcMar>
            <w:vAlign w:val="center"/>
          </w:tcPr>
          <w:p w14:paraId="364CB00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0.60x</w:t>
            </w:r>
          </w:p>
        </w:tc>
        <w:tc>
          <w:tcPr>
            <w:tcW w:w="1430" w:type="dxa"/>
            <w:shd w:val="clear" w:color="auto" w:fill="F2F2F2"/>
            <w:tcMar>
              <w:top w:w="60" w:type="dxa"/>
              <w:left w:w="100" w:type="dxa"/>
              <w:bottom w:w="60" w:type="dxa"/>
              <w:right w:w="100" w:type="dxa"/>
            </w:tcMar>
            <w:vAlign w:val="center"/>
          </w:tcPr>
          <w:p w14:paraId="364CB01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0.52x</w:t>
            </w:r>
          </w:p>
        </w:tc>
        <w:tc>
          <w:tcPr>
            <w:tcW w:w="1430" w:type="dxa"/>
            <w:shd w:val="clear" w:color="auto" w:fill="F2F2F2"/>
            <w:tcMar>
              <w:top w:w="60" w:type="dxa"/>
              <w:left w:w="100" w:type="dxa"/>
              <w:bottom w:w="60" w:type="dxa"/>
              <w:right w:w="100" w:type="dxa"/>
            </w:tcMar>
            <w:vAlign w:val="center"/>
          </w:tcPr>
          <w:p w14:paraId="364CB01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0.54x</w:t>
            </w:r>
          </w:p>
        </w:tc>
      </w:tr>
      <w:tr w:rsidR="004E063D" w:rsidRPr="00A8221F" w14:paraId="364CB019" w14:textId="77777777">
        <w:tc>
          <w:tcPr>
            <w:tcW w:w="2200" w:type="dxa"/>
            <w:tcMar>
              <w:top w:w="60" w:type="dxa"/>
              <w:left w:w="100" w:type="dxa"/>
              <w:bottom w:w="60" w:type="dxa"/>
              <w:right w:w="100" w:type="dxa"/>
            </w:tcMar>
            <w:vAlign w:val="center"/>
          </w:tcPr>
          <w:p w14:paraId="364CB013"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Working capital ($m)</w:t>
            </w:r>
          </w:p>
        </w:tc>
        <w:tc>
          <w:tcPr>
            <w:tcW w:w="1430" w:type="dxa"/>
            <w:tcMar>
              <w:top w:w="60" w:type="dxa"/>
              <w:left w:w="100" w:type="dxa"/>
              <w:bottom w:w="60" w:type="dxa"/>
              <w:right w:w="100" w:type="dxa"/>
            </w:tcMar>
            <w:vAlign w:val="center"/>
          </w:tcPr>
          <w:p w14:paraId="364CB01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442</w:t>
            </w:r>
          </w:p>
        </w:tc>
        <w:tc>
          <w:tcPr>
            <w:tcW w:w="1430" w:type="dxa"/>
            <w:tcMar>
              <w:top w:w="60" w:type="dxa"/>
              <w:left w:w="100" w:type="dxa"/>
              <w:bottom w:w="60" w:type="dxa"/>
              <w:right w:w="100" w:type="dxa"/>
            </w:tcMar>
            <w:vAlign w:val="center"/>
          </w:tcPr>
          <w:p w14:paraId="364CB01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134</w:t>
            </w:r>
          </w:p>
        </w:tc>
        <w:tc>
          <w:tcPr>
            <w:tcW w:w="1430" w:type="dxa"/>
            <w:tcMar>
              <w:top w:w="60" w:type="dxa"/>
              <w:left w:w="100" w:type="dxa"/>
              <w:bottom w:w="60" w:type="dxa"/>
              <w:right w:w="100" w:type="dxa"/>
            </w:tcMar>
            <w:vAlign w:val="center"/>
          </w:tcPr>
          <w:p w14:paraId="364CB01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(61)</w:t>
            </w:r>
          </w:p>
        </w:tc>
        <w:tc>
          <w:tcPr>
            <w:tcW w:w="1430" w:type="dxa"/>
            <w:tcMar>
              <w:top w:w="60" w:type="dxa"/>
              <w:left w:w="100" w:type="dxa"/>
              <w:bottom w:w="60" w:type="dxa"/>
              <w:right w:w="100" w:type="dxa"/>
            </w:tcMar>
            <w:vAlign w:val="center"/>
          </w:tcPr>
          <w:p w14:paraId="364CB01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(59)</w:t>
            </w:r>
          </w:p>
        </w:tc>
        <w:tc>
          <w:tcPr>
            <w:tcW w:w="1430" w:type="dxa"/>
            <w:tcMar>
              <w:top w:w="60" w:type="dxa"/>
              <w:left w:w="100" w:type="dxa"/>
              <w:bottom w:w="60" w:type="dxa"/>
              <w:right w:w="100" w:type="dxa"/>
            </w:tcMar>
            <w:vAlign w:val="center"/>
          </w:tcPr>
          <w:p w14:paraId="364CB01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(51)</w:t>
            </w:r>
          </w:p>
        </w:tc>
      </w:tr>
      <w:tr w:rsidR="004E063D" w:rsidRPr="00A8221F" w14:paraId="364CB020" w14:textId="77777777">
        <w:tc>
          <w:tcPr>
            <w:tcW w:w="2200" w:type="dxa"/>
            <w:shd w:val="clear" w:color="auto" w:fill="F2F2F2"/>
            <w:tcMar>
              <w:top w:w="60" w:type="dxa"/>
              <w:left w:w="100" w:type="dxa"/>
              <w:bottom w:w="60" w:type="dxa"/>
              <w:right w:w="100" w:type="dxa"/>
            </w:tcMar>
            <w:vAlign w:val="center"/>
          </w:tcPr>
          <w:p w14:paraId="364CB01A"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Asset turnover</w:t>
            </w:r>
          </w:p>
        </w:tc>
        <w:tc>
          <w:tcPr>
            <w:tcW w:w="1430" w:type="dxa"/>
            <w:shd w:val="clear" w:color="auto" w:fill="F2F2F2"/>
            <w:tcMar>
              <w:top w:w="60" w:type="dxa"/>
              <w:left w:w="100" w:type="dxa"/>
              <w:bottom w:w="60" w:type="dxa"/>
              <w:right w:w="100" w:type="dxa"/>
            </w:tcMar>
            <w:vAlign w:val="center"/>
          </w:tcPr>
          <w:p w14:paraId="364CB01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0.62x</w:t>
            </w:r>
          </w:p>
        </w:tc>
        <w:tc>
          <w:tcPr>
            <w:tcW w:w="1430" w:type="dxa"/>
            <w:shd w:val="clear" w:color="auto" w:fill="F2F2F2"/>
            <w:tcMar>
              <w:top w:w="60" w:type="dxa"/>
              <w:left w:w="100" w:type="dxa"/>
              <w:bottom w:w="60" w:type="dxa"/>
              <w:right w:w="100" w:type="dxa"/>
            </w:tcMar>
            <w:vAlign w:val="center"/>
          </w:tcPr>
          <w:p w14:paraId="364CB01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0.92x</w:t>
            </w:r>
          </w:p>
        </w:tc>
        <w:tc>
          <w:tcPr>
            <w:tcW w:w="1430" w:type="dxa"/>
            <w:shd w:val="clear" w:color="auto" w:fill="F2F2F2"/>
            <w:tcMar>
              <w:top w:w="60" w:type="dxa"/>
              <w:left w:w="100" w:type="dxa"/>
              <w:bottom w:w="60" w:type="dxa"/>
              <w:right w:w="100" w:type="dxa"/>
            </w:tcMar>
            <w:vAlign w:val="center"/>
          </w:tcPr>
          <w:p w14:paraId="364CB01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0.96x</w:t>
            </w:r>
          </w:p>
        </w:tc>
        <w:tc>
          <w:tcPr>
            <w:tcW w:w="1430" w:type="dxa"/>
            <w:shd w:val="clear" w:color="auto" w:fill="F2F2F2"/>
            <w:tcMar>
              <w:top w:w="60" w:type="dxa"/>
              <w:left w:w="100" w:type="dxa"/>
              <w:bottom w:w="60" w:type="dxa"/>
              <w:right w:w="100" w:type="dxa"/>
            </w:tcMar>
            <w:vAlign w:val="center"/>
          </w:tcPr>
          <w:p w14:paraId="364CB01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1.04x</w:t>
            </w:r>
          </w:p>
        </w:tc>
        <w:tc>
          <w:tcPr>
            <w:tcW w:w="1430" w:type="dxa"/>
            <w:shd w:val="clear" w:color="auto" w:fill="F2F2F2"/>
            <w:tcMar>
              <w:top w:w="60" w:type="dxa"/>
              <w:left w:w="100" w:type="dxa"/>
              <w:bottom w:w="60" w:type="dxa"/>
              <w:right w:w="100" w:type="dxa"/>
            </w:tcMar>
            <w:vAlign w:val="center"/>
          </w:tcPr>
          <w:p w14:paraId="364CB01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0.97x</w:t>
            </w:r>
          </w:p>
        </w:tc>
      </w:tr>
      <w:tr w:rsidR="004E063D" w:rsidRPr="00A8221F" w14:paraId="364CB027" w14:textId="77777777">
        <w:tc>
          <w:tcPr>
            <w:tcW w:w="2200" w:type="dxa"/>
            <w:tcMar>
              <w:top w:w="60" w:type="dxa"/>
              <w:left w:w="100" w:type="dxa"/>
              <w:bottom w:w="60" w:type="dxa"/>
              <w:right w:w="100" w:type="dxa"/>
            </w:tcMar>
            <w:vAlign w:val="center"/>
          </w:tcPr>
          <w:p w14:paraId="364CB021"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Receivables days</w:t>
            </w:r>
          </w:p>
        </w:tc>
        <w:tc>
          <w:tcPr>
            <w:tcW w:w="1430" w:type="dxa"/>
            <w:tcMar>
              <w:top w:w="60" w:type="dxa"/>
              <w:left w:w="100" w:type="dxa"/>
              <w:bottom w:w="60" w:type="dxa"/>
              <w:right w:w="100" w:type="dxa"/>
            </w:tcMar>
            <w:vAlign w:val="center"/>
          </w:tcPr>
          <w:p w14:paraId="364CB02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72.2</w:t>
            </w:r>
          </w:p>
        </w:tc>
        <w:tc>
          <w:tcPr>
            <w:tcW w:w="1430" w:type="dxa"/>
            <w:tcMar>
              <w:top w:w="60" w:type="dxa"/>
              <w:left w:w="100" w:type="dxa"/>
              <w:bottom w:w="60" w:type="dxa"/>
              <w:right w:w="100" w:type="dxa"/>
            </w:tcMar>
            <w:vAlign w:val="center"/>
          </w:tcPr>
          <w:p w14:paraId="364CB02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62.1</w:t>
            </w:r>
          </w:p>
        </w:tc>
        <w:tc>
          <w:tcPr>
            <w:tcW w:w="1430" w:type="dxa"/>
            <w:tcMar>
              <w:top w:w="60" w:type="dxa"/>
              <w:left w:w="100" w:type="dxa"/>
              <w:bottom w:w="60" w:type="dxa"/>
              <w:right w:w="100" w:type="dxa"/>
            </w:tcMar>
            <w:vAlign w:val="center"/>
          </w:tcPr>
          <w:p w14:paraId="364CB02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59.6</w:t>
            </w:r>
          </w:p>
        </w:tc>
        <w:tc>
          <w:tcPr>
            <w:tcW w:w="1430" w:type="dxa"/>
            <w:tcMar>
              <w:top w:w="60" w:type="dxa"/>
              <w:left w:w="100" w:type="dxa"/>
              <w:bottom w:w="60" w:type="dxa"/>
              <w:right w:w="100" w:type="dxa"/>
            </w:tcMar>
            <w:vAlign w:val="center"/>
          </w:tcPr>
          <w:p w14:paraId="364CB02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59.8</w:t>
            </w:r>
          </w:p>
        </w:tc>
        <w:tc>
          <w:tcPr>
            <w:tcW w:w="1430" w:type="dxa"/>
            <w:tcMar>
              <w:top w:w="60" w:type="dxa"/>
              <w:left w:w="100" w:type="dxa"/>
              <w:bottom w:w="60" w:type="dxa"/>
              <w:right w:w="100" w:type="dxa"/>
            </w:tcMar>
            <w:vAlign w:val="center"/>
          </w:tcPr>
          <w:p w14:paraId="364CB02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60.5</w:t>
            </w:r>
          </w:p>
        </w:tc>
      </w:tr>
      <w:tr w:rsidR="004E063D" w:rsidRPr="00A8221F" w14:paraId="364CB02E" w14:textId="77777777">
        <w:tc>
          <w:tcPr>
            <w:tcW w:w="2200" w:type="dxa"/>
            <w:shd w:val="clear" w:color="auto" w:fill="F2F2F2"/>
            <w:tcMar>
              <w:top w:w="60" w:type="dxa"/>
              <w:left w:w="100" w:type="dxa"/>
              <w:bottom w:w="60" w:type="dxa"/>
              <w:right w:w="100" w:type="dxa"/>
            </w:tcMar>
            <w:vAlign w:val="center"/>
          </w:tcPr>
          <w:p w14:paraId="364CB028"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Cash conversion cycle (days)</w:t>
            </w:r>
          </w:p>
        </w:tc>
        <w:tc>
          <w:tcPr>
            <w:tcW w:w="1430" w:type="dxa"/>
            <w:shd w:val="clear" w:color="auto" w:fill="F2F2F2"/>
            <w:tcMar>
              <w:top w:w="60" w:type="dxa"/>
              <w:left w:w="100" w:type="dxa"/>
              <w:bottom w:w="60" w:type="dxa"/>
              <w:right w:w="100" w:type="dxa"/>
            </w:tcMar>
            <w:vAlign w:val="center"/>
          </w:tcPr>
          <w:p w14:paraId="364CB02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(32.3)</w:t>
            </w:r>
          </w:p>
        </w:tc>
        <w:tc>
          <w:tcPr>
            <w:tcW w:w="1430" w:type="dxa"/>
            <w:shd w:val="clear" w:color="auto" w:fill="F2F2F2"/>
            <w:tcMar>
              <w:top w:w="60" w:type="dxa"/>
              <w:left w:w="100" w:type="dxa"/>
              <w:bottom w:w="60" w:type="dxa"/>
              <w:right w:w="100" w:type="dxa"/>
            </w:tcMar>
            <w:vAlign w:val="center"/>
          </w:tcPr>
          <w:p w14:paraId="364CB02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(28.4)</w:t>
            </w:r>
          </w:p>
        </w:tc>
        <w:tc>
          <w:tcPr>
            <w:tcW w:w="1430" w:type="dxa"/>
            <w:shd w:val="clear" w:color="auto" w:fill="F2F2F2"/>
            <w:tcMar>
              <w:top w:w="60" w:type="dxa"/>
              <w:left w:w="100" w:type="dxa"/>
              <w:bottom w:w="60" w:type="dxa"/>
              <w:right w:w="100" w:type="dxa"/>
            </w:tcMar>
            <w:vAlign w:val="center"/>
          </w:tcPr>
          <w:p w14:paraId="364CB02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(21.3)</w:t>
            </w:r>
          </w:p>
        </w:tc>
        <w:tc>
          <w:tcPr>
            <w:tcW w:w="1430" w:type="dxa"/>
            <w:shd w:val="clear" w:color="auto" w:fill="F2F2F2"/>
            <w:tcMar>
              <w:top w:w="60" w:type="dxa"/>
              <w:left w:w="100" w:type="dxa"/>
              <w:bottom w:w="60" w:type="dxa"/>
              <w:right w:w="100" w:type="dxa"/>
            </w:tcMar>
            <w:vAlign w:val="center"/>
          </w:tcPr>
          <w:p w14:paraId="364CB02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(8.6)</w:t>
            </w:r>
          </w:p>
        </w:tc>
        <w:tc>
          <w:tcPr>
            <w:tcW w:w="1430" w:type="dxa"/>
            <w:shd w:val="clear" w:color="auto" w:fill="F2F2F2"/>
            <w:tcMar>
              <w:top w:w="60" w:type="dxa"/>
              <w:left w:w="100" w:type="dxa"/>
              <w:bottom w:w="60" w:type="dxa"/>
              <w:right w:w="100" w:type="dxa"/>
            </w:tcMar>
            <w:vAlign w:val="center"/>
          </w:tcPr>
          <w:p w14:paraId="364CB02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(8.7)</w:t>
            </w:r>
          </w:p>
        </w:tc>
      </w:tr>
      <w:tr w:rsidR="004E063D" w:rsidRPr="00A8221F" w14:paraId="364CB035" w14:textId="77777777">
        <w:tc>
          <w:tcPr>
            <w:tcW w:w="2200" w:type="dxa"/>
            <w:tcMar>
              <w:top w:w="60" w:type="dxa"/>
              <w:left w:w="100" w:type="dxa"/>
              <w:bottom w:w="60" w:type="dxa"/>
              <w:right w:w="100" w:type="dxa"/>
            </w:tcMar>
            <w:vAlign w:val="center"/>
          </w:tcPr>
          <w:p w14:paraId="364CB02F"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Net debt/EBITDA</w:t>
            </w:r>
          </w:p>
        </w:tc>
        <w:tc>
          <w:tcPr>
            <w:tcW w:w="1430" w:type="dxa"/>
            <w:tcMar>
              <w:top w:w="60" w:type="dxa"/>
              <w:left w:w="100" w:type="dxa"/>
              <w:bottom w:w="60" w:type="dxa"/>
              <w:right w:w="100" w:type="dxa"/>
            </w:tcMar>
            <w:vAlign w:val="center"/>
          </w:tcPr>
          <w:p w14:paraId="364CB03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2.64x</w:t>
            </w:r>
          </w:p>
        </w:tc>
        <w:tc>
          <w:tcPr>
            <w:tcW w:w="1430" w:type="dxa"/>
            <w:tcMar>
              <w:top w:w="60" w:type="dxa"/>
              <w:left w:w="100" w:type="dxa"/>
              <w:bottom w:w="60" w:type="dxa"/>
              <w:right w:w="100" w:type="dxa"/>
            </w:tcMar>
            <w:vAlign w:val="center"/>
          </w:tcPr>
          <w:p w14:paraId="364CB03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2.36x</w:t>
            </w:r>
          </w:p>
        </w:tc>
        <w:tc>
          <w:tcPr>
            <w:tcW w:w="1430" w:type="dxa"/>
            <w:tcMar>
              <w:top w:w="60" w:type="dxa"/>
              <w:left w:w="100" w:type="dxa"/>
              <w:bottom w:w="60" w:type="dxa"/>
              <w:right w:w="100" w:type="dxa"/>
            </w:tcMar>
            <w:vAlign w:val="center"/>
          </w:tcPr>
          <w:p w14:paraId="364CB03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1.87x</w:t>
            </w:r>
          </w:p>
        </w:tc>
        <w:tc>
          <w:tcPr>
            <w:tcW w:w="1430" w:type="dxa"/>
            <w:tcMar>
              <w:top w:w="60" w:type="dxa"/>
              <w:left w:w="100" w:type="dxa"/>
              <w:bottom w:w="60" w:type="dxa"/>
              <w:right w:w="100" w:type="dxa"/>
            </w:tcMar>
            <w:vAlign w:val="center"/>
          </w:tcPr>
          <w:p w14:paraId="364CB03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2.26x</w:t>
            </w:r>
          </w:p>
        </w:tc>
        <w:tc>
          <w:tcPr>
            <w:tcW w:w="1430" w:type="dxa"/>
            <w:tcMar>
              <w:top w:w="60" w:type="dxa"/>
              <w:left w:w="100" w:type="dxa"/>
              <w:bottom w:w="60" w:type="dxa"/>
              <w:right w:w="100" w:type="dxa"/>
            </w:tcMar>
            <w:vAlign w:val="center"/>
          </w:tcPr>
          <w:p w14:paraId="364CB03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2.59x</w:t>
            </w:r>
          </w:p>
        </w:tc>
      </w:tr>
      <w:tr w:rsidR="004E063D" w:rsidRPr="00A8221F" w14:paraId="364CB03C" w14:textId="77777777">
        <w:tc>
          <w:tcPr>
            <w:tcW w:w="2200" w:type="dxa"/>
            <w:shd w:val="clear" w:color="auto" w:fill="F2F2F2"/>
            <w:tcMar>
              <w:top w:w="60" w:type="dxa"/>
              <w:left w:w="100" w:type="dxa"/>
              <w:bottom w:w="60" w:type="dxa"/>
              <w:right w:w="100" w:type="dxa"/>
            </w:tcMar>
            <w:vAlign w:val="center"/>
          </w:tcPr>
          <w:p w14:paraId="364CB036"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Interest cover</w:t>
            </w:r>
          </w:p>
        </w:tc>
        <w:tc>
          <w:tcPr>
            <w:tcW w:w="1430" w:type="dxa"/>
            <w:shd w:val="clear" w:color="auto" w:fill="F2F2F2"/>
            <w:tcMar>
              <w:top w:w="60" w:type="dxa"/>
              <w:left w:w="100" w:type="dxa"/>
              <w:bottom w:w="60" w:type="dxa"/>
              <w:right w:w="100" w:type="dxa"/>
            </w:tcMar>
            <w:vAlign w:val="center"/>
          </w:tcPr>
          <w:p w14:paraId="364CB03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3.36x</w:t>
            </w:r>
          </w:p>
        </w:tc>
        <w:tc>
          <w:tcPr>
            <w:tcW w:w="1430" w:type="dxa"/>
            <w:shd w:val="clear" w:color="auto" w:fill="F2F2F2"/>
            <w:tcMar>
              <w:top w:w="60" w:type="dxa"/>
              <w:left w:w="100" w:type="dxa"/>
              <w:bottom w:w="60" w:type="dxa"/>
              <w:right w:w="100" w:type="dxa"/>
            </w:tcMar>
            <w:vAlign w:val="center"/>
          </w:tcPr>
          <w:p w14:paraId="364CB03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5.32x</w:t>
            </w:r>
          </w:p>
        </w:tc>
        <w:tc>
          <w:tcPr>
            <w:tcW w:w="1430" w:type="dxa"/>
            <w:shd w:val="clear" w:color="auto" w:fill="F2F2F2"/>
            <w:tcMar>
              <w:top w:w="60" w:type="dxa"/>
              <w:left w:w="100" w:type="dxa"/>
              <w:bottom w:w="60" w:type="dxa"/>
              <w:right w:w="100" w:type="dxa"/>
            </w:tcMar>
            <w:vAlign w:val="center"/>
          </w:tcPr>
          <w:p w14:paraId="364CB03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8.46x</w:t>
            </w:r>
          </w:p>
        </w:tc>
        <w:tc>
          <w:tcPr>
            <w:tcW w:w="1430" w:type="dxa"/>
            <w:shd w:val="clear" w:color="auto" w:fill="F2F2F2"/>
            <w:tcMar>
              <w:top w:w="60" w:type="dxa"/>
              <w:left w:w="100" w:type="dxa"/>
              <w:bottom w:w="60" w:type="dxa"/>
              <w:right w:w="100" w:type="dxa"/>
            </w:tcMar>
            <w:vAlign w:val="center"/>
          </w:tcPr>
          <w:p w14:paraId="364CB03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5.85x</w:t>
            </w:r>
          </w:p>
        </w:tc>
        <w:tc>
          <w:tcPr>
            <w:tcW w:w="1430" w:type="dxa"/>
            <w:shd w:val="clear" w:color="auto" w:fill="F2F2F2"/>
            <w:tcMar>
              <w:top w:w="60" w:type="dxa"/>
              <w:left w:w="100" w:type="dxa"/>
              <w:bottom w:w="60" w:type="dxa"/>
              <w:right w:w="100" w:type="dxa"/>
            </w:tcMar>
            <w:vAlign w:val="center"/>
          </w:tcPr>
          <w:p w14:paraId="364CB03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5.93x</w:t>
            </w:r>
          </w:p>
        </w:tc>
      </w:tr>
      <w:tr w:rsidR="004E063D" w:rsidRPr="00A8221F" w14:paraId="364CB043" w14:textId="77777777">
        <w:tc>
          <w:tcPr>
            <w:tcW w:w="2200" w:type="dxa"/>
            <w:tcMar>
              <w:top w:w="60" w:type="dxa"/>
              <w:left w:w="100" w:type="dxa"/>
              <w:bottom w:w="60" w:type="dxa"/>
              <w:right w:w="100" w:type="dxa"/>
            </w:tcMar>
            <w:vAlign w:val="center"/>
          </w:tcPr>
          <w:p w14:paraId="364CB03D"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Diluted EPS (US$)</w:t>
            </w:r>
          </w:p>
        </w:tc>
        <w:tc>
          <w:tcPr>
            <w:tcW w:w="1430" w:type="dxa"/>
            <w:tcMar>
              <w:top w:w="60" w:type="dxa"/>
              <w:left w:w="100" w:type="dxa"/>
              <w:bottom w:w="60" w:type="dxa"/>
              <w:right w:w="100" w:type="dxa"/>
            </w:tcMar>
            <w:vAlign w:val="center"/>
          </w:tcPr>
          <w:p w14:paraId="364CB03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1.45</w:t>
            </w:r>
          </w:p>
        </w:tc>
        <w:tc>
          <w:tcPr>
            <w:tcW w:w="1430" w:type="dxa"/>
            <w:tcMar>
              <w:top w:w="60" w:type="dxa"/>
              <w:left w:w="100" w:type="dxa"/>
              <w:bottom w:w="60" w:type="dxa"/>
              <w:right w:w="100" w:type="dxa"/>
            </w:tcMar>
            <w:vAlign w:val="center"/>
          </w:tcPr>
          <w:p w14:paraId="364CB03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2.06</w:t>
            </w:r>
          </w:p>
        </w:tc>
        <w:tc>
          <w:tcPr>
            <w:tcW w:w="1430" w:type="dxa"/>
            <w:tcMar>
              <w:top w:w="60" w:type="dxa"/>
              <w:left w:w="100" w:type="dxa"/>
              <w:bottom w:w="60" w:type="dxa"/>
              <w:right w:w="100" w:type="dxa"/>
            </w:tcMar>
            <w:vAlign w:val="center"/>
          </w:tcPr>
          <w:p w14:paraId="364CB04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4.41</w:t>
            </w:r>
          </w:p>
        </w:tc>
        <w:tc>
          <w:tcPr>
            <w:tcW w:w="1430" w:type="dxa"/>
            <w:tcMar>
              <w:top w:w="60" w:type="dxa"/>
              <w:left w:w="100" w:type="dxa"/>
              <w:bottom w:w="60" w:type="dxa"/>
              <w:right w:w="100" w:type="dxa"/>
            </w:tcMar>
            <w:vAlign w:val="center"/>
          </w:tcPr>
          <w:p w14:paraId="364CB04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3.85</w:t>
            </w:r>
          </w:p>
        </w:tc>
        <w:tc>
          <w:tcPr>
            <w:tcW w:w="1430" w:type="dxa"/>
            <w:tcMar>
              <w:top w:w="60" w:type="dxa"/>
              <w:left w:w="100" w:type="dxa"/>
              <w:bottom w:w="60" w:type="dxa"/>
              <w:right w:w="100" w:type="dxa"/>
            </w:tcMar>
            <w:vAlign w:val="center"/>
          </w:tcPr>
          <w:p w14:paraId="364CB04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4.87</w:t>
            </w:r>
          </w:p>
        </w:tc>
      </w:tr>
      <w:tr w:rsidR="004E063D" w:rsidRPr="00A8221F" w14:paraId="364CB04A" w14:textId="77777777">
        <w:tc>
          <w:tcPr>
            <w:tcW w:w="2200" w:type="dxa"/>
            <w:shd w:val="clear" w:color="auto" w:fill="F2F2F2"/>
            <w:tcMar>
              <w:top w:w="60" w:type="dxa"/>
              <w:left w:w="100" w:type="dxa"/>
              <w:bottom w:w="60" w:type="dxa"/>
              <w:right w:w="100" w:type="dxa"/>
            </w:tcMar>
            <w:vAlign w:val="center"/>
          </w:tcPr>
          <w:p w14:paraId="364CB044"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Dividend per share (US$)</w:t>
            </w:r>
          </w:p>
        </w:tc>
        <w:tc>
          <w:tcPr>
            <w:tcW w:w="1430" w:type="dxa"/>
            <w:shd w:val="clear" w:color="auto" w:fill="F2F2F2"/>
            <w:tcMar>
              <w:top w:w="60" w:type="dxa"/>
              <w:left w:w="100" w:type="dxa"/>
              <w:bottom w:w="60" w:type="dxa"/>
              <w:right w:w="100" w:type="dxa"/>
            </w:tcMar>
            <w:vAlign w:val="center"/>
          </w:tcPr>
          <w:p w14:paraId="364CB04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0.86</w:t>
            </w:r>
          </w:p>
        </w:tc>
        <w:tc>
          <w:tcPr>
            <w:tcW w:w="1430" w:type="dxa"/>
            <w:shd w:val="clear" w:color="auto" w:fill="F2F2F2"/>
            <w:tcMar>
              <w:top w:w="60" w:type="dxa"/>
              <w:left w:w="100" w:type="dxa"/>
              <w:bottom w:w="60" w:type="dxa"/>
              <w:right w:w="100" w:type="dxa"/>
            </w:tcMar>
            <w:vAlign w:val="center"/>
          </w:tcPr>
          <w:p w14:paraId="364CB04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1.38</w:t>
            </w:r>
          </w:p>
        </w:tc>
        <w:tc>
          <w:tcPr>
            <w:tcW w:w="1430" w:type="dxa"/>
            <w:shd w:val="clear" w:color="auto" w:fill="F2F2F2"/>
            <w:tcMar>
              <w:top w:w="60" w:type="dxa"/>
              <w:left w:w="100" w:type="dxa"/>
              <w:bottom w:w="60" w:type="dxa"/>
              <w:right w:w="100" w:type="dxa"/>
            </w:tcMar>
            <w:vAlign w:val="center"/>
          </w:tcPr>
          <w:p w14:paraId="364CB04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1.52</w:t>
            </w:r>
          </w:p>
        </w:tc>
        <w:tc>
          <w:tcPr>
            <w:tcW w:w="1430" w:type="dxa"/>
            <w:shd w:val="clear" w:color="auto" w:fill="F2F2F2"/>
            <w:tcMar>
              <w:top w:w="60" w:type="dxa"/>
              <w:left w:w="100" w:type="dxa"/>
              <w:bottom w:w="60" w:type="dxa"/>
              <w:right w:w="100" w:type="dxa"/>
            </w:tcMar>
            <w:vAlign w:val="center"/>
          </w:tcPr>
          <w:p w14:paraId="364CB04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1.68</w:t>
            </w:r>
          </w:p>
        </w:tc>
        <w:tc>
          <w:tcPr>
            <w:tcW w:w="1430" w:type="dxa"/>
            <w:shd w:val="clear" w:color="auto" w:fill="F2F2F2"/>
            <w:tcMar>
              <w:top w:w="60" w:type="dxa"/>
              <w:left w:w="100" w:type="dxa"/>
              <w:bottom w:w="60" w:type="dxa"/>
              <w:right w:w="100" w:type="dxa"/>
            </w:tcMar>
            <w:vAlign w:val="center"/>
          </w:tcPr>
          <w:p w14:paraId="364CB04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1.85</w:t>
            </w:r>
          </w:p>
        </w:tc>
      </w:tr>
      <w:tr w:rsidR="004E063D" w:rsidRPr="00A8221F" w14:paraId="364CB051" w14:textId="77777777">
        <w:tc>
          <w:tcPr>
            <w:tcW w:w="2200" w:type="dxa"/>
            <w:tcMar>
              <w:top w:w="60" w:type="dxa"/>
              <w:left w:w="100" w:type="dxa"/>
              <w:bottom w:w="60" w:type="dxa"/>
              <w:right w:w="100" w:type="dxa"/>
            </w:tcMar>
            <w:vAlign w:val="center"/>
          </w:tcPr>
          <w:p w14:paraId="364CB04B"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OCF margin</w:t>
            </w:r>
          </w:p>
        </w:tc>
        <w:tc>
          <w:tcPr>
            <w:tcW w:w="1430" w:type="dxa"/>
            <w:tcMar>
              <w:top w:w="60" w:type="dxa"/>
              <w:left w:w="100" w:type="dxa"/>
              <w:bottom w:w="60" w:type="dxa"/>
              <w:right w:w="100" w:type="dxa"/>
            </w:tcMar>
            <w:vAlign w:val="center"/>
          </w:tcPr>
          <w:p w14:paraId="364CB04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21.9%</w:t>
            </w:r>
          </w:p>
        </w:tc>
        <w:tc>
          <w:tcPr>
            <w:tcW w:w="1430" w:type="dxa"/>
            <w:tcMar>
              <w:top w:w="60" w:type="dxa"/>
              <w:left w:w="100" w:type="dxa"/>
              <w:bottom w:w="60" w:type="dxa"/>
              <w:right w:w="100" w:type="dxa"/>
            </w:tcMar>
            <w:vAlign w:val="center"/>
          </w:tcPr>
          <w:p w14:paraId="364CB04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16.6%</w:t>
            </w:r>
          </w:p>
        </w:tc>
        <w:tc>
          <w:tcPr>
            <w:tcW w:w="1430" w:type="dxa"/>
            <w:tcMar>
              <w:top w:w="60" w:type="dxa"/>
              <w:left w:w="100" w:type="dxa"/>
              <w:bottom w:w="60" w:type="dxa"/>
              <w:right w:w="100" w:type="dxa"/>
            </w:tcMar>
            <w:vAlign w:val="center"/>
          </w:tcPr>
          <w:p w14:paraId="364CB04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19.3%</w:t>
            </w:r>
          </w:p>
        </w:tc>
        <w:tc>
          <w:tcPr>
            <w:tcW w:w="1430" w:type="dxa"/>
            <w:tcMar>
              <w:top w:w="60" w:type="dxa"/>
              <w:left w:w="100" w:type="dxa"/>
              <w:bottom w:w="60" w:type="dxa"/>
              <w:right w:w="100" w:type="dxa"/>
            </w:tcMar>
            <w:vAlign w:val="center"/>
          </w:tcPr>
          <w:p w14:paraId="364CB04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14.7%</w:t>
            </w:r>
          </w:p>
        </w:tc>
        <w:tc>
          <w:tcPr>
            <w:tcW w:w="1430" w:type="dxa"/>
            <w:tcMar>
              <w:top w:w="60" w:type="dxa"/>
              <w:left w:w="100" w:type="dxa"/>
              <w:bottom w:w="60" w:type="dxa"/>
              <w:right w:w="100" w:type="dxa"/>
            </w:tcMar>
            <w:vAlign w:val="center"/>
          </w:tcPr>
          <w:p w14:paraId="364CB05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17.3%</w:t>
            </w:r>
          </w:p>
        </w:tc>
      </w:tr>
      <w:tr w:rsidR="004E063D" w:rsidRPr="00A8221F" w14:paraId="364CB058" w14:textId="77777777">
        <w:tc>
          <w:tcPr>
            <w:tcW w:w="2200" w:type="dxa"/>
            <w:shd w:val="clear" w:color="auto" w:fill="F2F2F2"/>
            <w:tcMar>
              <w:top w:w="60" w:type="dxa"/>
              <w:left w:w="100" w:type="dxa"/>
              <w:bottom w:w="60" w:type="dxa"/>
              <w:right w:w="100" w:type="dxa"/>
            </w:tcMar>
            <w:vAlign w:val="center"/>
          </w:tcPr>
          <w:p w14:paraId="364CB052"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lastRenderedPageBreak/>
              <w:t>Free cash flow ($m)</w:t>
            </w:r>
          </w:p>
        </w:tc>
        <w:tc>
          <w:tcPr>
            <w:tcW w:w="1430" w:type="dxa"/>
            <w:shd w:val="clear" w:color="auto" w:fill="F2F2F2"/>
            <w:tcMar>
              <w:top w:w="60" w:type="dxa"/>
              <w:left w:w="100" w:type="dxa"/>
              <w:bottom w:w="60" w:type="dxa"/>
              <w:right w:w="100" w:type="dxa"/>
            </w:tcMar>
            <w:vAlign w:val="center"/>
          </w:tcPr>
          <w:p w14:paraId="364CB05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619</w:t>
            </w:r>
          </w:p>
        </w:tc>
        <w:tc>
          <w:tcPr>
            <w:tcW w:w="1430" w:type="dxa"/>
            <w:shd w:val="clear" w:color="auto" w:fill="F2F2F2"/>
            <w:tcMar>
              <w:top w:w="60" w:type="dxa"/>
              <w:left w:w="100" w:type="dxa"/>
              <w:bottom w:w="60" w:type="dxa"/>
              <w:right w:w="100" w:type="dxa"/>
            </w:tcMar>
            <w:vAlign w:val="center"/>
          </w:tcPr>
          <w:p w14:paraId="364CB05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592</w:t>
            </w:r>
          </w:p>
        </w:tc>
        <w:tc>
          <w:tcPr>
            <w:tcW w:w="1430" w:type="dxa"/>
            <w:shd w:val="clear" w:color="auto" w:fill="F2F2F2"/>
            <w:tcMar>
              <w:top w:w="60" w:type="dxa"/>
              <w:left w:w="100" w:type="dxa"/>
              <w:bottom w:w="60" w:type="dxa"/>
              <w:right w:w="100" w:type="dxa"/>
            </w:tcMar>
            <w:vAlign w:val="center"/>
          </w:tcPr>
          <w:p w14:paraId="364CB05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865</w:t>
            </w:r>
          </w:p>
        </w:tc>
        <w:tc>
          <w:tcPr>
            <w:tcW w:w="1430" w:type="dxa"/>
            <w:shd w:val="clear" w:color="auto" w:fill="F2F2F2"/>
            <w:tcMar>
              <w:top w:w="60" w:type="dxa"/>
              <w:left w:w="100" w:type="dxa"/>
              <w:bottom w:w="60" w:type="dxa"/>
              <w:right w:w="100" w:type="dxa"/>
            </w:tcMar>
            <w:vAlign w:val="center"/>
          </w:tcPr>
          <w:p w14:paraId="364CB05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695</w:t>
            </w:r>
          </w:p>
        </w:tc>
        <w:tc>
          <w:tcPr>
            <w:tcW w:w="1430" w:type="dxa"/>
            <w:shd w:val="clear" w:color="auto" w:fill="F2F2F2"/>
            <w:tcMar>
              <w:top w:w="60" w:type="dxa"/>
              <w:left w:w="100" w:type="dxa"/>
              <w:bottom w:w="60" w:type="dxa"/>
              <w:right w:w="100" w:type="dxa"/>
            </w:tcMar>
            <w:vAlign w:val="center"/>
          </w:tcPr>
          <w:p w14:paraId="364CB05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870</w:t>
            </w:r>
          </w:p>
        </w:tc>
      </w:tr>
    </w:tbl>
    <w:p w14:paraId="364CB059" w14:textId="77777777" w:rsidR="004E063D" w:rsidRPr="00A8221F" w:rsidRDefault="00A444D8" w:rsidP="00A8221F">
      <w:pPr>
        <w:pStyle w:val="Heading2"/>
        <w:spacing w:before="280" w:after="140" w:line="360" w:lineRule="auto"/>
        <w:rPr>
          <w:rFonts w:ascii="Arial" w:hAnsi="Arial" w:cs="Arial"/>
          <w:sz w:val="24"/>
          <w:szCs w:val="24"/>
        </w:rPr>
      </w:pPr>
      <w:bookmarkStart w:id="84" w:name="_Toc237519630"/>
      <w:bookmarkStart w:id="85" w:name="_Toc237520861"/>
      <w:r w:rsidRPr="00A8221F">
        <w:rPr>
          <w:rFonts w:ascii="Arial" w:hAnsi="Arial" w:cs="Arial"/>
          <w:b/>
          <w:bCs/>
          <w:color w:val="1F4E78"/>
          <w:sz w:val="24"/>
          <w:szCs w:val="24"/>
        </w:rPr>
        <w:t>Appendix 2: Ratio Trend Charts</w:t>
      </w:r>
      <w:bookmarkEnd w:id="84"/>
      <w:bookmarkEnd w:id="85"/>
    </w:p>
    <w:p w14:paraId="364CB05A" w14:textId="77777777" w:rsidR="004E063D" w:rsidRPr="00A8221F" w:rsidRDefault="00A444D8" w:rsidP="00A8221F">
      <w:pPr>
        <w:spacing w:after="100" w:line="360" w:lineRule="auto"/>
        <w:jc w:val="center"/>
        <w:rPr>
          <w:rFonts w:ascii="Arial" w:hAnsi="Arial" w:cs="Arial"/>
          <w:sz w:val="24"/>
          <w:szCs w:val="24"/>
        </w:rPr>
      </w:pPr>
      <w:r w:rsidRPr="00A8221F">
        <w:rPr>
          <w:rFonts w:ascii="Arial" w:hAnsi="Arial" w:cs="Arial"/>
          <w:noProof/>
          <w:sz w:val="24"/>
          <w:szCs w:val="24"/>
        </w:rPr>
        <w:drawing>
          <wp:inline distT="0" distB="0" distL="0" distR="0" wp14:anchorId="364CB0F8" wp14:editId="364CB0F9">
            <wp:extent cx="3810000" cy="2181225"/>
            <wp:effectExtent l="0" t="0" r="0" b="0"/>
            <wp:docPr id="1299323354" name="Picture 129932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3810000" cy="2181225"/>
                    </a:xfrm>
                    <a:prstGeom prst="rect">
                      <a:avLst/>
                    </a:prstGeom>
                  </pic:spPr>
                </pic:pic>
              </a:graphicData>
            </a:graphic>
          </wp:inline>
        </w:drawing>
      </w:r>
    </w:p>
    <w:p w14:paraId="364CB05B"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Figure A1: Profitability trends, FY2021–FY2025.</w:t>
      </w:r>
    </w:p>
    <w:p w14:paraId="364CB05C" w14:textId="77777777" w:rsidR="004E063D" w:rsidRPr="00A8221F" w:rsidRDefault="00A444D8" w:rsidP="00A8221F">
      <w:pPr>
        <w:spacing w:after="100" w:line="360" w:lineRule="auto"/>
        <w:jc w:val="center"/>
        <w:rPr>
          <w:rFonts w:ascii="Arial" w:hAnsi="Arial" w:cs="Arial"/>
          <w:sz w:val="24"/>
          <w:szCs w:val="24"/>
        </w:rPr>
      </w:pPr>
      <w:r w:rsidRPr="00A8221F">
        <w:rPr>
          <w:rFonts w:ascii="Arial" w:hAnsi="Arial" w:cs="Arial"/>
          <w:noProof/>
          <w:sz w:val="24"/>
          <w:szCs w:val="24"/>
        </w:rPr>
        <w:drawing>
          <wp:inline distT="0" distB="0" distL="0" distR="0" wp14:anchorId="364CB0FA" wp14:editId="364CB0FB">
            <wp:extent cx="3810000" cy="2181225"/>
            <wp:effectExtent l="0" t="0" r="0" b="0"/>
            <wp:docPr id="112086379" name="Picture 11208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3810000" cy="2181225"/>
                    </a:xfrm>
                    <a:prstGeom prst="rect">
                      <a:avLst/>
                    </a:prstGeom>
                  </pic:spPr>
                </pic:pic>
              </a:graphicData>
            </a:graphic>
          </wp:inline>
        </w:drawing>
      </w:r>
    </w:p>
    <w:p w14:paraId="364CB05D"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Figure A2: Liquidity ratios, FY2021–FY2025.</w:t>
      </w:r>
    </w:p>
    <w:p w14:paraId="364CB05E" w14:textId="77777777" w:rsidR="004E063D" w:rsidRPr="00A8221F" w:rsidRDefault="00A444D8" w:rsidP="00A8221F">
      <w:pPr>
        <w:spacing w:after="100" w:line="360" w:lineRule="auto"/>
        <w:jc w:val="center"/>
        <w:rPr>
          <w:rFonts w:ascii="Arial" w:hAnsi="Arial" w:cs="Arial"/>
          <w:sz w:val="24"/>
          <w:szCs w:val="24"/>
        </w:rPr>
      </w:pPr>
      <w:r w:rsidRPr="00A8221F">
        <w:rPr>
          <w:rFonts w:ascii="Arial" w:hAnsi="Arial" w:cs="Arial"/>
          <w:noProof/>
          <w:sz w:val="24"/>
          <w:szCs w:val="24"/>
        </w:rPr>
        <w:drawing>
          <wp:inline distT="0" distB="0" distL="0" distR="0" wp14:anchorId="364CB0FC" wp14:editId="19EE3A47">
            <wp:extent cx="3563914" cy="2040341"/>
            <wp:effectExtent l="0" t="0" r="0" b="0"/>
            <wp:docPr id="1715983609" name="Picture 171598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3568795" cy="2043136"/>
                    </a:xfrm>
                    <a:prstGeom prst="rect">
                      <a:avLst/>
                    </a:prstGeom>
                  </pic:spPr>
                </pic:pic>
              </a:graphicData>
            </a:graphic>
          </wp:inline>
        </w:drawing>
      </w:r>
    </w:p>
    <w:p w14:paraId="364CB060" w14:textId="2ABEFFC0"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Figure A3: Gearing and interest cover, FY2021–FY2025.</w:t>
      </w:r>
      <w:r w:rsidRPr="00A8221F">
        <w:rPr>
          <w:rFonts w:ascii="Arial" w:hAnsi="Arial" w:cs="Arial"/>
          <w:sz w:val="24"/>
          <w:szCs w:val="24"/>
        </w:rPr>
        <w:br w:type="page"/>
      </w:r>
    </w:p>
    <w:p w14:paraId="364CB061" w14:textId="7C66285C" w:rsidR="004E063D" w:rsidRPr="00A8221F" w:rsidRDefault="00A444D8" w:rsidP="00A8221F">
      <w:pPr>
        <w:pStyle w:val="Heading2"/>
        <w:tabs>
          <w:tab w:val="right" w:pos="9746"/>
        </w:tabs>
        <w:spacing w:before="280" w:after="140" w:line="360" w:lineRule="auto"/>
        <w:rPr>
          <w:rFonts w:ascii="Arial" w:hAnsi="Arial" w:cs="Arial"/>
          <w:sz w:val="24"/>
          <w:szCs w:val="24"/>
        </w:rPr>
      </w:pPr>
      <w:bookmarkStart w:id="86" w:name="_Toc237519631"/>
      <w:bookmarkStart w:id="87" w:name="_Toc237520862"/>
      <w:r w:rsidRPr="00A8221F">
        <w:rPr>
          <w:rFonts w:ascii="Arial" w:hAnsi="Arial" w:cs="Arial"/>
          <w:b/>
          <w:bCs/>
          <w:color w:val="1F4E78"/>
          <w:sz w:val="24"/>
          <w:szCs w:val="24"/>
        </w:rPr>
        <w:lastRenderedPageBreak/>
        <w:t>Appendix 3: Investment Appraisal Workings</w:t>
      </w:r>
      <w:bookmarkEnd w:id="86"/>
      <w:bookmarkEnd w:id="87"/>
      <w:r w:rsidR="00A8221F">
        <w:rPr>
          <w:rFonts w:ascii="Arial" w:hAnsi="Arial" w:cs="Arial"/>
          <w:b/>
          <w:bCs/>
          <w:color w:val="1F4E78"/>
          <w:sz w:val="24"/>
          <w:szCs w:val="24"/>
        </w:rPr>
        <w:tab/>
      </w:r>
    </w:p>
    <w:p w14:paraId="364CB062"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Project A: discounted cash flow schedule (£m).</w:t>
      </w:r>
    </w:p>
    <w:tbl>
      <w:tblPr>
        <w:tblW w:w="935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1628"/>
        <w:gridCol w:w="1288"/>
        <w:gridCol w:w="1286"/>
        <w:gridCol w:w="1287"/>
        <w:gridCol w:w="1287"/>
        <w:gridCol w:w="1287"/>
        <w:gridCol w:w="1287"/>
      </w:tblGrid>
      <w:tr w:rsidR="004E063D" w:rsidRPr="00A8221F" w14:paraId="364CB06A" w14:textId="77777777">
        <w:trPr>
          <w:tblHeader/>
        </w:trPr>
        <w:tc>
          <w:tcPr>
            <w:tcW w:w="1335" w:type="dxa"/>
            <w:shd w:val="clear" w:color="auto" w:fill="1F4E78"/>
            <w:tcMar>
              <w:top w:w="60" w:type="dxa"/>
              <w:left w:w="100" w:type="dxa"/>
              <w:bottom w:w="60" w:type="dxa"/>
              <w:right w:w="100" w:type="dxa"/>
            </w:tcMar>
            <w:vAlign w:val="center"/>
          </w:tcPr>
          <w:p w14:paraId="364CB063" w14:textId="77777777" w:rsidR="004E063D" w:rsidRPr="00A8221F" w:rsidRDefault="004E063D" w:rsidP="00A8221F">
            <w:pPr>
              <w:spacing w:line="360" w:lineRule="auto"/>
              <w:rPr>
                <w:rFonts w:ascii="Arial" w:hAnsi="Arial" w:cs="Arial"/>
                <w:sz w:val="24"/>
                <w:szCs w:val="24"/>
              </w:rPr>
            </w:pPr>
          </w:p>
        </w:tc>
        <w:tc>
          <w:tcPr>
            <w:tcW w:w="1335" w:type="dxa"/>
            <w:shd w:val="clear" w:color="auto" w:fill="1F4E78"/>
            <w:tcMar>
              <w:top w:w="60" w:type="dxa"/>
              <w:left w:w="100" w:type="dxa"/>
              <w:bottom w:w="60" w:type="dxa"/>
              <w:right w:w="100" w:type="dxa"/>
            </w:tcMar>
            <w:vAlign w:val="center"/>
          </w:tcPr>
          <w:p w14:paraId="364CB06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0</w:t>
            </w:r>
          </w:p>
        </w:tc>
        <w:tc>
          <w:tcPr>
            <w:tcW w:w="1335" w:type="dxa"/>
            <w:shd w:val="clear" w:color="auto" w:fill="1F4E78"/>
            <w:tcMar>
              <w:top w:w="60" w:type="dxa"/>
              <w:left w:w="100" w:type="dxa"/>
              <w:bottom w:w="60" w:type="dxa"/>
              <w:right w:w="100" w:type="dxa"/>
            </w:tcMar>
            <w:vAlign w:val="center"/>
          </w:tcPr>
          <w:p w14:paraId="364CB06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1</w:t>
            </w:r>
          </w:p>
        </w:tc>
        <w:tc>
          <w:tcPr>
            <w:tcW w:w="1335" w:type="dxa"/>
            <w:shd w:val="clear" w:color="auto" w:fill="1F4E78"/>
            <w:tcMar>
              <w:top w:w="60" w:type="dxa"/>
              <w:left w:w="100" w:type="dxa"/>
              <w:bottom w:w="60" w:type="dxa"/>
              <w:right w:w="100" w:type="dxa"/>
            </w:tcMar>
            <w:vAlign w:val="center"/>
          </w:tcPr>
          <w:p w14:paraId="364CB06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2</w:t>
            </w:r>
          </w:p>
        </w:tc>
        <w:tc>
          <w:tcPr>
            <w:tcW w:w="1335" w:type="dxa"/>
            <w:shd w:val="clear" w:color="auto" w:fill="1F4E78"/>
            <w:tcMar>
              <w:top w:w="60" w:type="dxa"/>
              <w:left w:w="100" w:type="dxa"/>
              <w:bottom w:w="60" w:type="dxa"/>
              <w:right w:w="100" w:type="dxa"/>
            </w:tcMar>
            <w:vAlign w:val="center"/>
          </w:tcPr>
          <w:p w14:paraId="364CB06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3</w:t>
            </w:r>
          </w:p>
        </w:tc>
        <w:tc>
          <w:tcPr>
            <w:tcW w:w="1335" w:type="dxa"/>
            <w:shd w:val="clear" w:color="auto" w:fill="1F4E78"/>
            <w:tcMar>
              <w:top w:w="60" w:type="dxa"/>
              <w:left w:w="100" w:type="dxa"/>
              <w:bottom w:w="60" w:type="dxa"/>
              <w:right w:w="100" w:type="dxa"/>
            </w:tcMar>
            <w:vAlign w:val="center"/>
          </w:tcPr>
          <w:p w14:paraId="364CB06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4</w:t>
            </w:r>
          </w:p>
        </w:tc>
        <w:tc>
          <w:tcPr>
            <w:tcW w:w="1335" w:type="dxa"/>
            <w:shd w:val="clear" w:color="auto" w:fill="1F4E78"/>
            <w:tcMar>
              <w:top w:w="60" w:type="dxa"/>
              <w:left w:w="100" w:type="dxa"/>
              <w:bottom w:w="60" w:type="dxa"/>
              <w:right w:w="100" w:type="dxa"/>
            </w:tcMar>
            <w:vAlign w:val="center"/>
          </w:tcPr>
          <w:p w14:paraId="364CB06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5</w:t>
            </w:r>
          </w:p>
        </w:tc>
      </w:tr>
      <w:tr w:rsidR="004E063D" w:rsidRPr="00A8221F" w14:paraId="364CB072" w14:textId="77777777">
        <w:tc>
          <w:tcPr>
            <w:tcW w:w="1335" w:type="dxa"/>
            <w:tcMar>
              <w:top w:w="60" w:type="dxa"/>
              <w:left w:w="100" w:type="dxa"/>
              <w:bottom w:w="60" w:type="dxa"/>
              <w:right w:w="100" w:type="dxa"/>
            </w:tcMar>
            <w:vAlign w:val="center"/>
          </w:tcPr>
          <w:p w14:paraId="364CB06B"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Net cash flow</w:t>
            </w:r>
          </w:p>
        </w:tc>
        <w:tc>
          <w:tcPr>
            <w:tcW w:w="1335" w:type="dxa"/>
            <w:tcMar>
              <w:top w:w="60" w:type="dxa"/>
              <w:left w:w="100" w:type="dxa"/>
              <w:bottom w:w="60" w:type="dxa"/>
              <w:right w:w="100" w:type="dxa"/>
            </w:tcMar>
            <w:vAlign w:val="center"/>
          </w:tcPr>
          <w:p w14:paraId="364CB06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w:t>
            </w:r>
          </w:p>
        </w:tc>
        <w:tc>
          <w:tcPr>
            <w:tcW w:w="1335" w:type="dxa"/>
            <w:tcMar>
              <w:top w:w="60" w:type="dxa"/>
              <w:left w:w="100" w:type="dxa"/>
              <w:bottom w:w="60" w:type="dxa"/>
              <w:right w:w="100" w:type="dxa"/>
            </w:tcMar>
            <w:vAlign w:val="center"/>
          </w:tcPr>
          <w:p w14:paraId="364CB06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w:t>
            </w:r>
          </w:p>
        </w:tc>
        <w:tc>
          <w:tcPr>
            <w:tcW w:w="1335" w:type="dxa"/>
            <w:tcMar>
              <w:top w:w="60" w:type="dxa"/>
              <w:left w:w="100" w:type="dxa"/>
              <w:bottom w:w="60" w:type="dxa"/>
              <w:right w:w="100" w:type="dxa"/>
            </w:tcMar>
            <w:vAlign w:val="center"/>
          </w:tcPr>
          <w:p w14:paraId="364CB06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12</w:t>
            </w:r>
          </w:p>
        </w:tc>
        <w:tc>
          <w:tcPr>
            <w:tcW w:w="1335" w:type="dxa"/>
            <w:tcMar>
              <w:top w:w="60" w:type="dxa"/>
              <w:left w:w="100" w:type="dxa"/>
              <w:bottom w:w="60" w:type="dxa"/>
              <w:right w:w="100" w:type="dxa"/>
            </w:tcMar>
            <w:vAlign w:val="center"/>
          </w:tcPr>
          <w:p w14:paraId="364CB06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14</w:t>
            </w:r>
          </w:p>
        </w:tc>
        <w:tc>
          <w:tcPr>
            <w:tcW w:w="1335" w:type="dxa"/>
            <w:tcMar>
              <w:top w:w="60" w:type="dxa"/>
              <w:left w:w="100" w:type="dxa"/>
              <w:bottom w:w="60" w:type="dxa"/>
              <w:right w:w="100" w:type="dxa"/>
            </w:tcMar>
            <w:vAlign w:val="center"/>
          </w:tcPr>
          <w:p w14:paraId="364CB07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w:t>
            </w:r>
          </w:p>
        </w:tc>
        <w:tc>
          <w:tcPr>
            <w:tcW w:w="1335" w:type="dxa"/>
            <w:tcMar>
              <w:top w:w="60" w:type="dxa"/>
              <w:left w:w="100" w:type="dxa"/>
              <w:bottom w:w="60" w:type="dxa"/>
              <w:right w:w="100" w:type="dxa"/>
            </w:tcMar>
            <w:vAlign w:val="center"/>
          </w:tcPr>
          <w:p w14:paraId="364CB07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w:t>
            </w:r>
          </w:p>
        </w:tc>
      </w:tr>
      <w:tr w:rsidR="004E063D" w:rsidRPr="00A8221F" w14:paraId="364CB07A" w14:textId="77777777">
        <w:tc>
          <w:tcPr>
            <w:tcW w:w="1335" w:type="dxa"/>
            <w:shd w:val="clear" w:color="auto" w:fill="F2F2F2"/>
            <w:tcMar>
              <w:top w:w="60" w:type="dxa"/>
              <w:left w:w="100" w:type="dxa"/>
              <w:bottom w:w="60" w:type="dxa"/>
              <w:right w:w="100" w:type="dxa"/>
            </w:tcMar>
            <w:vAlign w:val="center"/>
          </w:tcPr>
          <w:p w14:paraId="364CB073"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Discount factor @8%</w:t>
            </w:r>
          </w:p>
        </w:tc>
        <w:tc>
          <w:tcPr>
            <w:tcW w:w="1335" w:type="dxa"/>
            <w:shd w:val="clear" w:color="auto" w:fill="F2F2F2"/>
            <w:tcMar>
              <w:top w:w="60" w:type="dxa"/>
              <w:left w:w="100" w:type="dxa"/>
              <w:bottom w:w="60" w:type="dxa"/>
              <w:right w:w="100" w:type="dxa"/>
            </w:tcMar>
            <w:vAlign w:val="center"/>
          </w:tcPr>
          <w:p w14:paraId="364CB07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1.000</w:t>
            </w:r>
          </w:p>
        </w:tc>
        <w:tc>
          <w:tcPr>
            <w:tcW w:w="1335" w:type="dxa"/>
            <w:shd w:val="clear" w:color="auto" w:fill="F2F2F2"/>
            <w:tcMar>
              <w:top w:w="60" w:type="dxa"/>
              <w:left w:w="100" w:type="dxa"/>
              <w:bottom w:w="60" w:type="dxa"/>
              <w:right w:w="100" w:type="dxa"/>
            </w:tcMar>
            <w:vAlign w:val="center"/>
          </w:tcPr>
          <w:p w14:paraId="364CB07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0.926</w:t>
            </w:r>
          </w:p>
        </w:tc>
        <w:tc>
          <w:tcPr>
            <w:tcW w:w="1335" w:type="dxa"/>
            <w:shd w:val="clear" w:color="auto" w:fill="F2F2F2"/>
            <w:tcMar>
              <w:top w:w="60" w:type="dxa"/>
              <w:left w:w="100" w:type="dxa"/>
              <w:bottom w:w="60" w:type="dxa"/>
              <w:right w:w="100" w:type="dxa"/>
            </w:tcMar>
            <w:vAlign w:val="center"/>
          </w:tcPr>
          <w:p w14:paraId="364CB07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0.857</w:t>
            </w:r>
          </w:p>
        </w:tc>
        <w:tc>
          <w:tcPr>
            <w:tcW w:w="1335" w:type="dxa"/>
            <w:shd w:val="clear" w:color="auto" w:fill="F2F2F2"/>
            <w:tcMar>
              <w:top w:w="60" w:type="dxa"/>
              <w:left w:w="100" w:type="dxa"/>
              <w:bottom w:w="60" w:type="dxa"/>
              <w:right w:w="100" w:type="dxa"/>
            </w:tcMar>
            <w:vAlign w:val="center"/>
          </w:tcPr>
          <w:p w14:paraId="364CB07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0.794</w:t>
            </w:r>
          </w:p>
        </w:tc>
        <w:tc>
          <w:tcPr>
            <w:tcW w:w="1335" w:type="dxa"/>
            <w:shd w:val="clear" w:color="auto" w:fill="F2F2F2"/>
            <w:tcMar>
              <w:top w:w="60" w:type="dxa"/>
              <w:left w:w="100" w:type="dxa"/>
              <w:bottom w:w="60" w:type="dxa"/>
              <w:right w:w="100" w:type="dxa"/>
            </w:tcMar>
            <w:vAlign w:val="center"/>
          </w:tcPr>
          <w:p w14:paraId="364CB07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0.735</w:t>
            </w:r>
          </w:p>
        </w:tc>
        <w:tc>
          <w:tcPr>
            <w:tcW w:w="1335" w:type="dxa"/>
            <w:shd w:val="clear" w:color="auto" w:fill="F2F2F2"/>
            <w:tcMar>
              <w:top w:w="60" w:type="dxa"/>
              <w:left w:w="100" w:type="dxa"/>
              <w:bottom w:w="60" w:type="dxa"/>
              <w:right w:w="100" w:type="dxa"/>
            </w:tcMar>
            <w:vAlign w:val="center"/>
          </w:tcPr>
          <w:p w14:paraId="364CB07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0.681</w:t>
            </w:r>
          </w:p>
        </w:tc>
      </w:tr>
      <w:tr w:rsidR="004E063D" w:rsidRPr="00A8221F" w14:paraId="364CB082" w14:textId="77777777">
        <w:tc>
          <w:tcPr>
            <w:tcW w:w="1335" w:type="dxa"/>
            <w:tcMar>
              <w:top w:w="60" w:type="dxa"/>
              <w:left w:w="100" w:type="dxa"/>
              <w:bottom w:w="60" w:type="dxa"/>
              <w:right w:w="100" w:type="dxa"/>
            </w:tcMar>
            <w:vAlign w:val="center"/>
          </w:tcPr>
          <w:p w14:paraId="364CB07B"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Present value</w:t>
            </w:r>
          </w:p>
        </w:tc>
        <w:tc>
          <w:tcPr>
            <w:tcW w:w="1335" w:type="dxa"/>
            <w:tcMar>
              <w:top w:w="60" w:type="dxa"/>
              <w:left w:w="100" w:type="dxa"/>
              <w:bottom w:w="60" w:type="dxa"/>
              <w:right w:w="100" w:type="dxa"/>
            </w:tcMar>
            <w:vAlign w:val="center"/>
          </w:tcPr>
          <w:p w14:paraId="364CB07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(50.0)</w:t>
            </w:r>
          </w:p>
        </w:tc>
        <w:tc>
          <w:tcPr>
            <w:tcW w:w="1335" w:type="dxa"/>
            <w:tcMar>
              <w:top w:w="60" w:type="dxa"/>
              <w:left w:w="100" w:type="dxa"/>
              <w:bottom w:w="60" w:type="dxa"/>
              <w:right w:w="100" w:type="dxa"/>
            </w:tcMar>
            <w:vAlign w:val="center"/>
          </w:tcPr>
          <w:p w14:paraId="364CB07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9.26</w:t>
            </w:r>
          </w:p>
        </w:tc>
        <w:tc>
          <w:tcPr>
            <w:tcW w:w="1335" w:type="dxa"/>
            <w:tcMar>
              <w:top w:w="60" w:type="dxa"/>
              <w:left w:w="100" w:type="dxa"/>
              <w:bottom w:w="60" w:type="dxa"/>
              <w:right w:w="100" w:type="dxa"/>
            </w:tcMar>
            <w:vAlign w:val="center"/>
          </w:tcPr>
          <w:p w14:paraId="364CB07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10.29</w:t>
            </w:r>
          </w:p>
        </w:tc>
        <w:tc>
          <w:tcPr>
            <w:tcW w:w="1335" w:type="dxa"/>
            <w:tcMar>
              <w:top w:w="60" w:type="dxa"/>
              <w:left w:w="100" w:type="dxa"/>
              <w:bottom w:w="60" w:type="dxa"/>
              <w:right w:w="100" w:type="dxa"/>
            </w:tcMar>
            <w:vAlign w:val="center"/>
          </w:tcPr>
          <w:p w14:paraId="364CB07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11.11</w:t>
            </w:r>
          </w:p>
        </w:tc>
        <w:tc>
          <w:tcPr>
            <w:tcW w:w="1335" w:type="dxa"/>
            <w:tcMar>
              <w:top w:w="60" w:type="dxa"/>
              <w:left w:w="100" w:type="dxa"/>
              <w:bottom w:w="60" w:type="dxa"/>
              <w:right w:w="100" w:type="dxa"/>
            </w:tcMar>
            <w:vAlign w:val="center"/>
          </w:tcPr>
          <w:p w14:paraId="364CB08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7.35</w:t>
            </w:r>
          </w:p>
        </w:tc>
        <w:tc>
          <w:tcPr>
            <w:tcW w:w="1335" w:type="dxa"/>
            <w:tcMar>
              <w:top w:w="60" w:type="dxa"/>
              <w:left w:w="100" w:type="dxa"/>
              <w:bottom w:w="60" w:type="dxa"/>
              <w:right w:w="100" w:type="dxa"/>
            </w:tcMar>
            <w:vAlign w:val="center"/>
          </w:tcPr>
          <w:p w14:paraId="364CB08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5.44</w:t>
            </w:r>
          </w:p>
        </w:tc>
      </w:tr>
      <w:tr w:rsidR="004E063D" w:rsidRPr="00A8221F" w14:paraId="364CB08A" w14:textId="77777777">
        <w:tc>
          <w:tcPr>
            <w:tcW w:w="1335" w:type="dxa"/>
            <w:shd w:val="clear" w:color="auto" w:fill="F2F2F2"/>
            <w:tcMar>
              <w:top w:w="60" w:type="dxa"/>
              <w:left w:w="100" w:type="dxa"/>
              <w:bottom w:w="60" w:type="dxa"/>
              <w:right w:w="100" w:type="dxa"/>
            </w:tcMar>
            <w:vAlign w:val="center"/>
          </w:tcPr>
          <w:p w14:paraId="364CB083"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Cumulative undiscounted CF</w:t>
            </w:r>
          </w:p>
        </w:tc>
        <w:tc>
          <w:tcPr>
            <w:tcW w:w="1335" w:type="dxa"/>
            <w:shd w:val="clear" w:color="auto" w:fill="F2F2F2"/>
            <w:tcMar>
              <w:top w:w="60" w:type="dxa"/>
              <w:left w:w="100" w:type="dxa"/>
              <w:bottom w:w="60" w:type="dxa"/>
              <w:right w:w="100" w:type="dxa"/>
            </w:tcMar>
            <w:vAlign w:val="center"/>
          </w:tcPr>
          <w:p w14:paraId="364CB084"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(50.0)</w:t>
            </w:r>
          </w:p>
        </w:tc>
        <w:tc>
          <w:tcPr>
            <w:tcW w:w="1335" w:type="dxa"/>
            <w:shd w:val="clear" w:color="auto" w:fill="F2F2F2"/>
            <w:tcMar>
              <w:top w:w="60" w:type="dxa"/>
              <w:left w:w="100" w:type="dxa"/>
              <w:bottom w:w="60" w:type="dxa"/>
              <w:right w:w="100" w:type="dxa"/>
            </w:tcMar>
            <w:vAlign w:val="center"/>
          </w:tcPr>
          <w:p w14:paraId="364CB08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-40.0</w:t>
            </w:r>
          </w:p>
        </w:tc>
        <w:tc>
          <w:tcPr>
            <w:tcW w:w="1335" w:type="dxa"/>
            <w:shd w:val="clear" w:color="auto" w:fill="F2F2F2"/>
            <w:tcMar>
              <w:top w:w="60" w:type="dxa"/>
              <w:left w:w="100" w:type="dxa"/>
              <w:bottom w:w="60" w:type="dxa"/>
              <w:right w:w="100" w:type="dxa"/>
            </w:tcMar>
            <w:vAlign w:val="center"/>
          </w:tcPr>
          <w:p w14:paraId="364CB08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-28.0</w:t>
            </w:r>
          </w:p>
        </w:tc>
        <w:tc>
          <w:tcPr>
            <w:tcW w:w="1335" w:type="dxa"/>
            <w:shd w:val="clear" w:color="auto" w:fill="F2F2F2"/>
            <w:tcMar>
              <w:top w:w="60" w:type="dxa"/>
              <w:left w:w="100" w:type="dxa"/>
              <w:bottom w:w="60" w:type="dxa"/>
              <w:right w:w="100" w:type="dxa"/>
            </w:tcMar>
            <w:vAlign w:val="center"/>
          </w:tcPr>
          <w:p w14:paraId="364CB08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-14.0</w:t>
            </w:r>
          </w:p>
        </w:tc>
        <w:tc>
          <w:tcPr>
            <w:tcW w:w="1335" w:type="dxa"/>
            <w:shd w:val="clear" w:color="auto" w:fill="F2F2F2"/>
            <w:tcMar>
              <w:top w:w="60" w:type="dxa"/>
              <w:left w:w="100" w:type="dxa"/>
              <w:bottom w:w="60" w:type="dxa"/>
              <w:right w:w="100" w:type="dxa"/>
            </w:tcMar>
            <w:vAlign w:val="center"/>
          </w:tcPr>
          <w:p w14:paraId="364CB08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-4.0</w:t>
            </w:r>
          </w:p>
        </w:tc>
        <w:tc>
          <w:tcPr>
            <w:tcW w:w="1335" w:type="dxa"/>
            <w:shd w:val="clear" w:color="auto" w:fill="F2F2F2"/>
            <w:tcMar>
              <w:top w:w="60" w:type="dxa"/>
              <w:left w:w="100" w:type="dxa"/>
              <w:bottom w:w="60" w:type="dxa"/>
              <w:right w:w="100" w:type="dxa"/>
            </w:tcMar>
            <w:vAlign w:val="center"/>
          </w:tcPr>
          <w:p w14:paraId="364CB08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4.0</w:t>
            </w:r>
          </w:p>
        </w:tc>
      </w:tr>
      <w:tr w:rsidR="004E063D" w:rsidRPr="00A8221F" w14:paraId="364CB092" w14:textId="77777777">
        <w:tc>
          <w:tcPr>
            <w:tcW w:w="1335" w:type="dxa"/>
            <w:tcMar>
              <w:top w:w="60" w:type="dxa"/>
              <w:left w:w="100" w:type="dxa"/>
              <w:bottom w:w="60" w:type="dxa"/>
              <w:right w:w="100" w:type="dxa"/>
            </w:tcMar>
            <w:vAlign w:val="center"/>
          </w:tcPr>
          <w:p w14:paraId="364CB08B"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Cumulative NPV</w:t>
            </w:r>
          </w:p>
        </w:tc>
        <w:tc>
          <w:tcPr>
            <w:tcW w:w="1335" w:type="dxa"/>
            <w:tcMar>
              <w:top w:w="60" w:type="dxa"/>
              <w:left w:w="100" w:type="dxa"/>
              <w:bottom w:w="60" w:type="dxa"/>
              <w:right w:w="100" w:type="dxa"/>
            </w:tcMar>
            <w:vAlign w:val="center"/>
          </w:tcPr>
          <w:p w14:paraId="364CB08C"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(50.0)</w:t>
            </w:r>
          </w:p>
        </w:tc>
        <w:tc>
          <w:tcPr>
            <w:tcW w:w="1335" w:type="dxa"/>
            <w:tcMar>
              <w:top w:w="60" w:type="dxa"/>
              <w:left w:w="100" w:type="dxa"/>
              <w:bottom w:w="60" w:type="dxa"/>
              <w:right w:w="100" w:type="dxa"/>
            </w:tcMar>
            <w:vAlign w:val="center"/>
          </w:tcPr>
          <w:p w14:paraId="364CB08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-40.74</w:t>
            </w:r>
          </w:p>
        </w:tc>
        <w:tc>
          <w:tcPr>
            <w:tcW w:w="1335" w:type="dxa"/>
            <w:tcMar>
              <w:top w:w="60" w:type="dxa"/>
              <w:left w:w="100" w:type="dxa"/>
              <w:bottom w:w="60" w:type="dxa"/>
              <w:right w:w="100" w:type="dxa"/>
            </w:tcMar>
            <w:vAlign w:val="center"/>
          </w:tcPr>
          <w:p w14:paraId="364CB08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-30.45</w:t>
            </w:r>
          </w:p>
        </w:tc>
        <w:tc>
          <w:tcPr>
            <w:tcW w:w="1335" w:type="dxa"/>
            <w:tcMar>
              <w:top w:w="60" w:type="dxa"/>
              <w:left w:w="100" w:type="dxa"/>
              <w:bottom w:w="60" w:type="dxa"/>
              <w:right w:w="100" w:type="dxa"/>
            </w:tcMar>
            <w:vAlign w:val="center"/>
          </w:tcPr>
          <w:p w14:paraId="364CB08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-19.34</w:t>
            </w:r>
          </w:p>
        </w:tc>
        <w:tc>
          <w:tcPr>
            <w:tcW w:w="1335" w:type="dxa"/>
            <w:tcMar>
              <w:top w:w="60" w:type="dxa"/>
              <w:left w:w="100" w:type="dxa"/>
              <w:bottom w:w="60" w:type="dxa"/>
              <w:right w:w="100" w:type="dxa"/>
            </w:tcMar>
            <w:vAlign w:val="center"/>
          </w:tcPr>
          <w:p w14:paraId="364CB09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-11.99</w:t>
            </w:r>
          </w:p>
        </w:tc>
        <w:tc>
          <w:tcPr>
            <w:tcW w:w="1335" w:type="dxa"/>
            <w:tcMar>
              <w:top w:w="60" w:type="dxa"/>
              <w:left w:w="100" w:type="dxa"/>
              <w:bottom w:w="60" w:type="dxa"/>
              <w:right w:w="100" w:type="dxa"/>
            </w:tcMar>
            <w:vAlign w:val="center"/>
          </w:tcPr>
          <w:p w14:paraId="364CB09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-6.54</w:t>
            </w:r>
          </w:p>
        </w:tc>
      </w:tr>
    </w:tbl>
    <w:p w14:paraId="364CB093"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Project B: discounted cash flow schedule (£m).</w:t>
      </w:r>
    </w:p>
    <w:tbl>
      <w:tblPr>
        <w:tblW w:w="935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1628"/>
        <w:gridCol w:w="1288"/>
        <w:gridCol w:w="1286"/>
        <w:gridCol w:w="1287"/>
        <w:gridCol w:w="1287"/>
        <w:gridCol w:w="1287"/>
        <w:gridCol w:w="1287"/>
      </w:tblGrid>
      <w:tr w:rsidR="004E063D" w:rsidRPr="00A8221F" w14:paraId="364CB09B" w14:textId="77777777">
        <w:trPr>
          <w:tblHeader/>
        </w:trPr>
        <w:tc>
          <w:tcPr>
            <w:tcW w:w="1335" w:type="dxa"/>
            <w:shd w:val="clear" w:color="auto" w:fill="1F4E78"/>
            <w:tcMar>
              <w:top w:w="60" w:type="dxa"/>
              <w:left w:w="100" w:type="dxa"/>
              <w:bottom w:w="60" w:type="dxa"/>
              <w:right w:w="100" w:type="dxa"/>
            </w:tcMar>
            <w:vAlign w:val="center"/>
          </w:tcPr>
          <w:p w14:paraId="364CB094" w14:textId="77777777" w:rsidR="004E063D" w:rsidRPr="00A8221F" w:rsidRDefault="004E063D" w:rsidP="00A8221F">
            <w:pPr>
              <w:spacing w:line="360" w:lineRule="auto"/>
              <w:rPr>
                <w:rFonts w:ascii="Arial" w:hAnsi="Arial" w:cs="Arial"/>
                <w:sz w:val="24"/>
                <w:szCs w:val="24"/>
              </w:rPr>
            </w:pPr>
          </w:p>
        </w:tc>
        <w:tc>
          <w:tcPr>
            <w:tcW w:w="1335" w:type="dxa"/>
            <w:shd w:val="clear" w:color="auto" w:fill="1F4E78"/>
            <w:tcMar>
              <w:top w:w="60" w:type="dxa"/>
              <w:left w:w="100" w:type="dxa"/>
              <w:bottom w:w="60" w:type="dxa"/>
              <w:right w:w="100" w:type="dxa"/>
            </w:tcMar>
            <w:vAlign w:val="center"/>
          </w:tcPr>
          <w:p w14:paraId="364CB09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0</w:t>
            </w:r>
          </w:p>
        </w:tc>
        <w:tc>
          <w:tcPr>
            <w:tcW w:w="1335" w:type="dxa"/>
            <w:shd w:val="clear" w:color="auto" w:fill="1F4E78"/>
            <w:tcMar>
              <w:top w:w="60" w:type="dxa"/>
              <w:left w:w="100" w:type="dxa"/>
              <w:bottom w:w="60" w:type="dxa"/>
              <w:right w:w="100" w:type="dxa"/>
            </w:tcMar>
            <w:vAlign w:val="center"/>
          </w:tcPr>
          <w:p w14:paraId="364CB09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1</w:t>
            </w:r>
          </w:p>
        </w:tc>
        <w:tc>
          <w:tcPr>
            <w:tcW w:w="1335" w:type="dxa"/>
            <w:shd w:val="clear" w:color="auto" w:fill="1F4E78"/>
            <w:tcMar>
              <w:top w:w="60" w:type="dxa"/>
              <w:left w:w="100" w:type="dxa"/>
              <w:bottom w:w="60" w:type="dxa"/>
              <w:right w:w="100" w:type="dxa"/>
            </w:tcMar>
            <w:vAlign w:val="center"/>
          </w:tcPr>
          <w:p w14:paraId="364CB09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2</w:t>
            </w:r>
          </w:p>
        </w:tc>
        <w:tc>
          <w:tcPr>
            <w:tcW w:w="1335" w:type="dxa"/>
            <w:shd w:val="clear" w:color="auto" w:fill="1F4E78"/>
            <w:tcMar>
              <w:top w:w="60" w:type="dxa"/>
              <w:left w:w="100" w:type="dxa"/>
              <w:bottom w:w="60" w:type="dxa"/>
              <w:right w:w="100" w:type="dxa"/>
            </w:tcMar>
            <w:vAlign w:val="center"/>
          </w:tcPr>
          <w:p w14:paraId="364CB09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3</w:t>
            </w:r>
          </w:p>
        </w:tc>
        <w:tc>
          <w:tcPr>
            <w:tcW w:w="1335" w:type="dxa"/>
            <w:shd w:val="clear" w:color="auto" w:fill="1F4E78"/>
            <w:tcMar>
              <w:top w:w="60" w:type="dxa"/>
              <w:left w:w="100" w:type="dxa"/>
              <w:bottom w:w="60" w:type="dxa"/>
              <w:right w:w="100" w:type="dxa"/>
            </w:tcMar>
            <w:vAlign w:val="center"/>
          </w:tcPr>
          <w:p w14:paraId="364CB09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4</w:t>
            </w:r>
          </w:p>
        </w:tc>
        <w:tc>
          <w:tcPr>
            <w:tcW w:w="1335" w:type="dxa"/>
            <w:shd w:val="clear" w:color="auto" w:fill="1F4E78"/>
            <w:tcMar>
              <w:top w:w="60" w:type="dxa"/>
              <w:left w:w="100" w:type="dxa"/>
              <w:bottom w:w="60" w:type="dxa"/>
              <w:right w:w="100" w:type="dxa"/>
            </w:tcMar>
            <w:vAlign w:val="center"/>
          </w:tcPr>
          <w:p w14:paraId="364CB09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5</w:t>
            </w:r>
          </w:p>
        </w:tc>
      </w:tr>
      <w:tr w:rsidR="004E063D" w:rsidRPr="00A8221F" w14:paraId="364CB0A3" w14:textId="77777777">
        <w:tc>
          <w:tcPr>
            <w:tcW w:w="1335" w:type="dxa"/>
            <w:tcMar>
              <w:top w:w="60" w:type="dxa"/>
              <w:left w:w="100" w:type="dxa"/>
              <w:bottom w:w="60" w:type="dxa"/>
              <w:right w:w="100" w:type="dxa"/>
            </w:tcMar>
            <w:vAlign w:val="center"/>
          </w:tcPr>
          <w:p w14:paraId="364CB09C"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Net cash flow</w:t>
            </w:r>
          </w:p>
        </w:tc>
        <w:tc>
          <w:tcPr>
            <w:tcW w:w="1335" w:type="dxa"/>
            <w:tcMar>
              <w:top w:w="60" w:type="dxa"/>
              <w:left w:w="100" w:type="dxa"/>
              <w:bottom w:w="60" w:type="dxa"/>
              <w:right w:w="100" w:type="dxa"/>
            </w:tcMar>
            <w:vAlign w:val="center"/>
          </w:tcPr>
          <w:p w14:paraId="364CB09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w:t>
            </w:r>
          </w:p>
        </w:tc>
        <w:tc>
          <w:tcPr>
            <w:tcW w:w="1335" w:type="dxa"/>
            <w:tcMar>
              <w:top w:w="60" w:type="dxa"/>
              <w:left w:w="100" w:type="dxa"/>
              <w:bottom w:w="60" w:type="dxa"/>
              <w:right w:w="100" w:type="dxa"/>
            </w:tcMar>
            <w:vAlign w:val="center"/>
          </w:tcPr>
          <w:p w14:paraId="364CB09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11</w:t>
            </w:r>
          </w:p>
        </w:tc>
        <w:tc>
          <w:tcPr>
            <w:tcW w:w="1335" w:type="dxa"/>
            <w:tcMar>
              <w:top w:w="60" w:type="dxa"/>
              <w:left w:w="100" w:type="dxa"/>
              <w:bottom w:w="60" w:type="dxa"/>
              <w:right w:w="100" w:type="dxa"/>
            </w:tcMar>
            <w:vAlign w:val="center"/>
          </w:tcPr>
          <w:p w14:paraId="364CB09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11</w:t>
            </w:r>
          </w:p>
        </w:tc>
        <w:tc>
          <w:tcPr>
            <w:tcW w:w="1335" w:type="dxa"/>
            <w:tcMar>
              <w:top w:w="60" w:type="dxa"/>
              <w:left w:w="100" w:type="dxa"/>
              <w:bottom w:w="60" w:type="dxa"/>
              <w:right w:w="100" w:type="dxa"/>
            </w:tcMar>
            <w:vAlign w:val="center"/>
          </w:tcPr>
          <w:p w14:paraId="364CB0A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11</w:t>
            </w:r>
          </w:p>
        </w:tc>
        <w:tc>
          <w:tcPr>
            <w:tcW w:w="1335" w:type="dxa"/>
            <w:tcMar>
              <w:top w:w="60" w:type="dxa"/>
              <w:left w:w="100" w:type="dxa"/>
              <w:bottom w:w="60" w:type="dxa"/>
              <w:right w:w="100" w:type="dxa"/>
            </w:tcMar>
            <w:vAlign w:val="center"/>
          </w:tcPr>
          <w:p w14:paraId="364CB0A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11</w:t>
            </w:r>
          </w:p>
        </w:tc>
        <w:tc>
          <w:tcPr>
            <w:tcW w:w="1335" w:type="dxa"/>
            <w:tcMar>
              <w:top w:w="60" w:type="dxa"/>
              <w:left w:w="100" w:type="dxa"/>
              <w:bottom w:w="60" w:type="dxa"/>
              <w:right w:w="100" w:type="dxa"/>
            </w:tcMar>
            <w:vAlign w:val="center"/>
          </w:tcPr>
          <w:p w14:paraId="364CB0A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11</w:t>
            </w:r>
          </w:p>
        </w:tc>
      </w:tr>
      <w:tr w:rsidR="004E063D" w:rsidRPr="00A8221F" w14:paraId="364CB0AB" w14:textId="77777777">
        <w:tc>
          <w:tcPr>
            <w:tcW w:w="1335" w:type="dxa"/>
            <w:shd w:val="clear" w:color="auto" w:fill="F2F2F2"/>
            <w:tcMar>
              <w:top w:w="60" w:type="dxa"/>
              <w:left w:w="100" w:type="dxa"/>
              <w:bottom w:w="60" w:type="dxa"/>
              <w:right w:w="100" w:type="dxa"/>
            </w:tcMar>
            <w:vAlign w:val="center"/>
          </w:tcPr>
          <w:p w14:paraId="364CB0A4"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Discount factor @8%</w:t>
            </w:r>
          </w:p>
        </w:tc>
        <w:tc>
          <w:tcPr>
            <w:tcW w:w="1335" w:type="dxa"/>
            <w:shd w:val="clear" w:color="auto" w:fill="F2F2F2"/>
            <w:tcMar>
              <w:top w:w="60" w:type="dxa"/>
              <w:left w:w="100" w:type="dxa"/>
              <w:bottom w:w="60" w:type="dxa"/>
              <w:right w:w="100" w:type="dxa"/>
            </w:tcMar>
            <w:vAlign w:val="center"/>
          </w:tcPr>
          <w:p w14:paraId="364CB0A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1.000</w:t>
            </w:r>
          </w:p>
        </w:tc>
        <w:tc>
          <w:tcPr>
            <w:tcW w:w="1335" w:type="dxa"/>
            <w:shd w:val="clear" w:color="auto" w:fill="F2F2F2"/>
            <w:tcMar>
              <w:top w:w="60" w:type="dxa"/>
              <w:left w:w="100" w:type="dxa"/>
              <w:bottom w:w="60" w:type="dxa"/>
              <w:right w:w="100" w:type="dxa"/>
            </w:tcMar>
            <w:vAlign w:val="center"/>
          </w:tcPr>
          <w:p w14:paraId="364CB0A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0.926</w:t>
            </w:r>
          </w:p>
        </w:tc>
        <w:tc>
          <w:tcPr>
            <w:tcW w:w="1335" w:type="dxa"/>
            <w:shd w:val="clear" w:color="auto" w:fill="F2F2F2"/>
            <w:tcMar>
              <w:top w:w="60" w:type="dxa"/>
              <w:left w:w="100" w:type="dxa"/>
              <w:bottom w:w="60" w:type="dxa"/>
              <w:right w:w="100" w:type="dxa"/>
            </w:tcMar>
            <w:vAlign w:val="center"/>
          </w:tcPr>
          <w:p w14:paraId="364CB0A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0.857</w:t>
            </w:r>
          </w:p>
        </w:tc>
        <w:tc>
          <w:tcPr>
            <w:tcW w:w="1335" w:type="dxa"/>
            <w:shd w:val="clear" w:color="auto" w:fill="F2F2F2"/>
            <w:tcMar>
              <w:top w:w="60" w:type="dxa"/>
              <w:left w:w="100" w:type="dxa"/>
              <w:bottom w:w="60" w:type="dxa"/>
              <w:right w:w="100" w:type="dxa"/>
            </w:tcMar>
            <w:vAlign w:val="center"/>
          </w:tcPr>
          <w:p w14:paraId="364CB0A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0.794</w:t>
            </w:r>
          </w:p>
        </w:tc>
        <w:tc>
          <w:tcPr>
            <w:tcW w:w="1335" w:type="dxa"/>
            <w:shd w:val="clear" w:color="auto" w:fill="F2F2F2"/>
            <w:tcMar>
              <w:top w:w="60" w:type="dxa"/>
              <w:left w:w="100" w:type="dxa"/>
              <w:bottom w:w="60" w:type="dxa"/>
              <w:right w:w="100" w:type="dxa"/>
            </w:tcMar>
            <w:vAlign w:val="center"/>
          </w:tcPr>
          <w:p w14:paraId="364CB0A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0.735</w:t>
            </w:r>
          </w:p>
        </w:tc>
        <w:tc>
          <w:tcPr>
            <w:tcW w:w="1335" w:type="dxa"/>
            <w:shd w:val="clear" w:color="auto" w:fill="F2F2F2"/>
            <w:tcMar>
              <w:top w:w="60" w:type="dxa"/>
              <w:left w:w="100" w:type="dxa"/>
              <w:bottom w:w="60" w:type="dxa"/>
              <w:right w:w="100" w:type="dxa"/>
            </w:tcMar>
            <w:vAlign w:val="center"/>
          </w:tcPr>
          <w:p w14:paraId="364CB0A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0.681</w:t>
            </w:r>
          </w:p>
        </w:tc>
      </w:tr>
      <w:tr w:rsidR="004E063D" w:rsidRPr="00A8221F" w14:paraId="364CB0B3" w14:textId="77777777">
        <w:tc>
          <w:tcPr>
            <w:tcW w:w="1335" w:type="dxa"/>
            <w:tcMar>
              <w:top w:w="60" w:type="dxa"/>
              <w:left w:w="100" w:type="dxa"/>
              <w:bottom w:w="60" w:type="dxa"/>
              <w:right w:w="100" w:type="dxa"/>
            </w:tcMar>
            <w:vAlign w:val="center"/>
          </w:tcPr>
          <w:p w14:paraId="364CB0AC"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Present value</w:t>
            </w:r>
          </w:p>
        </w:tc>
        <w:tc>
          <w:tcPr>
            <w:tcW w:w="1335" w:type="dxa"/>
            <w:tcMar>
              <w:top w:w="60" w:type="dxa"/>
              <w:left w:w="100" w:type="dxa"/>
              <w:bottom w:w="60" w:type="dxa"/>
              <w:right w:w="100" w:type="dxa"/>
            </w:tcMar>
            <w:vAlign w:val="center"/>
          </w:tcPr>
          <w:p w14:paraId="364CB0A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(50.0)</w:t>
            </w:r>
          </w:p>
        </w:tc>
        <w:tc>
          <w:tcPr>
            <w:tcW w:w="1335" w:type="dxa"/>
            <w:tcMar>
              <w:top w:w="60" w:type="dxa"/>
              <w:left w:w="100" w:type="dxa"/>
              <w:bottom w:w="60" w:type="dxa"/>
              <w:right w:w="100" w:type="dxa"/>
            </w:tcMar>
            <w:vAlign w:val="center"/>
          </w:tcPr>
          <w:p w14:paraId="364CB0A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10.19</w:t>
            </w:r>
          </w:p>
        </w:tc>
        <w:tc>
          <w:tcPr>
            <w:tcW w:w="1335" w:type="dxa"/>
            <w:tcMar>
              <w:top w:w="60" w:type="dxa"/>
              <w:left w:w="100" w:type="dxa"/>
              <w:bottom w:w="60" w:type="dxa"/>
              <w:right w:w="100" w:type="dxa"/>
            </w:tcMar>
            <w:vAlign w:val="center"/>
          </w:tcPr>
          <w:p w14:paraId="364CB0A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9.43</w:t>
            </w:r>
          </w:p>
        </w:tc>
        <w:tc>
          <w:tcPr>
            <w:tcW w:w="1335" w:type="dxa"/>
            <w:tcMar>
              <w:top w:w="60" w:type="dxa"/>
              <w:left w:w="100" w:type="dxa"/>
              <w:bottom w:w="60" w:type="dxa"/>
              <w:right w:w="100" w:type="dxa"/>
            </w:tcMar>
            <w:vAlign w:val="center"/>
          </w:tcPr>
          <w:p w14:paraId="364CB0B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8.73</w:t>
            </w:r>
          </w:p>
        </w:tc>
        <w:tc>
          <w:tcPr>
            <w:tcW w:w="1335" w:type="dxa"/>
            <w:tcMar>
              <w:top w:w="60" w:type="dxa"/>
              <w:left w:w="100" w:type="dxa"/>
              <w:bottom w:w="60" w:type="dxa"/>
              <w:right w:w="100" w:type="dxa"/>
            </w:tcMar>
            <w:vAlign w:val="center"/>
          </w:tcPr>
          <w:p w14:paraId="364CB0B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8.09</w:t>
            </w:r>
          </w:p>
        </w:tc>
        <w:tc>
          <w:tcPr>
            <w:tcW w:w="1335" w:type="dxa"/>
            <w:tcMar>
              <w:top w:w="60" w:type="dxa"/>
              <w:left w:w="100" w:type="dxa"/>
              <w:bottom w:w="60" w:type="dxa"/>
              <w:right w:w="100" w:type="dxa"/>
            </w:tcMar>
            <w:vAlign w:val="center"/>
          </w:tcPr>
          <w:p w14:paraId="364CB0B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7.49</w:t>
            </w:r>
          </w:p>
        </w:tc>
      </w:tr>
      <w:tr w:rsidR="004E063D" w:rsidRPr="00A8221F" w14:paraId="364CB0BB" w14:textId="77777777">
        <w:tc>
          <w:tcPr>
            <w:tcW w:w="1335" w:type="dxa"/>
            <w:shd w:val="clear" w:color="auto" w:fill="F2F2F2"/>
            <w:tcMar>
              <w:top w:w="60" w:type="dxa"/>
              <w:left w:w="100" w:type="dxa"/>
              <w:bottom w:w="60" w:type="dxa"/>
              <w:right w:w="100" w:type="dxa"/>
            </w:tcMar>
            <w:vAlign w:val="center"/>
          </w:tcPr>
          <w:p w14:paraId="364CB0B4"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Cumulative undiscounted CF</w:t>
            </w:r>
          </w:p>
        </w:tc>
        <w:tc>
          <w:tcPr>
            <w:tcW w:w="1335" w:type="dxa"/>
            <w:shd w:val="clear" w:color="auto" w:fill="F2F2F2"/>
            <w:tcMar>
              <w:top w:w="60" w:type="dxa"/>
              <w:left w:w="100" w:type="dxa"/>
              <w:bottom w:w="60" w:type="dxa"/>
              <w:right w:w="100" w:type="dxa"/>
            </w:tcMar>
            <w:vAlign w:val="center"/>
          </w:tcPr>
          <w:p w14:paraId="364CB0B5"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(50.0)</w:t>
            </w:r>
          </w:p>
        </w:tc>
        <w:tc>
          <w:tcPr>
            <w:tcW w:w="1335" w:type="dxa"/>
            <w:shd w:val="clear" w:color="auto" w:fill="F2F2F2"/>
            <w:tcMar>
              <w:top w:w="60" w:type="dxa"/>
              <w:left w:w="100" w:type="dxa"/>
              <w:bottom w:w="60" w:type="dxa"/>
              <w:right w:w="100" w:type="dxa"/>
            </w:tcMar>
            <w:vAlign w:val="center"/>
          </w:tcPr>
          <w:p w14:paraId="364CB0B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-39.0</w:t>
            </w:r>
          </w:p>
        </w:tc>
        <w:tc>
          <w:tcPr>
            <w:tcW w:w="1335" w:type="dxa"/>
            <w:shd w:val="clear" w:color="auto" w:fill="F2F2F2"/>
            <w:tcMar>
              <w:top w:w="60" w:type="dxa"/>
              <w:left w:w="100" w:type="dxa"/>
              <w:bottom w:w="60" w:type="dxa"/>
              <w:right w:w="100" w:type="dxa"/>
            </w:tcMar>
            <w:vAlign w:val="center"/>
          </w:tcPr>
          <w:p w14:paraId="364CB0B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-28.0</w:t>
            </w:r>
          </w:p>
        </w:tc>
        <w:tc>
          <w:tcPr>
            <w:tcW w:w="1335" w:type="dxa"/>
            <w:shd w:val="clear" w:color="auto" w:fill="F2F2F2"/>
            <w:tcMar>
              <w:top w:w="60" w:type="dxa"/>
              <w:left w:w="100" w:type="dxa"/>
              <w:bottom w:w="60" w:type="dxa"/>
              <w:right w:w="100" w:type="dxa"/>
            </w:tcMar>
            <w:vAlign w:val="center"/>
          </w:tcPr>
          <w:p w14:paraId="364CB0B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-17.0</w:t>
            </w:r>
          </w:p>
        </w:tc>
        <w:tc>
          <w:tcPr>
            <w:tcW w:w="1335" w:type="dxa"/>
            <w:shd w:val="clear" w:color="auto" w:fill="F2F2F2"/>
            <w:tcMar>
              <w:top w:w="60" w:type="dxa"/>
              <w:left w:w="100" w:type="dxa"/>
              <w:bottom w:w="60" w:type="dxa"/>
              <w:right w:w="100" w:type="dxa"/>
            </w:tcMar>
            <w:vAlign w:val="center"/>
          </w:tcPr>
          <w:p w14:paraId="364CB0B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-6.0</w:t>
            </w:r>
          </w:p>
        </w:tc>
        <w:tc>
          <w:tcPr>
            <w:tcW w:w="1335" w:type="dxa"/>
            <w:shd w:val="clear" w:color="auto" w:fill="F2F2F2"/>
            <w:tcMar>
              <w:top w:w="60" w:type="dxa"/>
              <w:left w:w="100" w:type="dxa"/>
              <w:bottom w:w="60" w:type="dxa"/>
              <w:right w:w="100" w:type="dxa"/>
            </w:tcMar>
            <w:vAlign w:val="center"/>
          </w:tcPr>
          <w:p w14:paraId="364CB0B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w:t>
            </w:r>
          </w:p>
        </w:tc>
      </w:tr>
      <w:tr w:rsidR="004E063D" w:rsidRPr="00A8221F" w14:paraId="364CB0C3" w14:textId="77777777">
        <w:tc>
          <w:tcPr>
            <w:tcW w:w="1335" w:type="dxa"/>
            <w:tcMar>
              <w:top w:w="60" w:type="dxa"/>
              <w:left w:w="100" w:type="dxa"/>
              <w:bottom w:w="60" w:type="dxa"/>
              <w:right w:w="100" w:type="dxa"/>
            </w:tcMar>
            <w:vAlign w:val="center"/>
          </w:tcPr>
          <w:p w14:paraId="364CB0BC"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Cumulative NPV</w:t>
            </w:r>
          </w:p>
        </w:tc>
        <w:tc>
          <w:tcPr>
            <w:tcW w:w="1335" w:type="dxa"/>
            <w:tcMar>
              <w:top w:w="60" w:type="dxa"/>
              <w:left w:w="100" w:type="dxa"/>
              <w:bottom w:w="60" w:type="dxa"/>
              <w:right w:w="100" w:type="dxa"/>
            </w:tcMar>
            <w:vAlign w:val="center"/>
          </w:tcPr>
          <w:p w14:paraId="364CB0BD"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(50.0)</w:t>
            </w:r>
          </w:p>
        </w:tc>
        <w:tc>
          <w:tcPr>
            <w:tcW w:w="1335" w:type="dxa"/>
            <w:tcMar>
              <w:top w:w="60" w:type="dxa"/>
              <w:left w:w="100" w:type="dxa"/>
              <w:bottom w:w="60" w:type="dxa"/>
              <w:right w:w="100" w:type="dxa"/>
            </w:tcMar>
            <w:vAlign w:val="center"/>
          </w:tcPr>
          <w:p w14:paraId="364CB0B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-39.81</w:t>
            </w:r>
          </w:p>
        </w:tc>
        <w:tc>
          <w:tcPr>
            <w:tcW w:w="1335" w:type="dxa"/>
            <w:tcMar>
              <w:top w:w="60" w:type="dxa"/>
              <w:left w:w="100" w:type="dxa"/>
              <w:bottom w:w="60" w:type="dxa"/>
              <w:right w:w="100" w:type="dxa"/>
            </w:tcMar>
            <w:vAlign w:val="center"/>
          </w:tcPr>
          <w:p w14:paraId="364CB0B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-30.38</w:t>
            </w:r>
          </w:p>
        </w:tc>
        <w:tc>
          <w:tcPr>
            <w:tcW w:w="1335" w:type="dxa"/>
            <w:tcMar>
              <w:top w:w="60" w:type="dxa"/>
              <w:left w:w="100" w:type="dxa"/>
              <w:bottom w:w="60" w:type="dxa"/>
              <w:right w:w="100" w:type="dxa"/>
            </w:tcMar>
            <w:vAlign w:val="center"/>
          </w:tcPr>
          <w:p w14:paraId="364CB0C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-21.65</w:t>
            </w:r>
          </w:p>
        </w:tc>
        <w:tc>
          <w:tcPr>
            <w:tcW w:w="1335" w:type="dxa"/>
            <w:tcMar>
              <w:top w:w="60" w:type="dxa"/>
              <w:left w:w="100" w:type="dxa"/>
              <w:bottom w:w="60" w:type="dxa"/>
              <w:right w:w="100" w:type="dxa"/>
            </w:tcMar>
            <w:vAlign w:val="center"/>
          </w:tcPr>
          <w:p w14:paraId="364CB0C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-13.57</w:t>
            </w:r>
          </w:p>
        </w:tc>
        <w:tc>
          <w:tcPr>
            <w:tcW w:w="1335" w:type="dxa"/>
            <w:tcMar>
              <w:top w:w="60" w:type="dxa"/>
              <w:left w:w="100" w:type="dxa"/>
              <w:bottom w:w="60" w:type="dxa"/>
              <w:right w:w="100" w:type="dxa"/>
            </w:tcMar>
            <w:vAlign w:val="center"/>
          </w:tcPr>
          <w:p w14:paraId="364CB0C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-6.08</w:t>
            </w:r>
          </w:p>
        </w:tc>
      </w:tr>
    </w:tbl>
    <w:p w14:paraId="364CB0C4" w14:textId="77777777" w:rsidR="004E063D" w:rsidRPr="00A8221F" w:rsidRDefault="00A444D8" w:rsidP="00A8221F">
      <w:pPr>
        <w:spacing w:before="80" w:after="180" w:line="360" w:lineRule="auto"/>
        <w:rPr>
          <w:rFonts w:ascii="Arial" w:hAnsi="Arial" w:cs="Arial"/>
          <w:sz w:val="24"/>
          <w:szCs w:val="24"/>
        </w:rPr>
      </w:pPr>
      <w:r w:rsidRPr="00A8221F">
        <w:rPr>
          <w:rFonts w:ascii="Arial" w:hAnsi="Arial" w:cs="Arial"/>
          <w:i/>
          <w:iCs/>
          <w:color w:val="555555"/>
          <w:sz w:val="24"/>
          <w:szCs w:val="24"/>
        </w:rPr>
        <w:t>Project C: discounted cash flow schedule (£m).</w:t>
      </w:r>
    </w:p>
    <w:tbl>
      <w:tblPr>
        <w:tblW w:w="9350"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1628"/>
        <w:gridCol w:w="1288"/>
        <w:gridCol w:w="1286"/>
        <w:gridCol w:w="1287"/>
        <w:gridCol w:w="1287"/>
        <w:gridCol w:w="1287"/>
        <w:gridCol w:w="1287"/>
      </w:tblGrid>
      <w:tr w:rsidR="004E063D" w:rsidRPr="00A8221F" w14:paraId="364CB0CC" w14:textId="77777777">
        <w:trPr>
          <w:tblHeader/>
        </w:trPr>
        <w:tc>
          <w:tcPr>
            <w:tcW w:w="1335" w:type="dxa"/>
            <w:shd w:val="clear" w:color="auto" w:fill="1F4E78"/>
            <w:tcMar>
              <w:top w:w="60" w:type="dxa"/>
              <w:left w:w="100" w:type="dxa"/>
              <w:bottom w:w="60" w:type="dxa"/>
              <w:right w:w="100" w:type="dxa"/>
            </w:tcMar>
            <w:vAlign w:val="center"/>
          </w:tcPr>
          <w:p w14:paraId="364CB0C5" w14:textId="77777777" w:rsidR="004E063D" w:rsidRPr="00A8221F" w:rsidRDefault="004E063D" w:rsidP="00A8221F">
            <w:pPr>
              <w:spacing w:line="360" w:lineRule="auto"/>
              <w:rPr>
                <w:rFonts w:ascii="Arial" w:hAnsi="Arial" w:cs="Arial"/>
                <w:sz w:val="24"/>
                <w:szCs w:val="24"/>
              </w:rPr>
            </w:pPr>
          </w:p>
        </w:tc>
        <w:tc>
          <w:tcPr>
            <w:tcW w:w="1335" w:type="dxa"/>
            <w:shd w:val="clear" w:color="auto" w:fill="1F4E78"/>
            <w:tcMar>
              <w:top w:w="60" w:type="dxa"/>
              <w:left w:w="100" w:type="dxa"/>
              <w:bottom w:w="60" w:type="dxa"/>
              <w:right w:w="100" w:type="dxa"/>
            </w:tcMar>
            <w:vAlign w:val="center"/>
          </w:tcPr>
          <w:p w14:paraId="364CB0C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0</w:t>
            </w:r>
          </w:p>
        </w:tc>
        <w:tc>
          <w:tcPr>
            <w:tcW w:w="1335" w:type="dxa"/>
            <w:shd w:val="clear" w:color="auto" w:fill="1F4E78"/>
            <w:tcMar>
              <w:top w:w="60" w:type="dxa"/>
              <w:left w:w="100" w:type="dxa"/>
              <w:bottom w:w="60" w:type="dxa"/>
              <w:right w:w="100" w:type="dxa"/>
            </w:tcMar>
            <w:vAlign w:val="center"/>
          </w:tcPr>
          <w:p w14:paraId="364CB0C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1</w:t>
            </w:r>
          </w:p>
        </w:tc>
        <w:tc>
          <w:tcPr>
            <w:tcW w:w="1335" w:type="dxa"/>
            <w:shd w:val="clear" w:color="auto" w:fill="1F4E78"/>
            <w:tcMar>
              <w:top w:w="60" w:type="dxa"/>
              <w:left w:w="100" w:type="dxa"/>
              <w:bottom w:w="60" w:type="dxa"/>
              <w:right w:w="100" w:type="dxa"/>
            </w:tcMar>
            <w:vAlign w:val="center"/>
          </w:tcPr>
          <w:p w14:paraId="364CB0C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2</w:t>
            </w:r>
          </w:p>
        </w:tc>
        <w:tc>
          <w:tcPr>
            <w:tcW w:w="1335" w:type="dxa"/>
            <w:shd w:val="clear" w:color="auto" w:fill="1F4E78"/>
            <w:tcMar>
              <w:top w:w="60" w:type="dxa"/>
              <w:left w:w="100" w:type="dxa"/>
              <w:bottom w:w="60" w:type="dxa"/>
              <w:right w:w="100" w:type="dxa"/>
            </w:tcMar>
            <w:vAlign w:val="center"/>
          </w:tcPr>
          <w:p w14:paraId="364CB0C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3</w:t>
            </w:r>
          </w:p>
        </w:tc>
        <w:tc>
          <w:tcPr>
            <w:tcW w:w="1335" w:type="dxa"/>
            <w:shd w:val="clear" w:color="auto" w:fill="1F4E78"/>
            <w:tcMar>
              <w:top w:w="60" w:type="dxa"/>
              <w:left w:w="100" w:type="dxa"/>
              <w:bottom w:w="60" w:type="dxa"/>
              <w:right w:w="100" w:type="dxa"/>
            </w:tcMar>
            <w:vAlign w:val="center"/>
          </w:tcPr>
          <w:p w14:paraId="364CB0C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4</w:t>
            </w:r>
          </w:p>
        </w:tc>
        <w:tc>
          <w:tcPr>
            <w:tcW w:w="1335" w:type="dxa"/>
            <w:shd w:val="clear" w:color="auto" w:fill="1F4E78"/>
            <w:tcMar>
              <w:top w:w="60" w:type="dxa"/>
              <w:left w:w="100" w:type="dxa"/>
              <w:bottom w:w="60" w:type="dxa"/>
              <w:right w:w="100" w:type="dxa"/>
            </w:tcMar>
            <w:vAlign w:val="center"/>
          </w:tcPr>
          <w:p w14:paraId="364CB0C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b/>
                <w:bCs/>
                <w:color w:val="FFFFFF"/>
                <w:sz w:val="24"/>
                <w:szCs w:val="24"/>
              </w:rPr>
              <w:t>Year 5</w:t>
            </w:r>
          </w:p>
        </w:tc>
      </w:tr>
      <w:tr w:rsidR="004E063D" w:rsidRPr="00A8221F" w14:paraId="364CB0D4" w14:textId="77777777">
        <w:tc>
          <w:tcPr>
            <w:tcW w:w="1335" w:type="dxa"/>
            <w:tcMar>
              <w:top w:w="60" w:type="dxa"/>
              <w:left w:w="100" w:type="dxa"/>
              <w:bottom w:w="60" w:type="dxa"/>
              <w:right w:w="100" w:type="dxa"/>
            </w:tcMar>
            <w:vAlign w:val="center"/>
          </w:tcPr>
          <w:p w14:paraId="364CB0CD"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Net cash flow</w:t>
            </w:r>
          </w:p>
        </w:tc>
        <w:tc>
          <w:tcPr>
            <w:tcW w:w="1335" w:type="dxa"/>
            <w:tcMar>
              <w:top w:w="60" w:type="dxa"/>
              <w:left w:w="100" w:type="dxa"/>
              <w:bottom w:w="60" w:type="dxa"/>
              <w:right w:w="100" w:type="dxa"/>
            </w:tcMar>
            <w:vAlign w:val="center"/>
          </w:tcPr>
          <w:p w14:paraId="364CB0C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w:t>
            </w:r>
          </w:p>
        </w:tc>
        <w:tc>
          <w:tcPr>
            <w:tcW w:w="1335" w:type="dxa"/>
            <w:tcMar>
              <w:top w:w="60" w:type="dxa"/>
              <w:left w:w="100" w:type="dxa"/>
              <w:bottom w:w="60" w:type="dxa"/>
              <w:right w:w="100" w:type="dxa"/>
            </w:tcMar>
            <w:vAlign w:val="center"/>
          </w:tcPr>
          <w:p w14:paraId="364CB0C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w:t>
            </w:r>
          </w:p>
        </w:tc>
        <w:tc>
          <w:tcPr>
            <w:tcW w:w="1335" w:type="dxa"/>
            <w:tcMar>
              <w:top w:w="60" w:type="dxa"/>
              <w:left w:w="100" w:type="dxa"/>
              <w:bottom w:w="60" w:type="dxa"/>
              <w:right w:w="100" w:type="dxa"/>
            </w:tcMar>
            <w:vAlign w:val="center"/>
          </w:tcPr>
          <w:p w14:paraId="364CB0D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w:t>
            </w:r>
          </w:p>
        </w:tc>
        <w:tc>
          <w:tcPr>
            <w:tcW w:w="1335" w:type="dxa"/>
            <w:tcMar>
              <w:top w:w="60" w:type="dxa"/>
              <w:left w:w="100" w:type="dxa"/>
              <w:bottom w:w="60" w:type="dxa"/>
              <w:right w:w="100" w:type="dxa"/>
            </w:tcMar>
            <w:vAlign w:val="center"/>
          </w:tcPr>
          <w:p w14:paraId="364CB0D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20</w:t>
            </w:r>
          </w:p>
        </w:tc>
        <w:tc>
          <w:tcPr>
            <w:tcW w:w="1335" w:type="dxa"/>
            <w:tcMar>
              <w:top w:w="60" w:type="dxa"/>
              <w:left w:w="100" w:type="dxa"/>
              <w:bottom w:w="60" w:type="dxa"/>
              <w:right w:w="100" w:type="dxa"/>
            </w:tcMar>
            <w:vAlign w:val="center"/>
          </w:tcPr>
          <w:p w14:paraId="364CB0D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25</w:t>
            </w:r>
          </w:p>
        </w:tc>
        <w:tc>
          <w:tcPr>
            <w:tcW w:w="1335" w:type="dxa"/>
            <w:tcMar>
              <w:top w:w="60" w:type="dxa"/>
              <w:left w:w="100" w:type="dxa"/>
              <w:bottom w:w="60" w:type="dxa"/>
              <w:right w:w="100" w:type="dxa"/>
            </w:tcMar>
            <w:vAlign w:val="center"/>
          </w:tcPr>
          <w:p w14:paraId="364CB0D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w:t>
            </w:r>
          </w:p>
        </w:tc>
      </w:tr>
      <w:tr w:rsidR="004E063D" w:rsidRPr="00A8221F" w14:paraId="364CB0DC" w14:textId="77777777">
        <w:tc>
          <w:tcPr>
            <w:tcW w:w="1335" w:type="dxa"/>
            <w:shd w:val="clear" w:color="auto" w:fill="F2F2F2"/>
            <w:tcMar>
              <w:top w:w="60" w:type="dxa"/>
              <w:left w:w="100" w:type="dxa"/>
              <w:bottom w:w="60" w:type="dxa"/>
              <w:right w:w="100" w:type="dxa"/>
            </w:tcMar>
            <w:vAlign w:val="center"/>
          </w:tcPr>
          <w:p w14:paraId="364CB0D5"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Discount factor @8%</w:t>
            </w:r>
          </w:p>
        </w:tc>
        <w:tc>
          <w:tcPr>
            <w:tcW w:w="1335" w:type="dxa"/>
            <w:shd w:val="clear" w:color="auto" w:fill="F2F2F2"/>
            <w:tcMar>
              <w:top w:w="60" w:type="dxa"/>
              <w:left w:w="100" w:type="dxa"/>
              <w:bottom w:w="60" w:type="dxa"/>
              <w:right w:w="100" w:type="dxa"/>
            </w:tcMar>
            <w:vAlign w:val="center"/>
          </w:tcPr>
          <w:p w14:paraId="364CB0D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1.000</w:t>
            </w:r>
          </w:p>
        </w:tc>
        <w:tc>
          <w:tcPr>
            <w:tcW w:w="1335" w:type="dxa"/>
            <w:shd w:val="clear" w:color="auto" w:fill="F2F2F2"/>
            <w:tcMar>
              <w:top w:w="60" w:type="dxa"/>
              <w:left w:w="100" w:type="dxa"/>
              <w:bottom w:w="60" w:type="dxa"/>
              <w:right w:w="100" w:type="dxa"/>
            </w:tcMar>
            <w:vAlign w:val="center"/>
          </w:tcPr>
          <w:p w14:paraId="364CB0D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0.926</w:t>
            </w:r>
          </w:p>
        </w:tc>
        <w:tc>
          <w:tcPr>
            <w:tcW w:w="1335" w:type="dxa"/>
            <w:shd w:val="clear" w:color="auto" w:fill="F2F2F2"/>
            <w:tcMar>
              <w:top w:w="60" w:type="dxa"/>
              <w:left w:w="100" w:type="dxa"/>
              <w:bottom w:w="60" w:type="dxa"/>
              <w:right w:w="100" w:type="dxa"/>
            </w:tcMar>
            <w:vAlign w:val="center"/>
          </w:tcPr>
          <w:p w14:paraId="364CB0D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0.857</w:t>
            </w:r>
          </w:p>
        </w:tc>
        <w:tc>
          <w:tcPr>
            <w:tcW w:w="1335" w:type="dxa"/>
            <w:shd w:val="clear" w:color="auto" w:fill="F2F2F2"/>
            <w:tcMar>
              <w:top w:w="60" w:type="dxa"/>
              <w:left w:w="100" w:type="dxa"/>
              <w:bottom w:w="60" w:type="dxa"/>
              <w:right w:w="100" w:type="dxa"/>
            </w:tcMar>
            <w:vAlign w:val="center"/>
          </w:tcPr>
          <w:p w14:paraId="364CB0D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0.794</w:t>
            </w:r>
          </w:p>
        </w:tc>
        <w:tc>
          <w:tcPr>
            <w:tcW w:w="1335" w:type="dxa"/>
            <w:shd w:val="clear" w:color="auto" w:fill="F2F2F2"/>
            <w:tcMar>
              <w:top w:w="60" w:type="dxa"/>
              <w:left w:w="100" w:type="dxa"/>
              <w:bottom w:w="60" w:type="dxa"/>
              <w:right w:w="100" w:type="dxa"/>
            </w:tcMar>
            <w:vAlign w:val="center"/>
          </w:tcPr>
          <w:p w14:paraId="364CB0D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0.735</w:t>
            </w:r>
          </w:p>
        </w:tc>
        <w:tc>
          <w:tcPr>
            <w:tcW w:w="1335" w:type="dxa"/>
            <w:shd w:val="clear" w:color="auto" w:fill="F2F2F2"/>
            <w:tcMar>
              <w:top w:w="60" w:type="dxa"/>
              <w:left w:w="100" w:type="dxa"/>
              <w:bottom w:w="60" w:type="dxa"/>
              <w:right w:w="100" w:type="dxa"/>
            </w:tcMar>
            <w:vAlign w:val="center"/>
          </w:tcPr>
          <w:p w14:paraId="364CB0D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0.681</w:t>
            </w:r>
          </w:p>
        </w:tc>
      </w:tr>
      <w:tr w:rsidR="004E063D" w:rsidRPr="00A8221F" w14:paraId="364CB0E4" w14:textId="77777777">
        <w:tc>
          <w:tcPr>
            <w:tcW w:w="1335" w:type="dxa"/>
            <w:tcMar>
              <w:top w:w="60" w:type="dxa"/>
              <w:left w:w="100" w:type="dxa"/>
              <w:bottom w:w="60" w:type="dxa"/>
              <w:right w:w="100" w:type="dxa"/>
            </w:tcMar>
            <w:vAlign w:val="center"/>
          </w:tcPr>
          <w:p w14:paraId="364CB0DD"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Present value</w:t>
            </w:r>
          </w:p>
        </w:tc>
        <w:tc>
          <w:tcPr>
            <w:tcW w:w="1335" w:type="dxa"/>
            <w:tcMar>
              <w:top w:w="60" w:type="dxa"/>
              <w:left w:w="100" w:type="dxa"/>
              <w:bottom w:w="60" w:type="dxa"/>
              <w:right w:w="100" w:type="dxa"/>
            </w:tcMar>
            <w:vAlign w:val="center"/>
          </w:tcPr>
          <w:p w14:paraId="364CB0D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(50.0)</w:t>
            </w:r>
          </w:p>
        </w:tc>
        <w:tc>
          <w:tcPr>
            <w:tcW w:w="1335" w:type="dxa"/>
            <w:tcMar>
              <w:top w:w="60" w:type="dxa"/>
              <w:left w:w="100" w:type="dxa"/>
              <w:bottom w:w="60" w:type="dxa"/>
              <w:right w:w="100" w:type="dxa"/>
            </w:tcMar>
            <w:vAlign w:val="center"/>
          </w:tcPr>
          <w:p w14:paraId="364CB0D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4.63</w:t>
            </w:r>
          </w:p>
        </w:tc>
        <w:tc>
          <w:tcPr>
            <w:tcW w:w="1335" w:type="dxa"/>
            <w:tcMar>
              <w:top w:w="60" w:type="dxa"/>
              <w:left w:w="100" w:type="dxa"/>
              <w:bottom w:w="60" w:type="dxa"/>
              <w:right w:w="100" w:type="dxa"/>
            </w:tcMar>
            <w:vAlign w:val="center"/>
          </w:tcPr>
          <w:p w14:paraId="364CB0E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8.57</w:t>
            </w:r>
          </w:p>
        </w:tc>
        <w:tc>
          <w:tcPr>
            <w:tcW w:w="1335" w:type="dxa"/>
            <w:tcMar>
              <w:top w:w="60" w:type="dxa"/>
              <w:left w:w="100" w:type="dxa"/>
              <w:bottom w:w="60" w:type="dxa"/>
              <w:right w:w="100" w:type="dxa"/>
            </w:tcMar>
            <w:vAlign w:val="center"/>
          </w:tcPr>
          <w:p w14:paraId="364CB0E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15.88</w:t>
            </w:r>
          </w:p>
        </w:tc>
        <w:tc>
          <w:tcPr>
            <w:tcW w:w="1335" w:type="dxa"/>
            <w:tcMar>
              <w:top w:w="60" w:type="dxa"/>
              <w:left w:w="100" w:type="dxa"/>
              <w:bottom w:w="60" w:type="dxa"/>
              <w:right w:w="100" w:type="dxa"/>
            </w:tcMar>
            <w:vAlign w:val="center"/>
          </w:tcPr>
          <w:p w14:paraId="364CB0E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18.38</w:t>
            </w:r>
          </w:p>
        </w:tc>
        <w:tc>
          <w:tcPr>
            <w:tcW w:w="1335" w:type="dxa"/>
            <w:tcMar>
              <w:top w:w="60" w:type="dxa"/>
              <w:left w:w="100" w:type="dxa"/>
              <w:bottom w:w="60" w:type="dxa"/>
              <w:right w:w="100" w:type="dxa"/>
            </w:tcMar>
            <w:vAlign w:val="center"/>
          </w:tcPr>
          <w:p w14:paraId="364CB0E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3.40</w:t>
            </w:r>
          </w:p>
        </w:tc>
      </w:tr>
      <w:tr w:rsidR="004E063D" w:rsidRPr="00A8221F" w14:paraId="364CB0EC" w14:textId="77777777">
        <w:tc>
          <w:tcPr>
            <w:tcW w:w="1335" w:type="dxa"/>
            <w:shd w:val="clear" w:color="auto" w:fill="F2F2F2"/>
            <w:tcMar>
              <w:top w:w="60" w:type="dxa"/>
              <w:left w:w="100" w:type="dxa"/>
              <w:bottom w:w="60" w:type="dxa"/>
              <w:right w:w="100" w:type="dxa"/>
            </w:tcMar>
            <w:vAlign w:val="center"/>
          </w:tcPr>
          <w:p w14:paraId="364CB0E5"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Cumulative undiscounted CF</w:t>
            </w:r>
          </w:p>
        </w:tc>
        <w:tc>
          <w:tcPr>
            <w:tcW w:w="1335" w:type="dxa"/>
            <w:shd w:val="clear" w:color="auto" w:fill="F2F2F2"/>
            <w:tcMar>
              <w:top w:w="60" w:type="dxa"/>
              <w:left w:w="100" w:type="dxa"/>
              <w:bottom w:w="60" w:type="dxa"/>
              <w:right w:w="100" w:type="dxa"/>
            </w:tcMar>
            <w:vAlign w:val="center"/>
          </w:tcPr>
          <w:p w14:paraId="364CB0E6"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(50.0)</w:t>
            </w:r>
          </w:p>
        </w:tc>
        <w:tc>
          <w:tcPr>
            <w:tcW w:w="1335" w:type="dxa"/>
            <w:shd w:val="clear" w:color="auto" w:fill="F2F2F2"/>
            <w:tcMar>
              <w:top w:w="60" w:type="dxa"/>
              <w:left w:w="100" w:type="dxa"/>
              <w:bottom w:w="60" w:type="dxa"/>
              <w:right w:w="100" w:type="dxa"/>
            </w:tcMar>
            <w:vAlign w:val="center"/>
          </w:tcPr>
          <w:p w14:paraId="364CB0E7"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-45.0</w:t>
            </w:r>
          </w:p>
        </w:tc>
        <w:tc>
          <w:tcPr>
            <w:tcW w:w="1335" w:type="dxa"/>
            <w:shd w:val="clear" w:color="auto" w:fill="F2F2F2"/>
            <w:tcMar>
              <w:top w:w="60" w:type="dxa"/>
              <w:left w:w="100" w:type="dxa"/>
              <w:bottom w:w="60" w:type="dxa"/>
              <w:right w:w="100" w:type="dxa"/>
            </w:tcMar>
            <w:vAlign w:val="center"/>
          </w:tcPr>
          <w:p w14:paraId="364CB0E8"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-35.0</w:t>
            </w:r>
          </w:p>
        </w:tc>
        <w:tc>
          <w:tcPr>
            <w:tcW w:w="1335" w:type="dxa"/>
            <w:shd w:val="clear" w:color="auto" w:fill="F2F2F2"/>
            <w:tcMar>
              <w:top w:w="60" w:type="dxa"/>
              <w:left w:w="100" w:type="dxa"/>
              <w:bottom w:w="60" w:type="dxa"/>
              <w:right w:w="100" w:type="dxa"/>
            </w:tcMar>
            <w:vAlign w:val="center"/>
          </w:tcPr>
          <w:p w14:paraId="364CB0E9"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-15.0</w:t>
            </w:r>
          </w:p>
        </w:tc>
        <w:tc>
          <w:tcPr>
            <w:tcW w:w="1335" w:type="dxa"/>
            <w:shd w:val="clear" w:color="auto" w:fill="F2F2F2"/>
            <w:tcMar>
              <w:top w:w="60" w:type="dxa"/>
              <w:left w:w="100" w:type="dxa"/>
              <w:bottom w:w="60" w:type="dxa"/>
              <w:right w:w="100" w:type="dxa"/>
            </w:tcMar>
            <w:vAlign w:val="center"/>
          </w:tcPr>
          <w:p w14:paraId="364CB0EA"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10.0</w:t>
            </w:r>
          </w:p>
        </w:tc>
        <w:tc>
          <w:tcPr>
            <w:tcW w:w="1335" w:type="dxa"/>
            <w:shd w:val="clear" w:color="auto" w:fill="F2F2F2"/>
            <w:tcMar>
              <w:top w:w="60" w:type="dxa"/>
              <w:left w:w="100" w:type="dxa"/>
              <w:bottom w:w="60" w:type="dxa"/>
              <w:right w:w="100" w:type="dxa"/>
            </w:tcMar>
            <w:vAlign w:val="center"/>
          </w:tcPr>
          <w:p w14:paraId="364CB0EB"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15.0</w:t>
            </w:r>
          </w:p>
        </w:tc>
      </w:tr>
      <w:tr w:rsidR="004E063D" w:rsidRPr="00A8221F" w14:paraId="364CB0F4" w14:textId="77777777">
        <w:tc>
          <w:tcPr>
            <w:tcW w:w="1335" w:type="dxa"/>
            <w:tcMar>
              <w:top w:w="60" w:type="dxa"/>
              <w:left w:w="100" w:type="dxa"/>
              <w:bottom w:w="60" w:type="dxa"/>
              <w:right w:w="100" w:type="dxa"/>
            </w:tcMar>
            <w:vAlign w:val="center"/>
          </w:tcPr>
          <w:p w14:paraId="364CB0ED" w14:textId="77777777" w:rsidR="004E063D" w:rsidRPr="00A8221F" w:rsidRDefault="00A444D8" w:rsidP="00A8221F">
            <w:pPr>
              <w:spacing w:line="360" w:lineRule="auto"/>
              <w:rPr>
                <w:rFonts w:ascii="Arial" w:hAnsi="Arial" w:cs="Arial"/>
                <w:sz w:val="24"/>
                <w:szCs w:val="24"/>
              </w:rPr>
            </w:pPr>
            <w:r w:rsidRPr="00A8221F">
              <w:rPr>
                <w:rFonts w:ascii="Arial" w:hAnsi="Arial" w:cs="Arial"/>
                <w:color w:val="000000"/>
                <w:sz w:val="24"/>
                <w:szCs w:val="24"/>
              </w:rPr>
              <w:t>Cumulative NPV</w:t>
            </w:r>
          </w:p>
        </w:tc>
        <w:tc>
          <w:tcPr>
            <w:tcW w:w="1335" w:type="dxa"/>
            <w:tcMar>
              <w:top w:w="60" w:type="dxa"/>
              <w:left w:w="100" w:type="dxa"/>
              <w:bottom w:w="60" w:type="dxa"/>
              <w:right w:w="100" w:type="dxa"/>
            </w:tcMar>
            <w:vAlign w:val="center"/>
          </w:tcPr>
          <w:p w14:paraId="364CB0EE"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(50.0)</w:t>
            </w:r>
          </w:p>
        </w:tc>
        <w:tc>
          <w:tcPr>
            <w:tcW w:w="1335" w:type="dxa"/>
            <w:tcMar>
              <w:top w:w="60" w:type="dxa"/>
              <w:left w:w="100" w:type="dxa"/>
              <w:bottom w:w="60" w:type="dxa"/>
              <w:right w:w="100" w:type="dxa"/>
            </w:tcMar>
            <w:vAlign w:val="center"/>
          </w:tcPr>
          <w:p w14:paraId="364CB0EF"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-45.37</w:t>
            </w:r>
          </w:p>
        </w:tc>
        <w:tc>
          <w:tcPr>
            <w:tcW w:w="1335" w:type="dxa"/>
            <w:tcMar>
              <w:top w:w="60" w:type="dxa"/>
              <w:left w:w="100" w:type="dxa"/>
              <w:bottom w:w="60" w:type="dxa"/>
              <w:right w:w="100" w:type="dxa"/>
            </w:tcMar>
            <w:vAlign w:val="center"/>
          </w:tcPr>
          <w:p w14:paraId="364CB0F0"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-36.80</w:t>
            </w:r>
          </w:p>
        </w:tc>
        <w:tc>
          <w:tcPr>
            <w:tcW w:w="1335" w:type="dxa"/>
            <w:tcMar>
              <w:top w:w="60" w:type="dxa"/>
              <w:left w:w="100" w:type="dxa"/>
              <w:bottom w:w="60" w:type="dxa"/>
              <w:right w:w="100" w:type="dxa"/>
            </w:tcMar>
            <w:vAlign w:val="center"/>
          </w:tcPr>
          <w:p w14:paraId="364CB0F1"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-20.92</w:t>
            </w:r>
          </w:p>
        </w:tc>
        <w:tc>
          <w:tcPr>
            <w:tcW w:w="1335" w:type="dxa"/>
            <w:tcMar>
              <w:top w:w="60" w:type="dxa"/>
              <w:left w:w="100" w:type="dxa"/>
              <w:bottom w:w="60" w:type="dxa"/>
              <w:right w:w="100" w:type="dxa"/>
            </w:tcMar>
            <w:vAlign w:val="center"/>
          </w:tcPr>
          <w:p w14:paraId="364CB0F2"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-2.54</w:t>
            </w:r>
          </w:p>
        </w:tc>
        <w:tc>
          <w:tcPr>
            <w:tcW w:w="1335" w:type="dxa"/>
            <w:tcMar>
              <w:top w:w="60" w:type="dxa"/>
              <w:left w:w="100" w:type="dxa"/>
              <w:bottom w:w="60" w:type="dxa"/>
              <w:right w:w="100" w:type="dxa"/>
            </w:tcMar>
            <w:vAlign w:val="center"/>
          </w:tcPr>
          <w:p w14:paraId="364CB0F3" w14:textId="77777777" w:rsidR="004E063D" w:rsidRPr="00A8221F" w:rsidRDefault="00A444D8" w:rsidP="00A8221F">
            <w:pPr>
              <w:spacing w:line="360" w:lineRule="auto"/>
              <w:jc w:val="center"/>
              <w:rPr>
                <w:rFonts w:ascii="Arial" w:hAnsi="Arial" w:cs="Arial"/>
                <w:sz w:val="24"/>
                <w:szCs w:val="24"/>
              </w:rPr>
            </w:pPr>
            <w:r w:rsidRPr="00A8221F">
              <w:rPr>
                <w:rFonts w:ascii="Arial" w:hAnsi="Arial" w:cs="Arial"/>
                <w:color w:val="000000"/>
                <w:sz w:val="24"/>
                <w:szCs w:val="24"/>
              </w:rPr>
              <w:t>0.86</w:t>
            </w:r>
          </w:p>
        </w:tc>
      </w:tr>
    </w:tbl>
    <w:p w14:paraId="364CB0F5" w14:textId="77777777" w:rsidR="004E063D" w:rsidRPr="00A8221F" w:rsidRDefault="00A444D8" w:rsidP="00A8221F">
      <w:pPr>
        <w:spacing w:after="200" w:line="360" w:lineRule="auto"/>
        <w:jc w:val="both"/>
        <w:rPr>
          <w:rFonts w:ascii="Arial" w:hAnsi="Arial" w:cs="Arial"/>
          <w:sz w:val="24"/>
          <w:szCs w:val="24"/>
        </w:rPr>
      </w:pPr>
      <w:r w:rsidRPr="00A8221F">
        <w:rPr>
          <w:rFonts w:ascii="Arial" w:hAnsi="Arial" w:cs="Arial"/>
          <w:sz w:val="24"/>
          <w:szCs w:val="24"/>
        </w:rPr>
        <w:t>Note: the accompanying Excel workbook (IHG_Financial_Model.xlsx) contains four linked tabs — Financials, Ratio Analysis, Investment Appraisal and Capital Rationing — built with live Excel formulas, recalculated in full with zero formula errors prior to submission.</w:t>
      </w:r>
    </w:p>
    <w:sectPr w:rsidR="004E063D" w:rsidRPr="00A8221F">
      <w:headerReference w:type="default" r:id="rId12"/>
      <w:footerReference w:type="default" r:id="rId13"/>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14F89" w14:textId="77777777" w:rsidR="00863E46" w:rsidRDefault="00863E46">
      <w:r>
        <w:separator/>
      </w:r>
    </w:p>
  </w:endnote>
  <w:endnote w:type="continuationSeparator" w:id="0">
    <w:p w14:paraId="209CC0D7" w14:textId="77777777" w:rsidR="00863E46" w:rsidRDefault="00863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CB0FF" w14:textId="6564FB6D" w:rsidR="004E063D" w:rsidRDefault="00A444D8">
    <w:pPr>
      <w:jc w:val="center"/>
    </w:pPr>
    <w:r>
      <w:rPr>
        <w:color w:val="888888"/>
        <w:sz w:val="16"/>
        <w:szCs w:val="16"/>
      </w:rPr>
      <w:t xml:space="preserve">Page </w:t>
    </w:r>
    <w:r>
      <w:rPr>
        <w:color w:val="888888"/>
        <w:sz w:val="16"/>
        <w:szCs w:val="16"/>
      </w:rPr>
      <w:fldChar w:fldCharType="begin"/>
    </w:r>
    <w:r>
      <w:rPr>
        <w:color w:val="888888"/>
        <w:sz w:val="16"/>
        <w:szCs w:val="16"/>
      </w:rPr>
      <w:instrText>PAGE</w:instrText>
    </w:r>
    <w:r>
      <w:rPr>
        <w:color w:val="888888"/>
        <w:sz w:val="16"/>
        <w:szCs w:val="16"/>
      </w:rPr>
      <w:fldChar w:fldCharType="separate"/>
    </w:r>
    <w:r w:rsidR="003A0362">
      <w:rPr>
        <w:noProof/>
        <w:color w:val="888888"/>
        <w:sz w:val="16"/>
        <w:szCs w:val="16"/>
      </w:rPr>
      <w:t>1</w:t>
    </w:r>
    <w:r>
      <w:rPr>
        <w:color w:val="888888"/>
        <w:sz w:val="16"/>
        <w:szCs w:val="16"/>
      </w:rPr>
      <w:fldChar w:fldCharType="end"/>
    </w:r>
    <w:r>
      <w:rPr>
        <w:color w:val="888888"/>
        <w:sz w:val="16"/>
        <w:szCs w:val="16"/>
      </w:rPr>
      <w:t xml:space="preserve"> of </w:t>
    </w:r>
    <w:r>
      <w:rPr>
        <w:color w:val="888888"/>
        <w:sz w:val="16"/>
        <w:szCs w:val="16"/>
      </w:rPr>
      <w:fldChar w:fldCharType="begin"/>
    </w:r>
    <w:r>
      <w:rPr>
        <w:color w:val="888888"/>
        <w:sz w:val="16"/>
        <w:szCs w:val="16"/>
      </w:rPr>
      <w:instrText>NUMPAGES</w:instrText>
    </w:r>
    <w:r>
      <w:rPr>
        <w:color w:val="888888"/>
        <w:sz w:val="16"/>
        <w:szCs w:val="16"/>
      </w:rPr>
      <w:fldChar w:fldCharType="separate"/>
    </w:r>
    <w:r w:rsidR="003A0362">
      <w:rPr>
        <w:noProof/>
        <w:color w:val="888888"/>
        <w:sz w:val="16"/>
        <w:szCs w:val="16"/>
      </w:rPr>
      <w:t>2</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CD675" w14:textId="77777777" w:rsidR="00863E46" w:rsidRDefault="00863E46">
      <w:r>
        <w:separator/>
      </w:r>
    </w:p>
  </w:footnote>
  <w:footnote w:type="continuationSeparator" w:id="0">
    <w:p w14:paraId="311E2A70" w14:textId="77777777" w:rsidR="00863E46" w:rsidRDefault="00863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CB0FE" w14:textId="04E6B252" w:rsidR="004E063D" w:rsidRDefault="004E063D">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E3170"/>
    <w:multiLevelType w:val="hybridMultilevel"/>
    <w:tmpl w:val="AE2657F8"/>
    <w:lvl w:ilvl="0" w:tplc="1F8C9652">
      <w:start w:val="1"/>
      <w:numFmt w:val="bullet"/>
      <w:lvlText w:val="●"/>
      <w:lvlJc w:val="left"/>
      <w:pPr>
        <w:ind w:left="720" w:hanging="360"/>
      </w:pPr>
    </w:lvl>
    <w:lvl w:ilvl="1" w:tplc="306CFF6C">
      <w:start w:val="1"/>
      <w:numFmt w:val="bullet"/>
      <w:lvlText w:val="○"/>
      <w:lvlJc w:val="left"/>
      <w:pPr>
        <w:ind w:left="1440" w:hanging="360"/>
      </w:pPr>
    </w:lvl>
    <w:lvl w:ilvl="2" w:tplc="7F80C0C8">
      <w:start w:val="1"/>
      <w:numFmt w:val="bullet"/>
      <w:lvlText w:val="■"/>
      <w:lvlJc w:val="left"/>
      <w:pPr>
        <w:ind w:left="2160" w:hanging="360"/>
      </w:pPr>
    </w:lvl>
    <w:lvl w:ilvl="3" w:tplc="42C2757A">
      <w:start w:val="1"/>
      <w:numFmt w:val="bullet"/>
      <w:lvlText w:val="●"/>
      <w:lvlJc w:val="left"/>
      <w:pPr>
        <w:ind w:left="2880" w:hanging="360"/>
      </w:pPr>
    </w:lvl>
    <w:lvl w:ilvl="4" w:tplc="34726DB2">
      <w:start w:val="1"/>
      <w:numFmt w:val="bullet"/>
      <w:lvlText w:val="○"/>
      <w:lvlJc w:val="left"/>
      <w:pPr>
        <w:ind w:left="3600" w:hanging="360"/>
      </w:pPr>
    </w:lvl>
    <w:lvl w:ilvl="5" w:tplc="B5FAC2D0">
      <w:start w:val="1"/>
      <w:numFmt w:val="bullet"/>
      <w:lvlText w:val="■"/>
      <w:lvlJc w:val="left"/>
      <w:pPr>
        <w:ind w:left="4320" w:hanging="360"/>
      </w:pPr>
    </w:lvl>
    <w:lvl w:ilvl="6" w:tplc="238C3ADE">
      <w:start w:val="1"/>
      <w:numFmt w:val="bullet"/>
      <w:lvlText w:val="●"/>
      <w:lvlJc w:val="left"/>
      <w:pPr>
        <w:ind w:left="5040" w:hanging="360"/>
      </w:pPr>
    </w:lvl>
    <w:lvl w:ilvl="7" w:tplc="9F26191E">
      <w:start w:val="1"/>
      <w:numFmt w:val="bullet"/>
      <w:lvlText w:val="●"/>
      <w:lvlJc w:val="left"/>
      <w:pPr>
        <w:ind w:left="5760" w:hanging="360"/>
      </w:pPr>
    </w:lvl>
    <w:lvl w:ilvl="8" w:tplc="F364DE5E">
      <w:start w:val="1"/>
      <w:numFmt w:val="bullet"/>
      <w:lvlText w:val="●"/>
      <w:lvlJc w:val="left"/>
      <w:pPr>
        <w:ind w:left="6480" w:hanging="360"/>
      </w:pPr>
    </w:lvl>
  </w:abstractNum>
  <w:num w:numId="1" w16cid:durableId="53434419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63D"/>
    <w:rsid w:val="00037FC0"/>
    <w:rsid w:val="00352D66"/>
    <w:rsid w:val="003A0362"/>
    <w:rsid w:val="003C225D"/>
    <w:rsid w:val="004804FA"/>
    <w:rsid w:val="004D48C0"/>
    <w:rsid w:val="004E063D"/>
    <w:rsid w:val="00511993"/>
    <w:rsid w:val="00552B08"/>
    <w:rsid w:val="0072289C"/>
    <w:rsid w:val="007C7976"/>
    <w:rsid w:val="007E68DB"/>
    <w:rsid w:val="00836F6B"/>
    <w:rsid w:val="00863E46"/>
    <w:rsid w:val="00A14FF7"/>
    <w:rsid w:val="00A444D8"/>
    <w:rsid w:val="00A775B4"/>
    <w:rsid w:val="00A8221F"/>
    <w:rsid w:val="00BA5685"/>
    <w:rsid w:val="00C07C72"/>
    <w:rsid w:val="00C245EB"/>
    <w:rsid w:val="00CC4827"/>
    <w:rsid w:val="00D419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CAEEC"/>
  <w15:docId w15:val="{154CD9FC-9B39-4C95-8C77-C0E084D70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4804FA"/>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7C7976"/>
    <w:pPr>
      <w:ind w:left="220"/>
    </w:pPr>
    <w:rPr>
      <w:rFonts w:asciiTheme="minorHAnsi" w:hAnsiTheme="minorHAnsi"/>
      <w:smallCaps/>
      <w:sz w:val="20"/>
      <w:szCs w:val="20"/>
    </w:rPr>
  </w:style>
  <w:style w:type="paragraph" w:styleId="TOC3">
    <w:name w:val="toc 3"/>
    <w:basedOn w:val="Normal"/>
    <w:next w:val="Normal"/>
    <w:autoRedefine/>
    <w:uiPriority w:val="39"/>
    <w:unhideWhenUsed/>
    <w:rsid w:val="007C7976"/>
    <w:pPr>
      <w:ind w:left="440"/>
    </w:pPr>
    <w:rPr>
      <w:rFonts w:asciiTheme="minorHAnsi" w:hAnsiTheme="minorHAnsi"/>
      <w:i/>
      <w:iCs/>
      <w:sz w:val="20"/>
      <w:szCs w:val="20"/>
    </w:rPr>
  </w:style>
  <w:style w:type="paragraph" w:styleId="Header">
    <w:name w:val="header"/>
    <w:basedOn w:val="Normal"/>
    <w:link w:val="HeaderChar"/>
    <w:uiPriority w:val="99"/>
    <w:unhideWhenUsed/>
    <w:rsid w:val="00A8221F"/>
    <w:pPr>
      <w:tabs>
        <w:tab w:val="center" w:pos="4513"/>
        <w:tab w:val="right" w:pos="9026"/>
      </w:tabs>
    </w:pPr>
  </w:style>
  <w:style w:type="character" w:customStyle="1" w:styleId="HeaderChar">
    <w:name w:val="Header Char"/>
    <w:basedOn w:val="DefaultParagraphFont"/>
    <w:link w:val="Header"/>
    <w:uiPriority w:val="99"/>
    <w:rsid w:val="00A8221F"/>
  </w:style>
  <w:style w:type="paragraph" w:styleId="Footer">
    <w:name w:val="footer"/>
    <w:basedOn w:val="Normal"/>
    <w:link w:val="FooterChar"/>
    <w:uiPriority w:val="99"/>
    <w:unhideWhenUsed/>
    <w:rsid w:val="00A8221F"/>
    <w:pPr>
      <w:tabs>
        <w:tab w:val="center" w:pos="4513"/>
        <w:tab w:val="right" w:pos="9026"/>
      </w:tabs>
    </w:pPr>
  </w:style>
  <w:style w:type="character" w:customStyle="1" w:styleId="FooterChar">
    <w:name w:val="Footer Char"/>
    <w:basedOn w:val="DefaultParagraphFont"/>
    <w:link w:val="Footer"/>
    <w:uiPriority w:val="99"/>
    <w:rsid w:val="00A8221F"/>
  </w:style>
  <w:style w:type="paragraph" w:styleId="TOC4">
    <w:name w:val="toc 4"/>
    <w:basedOn w:val="Normal"/>
    <w:next w:val="Normal"/>
    <w:autoRedefine/>
    <w:uiPriority w:val="39"/>
    <w:unhideWhenUsed/>
    <w:rsid w:val="00037FC0"/>
    <w:pPr>
      <w:ind w:left="660"/>
    </w:pPr>
    <w:rPr>
      <w:rFonts w:asciiTheme="minorHAnsi" w:hAnsiTheme="minorHAnsi"/>
      <w:sz w:val="18"/>
      <w:szCs w:val="18"/>
    </w:rPr>
  </w:style>
  <w:style w:type="paragraph" w:styleId="TOC5">
    <w:name w:val="toc 5"/>
    <w:basedOn w:val="Normal"/>
    <w:next w:val="Normal"/>
    <w:autoRedefine/>
    <w:uiPriority w:val="39"/>
    <w:unhideWhenUsed/>
    <w:rsid w:val="00037FC0"/>
    <w:pPr>
      <w:ind w:left="880"/>
    </w:pPr>
    <w:rPr>
      <w:rFonts w:asciiTheme="minorHAnsi" w:hAnsiTheme="minorHAnsi"/>
      <w:sz w:val="18"/>
      <w:szCs w:val="18"/>
    </w:rPr>
  </w:style>
  <w:style w:type="paragraph" w:styleId="TOC6">
    <w:name w:val="toc 6"/>
    <w:basedOn w:val="Normal"/>
    <w:next w:val="Normal"/>
    <w:autoRedefine/>
    <w:uiPriority w:val="39"/>
    <w:unhideWhenUsed/>
    <w:rsid w:val="00037FC0"/>
    <w:pPr>
      <w:ind w:left="1100"/>
    </w:pPr>
    <w:rPr>
      <w:rFonts w:asciiTheme="minorHAnsi" w:hAnsiTheme="minorHAnsi"/>
      <w:sz w:val="18"/>
      <w:szCs w:val="18"/>
    </w:rPr>
  </w:style>
  <w:style w:type="paragraph" w:styleId="TOC7">
    <w:name w:val="toc 7"/>
    <w:basedOn w:val="Normal"/>
    <w:next w:val="Normal"/>
    <w:autoRedefine/>
    <w:uiPriority w:val="39"/>
    <w:unhideWhenUsed/>
    <w:rsid w:val="00037FC0"/>
    <w:pPr>
      <w:ind w:left="1320"/>
    </w:pPr>
    <w:rPr>
      <w:rFonts w:asciiTheme="minorHAnsi" w:hAnsiTheme="minorHAnsi"/>
      <w:sz w:val="18"/>
      <w:szCs w:val="18"/>
    </w:rPr>
  </w:style>
  <w:style w:type="paragraph" w:styleId="TOC8">
    <w:name w:val="toc 8"/>
    <w:basedOn w:val="Normal"/>
    <w:next w:val="Normal"/>
    <w:autoRedefine/>
    <w:uiPriority w:val="39"/>
    <w:unhideWhenUsed/>
    <w:rsid w:val="00037FC0"/>
    <w:pPr>
      <w:ind w:left="1540"/>
    </w:pPr>
    <w:rPr>
      <w:rFonts w:asciiTheme="minorHAnsi" w:hAnsiTheme="minorHAnsi"/>
      <w:sz w:val="18"/>
      <w:szCs w:val="18"/>
    </w:rPr>
  </w:style>
  <w:style w:type="paragraph" w:styleId="TOC9">
    <w:name w:val="toc 9"/>
    <w:basedOn w:val="Normal"/>
    <w:next w:val="Normal"/>
    <w:autoRedefine/>
    <w:uiPriority w:val="39"/>
    <w:unhideWhenUsed/>
    <w:rsid w:val="00037FC0"/>
    <w:pPr>
      <w:ind w:left="176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26</Pages>
  <Words>5964</Words>
  <Characters>33997</Characters>
  <Application>Microsoft Office Word</Application>
  <DocSecurity>0</DocSecurity>
  <Lines>283</Lines>
  <Paragraphs>79</Paragraphs>
  <ScaleCrop>false</ScaleCrop>
  <Company/>
  <LinksUpToDate>false</LinksUpToDate>
  <CharactersWithSpaces>39882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Priyanshi Parikh</cp:lastModifiedBy>
  <cp:revision>27</cp:revision>
  <dcterms:created xsi:type="dcterms:W3CDTF">2026-08-13T12:05:00Z</dcterms:created>
  <dcterms:modified xsi:type="dcterms:W3CDTF">2026-08-13T12:48:00Z</dcterms:modified>
</cp:coreProperties>
</file>