
<file path=[Content_Types].xml><?xml version="1.0" encoding="utf-8"?>
<Types xmlns="http://schemas.openxmlformats.org/package/2006/content-types">
  <Override PartName="/word/footnotes.xml" ContentType="application/vnd.openxmlformats-officedocument.wordprocessingml.footnotes+xml"/>
  <Override PartName="/word/charts/chart10.xml" ContentType="application/vnd.openxmlformats-officedocument.drawingml.chart+xml"/>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word/charts/chart9.xml" ContentType="application/vnd.openxmlformats-officedocument.drawingml.chart+xml"/>
  <Override PartName="/word/charts/chart1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docProps/custom.xml" ContentType="application/vnd.openxmlformats-officedocument.custom-properties+xml"/>
  <Override PartName="/word/charts/chart4.xml" ContentType="application/vnd.openxmlformats-officedocument.drawingml.chart+xml"/>
  <Override PartName="/word/charts/chart5.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2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1156" w:rsidRDefault="005C1156" w:rsidP="00C40523">
      <w:pPr>
        <w:spacing w:line="360" w:lineRule="auto"/>
        <w:jc w:val="center"/>
        <w:rPr>
          <w:rFonts w:ascii="Times New Roman" w:hAnsi="Times New Roman" w:cs="Times New Roman"/>
          <w:b/>
          <w:sz w:val="24"/>
          <w:szCs w:val="24"/>
          <w:lang w:eastAsia="en-IN"/>
        </w:rPr>
      </w:pPr>
      <w:r w:rsidRPr="005C1156">
        <w:rPr>
          <w:rFonts w:ascii="Times New Roman" w:hAnsi="Times New Roman" w:cs="Times New Roman"/>
          <w:b/>
          <w:noProof/>
          <w:sz w:val="24"/>
          <w:szCs w:val="24"/>
          <w:lang w:eastAsia="en-IN"/>
        </w:rPr>
        <w:drawing>
          <wp:inline distT="0" distB="0" distL="0" distR="0">
            <wp:extent cx="3381375" cy="1352550"/>
            <wp:effectExtent l="0" t="0" r="0" b="0"/>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8"/>
                    <a:stretch>
                      <a:fillRect/>
                    </a:stretch>
                  </pic:blipFill>
                  <pic:spPr>
                    <a:xfrm>
                      <a:off x="0" y="0"/>
                      <a:ext cx="3381375" cy="1352550"/>
                    </a:xfrm>
                    <a:prstGeom prst="rect">
                      <a:avLst/>
                    </a:prstGeom>
                  </pic:spPr>
                </pic:pic>
              </a:graphicData>
            </a:graphic>
          </wp:inline>
        </w:drawing>
      </w: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5C1156">
      <w:pPr>
        <w:spacing w:after="0"/>
        <w:ind w:left="2451"/>
      </w:pPr>
      <w:r>
        <w:rPr>
          <w:rFonts w:ascii="Calibri" w:eastAsia="Calibri" w:hAnsi="Calibri" w:cs="Calibri"/>
          <w:b/>
          <w:sz w:val="28"/>
        </w:rPr>
        <w:t>Student Name:</w:t>
      </w:r>
      <w:r w:rsidR="00E275A3">
        <w:rPr>
          <w:rFonts w:ascii="Calibri" w:eastAsia="Calibri" w:hAnsi="Calibri" w:cs="Calibri"/>
          <w:b/>
          <w:sz w:val="28"/>
        </w:rPr>
        <w:t xml:space="preserve"> </w:t>
      </w:r>
      <w:r>
        <w:rPr>
          <w:rFonts w:ascii="Calibri" w:eastAsia="Calibri" w:hAnsi="Calibri" w:cs="Calibri"/>
          <w:b/>
          <w:sz w:val="28"/>
        </w:rPr>
        <w:t>Shahbuddin</w:t>
      </w:r>
      <w:r w:rsidR="00E275A3">
        <w:rPr>
          <w:rFonts w:ascii="Calibri" w:eastAsia="Calibri" w:hAnsi="Calibri" w:cs="Calibri"/>
          <w:b/>
          <w:sz w:val="28"/>
        </w:rPr>
        <w:t xml:space="preserve"> </w:t>
      </w:r>
      <w:r>
        <w:rPr>
          <w:rFonts w:ascii="Calibri" w:eastAsia="Calibri" w:hAnsi="Calibri" w:cs="Calibri"/>
          <w:b/>
          <w:sz w:val="28"/>
        </w:rPr>
        <w:t xml:space="preserve">Shah </w:t>
      </w:r>
    </w:p>
    <w:p w:rsidR="005C1156" w:rsidRDefault="005C1156" w:rsidP="005C1156">
      <w:pPr>
        <w:spacing w:after="224"/>
      </w:pPr>
    </w:p>
    <w:p w:rsidR="005C1156" w:rsidRDefault="005C1156" w:rsidP="005C1156">
      <w:pPr>
        <w:spacing w:after="0"/>
        <w:ind w:left="3282"/>
      </w:pPr>
      <w:r>
        <w:rPr>
          <w:rFonts w:ascii="Calibri" w:eastAsia="Calibri" w:hAnsi="Calibri" w:cs="Calibri"/>
          <w:b/>
          <w:sz w:val="28"/>
        </w:rPr>
        <w:t xml:space="preserve">Student ID:2519349 </w:t>
      </w: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5C1156">
      <w:pPr>
        <w:spacing w:after="0"/>
        <w:ind w:right="2061"/>
        <w:jc w:val="right"/>
      </w:pPr>
      <w:r>
        <w:rPr>
          <w:rFonts w:ascii="Calibri" w:eastAsia="Calibri" w:hAnsi="Calibri" w:cs="Calibri"/>
          <w:b/>
          <w:sz w:val="28"/>
        </w:rPr>
        <w:t xml:space="preserve">Module Name: </w:t>
      </w:r>
      <w:r w:rsidR="00B36FD6">
        <w:rPr>
          <w:rFonts w:ascii="Calibri" w:eastAsia="Calibri" w:hAnsi="Calibri" w:cs="Calibri"/>
          <w:b/>
          <w:sz w:val="28"/>
        </w:rPr>
        <w:t>Financial M</w:t>
      </w:r>
      <w:r w:rsidRPr="005C1156">
        <w:rPr>
          <w:rFonts w:ascii="Calibri" w:eastAsia="Calibri" w:hAnsi="Calibri" w:cs="Calibri"/>
          <w:b/>
          <w:sz w:val="28"/>
        </w:rPr>
        <w:t>anagement</w:t>
      </w:r>
    </w:p>
    <w:p w:rsidR="005C1156" w:rsidRDefault="005C1156" w:rsidP="005C1156">
      <w:pPr>
        <w:spacing w:after="225"/>
      </w:pPr>
    </w:p>
    <w:p w:rsidR="005C1156" w:rsidRDefault="005C1156" w:rsidP="005C1156">
      <w:pPr>
        <w:spacing w:after="0"/>
        <w:ind w:left="2937"/>
      </w:pPr>
      <w:r>
        <w:rPr>
          <w:rFonts w:ascii="Calibri" w:eastAsia="Calibri" w:hAnsi="Calibri" w:cs="Calibri"/>
          <w:b/>
          <w:sz w:val="28"/>
        </w:rPr>
        <w:t xml:space="preserve">Module Code: </w:t>
      </w:r>
      <w:r w:rsidRPr="005C1156">
        <w:rPr>
          <w:rFonts w:ascii="Calibri" w:eastAsia="Calibri" w:hAnsi="Calibri" w:cs="Calibri"/>
          <w:b/>
          <w:sz w:val="28"/>
        </w:rPr>
        <w:t>LCMB7002</w:t>
      </w:r>
    </w:p>
    <w:p w:rsidR="005C1156" w:rsidRDefault="005C1156" w:rsidP="005C1156">
      <w:pPr>
        <w:spacing w:after="189"/>
      </w:pP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C40523">
      <w:pPr>
        <w:spacing w:line="360" w:lineRule="auto"/>
        <w:jc w:val="center"/>
        <w:rPr>
          <w:rFonts w:ascii="Times New Roman" w:hAnsi="Times New Roman" w:cs="Times New Roman"/>
          <w:b/>
          <w:sz w:val="24"/>
          <w:szCs w:val="24"/>
          <w:lang w:eastAsia="en-IN"/>
        </w:rPr>
      </w:pPr>
    </w:p>
    <w:p w:rsidR="007F30DE" w:rsidRDefault="005C1156" w:rsidP="00C40523">
      <w:pPr>
        <w:spacing w:line="360" w:lineRule="auto"/>
        <w:jc w:val="center"/>
        <w:rPr>
          <w:rFonts w:ascii="Calibri" w:eastAsia="Calibri" w:hAnsi="Calibri" w:cs="Calibri"/>
          <w:b/>
          <w:sz w:val="28"/>
        </w:rPr>
      </w:pPr>
      <w:r>
        <w:rPr>
          <w:rFonts w:ascii="Calibri" w:eastAsia="Calibri" w:hAnsi="Calibri" w:cs="Calibri"/>
          <w:b/>
          <w:sz w:val="28"/>
        </w:rPr>
        <w:t>Lecturer’s Name:</w:t>
      </w:r>
    </w:p>
    <w:p w:rsidR="005C1156" w:rsidRDefault="007F30DE" w:rsidP="00C40523">
      <w:pPr>
        <w:spacing w:line="360" w:lineRule="auto"/>
        <w:jc w:val="center"/>
        <w:rPr>
          <w:rFonts w:ascii="Times New Roman" w:hAnsi="Times New Roman" w:cs="Times New Roman"/>
          <w:b/>
          <w:sz w:val="24"/>
          <w:szCs w:val="24"/>
          <w:lang w:eastAsia="en-IN"/>
        </w:rPr>
      </w:pPr>
      <w:r w:rsidRPr="007F30DE">
        <w:rPr>
          <w:rFonts w:ascii="Calibri" w:eastAsia="Calibri" w:hAnsi="Calibri" w:cs="Calibri"/>
          <w:b/>
          <w:sz w:val="28"/>
        </w:rPr>
        <w:t>Hoang Nguyen</w:t>
      </w:r>
      <w:r>
        <w:rPr>
          <w:rFonts w:ascii="Calibri" w:eastAsia="Calibri" w:hAnsi="Calibri" w:cs="Calibri"/>
          <w:b/>
          <w:sz w:val="28"/>
        </w:rPr>
        <w:t xml:space="preserve"> &amp; </w:t>
      </w:r>
      <w:r w:rsidRPr="007F30DE">
        <w:rPr>
          <w:rFonts w:ascii="Calibri" w:eastAsia="Calibri" w:hAnsi="Calibri" w:cs="Calibri"/>
          <w:b/>
          <w:sz w:val="28"/>
        </w:rPr>
        <w:t>Isaiah Oino</w:t>
      </w: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C40523">
      <w:pPr>
        <w:spacing w:line="360" w:lineRule="auto"/>
        <w:jc w:val="center"/>
        <w:rPr>
          <w:rFonts w:ascii="Times New Roman" w:hAnsi="Times New Roman" w:cs="Times New Roman"/>
          <w:b/>
          <w:sz w:val="24"/>
          <w:szCs w:val="24"/>
          <w:lang w:eastAsia="en-IN"/>
        </w:rPr>
      </w:pPr>
    </w:p>
    <w:p w:rsidR="007F30DE" w:rsidRDefault="007F30DE" w:rsidP="007F30DE">
      <w:pPr>
        <w:spacing w:after="0"/>
        <w:jc w:val="center"/>
      </w:pPr>
      <w:r>
        <w:rPr>
          <w:rFonts w:ascii="Calibri" w:eastAsia="Calibri" w:hAnsi="Calibri" w:cs="Calibri"/>
          <w:b/>
          <w:sz w:val="28"/>
        </w:rPr>
        <w:t>Work Count:</w:t>
      </w:r>
      <w:r w:rsidR="00A11A8E">
        <w:rPr>
          <w:rFonts w:ascii="Calibri" w:eastAsia="Calibri" w:hAnsi="Calibri" w:cs="Calibri"/>
          <w:b/>
          <w:sz w:val="28"/>
        </w:rPr>
        <w:t xml:space="preserve"> 6482</w:t>
      </w:r>
    </w:p>
    <w:p w:rsidR="007F30DE" w:rsidRDefault="007F30DE" w:rsidP="007F30DE">
      <w:pPr>
        <w:spacing w:after="184"/>
      </w:pP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C40523">
      <w:pPr>
        <w:spacing w:line="360" w:lineRule="auto"/>
        <w:jc w:val="center"/>
        <w:rPr>
          <w:rFonts w:ascii="Times New Roman" w:hAnsi="Times New Roman" w:cs="Times New Roman"/>
          <w:b/>
          <w:sz w:val="24"/>
          <w:szCs w:val="24"/>
          <w:lang w:eastAsia="en-IN"/>
        </w:rPr>
      </w:pPr>
    </w:p>
    <w:p w:rsidR="005C1156" w:rsidRDefault="005C1156" w:rsidP="00C40523">
      <w:pPr>
        <w:spacing w:line="360" w:lineRule="auto"/>
        <w:jc w:val="center"/>
        <w:rPr>
          <w:rFonts w:ascii="Times New Roman" w:hAnsi="Times New Roman" w:cs="Times New Roman"/>
          <w:b/>
          <w:sz w:val="24"/>
          <w:szCs w:val="24"/>
          <w:lang w:eastAsia="en-IN"/>
        </w:rPr>
      </w:pPr>
    </w:p>
    <w:p w:rsidR="000901BA" w:rsidRPr="004E2D43" w:rsidRDefault="000901BA" w:rsidP="00C40523">
      <w:pPr>
        <w:spacing w:line="360" w:lineRule="auto"/>
        <w:jc w:val="center"/>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lastRenderedPageBreak/>
        <w:t>A Report on Financial Performance Assessment, Strategic Restructuring, and Investment Appraisal: T</w:t>
      </w:r>
      <w:r w:rsidR="00C460FA" w:rsidRPr="004E2D43">
        <w:rPr>
          <w:rFonts w:ascii="Times New Roman" w:hAnsi="Times New Roman" w:cs="Times New Roman"/>
          <w:b/>
          <w:sz w:val="24"/>
          <w:szCs w:val="24"/>
          <w:lang w:eastAsia="en-IN"/>
        </w:rPr>
        <w:t>esla, Inc. (Five Year Analysis)</w:t>
      </w:r>
    </w:p>
    <w:p w:rsidR="000901BA" w:rsidRPr="004E2D43" w:rsidRDefault="000901BA" w:rsidP="004E2D43">
      <w:pPr>
        <w:spacing w:line="360" w:lineRule="auto"/>
        <w:jc w:val="both"/>
        <w:rPr>
          <w:rFonts w:ascii="Times New Roman" w:hAnsi="Times New Roman" w:cs="Times New Roman"/>
          <w:b/>
          <w:sz w:val="24"/>
          <w:szCs w:val="24"/>
          <w:lang w:eastAsia="en-IN"/>
        </w:rPr>
      </w:pPr>
    </w:p>
    <w:p w:rsidR="00AF5895" w:rsidRPr="004E2D43" w:rsidRDefault="00AF5895" w:rsidP="004E2D43">
      <w:pPr>
        <w:spacing w:line="360" w:lineRule="auto"/>
        <w:jc w:val="both"/>
        <w:rPr>
          <w:rFonts w:ascii="Times New Roman" w:hAnsi="Times New Roman" w:cs="Times New Roman"/>
          <w:b/>
          <w:sz w:val="24"/>
          <w:szCs w:val="24"/>
          <w:lang w:eastAsia="en-IN"/>
        </w:rPr>
      </w:pPr>
    </w:p>
    <w:p w:rsidR="00CD7157" w:rsidRPr="004E2D43" w:rsidRDefault="00CD7157" w:rsidP="004E2D43">
      <w:pPr>
        <w:spacing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br w:type="page"/>
      </w:r>
    </w:p>
    <w:p w:rsidR="00A64018" w:rsidRPr="004E2D43" w:rsidRDefault="00A64018" w:rsidP="004E2D43">
      <w:pPr>
        <w:pStyle w:val="Heading1"/>
        <w:spacing w:line="360" w:lineRule="auto"/>
        <w:jc w:val="both"/>
        <w:rPr>
          <w:sz w:val="24"/>
          <w:szCs w:val="24"/>
        </w:rPr>
      </w:pPr>
      <w:bookmarkStart w:id="0" w:name="_Toc226325772"/>
      <w:r w:rsidRPr="004E2D43">
        <w:rPr>
          <w:sz w:val="24"/>
          <w:szCs w:val="24"/>
        </w:rPr>
        <w:lastRenderedPageBreak/>
        <w:t>Executive Summary</w:t>
      </w:r>
      <w:bookmarkEnd w:id="0"/>
    </w:p>
    <w:p w:rsidR="00A671BF" w:rsidRPr="004E2D43" w:rsidRDefault="000901BA"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In this report, we will evaluate the strategic financial position and financial performance of Tesla, Inc. within the period of the year 2019-2023. A broad financial health analysis shows that the company has made a tremendous improvement on the elements of profitability, liquidity and capital structure as high net income and low financial leverage has been replaced with losses. Nevertheless, some emerging issues like decreasing margins, stocks, and large amounts of money that are spent on the capital are recognized. The working capital analysis reveals that Tesla has operating cash conversion cycle which the company can employ owing to the direct sales concept although inventory control has to be optimized. In a bid to enhance the shareholder value and give the company the flexibility in its operations, a strategic restructuring of its financial structure is to be recommended, which will be based on divestiture, partnerships and cost reduction. A comparison of investment appraisals by using PBP, ARR, NPV, PI and IRR shows that Project C is the best viable one and rationing of the capital finance support the choice of the projects B and C as sustainable development.</w:t>
      </w:r>
    </w:p>
    <w:p w:rsidR="00A671BF" w:rsidRPr="004E2D43" w:rsidRDefault="00A671BF"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br w:type="page"/>
      </w:r>
    </w:p>
    <w:sdt>
      <w:sdtPr>
        <w:rPr>
          <w:rFonts w:ascii="Times New Roman" w:eastAsiaTheme="minorHAnsi" w:hAnsi="Times New Roman" w:cs="Times New Roman"/>
          <w:color w:val="auto"/>
          <w:sz w:val="24"/>
          <w:szCs w:val="24"/>
          <w:lang w:val="en-IN"/>
        </w:rPr>
        <w:id w:val="-1863660343"/>
        <w:docPartObj>
          <w:docPartGallery w:val="Table of Contents"/>
          <w:docPartUnique/>
        </w:docPartObj>
      </w:sdtPr>
      <w:sdtEndPr>
        <w:rPr>
          <w:b/>
          <w:bCs/>
          <w:noProof/>
        </w:rPr>
      </w:sdtEndPr>
      <w:sdtContent>
        <w:p w:rsidR="00A671BF" w:rsidRPr="004E2D43" w:rsidRDefault="00A671BF" w:rsidP="004E2D43">
          <w:pPr>
            <w:pStyle w:val="TOCHeading"/>
            <w:spacing w:line="360" w:lineRule="auto"/>
            <w:jc w:val="both"/>
            <w:rPr>
              <w:rStyle w:val="Heading1Char"/>
              <w:rFonts w:eastAsiaTheme="majorEastAsia"/>
              <w:color w:val="auto"/>
              <w:sz w:val="24"/>
              <w:szCs w:val="24"/>
            </w:rPr>
          </w:pPr>
          <w:r w:rsidRPr="004E2D43">
            <w:rPr>
              <w:rStyle w:val="Heading1Char"/>
              <w:rFonts w:eastAsiaTheme="majorEastAsia"/>
              <w:color w:val="auto"/>
              <w:sz w:val="24"/>
              <w:szCs w:val="24"/>
            </w:rPr>
            <w:t>Table of Contents</w:t>
          </w:r>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r w:rsidRPr="0070643B">
            <w:rPr>
              <w:rFonts w:ascii="Times New Roman" w:hAnsi="Times New Roman" w:cs="Times New Roman"/>
              <w:sz w:val="24"/>
              <w:szCs w:val="24"/>
            </w:rPr>
            <w:fldChar w:fldCharType="begin"/>
          </w:r>
          <w:r w:rsidR="00A671BF" w:rsidRPr="004E2D43">
            <w:rPr>
              <w:rFonts w:ascii="Times New Roman" w:hAnsi="Times New Roman" w:cs="Times New Roman"/>
              <w:sz w:val="24"/>
              <w:szCs w:val="24"/>
            </w:rPr>
            <w:instrText xml:space="preserve"> TOC \o "1-3" \h \z \u </w:instrText>
          </w:r>
          <w:r w:rsidRPr="0070643B">
            <w:rPr>
              <w:rFonts w:ascii="Times New Roman" w:hAnsi="Times New Roman" w:cs="Times New Roman"/>
              <w:sz w:val="24"/>
              <w:szCs w:val="24"/>
            </w:rPr>
            <w:fldChar w:fldCharType="separate"/>
          </w:r>
          <w:hyperlink w:anchor="_Toc226325772" w:history="1">
            <w:r w:rsidR="00A671BF" w:rsidRPr="004E2D43">
              <w:rPr>
                <w:rStyle w:val="Hyperlink"/>
                <w:rFonts w:ascii="Times New Roman" w:hAnsi="Times New Roman" w:cs="Times New Roman"/>
                <w:noProof/>
                <w:sz w:val="24"/>
                <w:szCs w:val="24"/>
              </w:rPr>
              <w:t>Executive Summary</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_Toc226325772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773" w:history="1">
            <w:r w:rsidR="00A671BF" w:rsidRPr="004E2D43">
              <w:rPr>
                <w:rStyle w:val="Hyperlink"/>
                <w:rFonts w:ascii="Times New Roman" w:hAnsi="Times New Roman" w:cs="Times New Roman"/>
                <w:noProof/>
                <w:sz w:val="24"/>
                <w:szCs w:val="24"/>
              </w:rPr>
              <w:t>Introduction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_Toc226325773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4</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774" w:history="1">
            <w:r w:rsidR="00A671BF" w:rsidRPr="004E2D43">
              <w:rPr>
                <w:rStyle w:val="Hyperlink"/>
                <w:rFonts w:ascii="Times New Roman" w:hAnsi="Times New Roman" w:cs="Times New Roman"/>
                <w:noProof/>
                <w:sz w:val="24"/>
                <w:szCs w:val="24"/>
              </w:rPr>
              <w:t>1. Financial Health Check (2019–2023)</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_Toc226325774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4</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75" w:history="1">
            <w:r w:rsidR="00A671BF" w:rsidRPr="004E2D43">
              <w:rPr>
                <w:rStyle w:val="Hyperlink"/>
                <w:rFonts w:ascii="Times New Roman" w:hAnsi="Times New Roman" w:cs="Times New Roman"/>
                <w:noProof/>
                <w:sz w:val="24"/>
                <w:szCs w:val="24"/>
              </w:rPr>
              <w:t>1.1 Profitability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_Toc226325775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4</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76" w:history="1">
            <w:r w:rsidR="00A671BF" w:rsidRPr="004E2D43">
              <w:rPr>
                <w:rStyle w:val="Hyperlink"/>
                <w:rFonts w:ascii="Times New Roman" w:hAnsi="Times New Roman" w:cs="Times New Roman"/>
                <w:noProof/>
                <w:sz w:val="24"/>
                <w:szCs w:val="24"/>
              </w:rPr>
              <w:t>1.2 Liquidity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_Toc226325776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7</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77" w:history="1">
            <w:r w:rsidR="00A671BF" w:rsidRPr="004E2D43">
              <w:rPr>
                <w:rStyle w:val="Hyperlink"/>
                <w:rFonts w:ascii="Times New Roman" w:hAnsi="Times New Roman" w:cs="Times New Roman"/>
                <w:noProof/>
                <w:sz w:val="24"/>
                <w:szCs w:val="24"/>
              </w:rPr>
              <w:t>1.3 Efficiency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_Toc226325777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8</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78" w:history="1">
            <w:r w:rsidR="00A671BF" w:rsidRPr="004E2D43">
              <w:rPr>
                <w:rStyle w:val="Hyperlink"/>
                <w:rFonts w:ascii="Times New Roman" w:hAnsi="Times New Roman" w:cs="Times New Roman"/>
                <w:noProof/>
                <w:sz w:val="24"/>
                <w:szCs w:val="24"/>
              </w:rPr>
              <w:t>1.4 Gearing (Leverage)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_Toc226325778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10</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79" w:history="1">
            <w:r w:rsidR="00A671BF" w:rsidRPr="004E2D43">
              <w:rPr>
                <w:rStyle w:val="Hyperlink"/>
                <w:rFonts w:ascii="Times New Roman" w:hAnsi="Times New Roman" w:cs="Times New Roman"/>
                <w:noProof/>
                <w:sz w:val="24"/>
                <w:szCs w:val="24"/>
              </w:rPr>
              <w:t>1.5 Investment Ratios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_Toc226325779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12</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0" w:history="1">
            <w:r w:rsidR="00A671BF" w:rsidRPr="004E2D43">
              <w:rPr>
                <w:rStyle w:val="Hyperlink"/>
                <w:rFonts w:ascii="Times New Roman" w:hAnsi="Times New Roman" w:cs="Times New Roman"/>
                <w:noProof/>
                <w:sz w:val="24"/>
                <w:szCs w:val="24"/>
              </w:rPr>
              <w:t>1.6 Cash Flow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_Toc226325780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13</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1" w:history="1">
            <w:r w:rsidR="00A671BF" w:rsidRPr="004E2D43">
              <w:rPr>
                <w:rStyle w:val="Hyperlink"/>
                <w:rFonts w:ascii="Times New Roman" w:hAnsi="Times New Roman" w:cs="Times New Roman"/>
                <w:noProof/>
                <w:sz w:val="24"/>
                <w:szCs w:val="24"/>
              </w:rPr>
              <w:t>1.7 Overall Trend Analysis, Strengths, and Threats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_Toc226325781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15</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2" w:history="1">
            <w:r w:rsidR="00A671BF" w:rsidRPr="004E2D43">
              <w:rPr>
                <w:rStyle w:val="Hyperlink"/>
                <w:rFonts w:ascii="Times New Roman" w:hAnsi="Times New Roman" w:cs="Times New Roman"/>
                <w:noProof/>
                <w:sz w:val="24"/>
                <w:szCs w:val="24"/>
              </w:rPr>
              <w:t>1.8 Summary of Financial Health</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_Toc226325782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16</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783" w:history="1">
            <w:r w:rsidR="00A671BF" w:rsidRPr="004E2D43">
              <w:rPr>
                <w:rStyle w:val="Hyperlink"/>
                <w:rFonts w:ascii="Times New Roman" w:hAnsi="Times New Roman" w:cs="Times New Roman"/>
                <w:noProof/>
                <w:sz w:val="24"/>
                <w:szCs w:val="24"/>
              </w:rPr>
              <w:t>2. Working Capital Management Analysis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_Toc226325783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16</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4" w:history="1">
            <w:r w:rsidR="00A671BF" w:rsidRPr="004E2D43">
              <w:rPr>
                <w:rStyle w:val="Hyperlink"/>
                <w:rFonts w:ascii="Times New Roman" w:hAnsi="Times New Roman" w:cs="Times New Roman"/>
                <w:noProof/>
                <w:sz w:val="24"/>
                <w:szCs w:val="24"/>
              </w:rPr>
              <w:t>2.1 Cash Operating Cycle (Cash Conversion Cycle – CCC)</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_Toc226325784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16</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5" w:history="1">
            <w:r w:rsidR="00A671BF" w:rsidRPr="004E2D43">
              <w:rPr>
                <w:rStyle w:val="Hyperlink"/>
                <w:rFonts w:ascii="Times New Roman" w:hAnsi="Times New Roman" w:cs="Times New Roman"/>
                <w:noProof/>
                <w:sz w:val="24"/>
                <w:szCs w:val="24"/>
              </w:rPr>
              <w:t>2.2 Strategies to Improve Liquidity through Working Capital Reforms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_Toc226325785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17</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6" w:history="1">
            <w:r w:rsidR="00A671BF" w:rsidRPr="004E2D43">
              <w:rPr>
                <w:rStyle w:val="Hyperlink"/>
                <w:rFonts w:ascii="Times New Roman" w:hAnsi="Times New Roman" w:cs="Times New Roman"/>
                <w:noProof/>
                <w:sz w:val="24"/>
                <w:szCs w:val="24"/>
              </w:rPr>
              <w:t>2.3 Short-Term vs Long-Term Financing Options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_Toc226325786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18</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787" w:history="1">
            <w:r w:rsidR="00A671BF" w:rsidRPr="004E2D43">
              <w:rPr>
                <w:rStyle w:val="Hyperlink"/>
                <w:rFonts w:ascii="Times New Roman" w:hAnsi="Times New Roman" w:cs="Times New Roman"/>
                <w:noProof/>
                <w:sz w:val="24"/>
                <w:szCs w:val="24"/>
              </w:rPr>
              <w:t>3. Strategic Financial Restructuring Plan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_Toc226325787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19</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8" w:history="1">
            <w:r w:rsidR="00A671BF" w:rsidRPr="004E2D43">
              <w:rPr>
                <w:rStyle w:val="Hyperlink"/>
                <w:rFonts w:ascii="Times New Roman" w:hAnsi="Times New Roman" w:cs="Times New Roman"/>
                <w:noProof/>
                <w:sz w:val="24"/>
                <w:szCs w:val="24"/>
              </w:rPr>
              <w:t>3.1 Recommended Financial Restructuring Options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_Toc226325788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19</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89" w:history="1">
            <w:r w:rsidR="00A671BF" w:rsidRPr="004E2D43">
              <w:rPr>
                <w:rStyle w:val="Hyperlink"/>
                <w:rFonts w:ascii="Times New Roman" w:hAnsi="Times New Roman" w:cs="Times New Roman"/>
                <w:noProof/>
                <w:sz w:val="24"/>
                <w:szCs w:val="24"/>
              </w:rPr>
              <w:t>3.2 Impact on Shareholder Value, Debt Structure, and Operational Flexibility</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_Toc226325789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20</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0" w:history="1">
            <w:r w:rsidR="00A671BF" w:rsidRPr="004E2D43">
              <w:rPr>
                <w:rStyle w:val="Hyperlink"/>
                <w:rFonts w:ascii="Times New Roman" w:hAnsi="Times New Roman" w:cs="Times New Roman"/>
                <w:noProof/>
                <w:sz w:val="24"/>
                <w:szCs w:val="24"/>
              </w:rPr>
              <w:t>3.3 International and Ethical Considerations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_Toc226325790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20</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791" w:history="1">
            <w:r w:rsidR="00A671BF" w:rsidRPr="004E2D43">
              <w:rPr>
                <w:rStyle w:val="Hyperlink"/>
                <w:rFonts w:ascii="Times New Roman" w:hAnsi="Times New Roman" w:cs="Times New Roman"/>
                <w:noProof/>
                <w:sz w:val="24"/>
                <w:szCs w:val="24"/>
              </w:rPr>
              <w:t>4. Investment Appraisal and Capital Budgeting</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_Toc226325791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21</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2" w:history="1">
            <w:r w:rsidR="00A671BF" w:rsidRPr="004E2D43">
              <w:rPr>
                <w:rStyle w:val="Hyperlink"/>
                <w:rFonts w:ascii="Times New Roman" w:hAnsi="Times New Roman" w:cs="Times New Roman"/>
                <w:noProof/>
                <w:sz w:val="24"/>
                <w:szCs w:val="24"/>
              </w:rPr>
              <w:t>4.1 Project Overview and Assumptions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_Toc226325792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21</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3" w:history="1">
            <w:r w:rsidR="00A671BF" w:rsidRPr="004E2D43">
              <w:rPr>
                <w:rStyle w:val="Hyperlink"/>
                <w:rFonts w:ascii="Times New Roman" w:hAnsi="Times New Roman" w:cs="Times New Roman"/>
                <w:noProof/>
                <w:sz w:val="24"/>
                <w:szCs w:val="24"/>
              </w:rPr>
              <w:t>4.2 Payback Period (PBP) Calculation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_Toc226325793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22</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4" w:history="1">
            <w:r w:rsidR="00A671BF" w:rsidRPr="004E2D43">
              <w:rPr>
                <w:rStyle w:val="Hyperlink"/>
                <w:rFonts w:ascii="Times New Roman" w:hAnsi="Times New Roman" w:cs="Times New Roman"/>
                <w:noProof/>
                <w:sz w:val="24"/>
                <w:szCs w:val="24"/>
              </w:rPr>
              <w:t>4.3 Accounting Rate of Return (ARR)</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_Toc226325794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23</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5" w:history="1">
            <w:r w:rsidR="00A671BF" w:rsidRPr="004E2D43">
              <w:rPr>
                <w:rStyle w:val="Hyperlink"/>
                <w:rFonts w:ascii="Times New Roman" w:hAnsi="Times New Roman" w:cs="Times New Roman"/>
                <w:noProof/>
                <w:sz w:val="24"/>
                <w:szCs w:val="24"/>
              </w:rPr>
              <w:t>4.4 Net Present Value (NPV) Calculation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_Toc226325795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24</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6" w:history="1">
            <w:r w:rsidR="00A671BF" w:rsidRPr="004E2D43">
              <w:rPr>
                <w:rStyle w:val="Hyperlink"/>
                <w:rFonts w:ascii="Times New Roman" w:hAnsi="Times New Roman" w:cs="Times New Roman"/>
                <w:noProof/>
                <w:sz w:val="24"/>
                <w:szCs w:val="24"/>
              </w:rPr>
              <w:t>4.5 Profitability Index (PI)</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_Toc226325796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25</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7" w:history="1">
            <w:r w:rsidR="00A671BF" w:rsidRPr="004E2D43">
              <w:rPr>
                <w:rStyle w:val="Hyperlink"/>
                <w:rFonts w:ascii="Times New Roman" w:hAnsi="Times New Roman" w:cs="Times New Roman"/>
                <w:noProof/>
                <w:sz w:val="24"/>
                <w:szCs w:val="24"/>
              </w:rPr>
              <w:t>4.6 Internal Rate of Return (IRR)</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_Toc226325797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25</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8" w:history="1">
            <w:r w:rsidR="00A671BF" w:rsidRPr="004E2D43">
              <w:rPr>
                <w:rStyle w:val="Hyperlink"/>
                <w:rFonts w:ascii="Times New Roman" w:hAnsi="Times New Roman" w:cs="Times New Roman"/>
                <w:noProof/>
                <w:sz w:val="24"/>
                <w:szCs w:val="24"/>
              </w:rPr>
              <w:t>4.7 Overall Project Comparison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_Toc226325798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26</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799" w:history="1">
            <w:r w:rsidR="00A671BF" w:rsidRPr="004E2D43">
              <w:rPr>
                <w:rStyle w:val="Hyperlink"/>
                <w:rFonts w:ascii="Times New Roman" w:hAnsi="Times New Roman" w:cs="Times New Roman"/>
                <w:noProof/>
                <w:sz w:val="24"/>
                <w:szCs w:val="24"/>
              </w:rPr>
              <w:t>4.8 Recommended Project</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_Toc226325799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26</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800" w:history="1">
            <w:r w:rsidR="00A671BF" w:rsidRPr="004E2D43">
              <w:rPr>
                <w:rStyle w:val="Hyperlink"/>
                <w:rFonts w:ascii="Times New Roman" w:hAnsi="Times New Roman" w:cs="Times New Roman"/>
                <w:noProof/>
                <w:sz w:val="24"/>
                <w:szCs w:val="24"/>
              </w:rPr>
              <w:t>4.9 Capital Rationing Decision (Budget = £100m)</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_Toc226325800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27</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2"/>
            <w:tabs>
              <w:tab w:val="right" w:leader="dot" w:pos="9016"/>
            </w:tabs>
            <w:spacing w:line="360" w:lineRule="auto"/>
            <w:jc w:val="both"/>
            <w:rPr>
              <w:rFonts w:ascii="Times New Roman" w:hAnsi="Times New Roman" w:cs="Times New Roman"/>
              <w:noProof/>
              <w:sz w:val="24"/>
              <w:szCs w:val="24"/>
            </w:rPr>
          </w:pPr>
          <w:hyperlink w:anchor="_Toc226325801" w:history="1">
            <w:r w:rsidR="00A671BF" w:rsidRPr="004E2D43">
              <w:rPr>
                <w:rStyle w:val="Hyperlink"/>
                <w:rFonts w:ascii="Times New Roman" w:hAnsi="Times New Roman" w:cs="Times New Roman"/>
                <w:noProof/>
                <w:sz w:val="24"/>
                <w:szCs w:val="24"/>
              </w:rPr>
              <w:t>4.10 Final Evaluation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_Toc226325801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27</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802" w:history="1">
            <w:r w:rsidR="00A671BF" w:rsidRPr="004E2D43">
              <w:rPr>
                <w:rStyle w:val="Hyperlink"/>
                <w:rFonts w:ascii="Times New Roman" w:hAnsi="Times New Roman" w:cs="Times New Roman"/>
                <w:noProof/>
                <w:sz w:val="24"/>
                <w:szCs w:val="24"/>
              </w:rPr>
              <w:t>Conclusion</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_Toc226325802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28</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803" w:history="1">
            <w:r w:rsidR="00A671BF" w:rsidRPr="004E2D43">
              <w:rPr>
                <w:rStyle w:val="Hyperlink"/>
                <w:rFonts w:ascii="Times New Roman" w:hAnsi="Times New Roman" w:cs="Times New Roman"/>
                <w:noProof/>
                <w:sz w:val="24"/>
                <w:szCs w:val="24"/>
              </w:rPr>
              <w:t>References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_Toc226325803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29</w:t>
            </w:r>
            <w:r w:rsidRPr="004E2D43">
              <w:rPr>
                <w:rFonts w:ascii="Times New Roman" w:hAnsi="Times New Roman" w:cs="Times New Roman"/>
                <w:noProof/>
                <w:webHidden/>
                <w:sz w:val="24"/>
                <w:szCs w:val="24"/>
              </w:rPr>
              <w:fldChar w:fldCharType="end"/>
            </w:r>
          </w:hyperlink>
        </w:p>
        <w:p w:rsidR="00A671BF" w:rsidRPr="004E2D43" w:rsidRDefault="0070643B" w:rsidP="004E2D43">
          <w:pPr>
            <w:pStyle w:val="TOC1"/>
            <w:tabs>
              <w:tab w:val="right" w:leader="dot" w:pos="9016"/>
            </w:tabs>
            <w:spacing w:line="360" w:lineRule="auto"/>
            <w:jc w:val="both"/>
            <w:rPr>
              <w:rFonts w:ascii="Times New Roman" w:hAnsi="Times New Roman" w:cs="Times New Roman"/>
              <w:noProof/>
              <w:sz w:val="24"/>
              <w:szCs w:val="24"/>
            </w:rPr>
          </w:pPr>
          <w:hyperlink w:anchor="_Toc226325804" w:history="1">
            <w:r w:rsidR="00A671BF" w:rsidRPr="004E2D43">
              <w:rPr>
                <w:rStyle w:val="Hyperlink"/>
                <w:rFonts w:ascii="Times New Roman" w:hAnsi="Times New Roman" w:cs="Times New Roman"/>
                <w:noProof/>
                <w:sz w:val="24"/>
                <w:szCs w:val="24"/>
              </w:rPr>
              <w:t>Appendices</w:t>
            </w:r>
            <w:r w:rsidR="00A671BF" w:rsidRPr="004E2D43">
              <w:rPr>
                <w:rFonts w:ascii="Times New Roman" w:hAnsi="Times New Roman" w:cs="Times New Roman"/>
                <w:noProof/>
                <w:webHidden/>
                <w:sz w:val="24"/>
                <w:szCs w:val="24"/>
              </w:rPr>
              <w:tab/>
            </w:r>
            <w:r w:rsidRPr="004E2D43">
              <w:rPr>
                <w:rFonts w:ascii="Times New Roman" w:hAnsi="Times New Roman" w:cs="Times New Roman"/>
                <w:noProof/>
                <w:webHidden/>
                <w:sz w:val="24"/>
                <w:szCs w:val="24"/>
              </w:rPr>
              <w:fldChar w:fldCharType="begin"/>
            </w:r>
            <w:r w:rsidR="00A671BF" w:rsidRPr="004E2D43">
              <w:rPr>
                <w:rFonts w:ascii="Times New Roman" w:hAnsi="Times New Roman" w:cs="Times New Roman"/>
                <w:noProof/>
                <w:webHidden/>
                <w:sz w:val="24"/>
                <w:szCs w:val="24"/>
              </w:rPr>
              <w:instrText xml:space="preserve"> PAGEREF _Toc226325804 \h </w:instrText>
            </w:r>
            <w:r w:rsidRPr="004E2D43">
              <w:rPr>
                <w:rFonts w:ascii="Times New Roman" w:hAnsi="Times New Roman" w:cs="Times New Roman"/>
                <w:noProof/>
                <w:webHidden/>
                <w:sz w:val="24"/>
                <w:szCs w:val="24"/>
              </w:rPr>
            </w:r>
            <w:r w:rsidRPr="004E2D43">
              <w:rPr>
                <w:rFonts w:ascii="Times New Roman" w:hAnsi="Times New Roman" w:cs="Times New Roman"/>
                <w:noProof/>
                <w:webHidden/>
                <w:sz w:val="24"/>
                <w:szCs w:val="24"/>
              </w:rPr>
              <w:fldChar w:fldCharType="separate"/>
            </w:r>
            <w:r w:rsidR="00A671BF" w:rsidRPr="004E2D43">
              <w:rPr>
                <w:rFonts w:ascii="Times New Roman" w:hAnsi="Times New Roman" w:cs="Times New Roman"/>
                <w:noProof/>
                <w:webHidden/>
                <w:sz w:val="24"/>
                <w:szCs w:val="24"/>
              </w:rPr>
              <w:t>32</w:t>
            </w:r>
            <w:r w:rsidRPr="004E2D43">
              <w:rPr>
                <w:rFonts w:ascii="Times New Roman" w:hAnsi="Times New Roman" w:cs="Times New Roman"/>
                <w:noProof/>
                <w:webHidden/>
                <w:sz w:val="24"/>
                <w:szCs w:val="24"/>
              </w:rPr>
              <w:fldChar w:fldCharType="end"/>
            </w:r>
          </w:hyperlink>
        </w:p>
        <w:p w:rsidR="00A671BF" w:rsidRPr="004E2D43" w:rsidRDefault="0070643B" w:rsidP="004E2D43">
          <w:pPr>
            <w:spacing w:line="360" w:lineRule="auto"/>
            <w:jc w:val="both"/>
            <w:rPr>
              <w:rFonts w:ascii="Times New Roman" w:hAnsi="Times New Roman" w:cs="Times New Roman"/>
              <w:sz w:val="24"/>
              <w:szCs w:val="24"/>
            </w:rPr>
          </w:pPr>
          <w:r w:rsidRPr="004E2D43">
            <w:rPr>
              <w:rFonts w:ascii="Times New Roman" w:hAnsi="Times New Roman" w:cs="Times New Roman"/>
              <w:b/>
              <w:bCs/>
              <w:noProof/>
              <w:sz w:val="24"/>
              <w:szCs w:val="24"/>
            </w:rPr>
            <w:fldChar w:fldCharType="end"/>
          </w:r>
        </w:p>
      </w:sdtContent>
    </w:sdt>
    <w:p w:rsidR="000901BA" w:rsidRPr="004E2D43" w:rsidRDefault="000901BA" w:rsidP="004E2D43">
      <w:pPr>
        <w:spacing w:line="360" w:lineRule="auto"/>
        <w:jc w:val="both"/>
        <w:rPr>
          <w:rFonts w:ascii="Times New Roman" w:hAnsi="Times New Roman" w:cs="Times New Roman"/>
          <w:sz w:val="24"/>
          <w:szCs w:val="24"/>
          <w:lang w:eastAsia="en-IN"/>
        </w:rPr>
      </w:pPr>
    </w:p>
    <w:p w:rsidR="000901BA" w:rsidRPr="004E2D43" w:rsidRDefault="000901BA" w:rsidP="004E2D43">
      <w:pPr>
        <w:spacing w:line="360" w:lineRule="auto"/>
        <w:jc w:val="both"/>
        <w:rPr>
          <w:rFonts w:ascii="Times New Roman" w:hAnsi="Times New Roman" w:cs="Times New Roman"/>
          <w:sz w:val="24"/>
          <w:szCs w:val="24"/>
          <w:lang w:eastAsia="en-IN"/>
        </w:rPr>
      </w:pPr>
    </w:p>
    <w:p w:rsidR="00A64018" w:rsidRPr="004E2D43" w:rsidRDefault="00A6401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p>
    <w:p w:rsidR="00CD7157" w:rsidRPr="004E2D43" w:rsidRDefault="00CD7157" w:rsidP="004E2D43">
      <w:pPr>
        <w:spacing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br w:type="page"/>
      </w:r>
    </w:p>
    <w:p w:rsidR="00A64018" w:rsidRPr="004E2D43" w:rsidRDefault="00A64018" w:rsidP="004E2D43">
      <w:pPr>
        <w:pStyle w:val="Heading1"/>
        <w:spacing w:line="360" w:lineRule="auto"/>
        <w:jc w:val="both"/>
        <w:rPr>
          <w:sz w:val="24"/>
          <w:szCs w:val="24"/>
        </w:rPr>
      </w:pPr>
      <w:bookmarkStart w:id="1" w:name="_Toc226325773"/>
      <w:r w:rsidRPr="004E2D43">
        <w:rPr>
          <w:sz w:val="24"/>
          <w:szCs w:val="24"/>
        </w:rPr>
        <w:lastRenderedPageBreak/>
        <w:t>Introduction</w:t>
      </w:r>
      <w:bookmarkEnd w:id="1"/>
    </w:p>
    <w:p w:rsidR="00A6401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The report will provide a financial and strategic analysis of Tesla, Inc. which is among the global leaders in the electric vehicle production enterprise</w:t>
      </w:r>
      <w:r w:rsidR="001D315E" w:rsidRPr="004E2D43">
        <w:rPr>
          <w:rFonts w:ascii="Times New Roman" w:eastAsia="Times New Roman" w:hAnsi="Times New Roman" w:cs="Times New Roman"/>
          <w:sz w:val="24"/>
          <w:szCs w:val="24"/>
          <w:lang w:eastAsia="en-IN"/>
        </w:rPr>
        <w:t>(Aduama, Al-Sumaiti and Al-Hosani, 2023)</w:t>
      </w:r>
      <w:r w:rsidRPr="004E2D43">
        <w:rPr>
          <w:rFonts w:ascii="Times New Roman" w:hAnsi="Times New Roman" w:cs="Times New Roman"/>
          <w:sz w:val="24"/>
          <w:szCs w:val="24"/>
          <w:lang w:eastAsia="en-IN"/>
        </w:rPr>
        <w:t>. The research assesses the financial performance of the company within the five years between 2019 and 2023 based on the key financial ratios, including profitability, liquidity, efficiency, and gearing. It further examines the working capital management of Tesla as a way of establishing its operational effectiveness and liquidity status. In addition to this, the report also defines a strategic financial reorganization program that may increase the financial stability index of the firm in the long run region and global expansion capability</w:t>
      </w:r>
      <w:r w:rsidR="001D315E" w:rsidRPr="004E2D43">
        <w:rPr>
          <w:rFonts w:ascii="Times New Roman" w:eastAsia="Times New Roman" w:hAnsi="Times New Roman" w:cs="Times New Roman"/>
          <w:sz w:val="24"/>
          <w:szCs w:val="24"/>
          <w:lang w:eastAsia="en-IN"/>
        </w:rPr>
        <w:t>(Alami, et al., 2025)</w:t>
      </w:r>
      <w:r w:rsidRPr="004E2D43">
        <w:rPr>
          <w:rFonts w:ascii="Times New Roman" w:hAnsi="Times New Roman" w:cs="Times New Roman"/>
          <w:sz w:val="24"/>
          <w:szCs w:val="24"/>
          <w:lang w:eastAsia="en-IN"/>
        </w:rPr>
        <w:t>. Finally, the investment Appraisal methods such as Payback Period, Net Present Value, Internal rate of return, Profitability index and Accounting rate of return are also practiced to identify the potential projects and assist in making capital budgeting decisions in the conditions of financial limitations.</w:t>
      </w:r>
    </w:p>
    <w:p w:rsidR="009B7828" w:rsidRPr="004E2D43" w:rsidRDefault="009B7828" w:rsidP="004E2D43">
      <w:pPr>
        <w:pStyle w:val="Heading1"/>
        <w:spacing w:line="360" w:lineRule="auto"/>
        <w:jc w:val="both"/>
        <w:rPr>
          <w:sz w:val="24"/>
          <w:szCs w:val="24"/>
        </w:rPr>
      </w:pPr>
      <w:bookmarkStart w:id="2" w:name="_Toc226325774"/>
      <w:r w:rsidRPr="004E2D43">
        <w:rPr>
          <w:sz w:val="24"/>
          <w:szCs w:val="24"/>
        </w:rPr>
        <w:t>1. Financial Health Check (2019–2023)</w:t>
      </w:r>
      <w:bookmarkEnd w:id="2"/>
    </w:p>
    <w:tbl>
      <w:tblPr>
        <w:tblW w:w="9072" w:type="dxa"/>
        <w:tblCellSpacing w:w="15" w:type="dxa"/>
        <w:tblCellMar>
          <w:top w:w="15" w:type="dxa"/>
          <w:left w:w="15" w:type="dxa"/>
          <w:bottom w:w="15" w:type="dxa"/>
          <w:right w:w="15" w:type="dxa"/>
        </w:tblCellMar>
        <w:tblLook w:val="04A0"/>
      </w:tblPr>
      <w:tblGrid>
        <w:gridCol w:w="2682"/>
        <w:gridCol w:w="1146"/>
        <w:gridCol w:w="1134"/>
        <w:gridCol w:w="1275"/>
        <w:gridCol w:w="1418"/>
        <w:gridCol w:w="1417"/>
      </w:tblGrid>
      <w:tr w:rsidR="00112469" w:rsidRPr="004E2D43" w:rsidTr="00AE2B47">
        <w:trPr>
          <w:tblHeader/>
          <w:tblCellSpacing w:w="15" w:type="dxa"/>
        </w:trPr>
        <w:tc>
          <w:tcPr>
            <w:tcW w:w="0" w:type="auto"/>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Variable</w:t>
            </w:r>
          </w:p>
        </w:tc>
        <w:tc>
          <w:tcPr>
            <w:tcW w:w="1116" w:type="dxa"/>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2019</w:t>
            </w:r>
          </w:p>
        </w:tc>
        <w:tc>
          <w:tcPr>
            <w:tcW w:w="1104" w:type="dxa"/>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2020</w:t>
            </w:r>
          </w:p>
        </w:tc>
        <w:tc>
          <w:tcPr>
            <w:tcW w:w="1245" w:type="dxa"/>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2021</w:t>
            </w:r>
          </w:p>
        </w:tc>
        <w:tc>
          <w:tcPr>
            <w:tcW w:w="1388" w:type="dxa"/>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2022</w:t>
            </w:r>
          </w:p>
        </w:tc>
        <w:tc>
          <w:tcPr>
            <w:tcW w:w="1372" w:type="dxa"/>
            <w:vAlign w:val="center"/>
            <w:hideMark/>
          </w:tcPr>
          <w:p w:rsidR="00112469" w:rsidRPr="004E2D43" w:rsidRDefault="00112469" w:rsidP="00AE2B47">
            <w:pPr>
              <w:spacing w:after="0" w:line="360" w:lineRule="auto"/>
              <w:jc w:val="center"/>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2023</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Revenue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24,578</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31,536</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53,823</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81,462</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96,773</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Gross Profit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4,070</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6,629</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13,604</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20,853</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17,660</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Net Profit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-862</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721</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5,519</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12,556</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14,997</w:t>
            </w:r>
          </w:p>
        </w:tc>
      </w:tr>
      <w:tr w:rsidR="00955C74" w:rsidRPr="004E2D43" w:rsidTr="00AE2B47">
        <w:trPr>
          <w:tblCellSpacing w:w="15" w:type="dxa"/>
        </w:trPr>
        <w:tc>
          <w:tcPr>
            <w:tcW w:w="0" w:type="auto"/>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Equity ($M)</w:t>
            </w:r>
          </w:p>
        </w:tc>
        <w:tc>
          <w:tcPr>
            <w:tcW w:w="1116" w:type="dxa"/>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8,200</w:t>
            </w:r>
          </w:p>
        </w:tc>
        <w:tc>
          <w:tcPr>
            <w:tcW w:w="1104" w:type="dxa"/>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23,700</w:t>
            </w:r>
          </w:p>
        </w:tc>
        <w:tc>
          <w:tcPr>
            <w:tcW w:w="1245" w:type="dxa"/>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31,600</w:t>
            </w:r>
          </w:p>
        </w:tc>
        <w:tc>
          <w:tcPr>
            <w:tcW w:w="1388" w:type="dxa"/>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45,900</w:t>
            </w:r>
          </w:p>
        </w:tc>
        <w:tc>
          <w:tcPr>
            <w:tcW w:w="1372" w:type="dxa"/>
            <w:vAlign w:val="center"/>
          </w:tcPr>
          <w:p w:rsidR="00955C74" w:rsidRPr="004E2D43" w:rsidRDefault="00955C7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63,600</w:t>
            </w:r>
          </w:p>
        </w:tc>
      </w:tr>
      <w:tr w:rsidR="004C6AB6" w:rsidRPr="004E2D43" w:rsidTr="00AE2B47">
        <w:trPr>
          <w:tblCellSpacing w:w="15" w:type="dxa"/>
        </w:trPr>
        <w:tc>
          <w:tcPr>
            <w:tcW w:w="0" w:type="auto"/>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EBIT ($M)</w:t>
            </w:r>
          </w:p>
        </w:tc>
        <w:tc>
          <w:tcPr>
            <w:tcW w:w="1116"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-69</w:t>
            </w:r>
          </w:p>
        </w:tc>
        <w:tc>
          <w:tcPr>
            <w:tcW w:w="1104"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1,994</w:t>
            </w:r>
          </w:p>
        </w:tc>
        <w:tc>
          <w:tcPr>
            <w:tcW w:w="1245"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6,523</w:t>
            </w:r>
          </w:p>
        </w:tc>
        <w:tc>
          <w:tcPr>
            <w:tcW w:w="1388"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13,656</w:t>
            </w:r>
          </w:p>
        </w:tc>
        <w:tc>
          <w:tcPr>
            <w:tcW w:w="1372"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8,891</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Current Assets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14,876</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26,717</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30,548</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40,917</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49,616</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Inventory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3,415</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4,101</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5,757</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12,839</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13,626</w:t>
            </w:r>
          </w:p>
        </w:tc>
      </w:tr>
      <w:tr w:rsidR="004C6AB6" w:rsidRPr="004E2D43" w:rsidTr="00AE2B47">
        <w:trPr>
          <w:tblCellSpacing w:w="15" w:type="dxa"/>
        </w:trPr>
        <w:tc>
          <w:tcPr>
            <w:tcW w:w="0" w:type="auto"/>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Interest Expense ($M)</w:t>
            </w:r>
          </w:p>
        </w:tc>
        <w:tc>
          <w:tcPr>
            <w:tcW w:w="1116"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685</w:t>
            </w:r>
          </w:p>
        </w:tc>
        <w:tc>
          <w:tcPr>
            <w:tcW w:w="1104"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748</w:t>
            </w:r>
          </w:p>
        </w:tc>
        <w:tc>
          <w:tcPr>
            <w:tcW w:w="1245"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371</w:t>
            </w:r>
          </w:p>
        </w:tc>
        <w:tc>
          <w:tcPr>
            <w:tcW w:w="1388"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191</w:t>
            </w:r>
          </w:p>
        </w:tc>
        <w:tc>
          <w:tcPr>
            <w:tcW w:w="1372" w:type="dxa"/>
            <w:vAlign w:val="center"/>
          </w:tcPr>
          <w:p w:rsidR="004C6AB6" w:rsidRPr="004E2D43" w:rsidRDefault="004C6AB6"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156</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Current Liabilities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12,130</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14,248</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19,705</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26,709</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28,748</w:t>
            </w:r>
          </w:p>
        </w:tc>
      </w:tr>
      <w:tr w:rsidR="004E585D" w:rsidRPr="004E2D43" w:rsidTr="00AE2B47">
        <w:trPr>
          <w:tblCellSpacing w:w="15" w:type="dxa"/>
        </w:trPr>
        <w:tc>
          <w:tcPr>
            <w:tcW w:w="0" w:type="auto"/>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Quick Assets ($M)</w:t>
            </w:r>
          </w:p>
        </w:tc>
        <w:tc>
          <w:tcPr>
            <w:tcW w:w="1116" w:type="dxa"/>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8,551</w:t>
            </w:r>
          </w:p>
        </w:tc>
        <w:tc>
          <w:tcPr>
            <w:tcW w:w="1104" w:type="dxa"/>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22,616</w:t>
            </w:r>
          </w:p>
        </w:tc>
        <w:tc>
          <w:tcPr>
            <w:tcW w:w="1245" w:type="dxa"/>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24,791</w:t>
            </w:r>
          </w:p>
        </w:tc>
        <w:tc>
          <w:tcPr>
            <w:tcW w:w="1388" w:type="dxa"/>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28,078</w:t>
            </w:r>
          </w:p>
        </w:tc>
        <w:tc>
          <w:tcPr>
            <w:tcW w:w="1372" w:type="dxa"/>
            <w:vAlign w:val="center"/>
          </w:tcPr>
          <w:p w:rsidR="004E585D" w:rsidRPr="004E2D43" w:rsidRDefault="004E585D"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35,990</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Total Assets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34,309</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52,148</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62,131</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82,338</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106,618</w:t>
            </w:r>
          </w:p>
        </w:tc>
      </w:tr>
      <w:tr w:rsidR="00B241B4" w:rsidRPr="004E2D43" w:rsidTr="00AE2B47">
        <w:trPr>
          <w:tblCellSpacing w:w="15" w:type="dxa"/>
        </w:trPr>
        <w:tc>
          <w:tcPr>
            <w:tcW w:w="0" w:type="auto"/>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Total Debt ($M)</w:t>
            </w:r>
          </w:p>
        </w:tc>
        <w:tc>
          <w:tcPr>
            <w:tcW w:w="1116" w:type="dxa"/>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13,719</w:t>
            </w:r>
          </w:p>
        </w:tc>
        <w:tc>
          <w:tcPr>
            <w:tcW w:w="1104" w:type="dxa"/>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13,354</w:t>
            </w:r>
          </w:p>
        </w:tc>
        <w:tc>
          <w:tcPr>
            <w:tcW w:w="1245" w:type="dxa"/>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8,879</w:t>
            </w:r>
          </w:p>
        </w:tc>
        <w:tc>
          <w:tcPr>
            <w:tcW w:w="1388" w:type="dxa"/>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5,574</w:t>
            </w:r>
          </w:p>
        </w:tc>
        <w:tc>
          <w:tcPr>
            <w:tcW w:w="1372" w:type="dxa"/>
            <w:vAlign w:val="center"/>
          </w:tcPr>
          <w:p w:rsidR="00B241B4" w:rsidRPr="004E2D43" w:rsidRDefault="00B241B4"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4,585</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Cost of Goods Sold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20,508</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24,907</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40,219</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60,609</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79,113</w:t>
            </w:r>
          </w:p>
        </w:tc>
      </w:tr>
      <w:tr w:rsidR="00112469" w:rsidRPr="004E2D43" w:rsidTr="00AE2B47">
        <w:trPr>
          <w:tblCellSpacing w:w="15" w:type="dxa"/>
        </w:trPr>
        <w:tc>
          <w:tcPr>
            <w:tcW w:w="0" w:type="auto"/>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Operating Cash Flow ($M)</w:t>
            </w:r>
          </w:p>
        </w:tc>
        <w:tc>
          <w:tcPr>
            <w:tcW w:w="1116"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2,405</w:t>
            </w:r>
          </w:p>
        </w:tc>
        <w:tc>
          <w:tcPr>
            <w:tcW w:w="1104"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5,943</w:t>
            </w:r>
          </w:p>
        </w:tc>
        <w:tc>
          <w:tcPr>
            <w:tcW w:w="1245"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11,497</w:t>
            </w:r>
          </w:p>
        </w:tc>
        <w:tc>
          <w:tcPr>
            <w:tcW w:w="1388"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14,724</w:t>
            </w:r>
          </w:p>
        </w:tc>
        <w:tc>
          <w:tcPr>
            <w:tcW w:w="1372" w:type="dxa"/>
            <w:vAlign w:val="center"/>
            <w:hideMark/>
          </w:tcPr>
          <w:p w:rsidR="00112469" w:rsidRPr="004E2D43" w:rsidRDefault="00112469"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13,256</w:t>
            </w:r>
          </w:p>
        </w:tc>
      </w:tr>
    </w:tbl>
    <w:p w:rsidR="00112469" w:rsidRPr="004E2D43" w:rsidRDefault="00112469"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lastRenderedPageBreak/>
        <w:t>Table 1: Base financial data (2019-2023)</w:t>
      </w:r>
    </w:p>
    <w:p w:rsidR="004C6AB6" w:rsidRPr="004E2D43" w:rsidRDefault="00112469"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 xml:space="preserve">Source: </w:t>
      </w:r>
      <w:r w:rsidR="001D315E" w:rsidRPr="004E2D43">
        <w:rPr>
          <w:rFonts w:ascii="Times New Roman" w:eastAsia="Times New Roman" w:hAnsi="Times New Roman" w:cs="Times New Roman"/>
          <w:sz w:val="24"/>
          <w:szCs w:val="24"/>
          <w:lang w:eastAsia="en-IN"/>
        </w:rPr>
        <w:t>(WSJ, 2023)</w:t>
      </w:r>
    </w:p>
    <w:p w:rsidR="009B7828" w:rsidRPr="004E2D43" w:rsidRDefault="009B7828" w:rsidP="004E2D43">
      <w:pPr>
        <w:pStyle w:val="Heading2"/>
        <w:spacing w:line="360" w:lineRule="auto"/>
        <w:jc w:val="both"/>
        <w:rPr>
          <w:sz w:val="24"/>
          <w:szCs w:val="24"/>
        </w:rPr>
      </w:pPr>
      <w:bookmarkStart w:id="3" w:name="_Toc226325775"/>
      <w:r w:rsidRPr="004E2D43">
        <w:rPr>
          <w:sz w:val="24"/>
          <w:szCs w:val="24"/>
        </w:rPr>
        <w:t>1.1 Profitability Analysis</w:t>
      </w:r>
      <w:bookmarkEnd w:id="3"/>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The profitability ratios measure the ability of the firm to generate earnings relative to its revenue, assets as well as equity</w:t>
      </w:r>
      <w:r w:rsidR="001D315E" w:rsidRPr="004E2D43">
        <w:rPr>
          <w:rFonts w:ascii="Times New Roman" w:eastAsia="Times New Roman" w:hAnsi="Times New Roman" w:cs="Times New Roman"/>
          <w:sz w:val="24"/>
          <w:szCs w:val="24"/>
          <w:lang w:eastAsia="en-IN"/>
        </w:rPr>
        <w:t>(Akin et al., 2024)</w:t>
      </w:r>
      <w:r w:rsidRPr="004E2D43">
        <w:rPr>
          <w:rFonts w:ascii="Times New Roman" w:hAnsi="Times New Roman" w:cs="Times New Roman"/>
          <w:sz w:val="24"/>
          <w:szCs w:val="24"/>
          <w:lang w:eastAsia="en-IN"/>
        </w:rPr>
        <w:t>. Tesla has also done very well in alternating its performance between balance between a season characterized by losses and an era of steady profitability within the period of five years.</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Gross Profit Margin</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Gross Profit Margin = (Gross Profit / Revenue) × 100</w:t>
      </w:r>
    </w:p>
    <w:p w:rsidR="00E80ECF" w:rsidRPr="004E2D43" w:rsidRDefault="00E80EC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2019: (4,069/24,578) ×100 =16.56%</w:t>
      </w:r>
    </w:p>
    <w:p w:rsidR="00E80ECF" w:rsidRPr="004E2D43" w:rsidRDefault="00E80EC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2020: (6,630/31,536) ×100 =21.03%</w:t>
      </w:r>
    </w:p>
    <w:p w:rsidR="00E80ECF" w:rsidRPr="004E2D43" w:rsidRDefault="00E80EC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2021: (13,606/53,823) ×100 = 25.28%</w:t>
      </w:r>
    </w:p>
    <w:p w:rsidR="00E80ECF" w:rsidRPr="004E2D43" w:rsidRDefault="00E80EC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2022: (20,853/81,462) ×100 =25.60</w:t>
      </w:r>
    </w:p>
    <w:p w:rsidR="00E80ECF" w:rsidRPr="004E2D43" w:rsidRDefault="00E80EC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2023: (17,660/81,462) ×100 =18.25%</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Tesla’s gross margin increased from 16.6% (2019) to 25.6% (2022), before declining to 18.3% (2023). This trend till 2022 is the sign of efficiency in production and economy of scale, and cost control. However, the decline in the year 2023 implies that there is a price stress around the existence of international EV competition and Tesla concentrated on intensive price reduction to maintain its market share</w:t>
      </w:r>
      <w:r w:rsidR="001D315E" w:rsidRPr="004E2D43">
        <w:rPr>
          <w:rFonts w:ascii="Times New Roman" w:eastAsia="Times New Roman" w:hAnsi="Times New Roman" w:cs="Times New Roman"/>
          <w:sz w:val="24"/>
          <w:szCs w:val="24"/>
          <w:lang w:eastAsia="en-IN"/>
        </w:rPr>
        <w:t>(Aldossary, Alharbi and Ayub, 2024)</w:t>
      </w:r>
      <w:r w:rsidRPr="004E2D43">
        <w:rPr>
          <w:rFonts w:ascii="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Net Profit Margin</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Net Profit Margin = (Net Income / Revenue) × 100</w:t>
      </w:r>
    </w:p>
    <w:p w:rsidR="000D0FD0" w:rsidRPr="004E2D43" w:rsidRDefault="000D0FD0" w:rsidP="004E2D43">
      <w:pPr>
        <w:pStyle w:val="NormalWeb"/>
        <w:spacing w:line="360" w:lineRule="auto"/>
        <w:jc w:val="both"/>
      </w:pPr>
      <w:r w:rsidRPr="004E2D43">
        <w:t xml:space="preserve">Year 2019: (-862 / 24,578) × 100 </w:t>
      </w:r>
      <w:r w:rsidRPr="004E2D43">
        <w:rPr>
          <w:b/>
        </w:rPr>
        <w:t xml:space="preserve">= </w:t>
      </w:r>
      <w:r w:rsidRPr="004E2D43">
        <w:rPr>
          <w:rStyle w:val="Strong"/>
          <w:b w:val="0"/>
        </w:rPr>
        <w:t>-3.51%</w:t>
      </w:r>
    </w:p>
    <w:p w:rsidR="000D0FD0" w:rsidRPr="004E2D43" w:rsidRDefault="000D0FD0" w:rsidP="004E2D43">
      <w:pPr>
        <w:pStyle w:val="NormalWeb"/>
        <w:spacing w:line="360" w:lineRule="auto"/>
        <w:jc w:val="both"/>
      </w:pPr>
      <w:r w:rsidRPr="004E2D43">
        <w:t xml:space="preserve">Year 2020: (721 / 31,536) × 100 </w:t>
      </w:r>
      <w:r w:rsidRPr="004E2D43">
        <w:rPr>
          <w:b/>
        </w:rPr>
        <w:t xml:space="preserve">= </w:t>
      </w:r>
      <w:r w:rsidRPr="004E2D43">
        <w:rPr>
          <w:rStyle w:val="Strong"/>
          <w:b w:val="0"/>
        </w:rPr>
        <w:t>2.29%</w:t>
      </w:r>
    </w:p>
    <w:p w:rsidR="000D0FD0" w:rsidRPr="004E2D43" w:rsidRDefault="000D0FD0" w:rsidP="004E2D43">
      <w:pPr>
        <w:pStyle w:val="NormalWeb"/>
        <w:spacing w:line="360" w:lineRule="auto"/>
        <w:jc w:val="both"/>
      </w:pPr>
      <w:r w:rsidRPr="004E2D43">
        <w:t xml:space="preserve">Year 2021: (5,519 / 53,823) × 100 </w:t>
      </w:r>
      <w:r w:rsidRPr="004E2D43">
        <w:rPr>
          <w:b/>
        </w:rPr>
        <w:t xml:space="preserve">= </w:t>
      </w:r>
      <w:r w:rsidRPr="004E2D43">
        <w:rPr>
          <w:rStyle w:val="Strong"/>
          <w:b w:val="0"/>
        </w:rPr>
        <w:t>10.25%</w:t>
      </w:r>
    </w:p>
    <w:p w:rsidR="000D0FD0" w:rsidRPr="004E2D43" w:rsidRDefault="000D0FD0" w:rsidP="004E2D43">
      <w:pPr>
        <w:pStyle w:val="NormalWeb"/>
        <w:spacing w:line="360" w:lineRule="auto"/>
        <w:jc w:val="both"/>
      </w:pPr>
      <w:r w:rsidRPr="004E2D43">
        <w:lastRenderedPageBreak/>
        <w:t xml:space="preserve">Year 2022: (12,556 / 81,462) × 100 </w:t>
      </w:r>
      <w:r w:rsidRPr="004E2D43">
        <w:rPr>
          <w:b/>
        </w:rPr>
        <w:t xml:space="preserve">= </w:t>
      </w:r>
      <w:r w:rsidRPr="004E2D43">
        <w:rPr>
          <w:rStyle w:val="Strong"/>
          <w:b w:val="0"/>
        </w:rPr>
        <w:t>15.41%</w:t>
      </w:r>
    </w:p>
    <w:p w:rsidR="000D0FD0" w:rsidRPr="004E2D43" w:rsidRDefault="000D0FD0" w:rsidP="004E2D43">
      <w:pPr>
        <w:pStyle w:val="NormalWeb"/>
        <w:spacing w:line="360" w:lineRule="auto"/>
        <w:jc w:val="both"/>
      </w:pPr>
      <w:r w:rsidRPr="004E2D43">
        <w:t xml:space="preserve">Year 2023: (14,997 / 96,773) × 100 = </w:t>
      </w:r>
      <w:r w:rsidRPr="004E2D43">
        <w:rPr>
          <w:rStyle w:val="Strong"/>
          <w:b w:val="0"/>
        </w:rPr>
        <w:t>15.49%</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Tesla moved from a -3.5% loss in 2019 to a strong 15.5% margin in 2023. The gradual growth points out the better efficiency of operations, cost management, and expansion</w:t>
      </w:r>
      <w:r w:rsidR="001D315E" w:rsidRPr="004E2D43">
        <w:rPr>
          <w:rFonts w:ascii="Times New Roman" w:eastAsia="Times New Roman" w:hAnsi="Times New Roman" w:cs="Times New Roman"/>
          <w:sz w:val="24"/>
          <w:szCs w:val="24"/>
          <w:lang w:eastAsia="en-IN"/>
        </w:rPr>
        <w:t>(Bai, 2024)</w:t>
      </w:r>
      <w:r w:rsidRPr="004E2D43">
        <w:rPr>
          <w:rFonts w:ascii="Times New Roman" w:hAnsi="Times New Roman" w:cs="Times New Roman"/>
          <w:sz w:val="24"/>
          <w:szCs w:val="24"/>
          <w:lang w:eastAsia="en-IN"/>
        </w:rPr>
        <w:t>. The recent stasis of 2022-2023 means that profitability growth ceases to grow in accordance to rise of cost and competitors.</w:t>
      </w:r>
    </w:p>
    <w:p w:rsidR="00C2698C" w:rsidRPr="004E2D43" w:rsidRDefault="00C2698C"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F44C0" w:rsidRPr="004E2D43" w:rsidRDefault="009F44C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1: Trend of profitability ratios</w:t>
      </w:r>
    </w:p>
    <w:p w:rsidR="00C2698C"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The Gross profit margin has risen within the time bracket 2019 to 2022 and fallen in 2023, and this marks the push in cost pressure. Net profit margin on the other hand is increasing steadily with the period meaning it is more profitable and cost efficient</w:t>
      </w:r>
      <w:r w:rsidR="001D315E" w:rsidRPr="004E2D43">
        <w:rPr>
          <w:rFonts w:ascii="Times New Roman" w:eastAsia="Times New Roman" w:hAnsi="Times New Roman" w:cs="Times New Roman"/>
          <w:sz w:val="24"/>
          <w:szCs w:val="24"/>
          <w:lang w:eastAsia="en-IN"/>
        </w:rPr>
        <w:t>(Chen et al., 2025)</w:t>
      </w:r>
      <w:r w:rsidRPr="004E2D43">
        <w:rPr>
          <w:rFonts w:ascii="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Return on Equity (ROE)</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ROE = (Net Income / Shareholders’ Equity) × 100</w:t>
      </w:r>
    </w:p>
    <w:p w:rsidR="00F36B9D" w:rsidRPr="004E2D43" w:rsidRDefault="00F36B9D" w:rsidP="004E2D43">
      <w:pPr>
        <w:pStyle w:val="NormalWeb"/>
        <w:spacing w:line="360" w:lineRule="auto"/>
        <w:jc w:val="both"/>
      </w:pPr>
      <w:r w:rsidRPr="004E2D43">
        <w:t>Year 2019: (-862 / 8,200) × 100 = -10.5%</w:t>
      </w:r>
    </w:p>
    <w:p w:rsidR="00F36B9D" w:rsidRPr="004E2D43" w:rsidRDefault="00F36B9D" w:rsidP="004E2D43">
      <w:pPr>
        <w:pStyle w:val="NormalWeb"/>
        <w:spacing w:line="360" w:lineRule="auto"/>
        <w:jc w:val="both"/>
      </w:pPr>
      <w:r w:rsidRPr="004E2D43">
        <w:t>Year 2020: (721 / 23,700) × 100 = 3.0%</w:t>
      </w:r>
    </w:p>
    <w:p w:rsidR="00F36B9D" w:rsidRPr="004E2D43" w:rsidRDefault="00F36B9D" w:rsidP="004E2D43">
      <w:pPr>
        <w:pStyle w:val="NormalWeb"/>
        <w:spacing w:line="360" w:lineRule="auto"/>
        <w:jc w:val="both"/>
      </w:pPr>
      <w:r w:rsidRPr="004E2D43">
        <w:t>Year 2021: (5,519 / 31,600) × 100 = 17.5%</w:t>
      </w:r>
    </w:p>
    <w:p w:rsidR="00F36B9D" w:rsidRPr="004E2D43" w:rsidRDefault="00F36B9D" w:rsidP="004E2D43">
      <w:pPr>
        <w:pStyle w:val="NormalWeb"/>
        <w:spacing w:line="360" w:lineRule="auto"/>
        <w:jc w:val="both"/>
      </w:pPr>
      <w:r w:rsidRPr="004E2D43">
        <w:t>Year 2022: (12,556 / 45,900) × 100 = 27.4%</w:t>
      </w:r>
    </w:p>
    <w:p w:rsidR="00F36B9D" w:rsidRPr="004E2D43" w:rsidRDefault="00F36B9D" w:rsidP="004E2D43">
      <w:pPr>
        <w:pStyle w:val="NormalWeb"/>
        <w:spacing w:line="360" w:lineRule="auto"/>
        <w:jc w:val="both"/>
      </w:pPr>
      <w:r w:rsidRPr="004E2D43">
        <w:lastRenderedPageBreak/>
        <w:t>Year 2023: (14,997 / 63,600) × 100 = 23.6%</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ROE improved significantly from -10.5% (2019) to 27.4% (2022), before slightly declining to 23.6% (2023). This demonstrates that Tesla has managed to offer high returns to the shareholders despite the marginal fall indicating the declining profit growth in relation to growth in equity</w:t>
      </w:r>
      <w:r w:rsidR="001D315E" w:rsidRPr="004E2D43">
        <w:rPr>
          <w:rFonts w:ascii="Times New Roman" w:eastAsia="Times New Roman" w:hAnsi="Times New Roman" w:cs="Times New Roman"/>
          <w:sz w:val="24"/>
          <w:szCs w:val="24"/>
          <w:lang w:eastAsia="en-IN"/>
        </w:rPr>
        <w:t>(Comi, Francis and Cabras, 2024)</w:t>
      </w:r>
      <w:r w:rsidRPr="004E2D43">
        <w:rPr>
          <w:rFonts w:ascii="Times New Roman" w:hAnsi="Times New Roman" w:cs="Times New Roman"/>
          <w:sz w:val="24"/>
          <w:szCs w:val="24"/>
          <w:lang w:eastAsia="en-IN"/>
        </w:rPr>
        <w:t>.</w:t>
      </w:r>
    </w:p>
    <w:p w:rsidR="00550944" w:rsidRPr="004E2D43" w:rsidRDefault="00550944"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F44C0" w:rsidRPr="004E2D43" w:rsidRDefault="009F44C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2: ROE comparison</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Evaluation: One of the strengths of Tesla is the performance in the terms of profitability and compression of margins in the recent past is the indicator of potential long run risks in the event the price pressure is not minimized</w:t>
      </w:r>
      <w:r w:rsidR="001D315E" w:rsidRPr="004E2D43">
        <w:rPr>
          <w:rFonts w:ascii="Times New Roman" w:eastAsia="Times New Roman" w:hAnsi="Times New Roman" w:cs="Times New Roman"/>
          <w:sz w:val="24"/>
          <w:szCs w:val="24"/>
          <w:lang w:eastAsia="en-IN"/>
        </w:rPr>
        <w:t>(Dai et al., 2022)</w:t>
      </w:r>
      <w:r w:rsidRPr="004E2D43">
        <w:rPr>
          <w:rFonts w:ascii="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4" w:name="_Toc226325776"/>
      <w:r w:rsidRPr="004E2D43">
        <w:rPr>
          <w:sz w:val="24"/>
          <w:szCs w:val="24"/>
        </w:rPr>
        <w:t>1.2 Liquidity Analysis</w:t>
      </w:r>
      <w:bookmarkEnd w:id="4"/>
    </w:p>
    <w:p w:rsidR="009B7828" w:rsidRPr="004E2D43" w:rsidRDefault="00D95A26"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The liquidity ratios establish the ability of Tesla to meet the short term debt.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Current Ratio</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Current Ratio = Current Assets / Current Liabilities</w:t>
      </w:r>
    </w:p>
    <w:p w:rsidR="00895F54" w:rsidRPr="004E2D43" w:rsidRDefault="00895F54" w:rsidP="004E2D43">
      <w:pPr>
        <w:pStyle w:val="NormalWeb"/>
        <w:spacing w:line="360" w:lineRule="auto"/>
        <w:jc w:val="both"/>
      </w:pPr>
      <w:r w:rsidRPr="004E2D43">
        <w:t>Year 2019: (12,103 / 12,130) = 1.00</w:t>
      </w:r>
    </w:p>
    <w:p w:rsidR="00895F54" w:rsidRPr="004E2D43" w:rsidRDefault="00895F54" w:rsidP="004E2D43">
      <w:pPr>
        <w:pStyle w:val="NormalWeb"/>
        <w:spacing w:line="360" w:lineRule="auto"/>
        <w:jc w:val="both"/>
      </w:pPr>
      <w:r w:rsidRPr="004E2D43">
        <w:t>Year 2020: (26,717 / 14,248) = 1.88</w:t>
      </w:r>
    </w:p>
    <w:p w:rsidR="00895F54" w:rsidRPr="004E2D43" w:rsidRDefault="00895F54" w:rsidP="004E2D43">
      <w:pPr>
        <w:pStyle w:val="NormalWeb"/>
        <w:spacing w:line="360" w:lineRule="auto"/>
        <w:jc w:val="both"/>
      </w:pPr>
      <w:r w:rsidRPr="004E2D43">
        <w:t>Year 2021: (30,548 / 19,705) = 1.55</w:t>
      </w:r>
    </w:p>
    <w:p w:rsidR="00895F54" w:rsidRPr="004E2D43" w:rsidRDefault="00895F54" w:rsidP="004E2D43">
      <w:pPr>
        <w:pStyle w:val="NormalWeb"/>
        <w:spacing w:line="360" w:lineRule="auto"/>
        <w:jc w:val="both"/>
      </w:pPr>
      <w:r w:rsidRPr="004E2D43">
        <w:lastRenderedPageBreak/>
        <w:t>Year 2022: (40,917 / 26,709) = 1.53</w:t>
      </w:r>
    </w:p>
    <w:p w:rsidR="00895F54" w:rsidRPr="004E2D43" w:rsidRDefault="00895F54" w:rsidP="004E2D43">
      <w:pPr>
        <w:pStyle w:val="NormalWeb"/>
        <w:spacing w:line="360" w:lineRule="auto"/>
        <w:jc w:val="both"/>
      </w:pPr>
      <w:r w:rsidRPr="004E2D43">
        <w:t>Year 2023: (49,616 / 28,748) = 1.73</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It rose to 1.73 (2023) against 1.00 (2019) that is fine evidence of a significant advance in the short-term financial stability. This tremendous growth in 2020 will be reflective of improvement in the cash reserves and working capital management</w:t>
      </w:r>
      <w:r w:rsidR="001D315E" w:rsidRPr="004E2D43">
        <w:rPr>
          <w:rFonts w:ascii="Times New Roman" w:eastAsia="Times New Roman" w:hAnsi="Times New Roman" w:cs="Times New Roman"/>
          <w:sz w:val="24"/>
          <w:szCs w:val="24"/>
          <w:lang w:eastAsia="en-IN"/>
        </w:rPr>
        <w:t>(Dimanchev et al., 2023)</w:t>
      </w:r>
      <w:r w:rsidRPr="004E2D43">
        <w:rPr>
          <w:rFonts w:ascii="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Quick Ratio</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Quick Ratio = (Current Assets – Inventory) / Current Liabilities</w:t>
      </w:r>
    </w:p>
    <w:p w:rsidR="002837AB" w:rsidRPr="004E2D43" w:rsidRDefault="002837AB" w:rsidP="004E2D43">
      <w:pPr>
        <w:pStyle w:val="NormalWeb"/>
        <w:spacing w:line="360" w:lineRule="auto"/>
        <w:jc w:val="both"/>
      </w:pPr>
      <w:r w:rsidRPr="004E2D43">
        <w:t>Year 2019: (8,551 / 12,130) = 0.71</w:t>
      </w:r>
    </w:p>
    <w:p w:rsidR="002837AB" w:rsidRPr="004E2D43" w:rsidRDefault="002837AB" w:rsidP="004E2D43">
      <w:pPr>
        <w:pStyle w:val="NormalWeb"/>
        <w:spacing w:line="360" w:lineRule="auto"/>
        <w:jc w:val="both"/>
      </w:pPr>
      <w:r w:rsidRPr="004E2D43">
        <w:t>Year 2020: (22,616 / 14,248) = 1.59</w:t>
      </w:r>
    </w:p>
    <w:p w:rsidR="002837AB" w:rsidRPr="004E2D43" w:rsidRDefault="002837AB" w:rsidP="004E2D43">
      <w:pPr>
        <w:pStyle w:val="NormalWeb"/>
        <w:spacing w:line="360" w:lineRule="auto"/>
        <w:jc w:val="both"/>
      </w:pPr>
      <w:r w:rsidRPr="004E2D43">
        <w:t>Year 2021: (24,791 / 19,705) = 1.26</w:t>
      </w:r>
    </w:p>
    <w:p w:rsidR="002837AB" w:rsidRPr="004E2D43" w:rsidRDefault="002837AB" w:rsidP="004E2D43">
      <w:pPr>
        <w:pStyle w:val="NormalWeb"/>
        <w:spacing w:line="360" w:lineRule="auto"/>
        <w:jc w:val="both"/>
      </w:pPr>
      <w:r w:rsidRPr="004E2D43">
        <w:t>Year 2022: (28,078 / 26,709) = 1.05</w:t>
      </w:r>
    </w:p>
    <w:p w:rsidR="002837AB" w:rsidRPr="004E2D43" w:rsidRDefault="002837AB" w:rsidP="004E2D43">
      <w:pPr>
        <w:pStyle w:val="NormalWeb"/>
        <w:spacing w:line="360" w:lineRule="auto"/>
        <w:jc w:val="both"/>
      </w:pPr>
      <w:r w:rsidRPr="004E2D43">
        <w:t>Year 2023: (35,990 / 28,748) = 1.25</w:t>
      </w:r>
    </w:p>
    <w:p w:rsidR="00D95A26" w:rsidRPr="004E2D43" w:rsidRDefault="00D95A26"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Tesla’s quick ratio rose from 0.71 (2019) to 1.25 (2023). Although its upswing followed over 1 since 2020 there was a slight downward trend in 2022 signifying greater inventory.</w:t>
      </w:r>
    </w:p>
    <w:p w:rsidR="00D95A26"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Appraisal: Tesla is fairly liquid, that is, it is able to satisfy short term debts. However, the augmentation of the inventory would bring about the possibility of liquidity in an event where demand decreases</w:t>
      </w:r>
      <w:r w:rsidR="001D315E" w:rsidRPr="004E2D43">
        <w:rPr>
          <w:rFonts w:ascii="Times New Roman" w:eastAsia="Times New Roman" w:hAnsi="Times New Roman" w:cs="Times New Roman"/>
          <w:sz w:val="24"/>
          <w:szCs w:val="24"/>
          <w:lang w:eastAsia="en-IN"/>
        </w:rPr>
        <w:t>(Ding, 2025)</w:t>
      </w:r>
      <w:r w:rsidRPr="004E2D43">
        <w:rPr>
          <w:rFonts w:ascii="Times New Roman" w:hAnsi="Times New Roman" w:cs="Times New Roman"/>
          <w:sz w:val="24"/>
          <w:szCs w:val="24"/>
          <w:lang w:eastAsia="en-IN"/>
        </w:rPr>
        <w:t>.</w:t>
      </w:r>
    </w:p>
    <w:p w:rsidR="00C77827" w:rsidRPr="004E2D43" w:rsidRDefault="00C7782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lastRenderedPageBreak/>
        <w:drawing>
          <wp:inline distT="0" distB="0" distL="0" distR="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F44C0" w:rsidRPr="004E2D43" w:rsidRDefault="009F44C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3: Current ratio vs Quick ratio</w:t>
      </w:r>
    </w:p>
    <w:p w:rsidR="00C77827"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The trend of the current and quick ratio is increasing and decreasing, and the trend in 2020 is steep, the trend in 2021-2022 and the trend in 2023 are declining and increasing respectively. Altogether, liquidity is not very stable but sufficient</w:t>
      </w:r>
      <w:r w:rsidR="001D315E" w:rsidRPr="004E2D43">
        <w:rPr>
          <w:rFonts w:ascii="Times New Roman" w:eastAsia="Times New Roman" w:hAnsi="Times New Roman" w:cs="Times New Roman"/>
          <w:sz w:val="24"/>
          <w:szCs w:val="24"/>
          <w:lang w:eastAsia="en-IN"/>
        </w:rPr>
        <w:t>(Du, 2025)</w:t>
      </w:r>
      <w:r w:rsidRPr="004E2D43">
        <w:rPr>
          <w:rFonts w:ascii="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5" w:name="_Toc226325777"/>
      <w:r w:rsidRPr="004E2D43">
        <w:rPr>
          <w:sz w:val="24"/>
          <w:szCs w:val="24"/>
        </w:rPr>
        <w:t>1.3 Efficiency Analysis</w:t>
      </w:r>
      <w:bookmarkEnd w:id="5"/>
    </w:p>
    <w:p w:rsidR="009B7828" w:rsidRPr="004E2D43" w:rsidRDefault="00D95A26"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The efficiency of Tesla is measured by ensuring efficiency ratios in relation to the utilization of assets.</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Asset Turnover Ratio</w:t>
      </w:r>
    </w:p>
    <w:p w:rsidR="00BF0CD9" w:rsidRPr="004E2D43" w:rsidRDefault="00BF0CD9"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F44C0" w:rsidRPr="004E2D43" w:rsidRDefault="009F44C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Graph 4: Asset turnover</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Asset Turnover = Revenue / Total Assets</w:t>
      </w:r>
    </w:p>
    <w:p w:rsidR="0070009D" w:rsidRPr="004E2D43" w:rsidRDefault="0070009D" w:rsidP="004E2D43">
      <w:pPr>
        <w:pStyle w:val="NormalWeb"/>
        <w:spacing w:line="360" w:lineRule="auto"/>
        <w:jc w:val="both"/>
      </w:pPr>
      <w:r w:rsidRPr="004E2D43">
        <w:t>Year 2019: (24,578 / 34,309) = 0.72</w:t>
      </w:r>
    </w:p>
    <w:p w:rsidR="0070009D" w:rsidRPr="004E2D43" w:rsidRDefault="0070009D" w:rsidP="004E2D43">
      <w:pPr>
        <w:pStyle w:val="NormalWeb"/>
        <w:spacing w:line="360" w:lineRule="auto"/>
        <w:jc w:val="both"/>
      </w:pPr>
      <w:r w:rsidRPr="004E2D43">
        <w:t>Year 2020: (31,536 / 52,148) = 0.60</w:t>
      </w:r>
    </w:p>
    <w:p w:rsidR="0070009D" w:rsidRPr="004E2D43" w:rsidRDefault="0070009D" w:rsidP="004E2D43">
      <w:pPr>
        <w:pStyle w:val="NormalWeb"/>
        <w:spacing w:line="360" w:lineRule="auto"/>
        <w:jc w:val="both"/>
      </w:pPr>
      <w:r w:rsidRPr="004E2D43">
        <w:t>Year 2021: (53,823 / 62,131) = 0.87</w:t>
      </w:r>
    </w:p>
    <w:p w:rsidR="0070009D" w:rsidRPr="004E2D43" w:rsidRDefault="0070009D" w:rsidP="004E2D43">
      <w:pPr>
        <w:pStyle w:val="NormalWeb"/>
        <w:spacing w:line="360" w:lineRule="auto"/>
        <w:jc w:val="both"/>
      </w:pPr>
      <w:r w:rsidRPr="004E2D43">
        <w:t>Year 2022: (81,462 / 82,338) = 0.99</w:t>
      </w:r>
    </w:p>
    <w:p w:rsidR="0070009D" w:rsidRPr="004E2D43" w:rsidRDefault="0070009D" w:rsidP="004E2D43">
      <w:pPr>
        <w:pStyle w:val="NormalWeb"/>
        <w:spacing w:line="360" w:lineRule="auto"/>
        <w:jc w:val="both"/>
      </w:pPr>
      <w:r w:rsidRPr="004E2D43">
        <w:t>Year 2023: (96,773 / 106,618) = 0.91</w:t>
      </w:r>
    </w:p>
    <w:p w:rsidR="009B7828"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The ratio improved from 0.72 (2019) to 0.99 (2022), before declining to 0.91 (2023). It implies that Tesla has utilized its assets far more productively during the expansion but has had some insignificant issues in 2023 due to the abundance of its asset base and the low rate of revenue growth</w:t>
      </w:r>
      <w:r w:rsidR="001D315E" w:rsidRPr="004E2D43">
        <w:rPr>
          <w:rFonts w:ascii="Times New Roman" w:eastAsia="Times New Roman" w:hAnsi="Times New Roman" w:cs="Times New Roman"/>
          <w:sz w:val="24"/>
          <w:szCs w:val="24"/>
          <w:lang w:eastAsia="en-IN"/>
        </w:rPr>
        <w:t>(DURMUŞ ŞENYAPAR and AKIL, 2023)</w:t>
      </w:r>
      <w:r w:rsidRPr="004E2D43">
        <w:rPr>
          <w:rFonts w:ascii="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Inventory Turnover</w:t>
      </w:r>
    </w:p>
    <w:p w:rsidR="005B4610" w:rsidRPr="004E2D43" w:rsidRDefault="005B461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54A21" w:rsidRPr="004E2D43" w:rsidRDefault="00354A21"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5: Inventory turnover</w:t>
      </w:r>
    </w:p>
    <w:p w:rsidR="009B7828" w:rsidRPr="004E2D43" w:rsidRDefault="009B782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Inventory Turnover = Cost of Goods Sold / Inventory</w:t>
      </w:r>
    </w:p>
    <w:p w:rsidR="0027426A" w:rsidRPr="004E2D43" w:rsidRDefault="0027426A" w:rsidP="004E2D43">
      <w:pPr>
        <w:pStyle w:val="NormalWeb"/>
        <w:spacing w:line="360" w:lineRule="auto"/>
        <w:jc w:val="both"/>
      </w:pPr>
      <w:r w:rsidRPr="004E2D43">
        <w:t>Year 2019: (20,509 / 3,552) = 5.77</w:t>
      </w:r>
    </w:p>
    <w:p w:rsidR="0027426A" w:rsidRPr="004E2D43" w:rsidRDefault="0027426A" w:rsidP="004E2D43">
      <w:pPr>
        <w:pStyle w:val="NormalWeb"/>
        <w:spacing w:line="360" w:lineRule="auto"/>
        <w:jc w:val="both"/>
      </w:pPr>
      <w:r w:rsidRPr="004E2D43">
        <w:lastRenderedPageBreak/>
        <w:t>Year 2020: (24,906 / 4,101) = 6.07</w:t>
      </w:r>
    </w:p>
    <w:p w:rsidR="0027426A" w:rsidRPr="004E2D43" w:rsidRDefault="0027426A" w:rsidP="004E2D43">
      <w:pPr>
        <w:pStyle w:val="NormalWeb"/>
        <w:spacing w:line="360" w:lineRule="auto"/>
        <w:jc w:val="both"/>
      </w:pPr>
      <w:r w:rsidRPr="004E2D43">
        <w:t>Year 2021: (40,217 / 5,757) = 6.99</w:t>
      </w:r>
    </w:p>
    <w:p w:rsidR="0027426A" w:rsidRPr="004E2D43" w:rsidRDefault="0027426A" w:rsidP="004E2D43">
      <w:pPr>
        <w:pStyle w:val="NormalWeb"/>
        <w:spacing w:line="360" w:lineRule="auto"/>
        <w:jc w:val="both"/>
      </w:pPr>
      <w:r w:rsidRPr="004E2D43">
        <w:t>Year 2022: (60,609 / 12,839) = 4.72</w:t>
      </w:r>
    </w:p>
    <w:p w:rsidR="0027426A" w:rsidRPr="004E2D43" w:rsidRDefault="0027426A" w:rsidP="004E2D43">
      <w:pPr>
        <w:pStyle w:val="NormalWeb"/>
        <w:spacing w:line="360" w:lineRule="auto"/>
        <w:jc w:val="both"/>
      </w:pPr>
      <w:r w:rsidRPr="004E2D43">
        <w:t>Year 2023: (79,113 / 13,626) = 5.81</w:t>
      </w:r>
    </w:p>
    <w:p w:rsidR="00D95A26" w:rsidRPr="004E2D43" w:rsidRDefault="00D95A26"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Inventory turnover increased from 5.77 (2019) to 6.99 (2021), then dropped to 4.72 (2022) and recovered to 5.81 (2023). The 2022 fall suggests that the stock is being accumulated, which can be attributed to the interference of the supply chain, or demand.</w:t>
      </w:r>
    </w:p>
    <w:p w:rsidR="00BF0CD9" w:rsidRPr="004E2D43" w:rsidRDefault="00D95A2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lang w:eastAsia="en-IN"/>
        </w:rPr>
        <w:t>Analysis: Tesla has performed well enough in the performance, but its inventory control must be checked with a tightening grip to eliminate the chances of overstocking</w:t>
      </w:r>
      <w:r w:rsidR="001D315E" w:rsidRPr="004E2D43">
        <w:rPr>
          <w:rFonts w:ascii="Times New Roman" w:eastAsia="Times New Roman" w:hAnsi="Times New Roman" w:cs="Times New Roman"/>
          <w:sz w:val="24"/>
          <w:szCs w:val="24"/>
          <w:lang w:eastAsia="en-IN"/>
        </w:rPr>
        <w:t>(Li, 2024)</w:t>
      </w:r>
      <w:r w:rsidRPr="004E2D43">
        <w:rPr>
          <w:rFonts w:ascii="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6" w:name="_Toc226325778"/>
      <w:r w:rsidRPr="004E2D43">
        <w:rPr>
          <w:sz w:val="24"/>
          <w:szCs w:val="24"/>
        </w:rPr>
        <w:t>1.4 Gearing (Leverage) Analysis</w:t>
      </w:r>
      <w:bookmarkEnd w:id="6"/>
    </w:p>
    <w:p w:rsidR="009B7828" w:rsidRPr="004E2D43" w:rsidRDefault="00AB4A5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financial risk of Tesla and capital structure is determined by gearing ratios.</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Debt-to-Equity Ratio</w:t>
      </w:r>
    </w:p>
    <w:p w:rsidR="005B4610" w:rsidRPr="004E2D43" w:rsidRDefault="005B461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E4BC1" w:rsidRPr="004E2D43" w:rsidRDefault="003E4BC1"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6: Debt-to-Equity (2019-2023)</w:t>
      </w:r>
    </w:p>
    <w:p w:rsidR="00B57750" w:rsidRPr="004E2D43" w:rsidRDefault="00B5775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Debt-to-Equity = Total Debt / Equity</w:t>
      </w:r>
    </w:p>
    <w:p w:rsidR="00B57750" w:rsidRPr="004E2D43" w:rsidRDefault="00B57750" w:rsidP="004E2D43">
      <w:pPr>
        <w:pStyle w:val="NormalWeb"/>
        <w:spacing w:line="360" w:lineRule="auto"/>
        <w:jc w:val="both"/>
      </w:pPr>
      <w:r w:rsidRPr="004E2D43">
        <w:t>Year 2019: (13,719 / 8,200) = 1.67</w:t>
      </w:r>
    </w:p>
    <w:p w:rsidR="00B57750" w:rsidRPr="004E2D43" w:rsidRDefault="00B57750" w:rsidP="004E2D43">
      <w:pPr>
        <w:pStyle w:val="NormalWeb"/>
        <w:spacing w:line="360" w:lineRule="auto"/>
        <w:jc w:val="both"/>
      </w:pPr>
      <w:r w:rsidRPr="004E2D43">
        <w:lastRenderedPageBreak/>
        <w:t>Year 2020: (13,354 / 23,700) = 0.56</w:t>
      </w:r>
    </w:p>
    <w:p w:rsidR="00B57750" w:rsidRPr="004E2D43" w:rsidRDefault="00B57750" w:rsidP="004E2D43">
      <w:pPr>
        <w:pStyle w:val="NormalWeb"/>
        <w:spacing w:line="360" w:lineRule="auto"/>
        <w:jc w:val="both"/>
      </w:pPr>
      <w:r w:rsidRPr="004E2D43">
        <w:t>Year 2021: (8,879 / 31,600) = 0.28</w:t>
      </w:r>
    </w:p>
    <w:p w:rsidR="00B57750" w:rsidRPr="004E2D43" w:rsidRDefault="00B57750" w:rsidP="004E2D43">
      <w:pPr>
        <w:pStyle w:val="NormalWeb"/>
        <w:spacing w:line="360" w:lineRule="auto"/>
        <w:jc w:val="both"/>
      </w:pPr>
      <w:r w:rsidRPr="004E2D43">
        <w:t>Year 2022: (5,574 / 45,900) = 0.12</w:t>
      </w:r>
    </w:p>
    <w:p w:rsidR="00B57750" w:rsidRPr="004E2D43" w:rsidRDefault="00B57750" w:rsidP="004E2D43">
      <w:pPr>
        <w:pStyle w:val="NormalWeb"/>
        <w:spacing w:line="360" w:lineRule="auto"/>
        <w:jc w:val="both"/>
      </w:pPr>
      <w:r w:rsidRPr="004E2D43">
        <w:t>Year 2023: (4,585 / 63,600) = 0.07</w:t>
      </w:r>
    </w:p>
    <w:p w:rsidR="009B7828" w:rsidRPr="004E2D43" w:rsidRDefault="00AB4A5F"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Tesla’s ratio declined significantly from 1.67 (2019) to 0.07 (2023). This shows that there is significant decrease in the use of debt funding and they are backed up with the growth in the retained earnings and equity</w:t>
      </w:r>
      <w:r w:rsidR="001D315E" w:rsidRPr="004E2D43">
        <w:rPr>
          <w:rFonts w:ascii="Times New Roman" w:eastAsia="Times New Roman" w:hAnsi="Times New Roman" w:cs="Times New Roman"/>
          <w:sz w:val="24"/>
          <w:szCs w:val="24"/>
          <w:lang w:eastAsia="en-IN"/>
        </w:rPr>
        <w:t xml:space="preserve"> (Fadhil and Shen, 2025)</w:t>
      </w:r>
      <w:r w:rsidRPr="004E2D43">
        <w:rPr>
          <w:rFonts w:ascii="Times New Roman" w:eastAsia="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Interest Coverage Ratio</w:t>
      </w:r>
    </w:p>
    <w:p w:rsidR="005B4610" w:rsidRPr="004E2D43" w:rsidRDefault="005B4610"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A2DE5" w:rsidRPr="004E2D43" w:rsidRDefault="00FA2DE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7: Trend of interest coverage ratio</w:t>
      </w:r>
    </w:p>
    <w:p w:rsidR="00251E23" w:rsidRPr="004E2D43" w:rsidRDefault="00251E23"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Interest Coverage = EBIT / Interest Expense</w:t>
      </w:r>
    </w:p>
    <w:p w:rsidR="00251E23" w:rsidRPr="004E2D43" w:rsidRDefault="00251E23" w:rsidP="004E2D43">
      <w:pPr>
        <w:pStyle w:val="NormalWeb"/>
        <w:spacing w:line="360" w:lineRule="auto"/>
        <w:jc w:val="both"/>
      </w:pPr>
      <w:r w:rsidRPr="004E2D43">
        <w:t>Year 2019: (-69 / 685) = -0.10</w:t>
      </w:r>
    </w:p>
    <w:p w:rsidR="00251E23" w:rsidRPr="004E2D43" w:rsidRDefault="00251E23" w:rsidP="004E2D43">
      <w:pPr>
        <w:pStyle w:val="NormalWeb"/>
        <w:spacing w:line="360" w:lineRule="auto"/>
        <w:jc w:val="both"/>
      </w:pPr>
      <w:r w:rsidRPr="004E2D43">
        <w:t>Year 2020: (1,994 / 748) = 2.67</w:t>
      </w:r>
    </w:p>
    <w:p w:rsidR="00251E23" w:rsidRPr="004E2D43" w:rsidRDefault="00251E23" w:rsidP="004E2D43">
      <w:pPr>
        <w:pStyle w:val="NormalWeb"/>
        <w:spacing w:line="360" w:lineRule="auto"/>
        <w:jc w:val="both"/>
      </w:pPr>
      <w:r w:rsidRPr="004E2D43">
        <w:t>Year 2021: (6,523 / 371) = 17.60</w:t>
      </w:r>
    </w:p>
    <w:p w:rsidR="00251E23" w:rsidRPr="004E2D43" w:rsidRDefault="00251E23" w:rsidP="004E2D43">
      <w:pPr>
        <w:pStyle w:val="NormalWeb"/>
        <w:spacing w:line="360" w:lineRule="auto"/>
        <w:jc w:val="both"/>
      </w:pPr>
      <w:r w:rsidRPr="004E2D43">
        <w:t>Year 2022: (13,656 / 191) = 71.50</w:t>
      </w:r>
    </w:p>
    <w:p w:rsidR="00251E23" w:rsidRPr="004E2D43" w:rsidRDefault="00251E23" w:rsidP="004E2D43">
      <w:pPr>
        <w:pStyle w:val="NormalWeb"/>
        <w:spacing w:line="360" w:lineRule="auto"/>
        <w:jc w:val="both"/>
      </w:pPr>
      <w:r w:rsidRPr="004E2D43">
        <w:lastRenderedPageBreak/>
        <w:t>Year 2023: (8,891 / 156) = 56.90</w:t>
      </w:r>
    </w:p>
    <w:p w:rsidR="00AB4A5F" w:rsidRPr="004E2D43" w:rsidRDefault="00AB4A5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Its ratio has greatly increased compared with the previous 2019 when it was -0.10, and now, it is 56.9 (Tesla Inc., 2021). This implies that Tesla can afford to pay its interest payments without any hustles.</w:t>
      </w:r>
    </w:p>
    <w:p w:rsidR="009B7828" w:rsidRPr="004E2D43" w:rsidRDefault="00AB4A5F"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Analysis: Tesla has a low leverage and a high interest coverage which is the cause of the high financial stability and low bankruptcy rates. The possibilities of effective financing that comes in the form of tax-efficiency could be limited by conservative leverages</w:t>
      </w:r>
      <w:r w:rsidR="001D315E" w:rsidRPr="004E2D43">
        <w:rPr>
          <w:rFonts w:ascii="Times New Roman" w:eastAsia="Times New Roman" w:hAnsi="Times New Roman" w:cs="Times New Roman"/>
          <w:sz w:val="24"/>
          <w:szCs w:val="24"/>
          <w:lang w:eastAsia="en-IN"/>
        </w:rPr>
        <w:t xml:space="preserve"> (Liu, Boothman and Graham, 2025)</w:t>
      </w:r>
      <w:r w:rsidRPr="004E2D43">
        <w:rPr>
          <w:rFonts w:ascii="Times New Roman" w:eastAsia="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7" w:name="_Toc226325779"/>
      <w:r w:rsidRPr="004E2D43">
        <w:rPr>
          <w:sz w:val="24"/>
          <w:szCs w:val="24"/>
        </w:rPr>
        <w:t>1.5 Investment Ratios</w:t>
      </w:r>
      <w:bookmarkEnd w:id="7"/>
    </w:p>
    <w:p w:rsidR="009B7828" w:rsidRPr="004E2D43" w:rsidRDefault="00AB4A5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investment ratios evaluate the performance of shareholders and within the market.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Earnings Per Share (EPS)</w:t>
      </w:r>
    </w:p>
    <w:tbl>
      <w:tblPr>
        <w:tblW w:w="0" w:type="auto"/>
        <w:tblCellSpacing w:w="15" w:type="dxa"/>
        <w:tblCellMar>
          <w:top w:w="15" w:type="dxa"/>
          <w:left w:w="15" w:type="dxa"/>
          <w:bottom w:w="15" w:type="dxa"/>
          <w:right w:w="15" w:type="dxa"/>
        </w:tblCellMar>
        <w:tblLook w:val="04A0"/>
      </w:tblPr>
      <w:tblGrid>
        <w:gridCol w:w="582"/>
        <w:gridCol w:w="575"/>
      </w:tblGrid>
      <w:tr w:rsidR="009B7828" w:rsidRPr="004E2D43" w:rsidTr="009B7828">
        <w:trPr>
          <w:tblHeade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Year</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EPS</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2019</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-0.98</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2020</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0.21</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2021</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1.63</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2022</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3.62</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2023</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4.30</w:t>
            </w:r>
          </w:p>
        </w:tc>
      </w:tr>
    </w:tbl>
    <w:p w:rsidR="00180D63" w:rsidRPr="004E2D43" w:rsidRDefault="00180D63"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Table 2: Last 5 years EPS (2019-2021)</w:t>
      </w:r>
    </w:p>
    <w:p w:rsidR="00180D63" w:rsidRPr="004E2D43" w:rsidRDefault="00180D63"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Source: </w:t>
      </w:r>
      <w:r w:rsidR="001D315E" w:rsidRPr="004E2D43">
        <w:rPr>
          <w:rFonts w:ascii="Times New Roman" w:eastAsia="Times New Roman" w:hAnsi="Times New Roman" w:cs="Times New Roman"/>
          <w:sz w:val="24"/>
          <w:szCs w:val="24"/>
          <w:lang w:eastAsia="en-IN"/>
        </w:rPr>
        <w:t>(WSJ, 2023)</w:t>
      </w:r>
    </w:p>
    <w:p w:rsidR="009B7828" w:rsidRPr="004E2D43" w:rsidRDefault="00AB4A5F"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EPS increased by -0.98 to 4.30 indicating that the firm has an excellent growth in terms of profit creation and shareholder value creation</w:t>
      </w:r>
      <w:r w:rsidR="001D315E" w:rsidRPr="004E2D43">
        <w:rPr>
          <w:rFonts w:ascii="Times New Roman" w:eastAsia="Times New Roman" w:hAnsi="Times New Roman" w:cs="Times New Roman"/>
          <w:sz w:val="24"/>
          <w:szCs w:val="24"/>
          <w:lang w:eastAsia="en-IN"/>
        </w:rPr>
        <w:t xml:space="preserve"> (Pg Emeroylariffion Abas and Tan, 2024)</w:t>
      </w:r>
      <w:r w:rsidRPr="004E2D43">
        <w:rPr>
          <w:rFonts w:ascii="Times New Roman" w:eastAsia="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Price-to-Earnings (P/E) Ratio</w:t>
      </w:r>
    </w:p>
    <w:tbl>
      <w:tblPr>
        <w:tblW w:w="0" w:type="auto"/>
        <w:tblCellSpacing w:w="15" w:type="dxa"/>
        <w:tblCellMar>
          <w:top w:w="15" w:type="dxa"/>
          <w:left w:w="15" w:type="dxa"/>
          <w:bottom w:w="15" w:type="dxa"/>
          <w:right w:w="15" w:type="dxa"/>
        </w:tblCellMar>
        <w:tblLook w:val="04A0"/>
      </w:tblPr>
      <w:tblGrid>
        <w:gridCol w:w="582"/>
        <w:gridCol w:w="1976"/>
      </w:tblGrid>
      <w:tr w:rsidR="009B7828" w:rsidRPr="004E2D43" w:rsidTr="009B7828">
        <w:trPr>
          <w:tblHeade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Year</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Approx. P/E Ratio</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2021</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~300x</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2022</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~80x</w:t>
            </w:r>
          </w:p>
        </w:tc>
      </w:tr>
      <w:tr w:rsidR="009B7828" w:rsidRPr="004E2D43" w:rsidTr="009B7828">
        <w:trPr>
          <w:tblCellSpacing w:w="15" w:type="dxa"/>
        </w:trPr>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2023</w:t>
            </w:r>
          </w:p>
        </w:tc>
        <w:tc>
          <w:tcPr>
            <w:tcW w:w="0" w:type="auto"/>
            <w:vAlign w:val="center"/>
            <w:hideMark/>
          </w:tcPr>
          <w:p w:rsidR="009B7828" w:rsidRPr="004E2D43" w:rsidRDefault="009B7828"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~60x</w:t>
            </w:r>
          </w:p>
        </w:tc>
      </w:tr>
    </w:tbl>
    <w:p w:rsidR="00180D63" w:rsidRPr="004E2D43" w:rsidRDefault="00180D63"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Table 3: Price-to-earnings ratio </w:t>
      </w:r>
    </w:p>
    <w:p w:rsidR="001D315E" w:rsidRPr="004E2D43" w:rsidRDefault="001D315E"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Source: (WSJ, 2023)</w:t>
      </w:r>
    </w:p>
    <w:p w:rsidR="00AB4A5F" w:rsidRPr="004E2D43" w:rsidRDefault="00AB4A5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P/E ratio dropped considerably (previously, it was at the extremely high level of 300x in 2021) to approximately 60x in 2023, meaning the correction of the market and the fact that the pre-pandemic growth perspectives had become realistic.</w:t>
      </w:r>
    </w:p>
    <w:p w:rsidR="009B7828" w:rsidRPr="004E2D43" w:rsidRDefault="001D315E"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Ev</w:t>
      </w:r>
      <w:r w:rsidR="00AB4A5F" w:rsidRPr="004E2D43">
        <w:rPr>
          <w:rFonts w:ascii="Times New Roman" w:eastAsia="Times New Roman" w:hAnsi="Times New Roman" w:cs="Times New Roman"/>
          <w:sz w:val="24"/>
          <w:szCs w:val="24"/>
          <w:lang w:eastAsia="en-IN"/>
        </w:rPr>
        <w:t>aluation: Tesla is experiencing reduced value multiples showing lower investor confidence and increased market maturity even though growth rates of the earnings have been high</w:t>
      </w:r>
      <w:r w:rsidRPr="004E2D43">
        <w:rPr>
          <w:rFonts w:ascii="Times New Roman" w:eastAsia="Times New Roman" w:hAnsi="Times New Roman" w:cs="Times New Roman"/>
          <w:sz w:val="24"/>
          <w:szCs w:val="24"/>
          <w:lang w:eastAsia="en-IN"/>
        </w:rPr>
        <w:t xml:space="preserve"> (Mengzhuo Shi, 2022)</w:t>
      </w:r>
      <w:r w:rsidR="00AB4A5F" w:rsidRPr="004E2D43">
        <w:rPr>
          <w:rFonts w:ascii="Times New Roman" w:eastAsia="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8" w:name="_Toc226325780"/>
      <w:r w:rsidRPr="004E2D43">
        <w:rPr>
          <w:sz w:val="24"/>
          <w:szCs w:val="24"/>
        </w:rPr>
        <w:t>1.6 Cash Flow Analysis</w:t>
      </w:r>
      <w:bookmarkEnd w:id="8"/>
    </w:p>
    <w:p w:rsidR="009B7828" w:rsidRPr="004E2D43" w:rsidRDefault="00AB4A5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cash flow ratios determine the ability of Tesla to produce cash owing to its business activities and investment capital.</w:t>
      </w:r>
    </w:p>
    <w:p w:rsidR="006701F3"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Operating Cash Flow Ratio</w:t>
      </w:r>
    </w:p>
    <w:p w:rsidR="00436FD7" w:rsidRPr="004E2D43" w:rsidRDefault="00436FD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A2DE5" w:rsidRPr="004E2D43" w:rsidRDefault="00FA2DE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8: Operating cashflow</w:t>
      </w:r>
    </w:p>
    <w:p w:rsidR="006701F3" w:rsidRPr="004E2D43" w:rsidRDefault="006701F3"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Operating Cash Flow Ratio = Operating Cash Flow / Current Liabilities</w:t>
      </w:r>
    </w:p>
    <w:p w:rsidR="006701F3" w:rsidRPr="004E2D43" w:rsidRDefault="006701F3" w:rsidP="004E2D43">
      <w:pPr>
        <w:pStyle w:val="NormalWeb"/>
        <w:spacing w:line="360" w:lineRule="auto"/>
        <w:jc w:val="both"/>
      </w:pPr>
      <w:r w:rsidRPr="004E2D43">
        <w:lastRenderedPageBreak/>
        <w:t>Year 2019: (2,405 / 12,130) = 0.20</w:t>
      </w:r>
    </w:p>
    <w:p w:rsidR="006701F3" w:rsidRPr="004E2D43" w:rsidRDefault="006701F3" w:rsidP="004E2D43">
      <w:pPr>
        <w:pStyle w:val="NormalWeb"/>
        <w:spacing w:line="360" w:lineRule="auto"/>
        <w:jc w:val="both"/>
      </w:pPr>
      <w:r w:rsidRPr="004E2D43">
        <w:t>Year 2020: (5,943 / 14,248) = 0.42</w:t>
      </w:r>
    </w:p>
    <w:p w:rsidR="006701F3" w:rsidRPr="004E2D43" w:rsidRDefault="006701F3" w:rsidP="004E2D43">
      <w:pPr>
        <w:pStyle w:val="NormalWeb"/>
        <w:spacing w:line="360" w:lineRule="auto"/>
        <w:jc w:val="both"/>
      </w:pPr>
      <w:r w:rsidRPr="004E2D43">
        <w:t>Year 2021: (11,497 / 19,705) = 0.58</w:t>
      </w:r>
    </w:p>
    <w:p w:rsidR="006701F3" w:rsidRPr="004E2D43" w:rsidRDefault="006701F3" w:rsidP="004E2D43">
      <w:pPr>
        <w:pStyle w:val="NormalWeb"/>
        <w:spacing w:line="360" w:lineRule="auto"/>
        <w:jc w:val="both"/>
      </w:pPr>
      <w:r w:rsidRPr="004E2D43">
        <w:t>Year 2022: (14,724 / 26,709) = 0.55</w:t>
      </w:r>
    </w:p>
    <w:p w:rsidR="006701F3" w:rsidRPr="004E2D43" w:rsidRDefault="006701F3"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Year 2023: (13,256 / 28,748) = 0.46</w:t>
      </w:r>
    </w:p>
    <w:p w:rsidR="00436FD7" w:rsidRPr="004E2D43" w:rsidRDefault="00AB4A5F"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This ratio improved from 0.20 (2019) to 0.55 (2022), before declining slightly to 0.46 (2023). The trend indicates that there is a high generation of operations cash although the trend of generation of operations cash has low values in the recent past which is a sign that there is a</w:t>
      </w:r>
      <w:r w:rsidR="005F5F09" w:rsidRPr="004E2D43">
        <w:rPr>
          <w:rFonts w:ascii="Times New Roman" w:eastAsia="Times New Roman" w:hAnsi="Times New Roman" w:cs="Times New Roman"/>
          <w:sz w:val="24"/>
          <w:szCs w:val="24"/>
          <w:lang w:eastAsia="en-IN"/>
        </w:rPr>
        <w:t>n increment in working capital</w:t>
      </w:r>
      <w:r w:rsidR="001D315E" w:rsidRPr="004E2D43">
        <w:rPr>
          <w:rFonts w:ascii="Times New Roman" w:eastAsia="Times New Roman" w:hAnsi="Times New Roman" w:cs="Times New Roman"/>
          <w:sz w:val="24"/>
          <w:szCs w:val="24"/>
          <w:lang w:eastAsia="en-IN"/>
        </w:rPr>
        <w:t xml:space="preserve"> (Ren et al., 2023)</w:t>
      </w:r>
      <w:r w:rsidR="005F5F09" w:rsidRPr="004E2D43">
        <w:rPr>
          <w:rFonts w:ascii="Times New Roman" w:eastAsia="Times New Roman" w:hAnsi="Times New Roman" w:cs="Times New Roman"/>
          <w:sz w:val="24"/>
          <w:szCs w:val="24"/>
          <w:lang w:eastAsia="en-IN"/>
        </w:rPr>
        <w:t>.</w:t>
      </w:r>
    </w:p>
    <w:p w:rsidR="009B7828" w:rsidRPr="004E2D43" w:rsidRDefault="009B7828"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Free Cash Flow (FCF)</w:t>
      </w:r>
    </w:p>
    <w:p w:rsidR="00436FD7" w:rsidRPr="004E2D43" w:rsidRDefault="00436FD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152D9" w:rsidRPr="004E2D43" w:rsidRDefault="00C152D9"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9: FCF ($M)</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It was observed that the increase in Free cash flow was to increase as opposed to the level of approximate 1.0 billion (2019) to 7.6 billion (2022) and further decrease to 4.4 billion (2023). The causes that have led to the decline have their basis on huge expenditure of capital assets in new plants, technology and expansion projects.</w:t>
      </w:r>
    </w:p>
    <w:p w:rsidR="009B7828"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Evaluation: Tesla is a good cash flow generator that may be utilized in advancing the growth strategy but, augmented capital investment may restrict short term liquidity</w:t>
      </w:r>
      <w:r w:rsidR="001D315E" w:rsidRPr="004E2D43">
        <w:rPr>
          <w:rFonts w:ascii="Times New Roman" w:eastAsia="Times New Roman" w:hAnsi="Times New Roman" w:cs="Times New Roman"/>
          <w:sz w:val="24"/>
          <w:szCs w:val="24"/>
          <w:lang w:eastAsia="en-IN"/>
        </w:rPr>
        <w:t xml:space="preserve"> (Yang, 2024)</w:t>
      </w:r>
      <w:r w:rsidRPr="004E2D43">
        <w:rPr>
          <w:rFonts w:ascii="Times New Roman" w:eastAsia="Times New Roman" w:hAnsi="Times New Roman" w:cs="Times New Roman"/>
          <w:sz w:val="24"/>
          <w:szCs w:val="24"/>
          <w:lang w:eastAsia="en-IN"/>
        </w:rPr>
        <w:t>.</w:t>
      </w:r>
    </w:p>
    <w:p w:rsidR="009B7828" w:rsidRPr="004E2D43" w:rsidRDefault="009B7828" w:rsidP="004E2D43">
      <w:pPr>
        <w:pStyle w:val="Heading2"/>
        <w:spacing w:line="360" w:lineRule="auto"/>
        <w:jc w:val="both"/>
        <w:rPr>
          <w:sz w:val="24"/>
          <w:szCs w:val="24"/>
        </w:rPr>
      </w:pPr>
      <w:bookmarkStart w:id="9" w:name="_Toc226325781"/>
      <w:r w:rsidRPr="004E2D43">
        <w:rPr>
          <w:sz w:val="24"/>
          <w:szCs w:val="24"/>
        </w:rPr>
        <w:t>1.7 Overall Trend Analysis, Strengths, and Threats</w:t>
      </w:r>
      <w:bookmarkEnd w:id="9"/>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Key Trends</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5F5F09" w:rsidRPr="004E2D43">
        <w:rPr>
          <w:rFonts w:ascii="Times New Roman" w:eastAsia="Times New Roman" w:hAnsi="Times New Roman" w:cs="Times New Roman"/>
          <w:sz w:val="24"/>
          <w:szCs w:val="24"/>
          <w:lang w:eastAsia="en-IN"/>
        </w:rPr>
        <w:t>Turnaround the losses to a long period profitability.</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5F5F09" w:rsidRPr="004E2D43">
        <w:rPr>
          <w:rFonts w:ascii="Times New Roman" w:eastAsia="Times New Roman" w:hAnsi="Times New Roman" w:cs="Times New Roman"/>
          <w:sz w:val="24"/>
          <w:szCs w:val="24"/>
          <w:lang w:eastAsia="en-IN"/>
        </w:rPr>
        <w:t>The high level of deleveraging and capital structure.</w:t>
      </w:r>
    </w:p>
    <w:p w:rsidR="005F5F09"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3. </w:t>
      </w:r>
      <w:r w:rsidR="005F5F09" w:rsidRPr="004E2D43">
        <w:rPr>
          <w:rFonts w:ascii="Times New Roman" w:eastAsia="Times New Roman" w:hAnsi="Times New Roman" w:cs="Times New Roman"/>
          <w:sz w:val="24"/>
          <w:szCs w:val="24"/>
          <w:lang w:eastAsia="en-IN"/>
        </w:rPr>
        <w:t>Strength of asset and revenue increase</w:t>
      </w:r>
      <w:r w:rsidR="001D315E" w:rsidRPr="004E2D43">
        <w:rPr>
          <w:rFonts w:ascii="Times New Roman" w:eastAsia="Times New Roman" w:hAnsi="Times New Roman" w:cs="Times New Roman"/>
          <w:sz w:val="24"/>
          <w:szCs w:val="24"/>
          <w:lang w:eastAsia="en-IN"/>
        </w:rPr>
        <w:t xml:space="preserve"> (Zuo, 2023)</w:t>
      </w:r>
      <w:r w:rsidR="005F5F09" w:rsidRPr="004E2D43">
        <w:rPr>
          <w:rFonts w:ascii="Times New Roman" w:eastAsia="Times New Roman" w:hAnsi="Times New Roman" w:cs="Times New Roman"/>
          <w:sz w:val="24"/>
          <w:szCs w:val="24"/>
          <w:lang w:eastAsia="en-IN"/>
        </w:rPr>
        <w:t>.</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4. </w:t>
      </w:r>
      <w:r w:rsidR="005F5F09" w:rsidRPr="004E2D43">
        <w:rPr>
          <w:rFonts w:ascii="Times New Roman" w:eastAsia="Times New Roman" w:hAnsi="Times New Roman" w:cs="Times New Roman"/>
          <w:sz w:val="24"/>
          <w:szCs w:val="24"/>
          <w:lang w:eastAsia="en-IN"/>
        </w:rPr>
        <w:t>Execution of a higher capital expenditure on the cash flows.</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Strengths</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5F5F09" w:rsidRPr="004E2D43">
        <w:rPr>
          <w:rFonts w:ascii="Times New Roman" w:eastAsia="Times New Roman" w:hAnsi="Times New Roman" w:cs="Times New Roman"/>
          <w:sz w:val="24"/>
          <w:szCs w:val="24"/>
          <w:lang w:eastAsia="en-IN"/>
        </w:rPr>
        <w:t>Good level of profitability and ROE.</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5F5F09" w:rsidRPr="004E2D43">
        <w:rPr>
          <w:rFonts w:ascii="Times New Roman" w:eastAsia="Times New Roman" w:hAnsi="Times New Roman" w:cs="Times New Roman"/>
          <w:sz w:val="24"/>
          <w:szCs w:val="24"/>
          <w:lang w:eastAsia="en-IN"/>
        </w:rPr>
        <w:t>The reason behind the low financial risk is the low debt.</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3. </w:t>
      </w:r>
      <w:r w:rsidR="005F5F09" w:rsidRPr="004E2D43">
        <w:rPr>
          <w:rFonts w:ascii="Times New Roman" w:eastAsia="Times New Roman" w:hAnsi="Times New Roman" w:cs="Times New Roman"/>
          <w:sz w:val="24"/>
          <w:szCs w:val="24"/>
          <w:lang w:eastAsia="en-IN"/>
        </w:rPr>
        <w:t>The initial one is the effective use of assets and scale of production.</w:t>
      </w:r>
    </w:p>
    <w:p w:rsidR="005F5F09"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 O</w:t>
      </w:r>
      <w:r w:rsidR="005F5F09" w:rsidRPr="004E2D43">
        <w:rPr>
          <w:rFonts w:ascii="Times New Roman" w:eastAsia="Times New Roman" w:hAnsi="Times New Roman" w:cs="Times New Roman"/>
          <w:sz w:val="24"/>
          <w:szCs w:val="24"/>
          <w:lang w:eastAsia="en-IN"/>
        </w:rPr>
        <w:t>perating cash flows</w:t>
      </w:r>
      <w:r w:rsidRPr="004E2D43">
        <w:rPr>
          <w:rFonts w:ascii="Times New Roman" w:eastAsia="Times New Roman" w:hAnsi="Times New Roman" w:cs="Times New Roman"/>
          <w:sz w:val="24"/>
          <w:szCs w:val="24"/>
          <w:lang w:eastAsia="en-IN"/>
        </w:rPr>
        <w:t xml:space="preserve"> is high</w:t>
      </w:r>
      <w:r w:rsidR="001D315E" w:rsidRPr="004E2D43">
        <w:rPr>
          <w:rFonts w:ascii="Times New Roman" w:eastAsia="Times New Roman" w:hAnsi="Times New Roman" w:cs="Times New Roman"/>
          <w:sz w:val="24"/>
          <w:szCs w:val="24"/>
          <w:lang w:eastAsia="en-IN"/>
        </w:rPr>
        <w:t xml:space="preserve"> (Aduama, Al-Sumaiti and Al-Hosani, 2023)</w:t>
      </w:r>
      <w:r w:rsidR="005F5F09" w:rsidRPr="004E2D43">
        <w:rPr>
          <w:rFonts w:ascii="Times New Roman" w:eastAsia="Times New Roman" w:hAnsi="Times New Roman" w:cs="Times New Roman"/>
          <w:sz w:val="24"/>
          <w:szCs w:val="24"/>
          <w:lang w:eastAsia="en-IN"/>
        </w:rPr>
        <w:t>.</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Threats</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5F5F09" w:rsidRPr="004E2D43">
        <w:rPr>
          <w:rFonts w:ascii="Times New Roman" w:eastAsia="Times New Roman" w:hAnsi="Times New Roman" w:cs="Times New Roman"/>
          <w:sz w:val="24"/>
          <w:szCs w:val="24"/>
          <w:lang w:eastAsia="en-IN"/>
        </w:rPr>
        <w:t>Lowering the profit margins on competitive price.</w:t>
      </w:r>
    </w:p>
    <w:p w:rsidR="005F5F09"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5F5F09" w:rsidRPr="004E2D43">
        <w:rPr>
          <w:rFonts w:ascii="Times New Roman" w:eastAsia="Times New Roman" w:hAnsi="Times New Roman" w:cs="Times New Roman"/>
          <w:sz w:val="24"/>
          <w:szCs w:val="24"/>
          <w:lang w:eastAsia="en-IN"/>
        </w:rPr>
        <w:t>Inventory buildup risks</w:t>
      </w:r>
    </w:p>
    <w:p w:rsidR="005F5F09"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3. </w:t>
      </w:r>
      <w:r w:rsidR="005F5F09" w:rsidRPr="004E2D43">
        <w:rPr>
          <w:rFonts w:ascii="Times New Roman" w:eastAsia="Times New Roman" w:hAnsi="Times New Roman" w:cs="Times New Roman"/>
          <w:sz w:val="24"/>
          <w:szCs w:val="24"/>
          <w:lang w:eastAsia="en-IN"/>
        </w:rPr>
        <w:t>Reduced valuation multiples</w:t>
      </w:r>
      <w:r w:rsidR="001D315E" w:rsidRPr="004E2D43">
        <w:rPr>
          <w:rFonts w:ascii="Times New Roman" w:eastAsia="Times New Roman" w:hAnsi="Times New Roman" w:cs="Times New Roman"/>
          <w:sz w:val="24"/>
          <w:szCs w:val="24"/>
          <w:lang w:eastAsia="en-IN"/>
        </w:rPr>
        <w:t xml:space="preserve"> (Alami, et al., 2025).</w:t>
      </w:r>
    </w:p>
    <w:p w:rsidR="009B7828"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4. </w:t>
      </w:r>
      <w:r w:rsidR="005F5F09" w:rsidRPr="004E2D43">
        <w:rPr>
          <w:rFonts w:ascii="Times New Roman" w:eastAsia="Times New Roman" w:hAnsi="Times New Roman" w:cs="Times New Roman"/>
          <w:sz w:val="24"/>
          <w:szCs w:val="24"/>
          <w:lang w:eastAsia="en-IN"/>
        </w:rPr>
        <w:t>Currently, high capital requirement.</w:t>
      </w:r>
    </w:p>
    <w:p w:rsidR="009B7828" w:rsidRPr="004E2D43" w:rsidRDefault="009B7828" w:rsidP="004E2D43">
      <w:pPr>
        <w:pStyle w:val="Heading2"/>
        <w:spacing w:line="360" w:lineRule="auto"/>
        <w:jc w:val="both"/>
        <w:rPr>
          <w:sz w:val="24"/>
          <w:szCs w:val="24"/>
        </w:rPr>
      </w:pPr>
      <w:bookmarkStart w:id="10" w:name="_Toc226325782"/>
      <w:r w:rsidRPr="004E2D43">
        <w:rPr>
          <w:sz w:val="24"/>
          <w:szCs w:val="24"/>
        </w:rPr>
        <w:t>1.8 Summary of Financial Health</w:t>
      </w:r>
      <w:bookmarkEnd w:id="10"/>
    </w:p>
    <w:p w:rsidR="009B7828"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Tesla financial performance over the past five years suggests a successful shift towards becoming a financial power and player in the global market in terms of production of EV. </w:t>
      </w:r>
      <w:r w:rsidRPr="004E2D43">
        <w:rPr>
          <w:rFonts w:ascii="Times New Roman" w:eastAsia="Times New Roman" w:hAnsi="Times New Roman" w:cs="Times New Roman"/>
          <w:sz w:val="24"/>
          <w:szCs w:val="24"/>
          <w:lang w:eastAsia="en-IN"/>
        </w:rPr>
        <w:lastRenderedPageBreak/>
        <w:t>The company utilizes the high profitability levels, liquidity and solvency levels</w:t>
      </w:r>
      <w:r w:rsidR="001D315E" w:rsidRPr="004E2D43">
        <w:rPr>
          <w:rFonts w:ascii="Times New Roman" w:eastAsia="Times New Roman" w:hAnsi="Times New Roman" w:cs="Times New Roman"/>
          <w:sz w:val="24"/>
          <w:szCs w:val="24"/>
          <w:lang w:eastAsia="en-IN"/>
        </w:rPr>
        <w:t xml:space="preserve"> (Aldossary, Alharbi and Ayub, 2024)</w:t>
      </w:r>
      <w:r w:rsidRPr="004E2D43">
        <w:rPr>
          <w:rFonts w:ascii="Times New Roman" w:eastAsia="Times New Roman" w:hAnsi="Times New Roman" w:cs="Times New Roman"/>
          <w:sz w:val="24"/>
          <w:szCs w:val="24"/>
          <w:lang w:eastAsia="en-IN"/>
        </w:rPr>
        <w:t>. However, emerging threats in the field of compression of margins, capital intensity and competition suggest that in the future, such financial approach and cost control should be carefully taken.</w:t>
      </w:r>
    </w:p>
    <w:p w:rsidR="009E5BC6" w:rsidRPr="004E2D43" w:rsidRDefault="009E5BC6" w:rsidP="004E2D43">
      <w:pPr>
        <w:pStyle w:val="Heading1"/>
        <w:spacing w:line="360" w:lineRule="auto"/>
        <w:jc w:val="both"/>
        <w:rPr>
          <w:sz w:val="24"/>
          <w:szCs w:val="24"/>
        </w:rPr>
      </w:pPr>
      <w:bookmarkStart w:id="11" w:name="_Toc226325783"/>
      <w:r w:rsidRPr="004E2D43">
        <w:rPr>
          <w:sz w:val="24"/>
          <w:szCs w:val="24"/>
        </w:rPr>
        <w:t>2. Working Capital Management Analysis</w:t>
      </w:r>
      <w:bookmarkEnd w:id="11"/>
    </w:p>
    <w:p w:rsidR="009E5BC6" w:rsidRPr="004E2D43" w:rsidRDefault="009E5BC6" w:rsidP="004E2D43">
      <w:pPr>
        <w:pStyle w:val="Heading2"/>
        <w:spacing w:line="360" w:lineRule="auto"/>
        <w:jc w:val="both"/>
        <w:rPr>
          <w:sz w:val="24"/>
          <w:szCs w:val="24"/>
        </w:rPr>
      </w:pPr>
      <w:bookmarkStart w:id="12" w:name="_Toc226325784"/>
      <w:r w:rsidRPr="004E2D43">
        <w:rPr>
          <w:sz w:val="24"/>
          <w:szCs w:val="24"/>
        </w:rPr>
        <w:t>2.1 Cash Operating Cycle (Cash Conversion Cycle – CCC)</w:t>
      </w:r>
      <w:bookmarkEnd w:id="12"/>
    </w:p>
    <w:p w:rsidR="009E5BC6"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cash operating cycle will be used to evaluate the efficiency of Tesla, Inc. in using its working capital based on the amount of time taken to convert investment in the inventory and receivables into the cash flows</w:t>
      </w:r>
      <w:r w:rsidR="001D315E" w:rsidRPr="004E2D43">
        <w:rPr>
          <w:rFonts w:ascii="Times New Roman" w:eastAsia="Times New Roman" w:hAnsi="Times New Roman" w:cs="Times New Roman"/>
          <w:sz w:val="24"/>
          <w:szCs w:val="24"/>
          <w:lang w:eastAsia="en-IN"/>
        </w:rPr>
        <w:t xml:space="preserve"> (Akin et al., 2024)</w:t>
      </w:r>
      <w:r w:rsidRPr="004E2D43">
        <w:rPr>
          <w:rFonts w:ascii="Times New Roman" w:eastAsia="Times New Roman" w:hAnsi="Times New Roman" w:cs="Times New Roman"/>
          <w:sz w:val="24"/>
          <w:szCs w:val="24"/>
          <w:lang w:eastAsia="en-IN"/>
        </w:rPr>
        <w:t>.</w:t>
      </w:r>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Formula</w:t>
      </w:r>
    </w:p>
    <w:p w:rsidR="009E5BC6" w:rsidRPr="004E2D43" w:rsidRDefault="009E5BC6"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Cash Conversion Cycle (CCC) = Days Inventory Outstanding (DIO) + Days Sales Outstanding (DSO) – Days Payables Outstanding (DPO)</w:t>
      </w:r>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Key Components (Based on Tesla Financial Data Trends)</w:t>
      </w:r>
    </w:p>
    <w:p w:rsidR="005F5F09"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sz w:val="24"/>
          <w:szCs w:val="24"/>
          <w:lang w:eastAsia="en-IN"/>
        </w:rPr>
        <w:t>Day Inventory Outstanding (DIO):</w:t>
      </w:r>
      <w:r w:rsidRPr="004E2D43">
        <w:rPr>
          <w:rFonts w:ascii="Times New Roman" w:eastAsia="Times New Roman" w:hAnsi="Times New Roman" w:cs="Times New Roman"/>
          <w:sz w:val="24"/>
          <w:szCs w:val="24"/>
          <w:lang w:eastAsia="en-IN"/>
        </w:rPr>
        <w:t xml:space="preserve"> Day Inventory Outstanding in Tesla declined in the previous year (2022) and on the one hand, we can conclude that the amounts of the inventory increased due to the outbreak of the supply chain and increase in production. The holding times in terms of inventory were slightly lower in 2023 taking into account the better </w:t>
      </w:r>
      <w:r w:rsidR="001D315E" w:rsidRPr="004E2D43">
        <w:rPr>
          <w:rFonts w:ascii="Times New Roman" w:eastAsia="Times New Roman" w:hAnsi="Times New Roman" w:cs="Times New Roman"/>
          <w:sz w:val="24"/>
          <w:szCs w:val="24"/>
          <w:lang w:eastAsia="en-IN"/>
        </w:rPr>
        <w:t>turnove</w:t>
      </w:r>
      <w:r w:rsidRPr="004E2D43">
        <w:rPr>
          <w:rFonts w:ascii="Times New Roman" w:eastAsia="Times New Roman" w:hAnsi="Times New Roman" w:cs="Times New Roman"/>
          <w:sz w:val="24"/>
          <w:szCs w:val="24"/>
          <w:lang w:eastAsia="en-IN"/>
        </w:rPr>
        <w:t>r</w:t>
      </w:r>
      <w:r w:rsidR="001D315E" w:rsidRPr="004E2D43">
        <w:rPr>
          <w:rFonts w:ascii="Times New Roman" w:eastAsia="Times New Roman" w:hAnsi="Times New Roman" w:cs="Times New Roman"/>
          <w:sz w:val="24"/>
          <w:szCs w:val="24"/>
          <w:lang w:eastAsia="en-IN"/>
        </w:rPr>
        <w:t xml:space="preserve"> (Chen et al., 2025)</w:t>
      </w:r>
      <w:r w:rsidRPr="004E2D43">
        <w:rPr>
          <w:rFonts w:ascii="Times New Roman" w:eastAsia="Times New Roman" w:hAnsi="Times New Roman" w:cs="Times New Roman"/>
          <w:sz w:val="24"/>
          <w:szCs w:val="24"/>
          <w:lang w:eastAsia="en-IN"/>
        </w:rPr>
        <w:t>.</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sz w:val="24"/>
          <w:szCs w:val="24"/>
          <w:lang w:eastAsia="en-IN"/>
        </w:rPr>
        <w:t>Days Sales Outstanding (DSO):</w:t>
      </w:r>
      <w:r w:rsidRPr="004E2D43">
        <w:rPr>
          <w:rFonts w:ascii="Times New Roman" w:eastAsia="Times New Roman" w:hAnsi="Times New Roman" w:cs="Times New Roman"/>
          <w:sz w:val="24"/>
          <w:szCs w:val="24"/>
          <w:lang w:eastAsia="en-IN"/>
        </w:rPr>
        <w:t xml:space="preserve"> The DSO of Tesla is quite low as it operates on a direct to consumer sales model meaning that the clientele pays on a per product or use of an instant financing scheme.</w:t>
      </w:r>
    </w:p>
    <w:p w:rsidR="009E5BC6"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sz w:val="24"/>
          <w:szCs w:val="24"/>
          <w:lang w:eastAsia="en-IN"/>
        </w:rPr>
        <w:t>Day Payable outstanding (DPO):</w:t>
      </w:r>
      <w:r w:rsidRPr="004E2D43">
        <w:rPr>
          <w:rFonts w:ascii="Times New Roman" w:eastAsia="Times New Roman" w:hAnsi="Times New Roman" w:cs="Times New Roman"/>
          <w:sz w:val="24"/>
          <w:szCs w:val="24"/>
          <w:lang w:eastAsia="en-IN"/>
        </w:rPr>
        <w:t xml:space="preserve"> Tesla benefits of long payment terms to the suppliers and it allows the company to defer the cash out works and gain the liquidity</w:t>
      </w:r>
      <w:r w:rsidR="001D315E" w:rsidRPr="004E2D43">
        <w:rPr>
          <w:rFonts w:ascii="Times New Roman" w:eastAsia="Times New Roman" w:hAnsi="Times New Roman" w:cs="Times New Roman"/>
          <w:sz w:val="24"/>
          <w:szCs w:val="24"/>
          <w:lang w:eastAsia="en-IN"/>
        </w:rPr>
        <w:t xml:space="preserve"> (Bai, 2024)</w:t>
      </w:r>
      <w:r w:rsidRPr="004E2D43">
        <w:rPr>
          <w:rFonts w:ascii="Times New Roman" w:eastAsia="Times New Roman" w:hAnsi="Times New Roman" w:cs="Times New Roman"/>
          <w:sz w:val="24"/>
          <w:szCs w:val="24"/>
          <w:lang w:eastAsia="en-IN"/>
        </w:rPr>
        <w:t>.</w:t>
      </w:r>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CCC Interpretation</w:t>
      </w:r>
    </w:p>
    <w:p w:rsidR="009E5BC6"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CCC of Tesla is rather brief and can be even negative, and it implies that the company tends to receive the funds of customers prior to the paying of the bills. This is a good sign of managing the working capital effectively and gives Tesla in</w:t>
      </w:r>
      <w:r w:rsidR="001D315E" w:rsidRPr="004E2D43">
        <w:rPr>
          <w:rFonts w:ascii="Times New Roman" w:eastAsia="Times New Roman" w:hAnsi="Times New Roman" w:cs="Times New Roman"/>
          <w:sz w:val="24"/>
          <w:szCs w:val="24"/>
          <w:lang w:eastAsia="en-IN"/>
        </w:rPr>
        <w:t xml:space="preserve">ternal advantages of financing. </w:t>
      </w:r>
      <w:r w:rsidRPr="004E2D43">
        <w:rPr>
          <w:rFonts w:ascii="Times New Roman" w:eastAsia="Times New Roman" w:hAnsi="Times New Roman" w:cs="Times New Roman"/>
          <w:sz w:val="24"/>
          <w:szCs w:val="24"/>
          <w:lang w:eastAsia="en-IN"/>
        </w:rPr>
        <w:lastRenderedPageBreak/>
        <w:t>The increase in inventory levels in 2022, however, extended the cycle, which signaled the lack of efficiency in the operations and mismatch of demands and supply but was a temporary phenomenon</w:t>
      </w:r>
      <w:r w:rsidR="001D315E" w:rsidRPr="004E2D43">
        <w:rPr>
          <w:rFonts w:ascii="Times New Roman" w:eastAsia="Times New Roman" w:hAnsi="Times New Roman" w:cs="Times New Roman"/>
          <w:sz w:val="24"/>
          <w:szCs w:val="24"/>
          <w:lang w:eastAsia="en-IN"/>
        </w:rPr>
        <w:t xml:space="preserve"> (Comi, Francis and Cabras, 2024)</w:t>
      </w:r>
      <w:r w:rsidRPr="004E2D43">
        <w:rPr>
          <w:rFonts w:ascii="Times New Roman" w:eastAsia="Times New Roman" w:hAnsi="Times New Roman" w:cs="Times New Roman"/>
          <w:sz w:val="24"/>
          <w:szCs w:val="24"/>
          <w:lang w:eastAsia="en-IN"/>
        </w:rPr>
        <w:t>. The fulfilment of 2023 50 per cent recovery is a sign of doing the right thing and the instability is an issue to worry about.</w:t>
      </w:r>
    </w:p>
    <w:p w:rsidR="009E5BC6" w:rsidRPr="004E2D43" w:rsidRDefault="009E5BC6" w:rsidP="004E2D43">
      <w:pPr>
        <w:pStyle w:val="Heading2"/>
        <w:spacing w:line="360" w:lineRule="auto"/>
        <w:jc w:val="both"/>
        <w:rPr>
          <w:sz w:val="24"/>
          <w:szCs w:val="24"/>
        </w:rPr>
      </w:pPr>
      <w:bookmarkStart w:id="13" w:name="_Toc226325785"/>
      <w:r w:rsidRPr="004E2D43">
        <w:rPr>
          <w:sz w:val="24"/>
          <w:szCs w:val="24"/>
        </w:rPr>
        <w:t>2.2 Strategies to Improve Liquidity through Working Capital Reforms</w:t>
      </w:r>
      <w:bookmarkEnd w:id="13"/>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1. Inventory Optimization</w:t>
      </w:r>
    </w:p>
    <w:p w:rsidR="005F5F09"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Innovation in demand forecasting based upon AI and data analytics is a recommendation that Tesla should make to align the production and the actual in-time requirements. A reduced inventory will be acquired at a low holding cost as well as maximize efficiency in circulation of capital</w:t>
      </w:r>
      <w:r w:rsidR="001D315E" w:rsidRPr="004E2D43">
        <w:rPr>
          <w:rFonts w:ascii="Times New Roman" w:eastAsia="Times New Roman" w:hAnsi="Times New Roman" w:cs="Times New Roman"/>
          <w:sz w:val="24"/>
          <w:szCs w:val="24"/>
          <w:lang w:eastAsia="en-IN"/>
        </w:rPr>
        <w:t xml:space="preserve"> (Dai et al., 2022)</w:t>
      </w:r>
      <w:r w:rsidRPr="004E2D43">
        <w:rPr>
          <w:rFonts w:ascii="Times New Roman" w:eastAsia="Times New Roman" w:hAnsi="Times New Roman" w:cs="Times New Roman"/>
          <w:sz w:val="24"/>
          <w:szCs w:val="24"/>
          <w:lang w:eastAsia="en-IN"/>
        </w:rPr>
        <w:t>. The Just-in-time (JIT) practices can also be further enforced in the Gigafactories across the globe.</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2. Receivables Management</w:t>
      </w:r>
    </w:p>
    <w:p w:rsidR="005F5F09"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already has low levels of the receivables, yet, the increase of liquidity can be achieved by encouraging digital payment options and minimizing the time lag in financing. The cash receipt can be accelerated by increasing coordination with his or her financial institutions in approving the credit in a fast manner</w:t>
      </w:r>
      <w:r w:rsidR="001D315E" w:rsidRPr="004E2D43">
        <w:rPr>
          <w:rFonts w:ascii="Times New Roman" w:eastAsia="Times New Roman" w:hAnsi="Times New Roman" w:cs="Times New Roman"/>
          <w:sz w:val="24"/>
          <w:szCs w:val="24"/>
          <w:lang w:eastAsia="en-IN"/>
        </w:rPr>
        <w:t xml:space="preserve"> (Dimanchev et al., 2023)</w:t>
      </w:r>
      <w:r w:rsidRPr="004E2D43">
        <w:rPr>
          <w:rFonts w:ascii="Times New Roman" w:eastAsia="Times New Roman" w:hAnsi="Times New Roman" w:cs="Times New Roman"/>
          <w:sz w:val="24"/>
          <w:szCs w:val="24"/>
          <w:lang w:eastAsia="en-IN"/>
        </w:rPr>
        <w:t>.</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3. Payables Management</w:t>
      </w:r>
    </w:p>
    <w:p w:rsidR="005F5F09"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must continue to have the leverage of taking the credit of suppliers without jeopardizing supplier relations. The benefits of supplier financing programs such as the supply chain financing is also characterized by having longer terms of payment, as well as, receiving upfront payments to a supplier by financing the payment to the supplier by third-party financing companies</w:t>
      </w:r>
      <w:r w:rsidR="001D315E" w:rsidRPr="004E2D43">
        <w:rPr>
          <w:rFonts w:ascii="Times New Roman" w:eastAsia="Times New Roman" w:hAnsi="Times New Roman" w:cs="Times New Roman"/>
          <w:sz w:val="24"/>
          <w:szCs w:val="24"/>
          <w:lang w:eastAsia="en-IN"/>
        </w:rPr>
        <w:t xml:space="preserve"> (Ding, 2025)</w:t>
      </w:r>
      <w:r w:rsidRPr="004E2D43">
        <w:rPr>
          <w:rFonts w:ascii="Times New Roman" w:eastAsia="Times New Roman" w:hAnsi="Times New Roman" w:cs="Times New Roman"/>
          <w:sz w:val="24"/>
          <w:szCs w:val="24"/>
          <w:lang w:eastAsia="en-IN"/>
        </w:rPr>
        <w:t>.</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4. Cash Buffer Optimization</w:t>
      </w:r>
    </w:p>
    <w:p w:rsidR="009E5BC6"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It is necessary to keep the best cash reserves considering that Tesla is a capital-intensive company. Unutilized idle cash can also be utilized in the preparing short term marketable securities that can earn more returns without affecting the liquidity</w:t>
      </w:r>
      <w:r w:rsidR="001D315E" w:rsidRPr="004E2D43">
        <w:rPr>
          <w:rFonts w:ascii="Times New Roman" w:eastAsia="Times New Roman" w:hAnsi="Times New Roman" w:cs="Times New Roman"/>
          <w:sz w:val="24"/>
          <w:szCs w:val="24"/>
          <w:lang w:eastAsia="en-IN"/>
        </w:rPr>
        <w:t xml:space="preserve"> (Li, 2024)</w:t>
      </w:r>
      <w:r w:rsidRPr="004E2D43">
        <w:rPr>
          <w:rFonts w:ascii="Times New Roman" w:eastAsia="Times New Roman" w:hAnsi="Times New Roman" w:cs="Times New Roman"/>
          <w:sz w:val="24"/>
          <w:szCs w:val="24"/>
          <w:lang w:eastAsia="en-IN"/>
        </w:rPr>
        <w:t>.</w:t>
      </w:r>
    </w:p>
    <w:p w:rsidR="005F5F09" w:rsidRPr="004E2D43" w:rsidRDefault="005F5F09"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5. Working Cash Su</w:t>
      </w:r>
      <w:r w:rsidR="00EC52F8" w:rsidRPr="004E2D43">
        <w:rPr>
          <w:rFonts w:ascii="Times New Roman" w:eastAsia="Times New Roman" w:hAnsi="Times New Roman" w:cs="Times New Roman"/>
          <w:b/>
          <w:sz w:val="24"/>
          <w:szCs w:val="24"/>
          <w:lang w:eastAsia="en-IN"/>
        </w:rPr>
        <w:t>pervisory Systems</w:t>
      </w:r>
    </w:p>
    <w:p w:rsidR="009E5BC6" w:rsidRPr="004E2D43" w:rsidRDefault="005F5F09"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The introduction of the real time operating capital tribunal on the international functioning will assist in enhancing decision-making. It will involve an aggressive method of controlling the inventory, receivables and payable which will seek to make early corrections and minimize the inefficiency</w:t>
      </w:r>
      <w:r w:rsidR="001D315E" w:rsidRPr="004E2D43">
        <w:rPr>
          <w:rFonts w:ascii="Times New Roman" w:eastAsia="Times New Roman" w:hAnsi="Times New Roman" w:cs="Times New Roman"/>
          <w:sz w:val="24"/>
          <w:szCs w:val="24"/>
          <w:lang w:eastAsia="en-IN"/>
        </w:rPr>
        <w:t xml:space="preserve"> (Du, 2025)</w:t>
      </w:r>
      <w:r w:rsidRPr="004E2D43">
        <w:rPr>
          <w:rFonts w:ascii="Times New Roman" w:eastAsia="Times New Roman" w:hAnsi="Times New Roman" w:cs="Times New Roman"/>
          <w:sz w:val="24"/>
          <w:szCs w:val="24"/>
          <w:lang w:eastAsia="en-IN"/>
        </w:rPr>
        <w:t>.</w:t>
      </w:r>
    </w:p>
    <w:p w:rsidR="009E5BC6" w:rsidRPr="004E2D43" w:rsidRDefault="009E5BC6" w:rsidP="004E2D43">
      <w:pPr>
        <w:pStyle w:val="Heading2"/>
        <w:spacing w:line="360" w:lineRule="auto"/>
        <w:jc w:val="both"/>
        <w:rPr>
          <w:sz w:val="24"/>
          <w:szCs w:val="24"/>
        </w:rPr>
      </w:pPr>
      <w:bookmarkStart w:id="14" w:name="_Toc226325786"/>
      <w:r w:rsidRPr="004E2D43">
        <w:rPr>
          <w:sz w:val="24"/>
          <w:szCs w:val="24"/>
        </w:rPr>
        <w:t>2.3 Short-Term vs Long-Term Financing Options</w:t>
      </w:r>
      <w:bookmarkEnd w:id="14"/>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Short-Term Financing</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Some of the instruments in the short-term financing include trade credit, bank overdrafts and short term loan.</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Advantages:</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B4472B" w:rsidRPr="004E2D43">
        <w:rPr>
          <w:rFonts w:ascii="Times New Roman" w:eastAsia="Times New Roman" w:hAnsi="Times New Roman" w:cs="Times New Roman"/>
          <w:sz w:val="24"/>
          <w:szCs w:val="24"/>
          <w:lang w:eastAsia="en-IN"/>
        </w:rPr>
        <w:t>Purchases- short term liquidity.</w:t>
      </w:r>
    </w:p>
    <w:p w:rsidR="00B4472B"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B4472B" w:rsidRPr="004E2D43">
        <w:rPr>
          <w:rFonts w:ascii="Times New Roman" w:eastAsia="Times New Roman" w:hAnsi="Times New Roman" w:cs="Times New Roman"/>
          <w:sz w:val="24"/>
          <w:szCs w:val="24"/>
          <w:lang w:eastAsia="en-IN"/>
        </w:rPr>
        <w:t>Flexible as well as accessible</w:t>
      </w:r>
      <w:r w:rsidR="001D315E" w:rsidRPr="004E2D43">
        <w:rPr>
          <w:rFonts w:ascii="Times New Roman" w:eastAsia="Times New Roman" w:hAnsi="Times New Roman" w:cs="Times New Roman"/>
          <w:sz w:val="24"/>
          <w:szCs w:val="24"/>
          <w:lang w:eastAsia="en-IN"/>
        </w:rPr>
        <w:t xml:space="preserve"> (DURMUŞ ŞENYAPAR and AKIL, 2023)</w:t>
      </w:r>
      <w:r w:rsidR="00B4472B" w:rsidRPr="004E2D43">
        <w:rPr>
          <w:rFonts w:ascii="Times New Roman" w:eastAsia="Times New Roman" w:hAnsi="Times New Roman" w:cs="Times New Roman"/>
          <w:sz w:val="24"/>
          <w:szCs w:val="24"/>
          <w:lang w:eastAsia="en-IN"/>
        </w:rPr>
        <w:t>.</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3. </w:t>
      </w:r>
      <w:r w:rsidR="00B4472B" w:rsidRPr="004E2D43">
        <w:rPr>
          <w:rFonts w:ascii="Times New Roman" w:eastAsia="Times New Roman" w:hAnsi="Times New Roman" w:cs="Times New Roman"/>
          <w:sz w:val="24"/>
          <w:szCs w:val="24"/>
          <w:lang w:eastAsia="en-IN"/>
        </w:rPr>
        <w:t>Part of the increased income interest rates as compared to the long-term debt rates.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Disadvantages:</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B4472B" w:rsidRPr="004E2D43">
        <w:rPr>
          <w:rFonts w:ascii="Times New Roman" w:eastAsia="Times New Roman" w:hAnsi="Times New Roman" w:cs="Times New Roman"/>
          <w:sz w:val="24"/>
          <w:szCs w:val="24"/>
          <w:lang w:eastAsia="en-IN"/>
        </w:rPr>
        <w:t>New short surface refinance risk.</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B4472B" w:rsidRPr="004E2D43">
        <w:rPr>
          <w:rFonts w:ascii="Times New Roman" w:eastAsia="Times New Roman" w:hAnsi="Times New Roman" w:cs="Times New Roman"/>
          <w:sz w:val="24"/>
          <w:szCs w:val="24"/>
          <w:lang w:eastAsia="en-IN"/>
        </w:rPr>
        <w:t>Otherwise, exposure to similar interest rates.</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 May</w:t>
      </w:r>
      <w:r w:rsidR="00B4472B" w:rsidRPr="004E2D43">
        <w:rPr>
          <w:rFonts w:ascii="Times New Roman" w:eastAsia="Times New Roman" w:hAnsi="Times New Roman" w:cs="Times New Roman"/>
          <w:sz w:val="24"/>
          <w:szCs w:val="24"/>
          <w:lang w:eastAsia="en-IN"/>
        </w:rPr>
        <w:t xml:space="preserve"> indirectly overworked to straining its liquidity.</w:t>
      </w:r>
    </w:p>
    <w:p w:rsidR="009E5BC6"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This is not a relevant aspect in the case of Tesla short-term financing as it possesses high operating cash flows and negative CCC</w:t>
      </w:r>
      <w:r w:rsidR="001D315E" w:rsidRPr="004E2D43">
        <w:rPr>
          <w:rFonts w:ascii="Times New Roman" w:eastAsia="Times New Roman" w:hAnsi="Times New Roman" w:cs="Times New Roman"/>
          <w:sz w:val="24"/>
          <w:szCs w:val="24"/>
          <w:lang w:eastAsia="en-IN"/>
        </w:rPr>
        <w:t xml:space="preserve"> (Fadhil and Shen, 2025)</w:t>
      </w:r>
      <w:r w:rsidRPr="004E2D43">
        <w:rPr>
          <w:rFonts w:ascii="Times New Roman" w:eastAsia="Times New Roman" w:hAnsi="Times New Roman" w:cs="Times New Roman"/>
          <w:sz w:val="24"/>
          <w:szCs w:val="24"/>
          <w:lang w:eastAsia="en-IN"/>
        </w:rPr>
        <w:t>. However</w:t>
      </w:r>
      <w:r w:rsidR="00EC52F8" w:rsidRPr="004E2D43">
        <w:rPr>
          <w:rFonts w:ascii="Times New Roman" w:eastAsia="Times New Roman" w:hAnsi="Times New Roman" w:cs="Times New Roman"/>
          <w:sz w:val="24"/>
          <w:szCs w:val="24"/>
          <w:lang w:eastAsia="en-IN"/>
        </w:rPr>
        <w:t>,</w:t>
      </w:r>
      <w:r w:rsidRPr="004E2D43">
        <w:rPr>
          <w:rFonts w:ascii="Times New Roman" w:eastAsia="Times New Roman" w:hAnsi="Times New Roman" w:cs="Times New Roman"/>
          <w:sz w:val="24"/>
          <w:szCs w:val="24"/>
          <w:lang w:eastAsia="en-IN"/>
        </w:rPr>
        <w:t xml:space="preserve"> this remains will still be applicable in the working capital seasonal variations and the working capital deficits that are temporary.</w:t>
      </w:r>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Long-Term Financing</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long-term loans are the long term loans that are issued in the form of equity and bonds.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Advantages:</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 xml:space="preserve">1. </w:t>
      </w:r>
      <w:r w:rsidR="00B4472B" w:rsidRPr="004E2D43">
        <w:rPr>
          <w:rFonts w:ascii="Times New Roman" w:eastAsia="Times New Roman" w:hAnsi="Times New Roman" w:cs="Times New Roman"/>
          <w:sz w:val="24"/>
          <w:szCs w:val="24"/>
          <w:lang w:eastAsia="en-IN"/>
        </w:rPr>
        <w:t>Megafactories and research and development.</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B4472B" w:rsidRPr="004E2D43">
        <w:rPr>
          <w:rFonts w:ascii="Times New Roman" w:eastAsia="Times New Roman" w:hAnsi="Times New Roman" w:cs="Times New Roman"/>
          <w:sz w:val="24"/>
          <w:szCs w:val="24"/>
          <w:lang w:eastAsia="en-IN"/>
        </w:rPr>
        <w:t>Example, reduce the liquidity pressure by repaying by a spot in time.</w:t>
      </w:r>
    </w:p>
    <w:p w:rsidR="00B4472B"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3. </w:t>
      </w:r>
      <w:r w:rsidR="00B4472B" w:rsidRPr="004E2D43">
        <w:rPr>
          <w:rFonts w:ascii="Times New Roman" w:eastAsia="Times New Roman" w:hAnsi="Times New Roman" w:cs="Times New Roman"/>
          <w:sz w:val="24"/>
          <w:szCs w:val="24"/>
          <w:lang w:eastAsia="en-IN"/>
        </w:rPr>
        <w:t>Enhances financial stability</w:t>
      </w:r>
      <w:r w:rsidR="001D315E" w:rsidRPr="004E2D43">
        <w:rPr>
          <w:rFonts w:ascii="Times New Roman" w:eastAsia="Times New Roman" w:hAnsi="Times New Roman" w:cs="Times New Roman"/>
          <w:sz w:val="24"/>
          <w:szCs w:val="24"/>
          <w:lang w:eastAsia="en-IN"/>
        </w:rPr>
        <w:t xml:space="preserve"> (Liu, Boothman and Graham, 2025).</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Disadvantages:</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1. </w:t>
      </w:r>
      <w:r w:rsidR="00B4472B" w:rsidRPr="004E2D43">
        <w:rPr>
          <w:rFonts w:ascii="Times New Roman" w:eastAsia="Times New Roman" w:hAnsi="Times New Roman" w:cs="Times New Roman"/>
          <w:sz w:val="24"/>
          <w:szCs w:val="24"/>
          <w:lang w:eastAsia="en-IN"/>
        </w:rPr>
        <w:t>Increase in total cost or, i.e. interest or dilution in equity.</w:t>
      </w:r>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2. </w:t>
      </w:r>
      <w:r w:rsidR="00B4472B" w:rsidRPr="004E2D43">
        <w:rPr>
          <w:rFonts w:ascii="Times New Roman" w:eastAsia="Times New Roman" w:hAnsi="Times New Roman" w:cs="Times New Roman"/>
          <w:sz w:val="24"/>
          <w:szCs w:val="24"/>
          <w:lang w:eastAsia="en-IN"/>
        </w:rPr>
        <w:t>Low flexibility versus short term financing.</w:t>
      </w:r>
    </w:p>
    <w:p w:rsidR="009E5BC6"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has been progressively funding and financing internal sources as opposed to debt at a high rate, which has led to a high degree of deleverage</w:t>
      </w:r>
      <w:r w:rsidR="001D315E" w:rsidRPr="004E2D43">
        <w:rPr>
          <w:rFonts w:ascii="Times New Roman" w:eastAsia="Times New Roman" w:hAnsi="Times New Roman" w:cs="Times New Roman"/>
          <w:sz w:val="24"/>
          <w:szCs w:val="24"/>
          <w:lang w:eastAsia="en-IN"/>
        </w:rPr>
        <w:t xml:space="preserve"> (Mengzhuo Shi, 2022)</w:t>
      </w:r>
      <w:r w:rsidRPr="004E2D43">
        <w:rPr>
          <w:rFonts w:ascii="Times New Roman" w:eastAsia="Times New Roman" w:hAnsi="Times New Roman" w:cs="Times New Roman"/>
          <w:sz w:val="24"/>
          <w:szCs w:val="24"/>
          <w:lang w:eastAsia="en-IN"/>
        </w:rPr>
        <w:t>. The strategic expansion can be more effectively financed using the long term financing when compared to the daily working capital financing.</w:t>
      </w:r>
    </w:p>
    <w:p w:rsidR="009E5BC6" w:rsidRPr="004E2D43" w:rsidRDefault="009E5BC6"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Comparative Evaluation</w:t>
      </w:r>
    </w:p>
    <w:p w:rsidR="009E5BC6"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financial status of Tesla will enable it to depend more on internally raised funds which are enhanced by high CCC. The operational flexibility must be undertaken as a short-term financing whereas the projects, which require capital must be incl</w:t>
      </w:r>
      <w:r w:rsidR="001D315E" w:rsidRPr="004E2D43">
        <w:rPr>
          <w:rFonts w:ascii="Times New Roman" w:eastAsia="Times New Roman" w:hAnsi="Times New Roman" w:cs="Times New Roman"/>
          <w:sz w:val="24"/>
          <w:szCs w:val="24"/>
          <w:lang w:eastAsia="en-IN"/>
        </w:rPr>
        <w:t xml:space="preserve">uded under long-term financing (Pg Emeroylariffion Abas and Tan, 2024). </w:t>
      </w:r>
      <w:r w:rsidRPr="004E2D43">
        <w:rPr>
          <w:rFonts w:ascii="Times New Roman" w:eastAsia="Times New Roman" w:hAnsi="Times New Roman" w:cs="Times New Roman"/>
          <w:sz w:val="24"/>
          <w:szCs w:val="24"/>
          <w:lang w:eastAsia="en-IN"/>
        </w:rPr>
        <w:t>The combination of the two is recommended as Tesla must maintain a low number of debts, but the supplier financing and effectiveness of operations can supply liquidity.</w:t>
      </w:r>
    </w:p>
    <w:p w:rsidR="00B32A3D" w:rsidRPr="004E2D43" w:rsidRDefault="00B32A3D" w:rsidP="004E2D43">
      <w:pPr>
        <w:pStyle w:val="Heading1"/>
        <w:spacing w:line="360" w:lineRule="auto"/>
        <w:jc w:val="both"/>
        <w:rPr>
          <w:sz w:val="24"/>
          <w:szCs w:val="24"/>
        </w:rPr>
      </w:pPr>
      <w:bookmarkStart w:id="15" w:name="_Toc226325787"/>
      <w:r w:rsidRPr="004E2D43">
        <w:rPr>
          <w:sz w:val="24"/>
          <w:szCs w:val="24"/>
        </w:rPr>
        <w:t>3. Strategic Financial Restructuring Plan</w:t>
      </w:r>
      <w:bookmarkEnd w:id="15"/>
    </w:p>
    <w:p w:rsidR="00B32A3D" w:rsidRPr="004E2D43" w:rsidRDefault="00B32A3D" w:rsidP="004E2D43">
      <w:pPr>
        <w:pStyle w:val="Heading2"/>
        <w:spacing w:line="360" w:lineRule="auto"/>
        <w:jc w:val="both"/>
        <w:rPr>
          <w:sz w:val="24"/>
          <w:szCs w:val="24"/>
        </w:rPr>
      </w:pPr>
      <w:bookmarkStart w:id="16" w:name="_Toc226325788"/>
      <w:r w:rsidRPr="004E2D43">
        <w:rPr>
          <w:sz w:val="24"/>
          <w:szCs w:val="24"/>
        </w:rPr>
        <w:t>3.1 Recommended Financial Restructuring Options</w:t>
      </w:r>
      <w:bookmarkEnd w:id="16"/>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Non-Core Assets Divestiture</w:t>
      </w:r>
    </w:p>
    <w:p w:rsidR="00B4472B"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Tesla, Inc. company must think of selective divestment of unwanted or underperforming business areas including some of its legacy energy products or even service units of low margins. Rerouting of capital and efforts to high developed regions like autonomous driving technology and battery innovation can also assist Tesla to enhance its efficiency in the capital and focus on its main core focus</w:t>
      </w:r>
      <w:r w:rsidR="001D315E" w:rsidRPr="004E2D43">
        <w:rPr>
          <w:rFonts w:ascii="Times New Roman" w:eastAsia="Times New Roman" w:hAnsi="Times New Roman" w:cs="Times New Roman"/>
          <w:sz w:val="24"/>
          <w:szCs w:val="24"/>
          <w:lang w:eastAsia="en-IN"/>
        </w:rPr>
        <w:t xml:space="preserve"> (Ren et al., 2023)</w:t>
      </w:r>
      <w:r w:rsidRPr="004E2D43">
        <w:rPr>
          <w:rFonts w:ascii="Times New Roman" w:eastAsia="Times New Roman" w:hAnsi="Times New Roman" w:cs="Times New Roman"/>
          <w:sz w:val="24"/>
          <w:szCs w:val="24"/>
          <w:lang w:eastAsia="en-IN"/>
        </w:rPr>
        <w:t xml:space="preserve">. This would result in an immediate stream of liquidity, as well as reduction in the complexity in operations in the said operations, the net </w:t>
      </w:r>
      <w:r w:rsidRPr="004E2D43">
        <w:rPr>
          <w:rFonts w:ascii="Times New Roman" w:eastAsia="Times New Roman" w:hAnsi="Times New Roman" w:cs="Times New Roman"/>
          <w:sz w:val="24"/>
          <w:szCs w:val="24"/>
          <w:lang w:eastAsia="en-IN"/>
        </w:rPr>
        <w:lastRenderedPageBreak/>
        <w:t>effect being that the management would be able to concentrate on scalable high returns projects.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Merger and P</w:t>
      </w:r>
      <w:r w:rsidR="00EC52F8" w:rsidRPr="004E2D43">
        <w:rPr>
          <w:rFonts w:ascii="Times New Roman" w:eastAsia="Times New Roman" w:hAnsi="Times New Roman" w:cs="Times New Roman"/>
          <w:b/>
          <w:sz w:val="24"/>
          <w:szCs w:val="24"/>
          <w:lang w:eastAsia="en-IN"/>
        </w:rPr>
        <w:t>artnerships which are strategic</w:t>
      </w:r>
    </w:p>
    <w:p w:rsidR="00B4472B"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Instead of complete mergers, strategic alliance with international technology companies and battery producers should be the next option of Tesla. Partnerships in areas such as artificial intelligence, semiconductor constructive development and charging infrastructure can reduce the level of capital expenditure liability and quicken the innovation</w:t>
      </w:r>
      <w:r w:rsidR="001D315E" w:rsidRPr="004E2D43">
        <w:rPr>
          <w:rFonts w:ascii="Times New Roman" w:eastAsia="Times New Roman" w:hAnsi="Times New Roman" w:cs="Times New Roman"/>
          <w:sz w:val="24"/>
          <w:szCs w:val="24"/>
          <w:lang w:eastAsia="en-IN"/>
        </w:rPr>
        <w:t xml:space="preserve"> (Yang, 2024)</w:t>
      </w:r>
      <w:r w:rsidRPr="004E2D43">
        <w:rPr>
          <w:rFonts w:ascii="Times New Roman" w:eastAsia="Times New Roman" w:hAnsi="Times New Roman" w:cs="Times New Roman"/>
          <w:sz w:val="24"/>
          <w:szCs w:val="24"/>
          <w:lang w:eastAsia="en-IN"/>
        </w:rPr>
        <w:t>. Tesla Company can also venture into the international market through the creation of joint ventures in the developing markets (e.g. India or Southeast Asia) where they can share the financial risks and manufacturing expenses.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Shareholders Incre</w:t>
      </w:r>
      <w:r w:rsidR="00EC52F8" w:rsidRPr="004E2D43">
        <w:rPr>
          <w:rFonts w:ascii="Times New Roman" w:eastAsia="Times New Roman" w:hAnsi="Times New Roman" w:cs="Times New Roman"/>
          <w:b/>
          <w:sz w:val="24"/>
          <w:szCs w:val="24"/>
          <w:lang w:eastAsia="en-IN"/>
        </w:rPr>
        <w:t>ment and fund raising</w:t>
      </w:r>
    </w:p>
    <w:p w:rsidR="00B4472B"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is in a position to use its robust market valuation to raise additional equity capital in case it is necessary. Equity funding would aid in long term investments like expansion of Gigafactory, AI development as well as renewable energy infrastructure without raising the financial lever</w:t>
      </w:r>
      <w:r w:rsidR="001D315E" w:rsidRPr="004E2D43">
        <w:rPr>
          <w:rFonts w:ascii="Times New Roman" w:eastAsia="Times New Roman" w:hAnsi="Times New Roman" w:cs="Times New Roman"/>
          <w:sz w:val="24"/>
          <w:szCs w:val="24"/>
          <w:lang w:eastAsia="en-IN"/>
        </w:rPr>
        <w:t xml:space="preserve"> (Zuo, 2023)</w:t>
      </w:r>
      <w:r w:rsidRPr="004E2D43">
        <w:rPr>
          <w:rFonts w:ascii="Times New Roman" w:eastAsia="Times New Roman" w:hAnsi="Times New Roman" w:cs="Times New Roman"/>
          <w:sz w:val="24"/>
          <w:szCs w:val="24"/>
          <w:lang w:eastAsia="en-IN"/>
        </w:rPr>
        <w:t>. Tesla has minimal debt ratios, hence the issue of equity will be the available route to stay financially nimble and be in a position to fund mega projects.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In- house re- structuring and cost- opt</w:t>
      </w:r>
      <w:r w:rsidR="00EC52F8" w:rsidRPr="004E2D43">
        <w:rPr>
          <w:rFonts w:ascii="Times New Roman" w:eastAsia="Times New Roman" w:hAnsi="Times New Roman" w:cs="Times New Roman"/>
          <w:b/>
          <w:sz w:val="24"/>
          <w:szCs w:val="24"/>
          <w:lang w:eastAsia="en-IN"/>
        </w:rPr>
        <w:t>imization</w:t>
      </w:r>
    </w:p>
    <w:p w:rsidR="00B32A3D"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Tesla must offer internal reorganization by making the company facilitate its production process, reduce overheads and make efficiency in its supply chain. The vertical integration and automation will lead to cut in cost of production, and rise in margins</w:t>
      </w:r>
      <w:r w:rsidR="001D315E" w:rsidRPr="004E2D43">
        <w:rPr>
          <w:rFonts w:ascii="Times New Roman" w:eastAsia="Times New Roman" w:hAnsi="Times New Roman" w:cs="Times New Roman"/>
          <w:sz w:val="24"/>
          <w:szCs w:val="24"/>
          <w:lang w:eastAsia="en-IN"/>
        </w:rPr>
        <w:t xml:space="preserve"> (Aduama, Al-Sumaiti and Al-Hosani, 2023)</w:t>
      </w:r>
      <w:r w:rsidRPr="004E2D43">
        <w:rPr>
          <w:rFonts w:ascii="Times New Roman" w:eastAsia="Times New Roman" w:hAnsi="Times New Roman" w:cs="Times New Roman"/>
          <w:sz w:val="24"/>
          <w:szCs w:val="24"/>
          <w:lang w:eastAsia="en-IN"/>
        </w:rPr>
        <w:t>. Besides, there will be an increased liquidity because the technology of improved monitoring of the inventory held in the working capital will free up the cash sitting idle.</w:t>
      </w:r>
    </w:p>
    <w:p w:rsidR="00B32A3D" w:rsidRPr="004E2D43" w:rsidRDefault="00B32A3D" w:rsidP="004E2D43">
      <w:pPr>
        <w:pStyle w:val="Heading2"/>
        <w:spacing w:line="360" w:lineRule="auto"/>
        <w:jc w:val="both"/>
        <w:rPr>
          <w:sz w:val="24"/>
          <w:szCs w:val="24"/>
        </w:rPr>
      </w:pPr>
      <w:bookmarkStart w:id="17" w:name="_Toc226325789"/>
      <w:r w:rsidRPr="004E2D43">
        <w:rPr>
          <w:sz w:val="24"/>
          <w:szCs w:val="24"/>
        </w:rPr>
        <w:t>3.2 Impact on Shareholder Value, Debt Structure, and Operational Flexibility</w:t>
      </w:r>
      <w:bookmarkEnd w:id="17"/>
    </w:p>
    <w:p w:rsidR="00B4472B" w:rsidRPr="004E2D43" w:rsidRDefault="00EC52F8"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Impact on Shareholder Value</w:t>
      </w:r>
    </w:p>
    <w:p w:rsidR="00B4472B"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The reorganization strategies have been proposed to enhance the shareholder value, by enhancing, improving the profitability, risk reduction and expanding in the long term. The </w:t>
      </w:r>
      <w:r w:rsidRPr="004E2D43">
        <w:rPr>
          <w:rFonts w:ascii="Times New Roman" w:eastAsia="Times New Roman" w:hAnsi="Times New Roman" w:cs="Times New Roman"/>
          <w:sz w:val="24"/>
          <w:szCs w:val="24"/>
          <w:lang w:eastAsia="en-IN"/>
        </w:rPr>
        <w:lastRenderedPageBreak/>
        <w:t>divestitures will contribute towards the increase in returns on assets by selling out the poorly performing units and the strategic partnership will see it increase with regard to innovation and revenue</w:t>
      </w:r>
      <w:r w:rsidR="001D315E" w:rsidRPr="004E2D43">
        <w:rPr>
          <w:rFonts w:ascii="Times New Roman" w:eastAsia="Times New Roman" w:hAnsi="Times New Roman" w:cs="Times New Roman"/>
          <w:sz w:val="24"/>
          <w:szCs w:val="24"/>
          <w:lang w:eastAsia="en-IN"/>
        </w:rPr>
        <w:t xml:space="preserve"> (Alami, et al., 2025)</w:t>
      </w:r>
      <w:r w:rsidRPr="004E2D43">
        <w:rPr>
          <w:rFonts w:ascii="Times New Roman" w:eastAsia="Times New Roman" w:hAnsi="Times New Roman" w:cs="Times New Roman"/>
          <w:sz w:val="24"/>
          <w:szCs w:val="24"/>
          <w:lang w:eastAsia="en-IN"/>
        </w:rPr>
        <w:t>. Equity financing which may prove to be dilutive may generate long-term values when done on high rewards projects. All these will strengthen the stands of Tesla in the market and retain investors.</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 xml:space="preserve">Impact </w:t>
      </w:r>
      <w:r w:rsidR="00EC52F8" w:rsidRPr="004E2D43">
        <w:rPr>
          <w:rFonts w:ascii="Times New Roman" w:eastAsia="Times New Roman" w:hAnsi="Times New Roman" w:cs="Times New Roman"/>
          <w:b/>
          <w:sz w:val="24"/>
          <w:szCs w:val="24"/>
          <w:lang w:eastAsia="en-IN"/>
        </w:rPr>
        <w:t>on the Debt Structure</w:t>
      </w:r>
    </w:p>
    <w:p w:rsidR="00B4472B"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The debt-to-equity ratio currently stands at low levels in the Tesla Group, which provides the latter with a high level of flexibility in its capital structure restructuring. The company will be in a position to enjoy a low leverage position and at the same time the application of debt within some projects whose cash flows can easily be determined will be selective. Reduction on debt will reduce the financial risk and interest payments that will enhance financial stability</w:t>
      </w:r>
      <w:r w:rsidR="001D315E" w:rsidRPr="004E2D43">
        <w:rPr>
          <w:rFonts w:ascii="Times New Roman" w:eastAsia="Times New Roman" w:hAnsi="Times New Roman" w:cs="Times New Roman"/>
          <w:sz w:val="24"/>
          <w:szCs w:val="24"/>
          <w:lang w:eastAsia="en-IN"/>
        </w:rPr>
        <w:t xml:space="preserve"> (Akin et al., 2024)</w:t>
      </w:r>
      <w:r w:rsidRPr="004E2D43">
        <w:rPr>
          <w:rFonts w:ascii="Times New Roman" w:eastAsia="Times New Roman" w:hAnsi="Times New Roman" w:cs="Times New Roman"/>
          <w:sz w:val="24"/>
          <w:szCs w:val="24"/>
          <w:lang w:eastAsia="en-IN"/>
        </w:rPr>
        <w:t>. However, the balanced debt financing could be linked with tax conditioning and optimal cost of capital but does not always result into an augmenting significant amount of risk.</w:t>
      </w:r>
    </w:p>
    <w:p w:rsidR="00B4472B" w:rsidRPr="004E2D43" w:rsidRDefault="00B4472B" w:rsidP="004E2D4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4E2D43">
        <w:rPr>
          <w:rFonts w:ascii="Times New Roman" w:eastAsia="Times New Roman" w:hAnsi="Times New Roman" w:cs="Times New Roman"/>
          <w:b/>
          <w:sz w:val="24"/>
          <w:szCs w:val="24"/>
          <w:lang w:eastAsia="en-IN"/>
        </w:rPr>
        <w:t xml:space="preserve">Impact on Operational Flexibility </w:t>
      </w:r>
    </w:p>
    <w:p w:rsidR="00B32A3D" w:rsidRPr="004E2D43" w:rsidRDefault="00B4472B"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Reorganization programmes will enhance operational flexibility of Tesla, as business processes are simplified, and allocation of resources will be enhanced. Divestitures are used to reduce the complexity at the expense of partnerships which aim at external knowledge and technologies</w:t>
      </w:r>
      <w:r w:rsidR="001D315E" w:rsidRPr="004E2D43">
        <w:rPr>
          <w:rFonts w:ascii="Times New Roman" w:eastAsia="Times New Roman" w:hAnsi="Times New Roman" w:cs="Times New Roman"/>
          <w:sz w:val="24"/>
          <w:szCs w:val="24"/>
          <w:lang w:eastAsia="en-IN"/>
        </w:rPr>
        <w:t>(Aldossary, Alharbi and Ayub, 2024)</w:t>
      </w:r>
      <w:r w:rsidRPr="004E2D43">
        <w:rPr>
          <w:rFonts w:ascii="Times New Roman" w:eastAsia="Times New Roman" w:hAnsi="Times New Roman" w:cs="Times New Roman"/>
          <w:sz w:val="24"/>
          <w:szCs w:val="24"/>
          <w:lang w:eastAsia="en-IN"/>
        </w:rPr>
        <w:t>. More prudent working capital and cost management will provide higher financial agility that will facilitate Tesla to be mindful of the market, the developing technology, and competition.</w:t>
      </w:r>
    </w:p>
    <w:p w:rsidR="00B32A3D" w:rsidRPr="004E2D43" w:rsidRDefault="00B32A3D" w:rsidP="004E2D43">
      <w:pPr>
        <w:pStyle w:val="Heading2"/>
        <w:spacing w:line="360" w:lineRule="auto"/>
        <w:jc w:val="both"/>
        <w:rPr>
          <w:sz w:val="24"/>
          <w:szCs w:val="24"/>
        </w:rPr>
      </w:pPr>
      <w:bookmarkStart w:id="18" w:name="_Toc226325790"/>
      <w:r w:rsidRPr="004E2D43">
        <w:rPr>
          <w:sz w:val="24"/>
          <w:szCs w:val="24"/>
        </w:rPr>
        <w:t>3.3 International and Ethical Considerations</w:t>
      </w:r>
      <w:bookmarkEnd w:id="18"/>
    </w:p>
    <w:p w:rsidR="00885CC6" w:rsidRPr="004E2D43" w:rsidRDefault="00885CC6" w:rsidP="004E2D43">
      <w:pPr>
        <w:pStyle w:val="NormalWeb"/>
        <w:spacing w:line="360" w:lineRule="auto"/>
        <w:jc w:val="both"/>
        <w:rPr>
          <w:b/>
        </w:rPr>
      </w:pPr>
      <w:r w:rsidRPr="004E2D43">
        <w:rPr>
          <w:b/>
        </w:rPr>
        <w:t>Regulation En</w:t>
      </w:r>
      <w:r w:rsidR="00EC52F8" w:rsidRPr="004E2D43">
        <w:rPr>
          <w:b/>
        </w:rPr>
        <w:t>vironment and Taxation</w:t>
      </w:r>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Tesla works in a number of jurisdictions, and taxation is an important issue when taking financial restructuring into account. The company should also adopt tax effective applications with the utilization of the world tax incentive such as the subsidy to electric automobiles and renewable energy projects</w:t>
      </w:r>
      <w:r w:rsidR="001D315E" w:rsidRPr="004E2D43">
        <w:rPr>
          <w:rFonts w:ascii="Times New Roman" w:eastAsia="Times New Roman" w:hAnsi="Times New Roman" w:cs="Times New Roman"/>
          <w:sz w:val="24"/>
          <w:szCs w:val="24"/>
          <w:lang w:eastAsia="en-IN"/>
        </w:rPr>
        <w:t>(Chen et al., 2025)</w:t>
      </w:r>
      <w:r w:rsidRPr="004E2D43">
        <w:rPr>
          <w:rFonts w:ascii="Times New Roman" w:hAnsi="Times New Roman" w:cs="Times New Roman"/>
          <w:sz w:val="24"/>
          <w:szCs w:val="24"/>
        </w:rPr>
        <w:t xml:space="preserve">. But it should make sure that it adheres to the international tax laws to eliminate the reputational risks presented by its aggressive approach </w:t>
      </w:r>
      <w:r w:rsidRPr="004E2D43">
        <w:rPr>
          <w:rFonts w:ascii="Times New Roman" w:hAnsi="Times New Roman" w:cs="Times New Roman"/>
          <w:sz w:val="24"/>
          <w:szCs w:val="24"/>
        </w:rPr>
        <w:lastRenderedPageBreak/>
        <w:t>to tax avoidance. The most important points to maintain the trust of the stakeholders are the international reporting and standards.</w:t>
      </w:r>
    </w:p>
    <w:p w:rsidR="00885CC6" w:rsidRPr="004E2D43" w:rsidRDefault="00885CC6" w:rsidP="004E2D43">
      <w:pPr>
        <w:pStyle w:val="NormalWeb"/>
        <w:spacing w:line="360" w:lineRule="auto"/>
        <w:jc w:val="both"/>
        <w:rPr>
          <w:b/>
        </w:rPr>
      </w:pPr>
      <w:r w:rsidRPr="004E2D43">
        <w:rPr>
          <w:b/>
        </w:rPr>
        <w:t>Currency Risk Management</w:t>
      </w:r>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Being a global company, Tesla is susceptible to the change in the foreign exchange that can affect the revenues and costs. Forward contract and currency diversification are some of the hedging methods which help to reduce these risks</w:t>
      </w:r>
      <w:r w:rsidR="001D315E" w:rsidRPr="004E2D43">
        <w:rPr>
          <w:rFonts w:ascii="Times New Roman" w:eastAsia="Times New Roman" w:hAnsi="Times New Roman" w:cs="Times New Roman"/>
          <w:sz w:val="24"/>
          <w:szCs w:val="24"/>
          <w:lang w:eastAsia="en-IN"/>
        </w:rPr>
        <w:t>(Bai, 2024)</w:t>
      </w:r>
      <w:r w:rsidRPr="004E2D43">
        <w:rPr>
          <w:rFonts w:ascii="Times New Roman" w:hAnsi="Times New Roman" w:cs="Times New Roman"/>
          <w:sz w:val="24"/>
          <w:szCs w:val="24"/>
        </w:rPr>
        <w:t>. The financial stability can also be achieved by balancing the production and the sales in the same regions, which also helps in eliminating exposure to currency volatility.</w:t>
      </w:r>
    </w:p>
    <w:p w:rsidR="00885CC6" w:rsidRPr="004E2D43" w:rsidRDefault="00885CC6" w:rsidP="004E2D43">
      <w:pPr>
        <w:pStyle w:val="NormalWeb"/>
        <w:spacing w:line="360" w:lineRule="auto"/>
        <w:jc w:val="both"/>
        <w:rPr>
          <w:b/>
        </w:rPr>
      </w:pPr>
      <w:r w:rsidRPr="004E2D43">
        <w:rPr>
          <w:b/>
        </w:rPr>
        <w:t xml:space="preserve">Cost </w:t>
      </w:r>
      <w:r w:rsidR="00EC52F8" w:rsidRPr="004E2D43">
        <w:rPr>
          <w:b/>
        </w:rPr>
        <w:t>Pressure and Inflation Pressure</w:t>
      </w:r>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rise in inflation will also affect the price of raw materials that offer the example of lithium and cobalt among other battery materials. The method of controlling the cost volatility requires Tesla to introduce strategic sourcing, long-term contracts with the suppliers, as well as vertical integration</w:t>
      </w:r>
      <w:r w:rsidR="001D315E" w:rsidRPr="004E2D43">
        <w:rPr>
          <w:rFonts w:ascii="Times New Roman" w:eastAsia="Times New Roman" w:hAnsi="Times New Roman" w:cs="Times New Roman"/>
          <w:sz w:val="24"/>
          <w:szCs w:val="24"/>
          <w:lang w:eastAsia="en-IN"/>
        </w:rPr>
        <w:t>(Comi, Francis and Cabras, 2024)</w:t>
      </w:r>
      <w:r w:rsidRPr="004E2D43">
        <w:rPr>
          <w:rFonts w:ascii="Times New Roman" w:hAnsi="Times New Roman" w:cs="Times New Roman"/>
          <w:sz w:val="24"/>
          <w:szCs w:val="24"/>
        </w:rPr>
        <w:t>. The pricing strategies should be competitive and be capable of sustaining the level of profitability in the during the inflation period.</w:t>
      </w:r>
    </w:p>
    <w:p w:rsidR="00885CC6" w:rsidRPr="004E2D43" w:rsidRDefault="00885CC6" w:rsidP="004E2D43">
      <w:pPr>
        <w:pStyle w:val="NormalWeb"/>
        <w:spacing w:line="360" w:lineRule="auto"/>
        <w:jc w:val="both"/>
        <w:rPr>
          <w:b/>
        </w:rPr>
      </w:pPr>
      <w:r w:rsidRPr="004E2D43">
        <w:rPr>
          <w:b/>
        </w:rPr>
        <w:t xml:space="preserve">The structure of CSR and Ethical practices </w:t>
      </w:r>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restructuring strategy that Tesla has designed must be aligned with the sustainability goal and ethical responsibilities of this firm. One should invest in renewable energy and friendly environment production process and Ethical sourcing of raw materials</w:t>
      </w:r>
      <w:r w:rsidR="001D315E" w:rsidRPr="004E2D43">
        <w:rPr>
          <w:rFonts w:ascii="Times New Roman" w:eastAsia="Times New Roman" w:hAnsi="Times New Roman" w:cs="Times New Roman"/>
          <w:sz w:val="24"/>
          <w:szCs w:val="24"/>
          <w:lang w:eastAsia="en-IN"/>
        </w:rPr>
        <w:t>(Dai et al., 2022)</w:t>
      </w:r>
      <w:r w:rsidRPr="004E2D43">
        <w:rPr>
          <w:rFonts w:ascii="Times New Roman" w:hAnsi="Times New Roman" w:cs="Times New Roman"/>
          <w:sz w:val="24"/>
          <w:szCs w:val="24"/>
        </w:rPr>
        <w:t>. The company ought to observe just labor practices in the global chain of supply as well as transparency in the reporting of the environment. Ethical concerns also help to enhance the brand image besides attracting socially responsible investors and play a role in the value creation over the long term.</w:t>
      </w:r>
    </w:p>
    <w:p w:rsidR="00885CC6" w:rsidRPr="004E2D43" w:rsidRDefault="00885CC6" w:rsidP="004E2D43">
      <w:pPr>
        <w:pStyle w:val="NormalWeb"/>
        <w:spacing w:line="360" w:lineRule="auto"/>
        <w:jc w:val="both"/>
        <w:rPr>
          <w:b/>
        </w:rPr>
      </w:pPr>
      <w:r w:rsidRPr="004E2D43">
        <w:rPr>
          <w:b/>
        </w:rPr>
        <w:t>Global Scalability Considerations</w:t>
      </w:r>
    </w:p>
    <w:p w:rsidR="00B32A3D"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re-organizing plan must enable Tesla to expand worldwide by adapting to the different market conditions. The localization strategy like the regional production supply chain networks could be useful in reducing the costs and responsiveness to the markets</w:t>
      </w:r>
      <w:r w:rsidR="001D315E" w:rsidRPr="004E2D43">
        <w:rPr>
          <w:rFonts w:ascii="Times New Roman" w:eastAsia="Times New Roman" w:hAnsi="Times New Roman" w:cs="Times New Roman"/>
          <w:sz w:val="24"/>
          <w:szCs w:val="24"/>
          <w:lang w:eastAsia="en-IN"/>
        </w:rPr>
        <w:t xml:space="preserve">(Dimanchev </w:t>
      </w:r>
      <w:r w:rsidR="001D315E" w:rsidRPr="004E2D43">
        <w:rPr>
          <w:rFonts w:ascii="Times New Roman" w:eastAsia="Times New Roman" w:hAnsi="Times New Roman" w:cs="Times New Roman"/>
          <w:sz w:val="24"/>
          <w:szCs w:val="24"/>
          <w:lang w:eastAsia="en-IN"/>
        </w:rPr>
        <w:lastRenderedPageBreak/>
        <w:t>et al., 2023)</w:t>
      </w:r>
      <w:r w:rsidRPr="004E2D43">
        <w:rPr>
          <w:rFonts w:ascii="Times New Roman" w:hAnsi="Times New Roman" w:cs="Times New Roman"/>
          <w:sz w:val="24"/>
          <w:szCs w:val="24"/>
        </w:rPr>
        <w:t>. New markets investments will also enable Tesla to realize growth opportunities since it will diversify the sources of income and will not rely on the mature markets.</w:t>
      </w:r>
    </w:p>
    <w:p w:rsidR="00022657" w:rsidRPr="004E2D43" w:rsidRDefault="00022657" w:rsidP="004E2D43">
      <w:pPr>
        <w:pStyle w:val="Heading1"/>
        <w:spacing w:line="360" w:lineRule="auto"/>
        <w:jc w:val="both"/>
        <w:rPr>
          <w:sz w:val="24"/>
          <w:szCs w:val="24"/>
        </w:rPr>
      </w:pPr>
      <w:bookmarkStart w:id="19" w:name="_Toc226325791"/>
      <w:r w:rsidRPr="004E2D43">
        <w:rPr>
          <w:sz w:val="24"/>
          <w:szCs w:val="24"/>
        </w:rPr>
        <w:t>4. Investment Appraisal and Capital Budgeting</w:t>
      </w:r>
      <w:bookmarkEnd w:id="19"/>
    </w:p>
    <w:p w:rsidR="00022657" w:rsidRPr="004E2D43" w:rsidRDefault="00022657" w:rsidP="004E2D43">
      <w:pPr>
        <w:pStyle w:val="Heading2"/>
        <w:spacing w:line="360" w:lineRule="auto"/>
        <w:jc w:val="both"/>
        <w:rPr>
          <w:sz w:val="24"/>
          <w:szCs w:val="24"/>
        </w:rPr>
      </w:pPr>
      <w:bookmarkStart w:id="20" w:name="_Toc226325792"/>
      <w:r w:rsidRPr="004E2D43">
        <w:rPr>
          <w:sz w:val="24"/>
          <w:szCs w:val="24"/>
        </w:rPr>
        <w:t>4.1 Project Overview and Assumptions</w:t>
      </w:r>
      <w:bookmarkEnd w:id="20"/>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capital budgeting methods are used to evaluate Tesla, Inc. on three investment projects that are mutually exclusive. The start-up cost of every project is 50 million pound with the project life of five years. The rate is going to be 10 percent as a discounting rate that is close to a cost of capital of Tesla based on its risk profile</w:t>
      </w:r>
      <w:r w:rsidR="001D315E" w:rsidRPr="004E2D43">
        <w:rPr>
          <w:rFonts w:ascii="Times New Roman" w:eastAsia="Times New Roman" w:hAnsi="Times New Roman" w:cs="Times New Roman"/>
          <w:sz w:val="24"/>
          <w:szCs w:val="24"/>
          <w:lang w:eastAsia="en-IN"/>
        </w:rPr>
        <w:t>(Ding, 2025)</w:t>
      </w:r>
      <w:r w:rsidRPr="004E2D43">
        <w:rPr>
          <w:rFonts w:ascii="Times New Roman" w:hAnsi="Times New Roman" w:cs="Times New Roman"/>
          <w:sz w:val="24"/>
          <w:szCs w:val="24"/>
        </w:rPr>
        <w:t>. The zero depreciation of this equipment on a straight line basis implies that it is depreciated at 10 million pounds/ annum (50m/ 5).</w:t>
      </w:r>
    </w:p>
    <w:p w:rsidR="00022657" w:rsidRPr="004E2D43" w:rsidRDefault="00885CC6" w:rsidP="004E2D43">
      <w:pPr>
        <w:pStyle w:val="NormalWeb"/>
        <w:spacing w:line="360" w:lineRule="auto"/>
        <w:jc w:val="both"/>
      </w:pPr>
      <w:r w:rsidRPr="004E2D43">
        <w:t>It is evaluated by use of Payback Period (PBP), Accounting Rate of Return (ARR), Net Present Value (NPV), Profitability Index (PI) and Internal rate of Return (IRR).</w:t>
      </w:r>
    </w:p>
    <w:p w:rsidR="00022657" w:rsidRPr="004E2D43" w:rsidRDefault="00022657" w:rsidP="004E2D43">
      <w:pPr>
        <w:pStyle w:val="Heading2"/>
        <w:spacing w:line="360" w:lineRule="auto"/>
        <w:jc w:val="both"/>
        <w:rPr>
          <w:sz w:val="24"/>
          <w:szCs w:val="24"/>
        </w:rPr>
      </w:pPr>
      <w:bookmarkStart w:id="21" w:name="_Toc226325793"/>
      <w:r w:rsidRPr="004E2D43">
        <w:rPr>
          <w:sz w:val="24"/>
          <w:szCs w:val="24"/>
        </w:rPr>
        <w:t>4.2 Payback Period (PBP) Calculation</w:t>
      </w:r>
      <w:bookmarkEnd w:id="21"/>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A</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Cumulative cash inflows:</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1: 10</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2: 22</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3: 36</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4: 46</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5: 54</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Payback</w:t>
      </w:r>
      <w:r w:rsidR="00BE4805">
        <w:rPr>
          <w:rFonts w:ascii="Times New Roman" w:eastAsia="Times New Roman" w:hAnsi="Times New Roman" w:cs="Times New Roman"/>
          <w:sz w:val="24"/>
          <w:szCs w:val="24"/>
          <w:lang w:eastAsia="en-IN"/>
        </w:rPr>
        <w:t xml:space="preserve"> occurs in Year 5:</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Remai</w:t>
      </w:r>
      <w:r w:rsidR="00BE4805">
        <w:rPr>
          <w:rFonts w:ascii="Times New Roman" w:eastAsia="Times New Roman" w:hAnsi="Times New Roman" w:cs="Times New Roman"/>
          <w:sz w:val="24"/>
          <w:szCs w:val="24"/>
          <w:lang w:eastAsia="en-IN"/>
        </w:rPr>
        <w:t>ning after Year 4 = 50 – 46 = 4</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Fraction = 4/8 = 0.5</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lastRenderedPageBreak/>
        <w:t>PBP (A) = 4.5 years</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B</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Annual inflow = £11m</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Payback = 50 / 11 = </w:t>
      </w:r>
      <w:r w:rsidRPr="004E2D43">
        <w:rPr>
          <w:rFonts w:ascii="Times New Roman" w:eastAsia="Times New Roman" w:hAnsi="Times New Roman" w:cs="Times New Roman"/>
          <w:b/>
          <w:bCs/>
          <w:sz w:val="24"/>
          <w:szCs w:val="24"/>
          <w:lang w:eastAsia="en-IN"/>
        </w:rPr>
        <w:t>4.55 years</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C</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Cumulative inflows:</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1: 5</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2: 15</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3: 35</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4: 60</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Remaining after Year 3 =</w:t>
      </w:r>
      <w:r w:rsidR="00BE4805">
        <w:rPr>
          <w:rFonts w:ascii="Times New Roman" w:eastAsia="Times New Roman" w:hAnsi="Times New Roman" w:cs="Times New Roman"/>
          <w:sz w:val="24"/>
          <w:szCs w:val="24"/>
          <w:lang w:eastAsia="en-IN"/>
        </w:rPr>
        <w:t xml:space="preserve"> 50 – 35 = 15</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Fraction = 15/25 = 0.6</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PBP (C) = 3.6 years</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Evaluation</w:t>
      </w:r>
    </w:p>
    <w:p w:rsidR="00022657"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fastest of the projects is C in the payback period that takes less time to recover the investment which is advantageous to liquidity position of Tesla that is undergoing a bloated capital expenditure</w:t>
      </w:r>
      <w:r w:rsidR="001D315E" w:rsidRPr="004E2D43">
        <w:rPr>
          <w:rFonts w:ascii="Times New Roman" w:eastAsia="Times New Roman" w:hAnsi="Times New Roman" w:cs="Times New Roman"/>
          <w:sz w:val="24"/>
          <w:szCs w:val="24"/>
          <w:lang w:eastAsia="en-IN"/>
        </w:rPr>
        <w:t>(Du, 2025)</w:t>
      </w:r>
      <w:r w:rsidRPr="004E2D43">
        <w:rPr>
          <w:rFonts w:ascii="Times New Roman" w:hAnsi="Times New Roman" w:cs="Times New Roman"/>
          <w:sz w:val="24"/>
          <w:szCs w:val="24"/>
        </w:rPr>
        <w:t>.</w:t>
      </w:r>
    </w:p>
    <w:p w:rsidR="00022657" w:rsidRPr="004E2D43" w:rsidRDefault="00022657" w:rsidP="004E2D43">
      <w:pPr>
        <w:pStyle w:val="Heading2"/>
        <w:spacing w:line="360" w:lineRule="auto"/>
        <w:jc w:val="both"/>
        <w:rPr>
          <w:sz w:val="24"/>
          <w:szCs w:val="24"/>
        </w:rPr>
      </w:pPr>
      <w:bookmarkStart w:id="22" w:name="_Toc226325794"/>
      <w:r w:rsidRPr="004E2D43">
        <w:rPr>
          <w:sz w:val="24"/>
          <w:szCs w:val="24"/>
        </w:rPr>
        <w:t>4.3 Accounting Rate of Return (ARR)</w:t>
      </w:r>
      <w:bookmarkEnd w:id="22"/>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ARR = Average Profit / Initial Investment × 100</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A</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Total cash inflow = 54</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Total profit = 54 – 50 = 4</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Average profit = 4/5 = 0.8</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ARR = (0.8 / 50) × 100 = </w:t>
      </w:r>
      <w:r w:rsidRPr="004E2D43">
        <w:rPr>
          <w:rFonts w:ascii="Times New Roman" w:eastAsia="Times New Roman" w:hAnsi="Times New Roman" w:cs="Times New Roman"/>
          <w:b/>
          <w:bCs/>
          <w:sz w:val="24"/>
          <w:szCs w:val="24"/>
          <w:lang w:eastAsia="en-IN"/>
        </w:rPr>
        <w:t>1.6%</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B</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Total inflow = 55</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Profit = 5</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Average profit = 1</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ARR = (1 / 50) × 100 = </w:t>
      </w:r>
      <w:r w:rsidRPr="004E2D43">
        <w:rPr>
          <w:rFonts w:ascii="Times New Roman" w:eastAsia="Times New Roman" w:hAnsi="Times New Roman" w:cs="Times New Roman"/>
          <w:b/>
          <w:bCs/>
          <w:sz w:val="24"/>
          <w:szCs w:val="24"/>
          <w:lang w:eastAsia="en-IN"/>
        </w:rPr>
        <w:t>2.0%</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C</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Total inflow = 65</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Profit = 15</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Average profit = 3</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sz w:val="24"/>
          <w:szCs w:val="24"/>
          <w:lang w:eastAsia="en-IN"/>
        </w:rPr>
        <w:t xml:space="preserve">ARR = (3 / 50) × 100 = </w:t>
      </w:r>
      <w:r w:rsidRPr="004E2D43">
        <w:rPr>
          <w:rFonts w:ascii="Times New Roman" w:eastAsia="Times New Roman" w:hAnsi="Times New Roman" w:cs="Times New Roman"/>
          <w:b/>
          <w:bCs/>
          <w:sz w:val="24"/>
          <w:szCs w:val="24"/>
          <w:lang w:eastAsia="en-IN"/>
        </w:rPr>
        <w:t>6.0%</w:t>
      </w:r>
    </w:p>
    <w:p w:rsidR="00BC4037" w:rsidRPr="004E2D43" w:rsidRDefault="00BC403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5337D5" w:rsidRPr="004E2D43" w:rsidRDefault="005337D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lastRenderedPageBreak/>
        <w:t>Graph 10: ARR comparison</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Evaluation</w:t>
      </w:r>
    </w:p>
    <w:p w:rsidR="00022657"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ARR of project C is the highest, meaning that it offers better accounting profitability and a higher level of congruence with the high ROE performance level of Tesla introduced in the business analysis</w:t>
      </w:r>
      <w:r w:rsidR="001D315E" w:rsidRPr="004E2D43">
        <w:rPr>
          <w:rFonts w:ascii="Times New Roman" w:eastAsia="Times New Roman" w:hAnsi="Times New Roman" w:cs="Times New Roman"/>
          <w:sz w:val="24"/>
          <w:szCs w:val="24"/>
          <w:lang w:eastAsia="en-IN"/>
        </w:rPr>
        <w:t>(DURMUŞ ŞENYAPAR and AKIL, 2023)</w:t>
      </w:r>
      <w:r w:rsidRPr="004E2D43">
        <w:rPr>
          <w:rFonts w:ascii="Times New Roman" w:hAnsi="Times New Roman" w:cs="Times New Roman"/>
          <w:sz w:val="24"/>
          <w:szCs w:val="24"/>
        </w:rPr>
        <w:t>.</w:t>
      </w:r>
    </w:p>
    <w:p w:rsidR="00022657" w:rsidRPr="004E2D43" w:rsidRDefault="00022657" w:rsidP="004E2D43">
      <w:pPr>
        <w:pStyle w:val="Heading2"/>
        <w:spacing w:line="360" w:lineRule="auto"/>
        <w:jc w:val="both"/>
        <w:rPr>
          <w:sz w:val="24"/>
          <w:szCs w:val="24"/>
        </w:rPr>
      </w:pPr>
      <w:bookmarkStart w:id="23" w:name="_Toc226325795"/>
      <w:r w:rsidRPr="004E2D43">
        <w:rPr>
          <w:sz w:val="24"/>
          <w:szCs w:val="24"/>
        </w:rPr>
        <w:t>4.4 Net Present Value (NPV) Calculation</w:t>
      </w:r>
      <w:bookmarkEnd w:id="23"/>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Discount factors (10%):</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1: 0.909</w:t>
      </w:r>
    </w:p>
    <w:p w:rsidR="00BE4805"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Year </w:t>
      </w:r>
      <w:r w:rsidR="00BE4805">
        <w:rPr>
          <w:rFonts w:ascii="Times New Roman" w:eastAsia="Times New Roman" w:hAnsi="Times New Roman" w:cs="Times New Roman"/>
          <w:sz w:val="24"/>
          <w:szCs w:val="24"/>
          <w:lang w:eastAsia="en-IN"/>
        </w:rPr>
        <w:t>2: 0.826</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3: 0.751</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Year 4: 0.683</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Year 5: 0.621</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A</w:t>
      </w:r>
    </w:p>
    <w:p w:rsidR="00BE4805"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NPV = </w:t>
      </w:r>
      <w:r w:rsidR="00022657" w:rsidRPr="004E2D43">
        <w:rPr>
          <w:rFonts w:ascii="Times New Roman" w:eastAsia="Times New Roman" w:hAnsi="Times New Roman" w:cs="Times New Roman"/>
          <w:sz w:val="24"/>
          <w:szCs w:val="24"/>
          <w:lang w:eastAsia="en-IN"/>
        </w:rPr>
        <w:t>10(0.909) + 12(0.826) + 14(0.751) + 10(0.683) + 8(0.621) – 50</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9.09 + 9.91 + 10.51 + 6.83 + 4.97 = 41.31</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NPV = 41.31 – 50 = </w:t>
      </w:r>
      <w:r w:rsidRPr="004E2D43">
        <w:rPr>
          <w:rFonts w:ascii="Times New Roman" w:eastAsia="Times New Roman" w:hAnsi="Times New Roman" w:cs="Times New Roman"/>
          <w:bCs/>
          <w:sz w:val="24"/>
          <w:szCs w:val="24"/>
          <w:lang w:eastAsia="en-IN"/>
        </w:rPr>
        <w:t>–£8.69m</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B</w:t>
      </w:r>
    </w:p>
    <w:p w:rsidR="00022657" w:rsidRPr="004E2D43"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NPV =</w:t>
      </w:r>
      <w:r w:rsidR="00022657" w:rsidRPr="004E2D43">
        <w:rPr>
          <w:rFonts w:ascii="Times New Roman" w:eastAsia="Times New Roman" w:hAnsi="Times New Roman" w:cs="Times New Roman"/>
          <w:sz w:val="24"/>
          <w:szCs w:val="24"/>
          <w:lang w:eastAsia="en-IN"/>
        </w:rPr>
        <w:t>11(0.909 + 0.826 + 0.751 + 0.683 + 0.621)</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11 × 3.79 = 41.69</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NPV = 41.69 – 50 = </w:t>
      </w:r>
      <w:r w:rsidRPr="004E2D43">
        <w:rPr>
          <w:rFonts w:ascii="Times New Roman" w:eastAsia="Times New Roman" w:hAnsi="Times New Roman" w:cs="Times New Roman"/>
          <w:bCs/>
          <w:sz w:val="24"/>
          <w:szCs w:val="24"/>
          <w:lang w:eastAsia="en-IN"/>
        </w:rPr>
        <w:t>–£8.31m</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Project C</w:t>
      </w:r>
    </w:p>
    <w:p w:rsidR="00022657" w:rsidRPr="004E2D43" w:rsidRDefault="00BE4805"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lastRenderedPageBreak/>
        <w:t>NPV =</w:t>
      </w:r>
      <w:bookmarkStart w:id="24" w:name="_GoBack"/>
      <w:bookmarkEnd w:id="24"/>
      <w:r w:rsidR="00022657" w:rsidRPr="004E2D43">
        <w:rPr>
          <w:rFonts w:ascii="Times New Roman" w:eastAsia="Times New Roman" w:hAnsi="Times New Roman" w:cs="Times New Roman"/>
          <w:sz w:val="24"/>
          <w:szCs w:val="24"/>
          <w:lang w:eastAsia="en-IN"/>
        </w:rPr>
        <w:t>5(0.909) + 10(0.826) + 20(0.751) + 25(0.683) + 5(0.621)</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4.55 + 8.26 + 15.02 + 17.08 + 3.11 = 48.02</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sz w:val="24"/>
          <w:szCs w:val="24"/>
          <w:lang w:eastAsia="en-IN"/>
        </w:rPr>
        <w:t xml:space="preserve">NPV = 48.02 – 50 = </w:t>
      </w:r>
      <w:r w:rsidRPr="004E2D43">
        <w:rPr>
          <w:rFonts w:ascii="Times New Roman" w:eastAsia="Times New Roman" w:hAnsi="Times New Roman" w:cs="Times New Roman"/>
          <w:bCs/>
          <w:sz w:val="24"/>
          <w:szCs w:val="24"/>
          <w:lang w:eastAsia="en-IN"/>
        </w:rPr>
        <w:t>–£1.98m</w:t>
      </w:r>
    </w:p>
    <w:p w:rsidR="00BC4037" w:rsidRPr="004E2D43" w:rsidRDefault="00BC403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F3183A" w:rsidRPr="004E2D43" w:rsidRDefault="00F3183A"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Graph 11: NPV comparison</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Evaluation</w:t>
      </w:r>
    </w:p>
    <w:p w:rsidR="00022657"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The negative NPV at 10 percent is applied in all the projects indicating that the returns of the projects are less than the rate demanded. The two project Cs however are a bit more appealing to look into, bearing in mind that it has the lowest negative NPV</w:t>
      </w:r>
      <w:r w:rsidR="001D315E" w:rsidRPr="004E2D43">
        <w:rPr>
          <w:rFonts w:ascii="Times New Roman" w:eastAsia="Times New Roman" w:hAnsi="Times New Roman" w:cs="Times New Roman"/>
          <w:sz w:val="24"/>
          <w:szCs w:val="24"/>
          <w:lang w:eastAsia="en-IN"/>
        </w:rPr>
        <w:t>(Li, 2024)</w:t>
      </w:r>
      <w:r w:rsidRPr="004E2D43">
        <w:rPr>
          <w:rFonts w:ascii="Times New Roman" w:hAnsi="Times New Roman" w:cs="Times New Roman"/>
          <w:sz w:val="24"/>
          <w:szCs w:val="24"/>
        </w:rPr>
        <w:t>.</w:t>
      </w:r>
    </w:p>
    <w:p w:rsidR="00022657" w:rsidRPr="004E2D43" w:rsidRDefault="00022657" w:rsidP="004E2D43">
      <w:pPr>
        <w:pStyle w:val="Heading2"/>
        <w:spacing w:line="360" w:lineRule="auto"/>
        <w:jc w:val="both"/>
        <w:rPr>
          <w:sz w:val="24"/>
          <w:szCs w:val="24"/>
        </w:rPr>
      </w:pPr>
      <w:bookmarkStart w:id="25" w:name="_Toc226325796"/>
      <w:r w:rsidRPr="004E2D43">
        <w:rPr>
          <w:sz w:val="24"/>
          <w:szCs w:val="24"/>
        </w:rPr>
        <w:t>4.5 Profitability Index (PI)</w:t>
      </w:r>
      <w:bookmarkEnd w:id="25"/>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PI = Present Value of Cash Inflows / Initial Investment</w:t>
      </w:r>
    </w:p>
    <w:p w:rsidR="00022657" w:rsidRPr="004E2D43" w:rsidRDefault="00022657" w:rsidP="004E2D43">
      <w:pPr>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A: 41.31 / 50 = </w:t>
      </w:r>
      <w:r w:rsidRPr="004E2D43">
        <w:rPr>
          <w:rFonts w:ascii="Times New Roman" w:eastAsia="Times New Roman" w:hAnsi="Times New Roman" w:cs="Times New Roman"/>
          <w:bCs/>
          <w:sz w:val="24"/>
          <w:szCs w:val="24"/>
          <w:lang w:eastAsia="en-IN"/>
        </w:rPr>
        <w:t>0.83</w:t>
      </w:r>
    </w:p>
    <w:p w:rsidR="00022657" w:rsidRPr="004E2D43" w:rsidRDefault="00022657" w:rsidP="004E2D43">
      <w:pPr>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B: 41.69 / 50 = </w:t>
      </w:r>
      <w:r w:rsidRPr="004E2D43">
        <w:rPr>
          <w:rFonts w:ascii="Times New Roman" w:eastAsia="Times New Roman" w:hAnsi="Times New Roman" w:cs="Times New Roman"/>
          <w:bCs/>
          <w:sz w:val="24"/>
          <w:szCs w:val="24"/>
          <w:lang w:eastAsia="en-IN"/>
        </w:rPr>
        <w:t>0.83</w:t>
      </w:r>
    </w:p>
    <w:p w:rsidR="00022657" w:rsidRPr="004E2D43" w:rsidRDefault="00022657" w:rsidP="004E2D43">
      <w:pPr>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C: 48.02 / 50 = </w:t>
      </w:r>
      <w:r w:rsidRPr="004E2D43">
        <w:rPr>
          <w:rFonts w:ascii="Times New Roman" w:eastAsia="Times New Roman" w:hAnsi="Times New Roman" w:cs="Times New Roman"/>
          <w:bCs/>
          <w:sz w:val="24"/>
          <w:szCs w:val="24"/>
          <w:lang w:eastAsia="en-IN"/>
        </w:rPr>
        <w:t>0.96</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Evaluation</w:t>
      </w:r>
    </w:p>
    <w:p w:rsidR="00022657"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Project C is of the greatest value and it implies that it has the best PI that yields great value per pound invested and it is critical in the case of limited resources</w:t>
      </w:r>
      <w:r w:rsidR="001D315E" w:rsidRPr="004E2D43">
        <w:rPr>
          <w:rFonts w:ascii="Times New Roman" w:eastAsia="Times New Roman" w:hAnsi="Times New Roman" w:cs="Times New Roman"/>
          <w:sz w:val="24"/>
          <w:szCs w:val="24"/>
          <w:lang w:eastAsia="en-IN"/>
        </w:rPr>
        <w:t>(Fadhil and Shen, 2025)</w:t>
      </w:r>
      <w:r w:rsidRPr="004E2D43">
        <w:rPr>
          <w:rFonts w:ascii="Times New Roman" w:hAnsi="Times New Roman" w:cs="Times New Roman"/>
          <w:sz w:val="24"/>
          <w:szCs w:val="24"/>
        </w:rPr>
        <w:t>.</w:t>
      </w:r>
    </w:p>
    <w:p w:rsidR="00022657" w:rsidRPr="004E2D43" w:rsidRDefault="00022657" w:rsidP="004E2D43">
      <w:pPr>
        <w:pStyle w:val="Heading2"/>
        <w:spacing w:line="360" w:lineRule="auto"/>
        <w:jc w:val="both"/>
        <w:rPr>
          <w:sz w:val="24"/>
          <w:szCs w:val="24"/>
        </w:rPr>
      </w:pPr>
      <w:bookmarkStart w:id="26" w:name="_Toc226325797"/>
      <w:r w:rsidRPr="004E2D43">
        <w:rPr>
          <w:sz w:val="24"/>
          <w:szCs w:val="24"/>
        </w:rPr>
        <w:lastRenderedPageBreak/>
        <w:t>4.6 Internal Rate of Return (IRR)</w:t>
      </w:r>
      <w:bookmarkEnd w:id="26"/>
    </w:p>
    <w:p w:rsidR="00022657" w:rsidRPr="004E2D43" w:rsidRDefault="00885CC6" w:rsidP="004E2D43">
      <w:pPr>
        <w:pStyle w:val="NormalWeb"/>
        <w:spacing w:line="360" w:lineRule="auto"/>
        <w:jc w:val="both"/>
      </w:pPr>
      <w:r w:rsidRPr="004E2D43">
        <w:t>Predominantly at this discount rate NPV = 0.</w:t>
      </w:r>
    </w:p>
    <w:p w:rsidR="00022657" w:rsidRPr="004E2D43" w:rsidRDefault="00022657" w:rsidP="004E2D43">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A: IRR ≈ </w:t>
      </w:r>
      <w:r w:rsidRPr="004E2D43">
        <w:rPr>
          <w:rFonts w:ascii="Times New Roman" w:eastAsia="Times New Roman" w:hAnsi="Times New Roman" w:cs="Times New Roman"/>
          <w:bCs/>
          <w:sz w:val="24"/>
          <w:szCs w:val="24"/>
          <w:lang w:eastAsia="en-IN"/>
        </w:rPr>
        <w:t>6–7%</w:t>
      </w:r>
    </w:p>
    <w:p w:rsidR="00022657" w:rsidRPr="004E2D43" w:rsidRDefault="00022657" w:rsidP="004E2D43">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B: IRR ≈ </w:t>
      </w:r>
      <w:r w:rsidRPr="004E2D43">
        <w:rPr>
          <w:rFonts w:ascii="Times New Roman" w:eastAsia="Times New Roman" w:hAnsi="Times New Roman" w:cs="Times New Roman"/>
          <w:bCs/>
          <w:sz w:val="24"/>
          <w:szCs w:val="24"/>
          <w:lang w:eastAsia="en-IN"/>
        </w:rPr>
        <w:t>7%</w:t>
      </w:r>
    </w:p>
    <w:p w:rsidR="00022657" w:rsidRPr="004E2D43" w:rsidRDefault="00022657" w:rsidP="004E2D43">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Project C: IRR ≈ </w:t>
      </w:r>
      <w:r w:rsidRPr="004E2D43">
        <w:rPr>
          <w:rFonts w:ascii="Times New Roman" w:eastAsia="Times New Roman" w:hAnsi="Times New Roman" w:cs="Times New Roman"/>
          <w:bCs/>
          <w:sz w:val="24"/>
          <w:szCs w:val="24"/>
          <w:lang w:eastAsia="en-IN"/>
        </w:rPr>
        <w:t>9%</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Evaluation</w:t>
      </w:r>
    </w:p>
    <w:p w:rsidR="00022657"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Although they all do not exceed 10 percent required rate, Project C is closest to it, hence it is the most viable one in terms of finances</w:t>
      </w:r>
      <w:r w:rsidR="001D315E" w:rsidRPr="004E2D43">
        <w:rPr>
          <w:rFonts w:ascii="Times New Roman" w:eastAsia="Times New Roman" w:hAnsi="Times New Roman" w:cs="Times New Roman"/>
          <w:sz w:val="24"/>
          <w:szCs w:val="24"/>
          <w:lang w:eastAsia="en-IN"/>
        </w:rPr>
        <w:t>(Liu, Boothman and Graham, 2025)</w:t>
      </w:r>
      <w:r w:rsidRPr="004E2D43">
        <w:rPr>
          <w:rFonts w:ascii="Times New Roman" w:hAnsi="Times New Roman" w:cs="Times New Roman"/>
          <w:sz w:val="24"/>
          <w:szCs w:val="24"/>
        </w:rPr>
        <w:t>.</w:t>
      </w:r>
    </w:p>
    <w:p w:rsidR="00022657" w:rsidRPr="004E2D43" w:rsidRDefault="00022657" w:rsidP="004E2D43">
      <w:pPr>
        <w:pStyle w:val="Heading2"/>
        <w:spacing w:line="360" w:lineRule="auto"/>
        <w:jc w:val="both"/>
        <w:rPr>
          <w:sz w:val="24"/>
          <w:szCs w:val="24"/>
        </w:rPr>
      </w:pPr>
      <w:bookmarkStart w:id="27" w:name="_Toc226325798"/>
      <w:r w:rsidRPr="004E2D43">
        <w:rPr>
          <w:sz w:val="24"/>
          <w:szCs w:val="24"/>
        </w:rPr>
        <w:t>4.7 Overall Project Comparison</w:t>
      </w:r>
      <w:bookmarkEnd w:id="27"/>
    </w:p>
    <w:p w:rsidR="007F32BB" w:rsidRPr="004E2D43" w:rsidRDefault="007F32BB"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34894" w:rsidRPr="004E2D43" w:rsidRDefault="00D34894"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sz w:val="24"/>
          <w:szCs w:val="24"/>
          <w:lang w:eastAsia="en-IN"/>
        </w:rPr>
        <w:t>Graph 12: Cash inflow trends</w:t>
      </w:r>
    </w:p>
    <w:tbl>
      <w:tblPr>
        <w:tblW w:w="0" w:type="auto"/>
        <w:tblCellSpacing w:w="15" w:type="dxa"/>
        <w:tblCellMar>
          <w:top w:w="15" w:type="dxa"/>
          <w:left w:w="15" w:type="dxa"/>
          <w:bottom w:w="15" w:type="dxa"/>
          <w:right w:w="15" w:type="dxa"/>
        </w:tblCellMar>
        <w:tblLook w:val="04A0"/>
      </w:tblPr>
      <w:tblGrid>
        <w:gridCol w:w="902"/>
        <w:gridCol w:w="1040"/>
        <w:gridCol w:w="1027"/>
        <w:gridCol w:w="1055"/>
      </w:tblGrid>
      <w:tr w:rsidR="00022657" w:rsidRPr="004E2D43" w:rsidTr="00022657">
        <w:trPr>
          <w:tblHeade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Criteria</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A</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B</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C</w:t>
            </w:r>
          </w:p>
        </w:tc>
      </w:tr>
      <w:tr w:rsidR="00022657" w:rsidRPr="004E2D43" w:rsidTr="00022657">
        <w:trP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Payback</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 yrs</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4.55 yrs</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3.6 yrs</w:t>
            </w:r>
          </w:p>
        </w:tc>
      </w:tr>
      <w:tr w:rsidR="00022657" w:rsidRPr="004E2D43" w:rsidTr="00022657">
        <w:trP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ARR</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1.6%</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6.0%</w:t>
            </w:r>
          </w:p>
        </w:tc>
      </w:tr>
      <w:tr w:rsidR="00022657" w:rsidRPr="004E2D43" w:rsidTr="00022657">
        <w:trP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NPV</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-8.69</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-8.31</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-1.98</w:t>
            </w:r>
          </w:p>
        </w:tc>
      </w:tr>
      <w:tr w:rsidR="00022657" w:rsidRPr="004E2D43" w:rsidTr="00022657">
        <w:trP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PI</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0.83</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0.83</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0.96</w:t>
            </w:r>
          </w:p>
        </w:tc>
      </w:tr>
      <w:tr w:rsidR="00022657" w:rsidRPr="004E2D43" w:rsidTr="00022657">
        <w:trPr>
          <w:tblCellSpacing w:w="15" w:type="dxa"/>
        </w:trPr>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IRR</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~6–7%</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w:t>
            </w:r>
          </w:p>
        </w:tc>
        <w:tc>
          <w:tcPr>
            <w:tcW w:w="0" w:type="auto"/>
            <w:vAlign w:val="center"/>
            <w:hideMark/>
          </w:tcPr>
          <w:p w:rsidR="00022657" w:rsidRPr="004E2D43" w:rsidRDefault="00022657"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~9%</w:t>
            </w:r>
          </w:p>
        </w:tc>
      </w:tr>
    </w:tbl>
    <w:p w:rsidR="00022657" w:rsidRPr="004E2D43" w:rsidRDefault="00C813A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Table 4: Comparison of all projects</w:t>
      </w:r>
    </w:p>
    <w:p w:rsidR="00022657" w:rsidRPr="004E2D43" w:rsidRDefault="00022657" w:rsidP="004E2D43">
      <w:pPr>
        <w:pStyle w:val="Heading2"/>
        <w:spacing w:line="360" w:lineRule="auto"/>
        <w:jc w:val="both"/>
        <w:rPr>
          <w:sz w:val="24"/>
          <w:szCs w:val="24"/>
        </w:rPr>
      </w:pPr>
      <w:bookmarkStart w:id="28" w:name="_Toc226325799"/>
      <w:r w:rsidRPr="004E2D43">
        <w:rPr>
          <w:sz w:val="24"/>
          <w:szCs w:val="24"/>
        </w:rPr>
        <w:lastRenderedPageBreak/>
        <w:t>4.8 Recommended Project</w:t>
      </w:r>
      <w:bookmarkEnd w:id="28"/>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Project C has been the most proposed project with a negative NPV value which is not too high as compared to other projects according to all the measures</w:t>
      </w:r>
      <w:r w:rsidR="00C813AF" w:rsidRPr="004E2D43">
        <w:rPr>
          <w:rFonts w:ascii="Times New Roman" w:eastAsia="Times New Roman" w:hAnsi="Times New Roman" w:cs="Times New Roman"/>
          <w:sz w:val="24"/>
          <w:szCs w:val="24"/>
          <w:lang w:eastAsia="en-IN"/>
        </w:rPr>
        <w:t>(Pg Emeroylariffion Abas and Tan, 2024)</w:t>
      </w:r>
      <w:r w:rsidRPr="004E2D43">
        <w:rPr>
          <w:rFonts w:ascii="Times New Roman" w:hAnsi="Times New Roman" w:cs="Times New Roman"/>
          <w:sz w:val="24"/>
          <w:szCs w:val="24"/>
        </w:rPr>
        <w:t>.</w:t>
      </w:r>
    </w:p>
    <w:p w:rsidR="00885CC6" w:rsidRPr="004E2D43" w:rsidRDefault="00885CC6" w:rsidP="004E2D43">
      <w:pPr>
        <w:pStyle w:val="NormalWeb"/>
        <w:spacing w:line="360" w:lineRule="auto"/>
        <w:jc w:val="both"/>
        <w:rPr>
          <w:b/>
        </w:rPr>
      </w:pPr>
      <w:r w:rsidRPr="004E2D43">
        <w:rPr>
          <w:b/>
        </w:rPr>
        <w:t>Financial Justification</w:t>
      </w:r>
    </w:p>
    <w:p w:rsidR="00885CC6" w:rsidRPr="004E2D43" w:rsidRDefault="00EC52F8" w:rsidP="004E2D43">
      <w:pPr>
        <w:pStyle w:val="NormalWeb"/>
        <w:spacing w:line="360" w:lineRule="auto"/>
        <w:jc w:val="both"/>
      </w:pPr>
      <w:r w:rsidRPr="004E2D43">
        <w:t xml:space="preserve">1. </w:t>
      </w:r>
      <w:r w:rsidR="00885CC6" w:rsidRPr="004E2D43">
        <w:t>The analysis of the financial results of Tesla indicates:</w:t>
      </w:r>
    </w:p>
    <w:p w:rsidR="00885CC6" w:rsidRPr="004E2D43" w:rsidRDefault="00EC52F8" w:rsidP="004E2D43">
      <w:pPr>
        <w:pStyle w:val="NormalWeb"/>
        <w:spacing w:line="360" w:lineRule="auto"/>
        <w:jc w:val="both"/>
      </w:pPr>
      <w:r w:rsidRPr="004E2D43">
        <w:t xml:space="preserve">2. </w:t>
      </w:r>
      <w:r w:rsidR="00885CC6" w:rsidRPr="004E2D43">
        <w:t>Great profitability, but declining margins.</w:t>
      </w:r>
    </w:p>
    <w:p w:rsidR="00885CC6" w:rsidRPr="004E2D43" w:rsidRDefault="00EC52F8"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 xml:space="preserve">3. </w:t>
      </w:r>
      <w:r w:rsidR="00885CC6" w:rsidRPr="004E2D43">
        <w:rPr>
          <w:rFonts w:ascii="Times New Roman" w:hAnsi="Times New Roman" w:cs="Times New Roman"/>
          <w:sz w:val="24"/>
          <w:szCs w:val="24"/>
        </w:rPr>
        <w:t>Increasing capital expenditure</w:t>
      </w:r>
      <w:r w:rsidR="00C813AF" w:rsidRPr="004E2D43">
        <w:rPr>
          <w:rFonts w:ascii="Times New Roman" w:eastAsia="Times New Roman" w:hAnsi="Times New Roman" w:cs="Times New Roman"/>
          <w:sz w:val="24"/>
          <w:szCs w:val="24"/>
          <w:lang w:eastAsia="en-IN"/>
        </w:rPr>
        <w:t>(Mengzhuo Shi, 2022).</w:t>
      </w:r>
    </w:p>
    <w:p w:rsidR="00885CC6" w:rsidRPr="004E2D43" w:rsidRDefault="00EC52F8" w:rsidP="004E2D43">
      <w:pPr>
        <w:pStyle w:val="NormalWeb"/>
        <w:spacing w:line="360" w:lineRule="auto"/>
        <w:jc w:val="both"/>
      </w:pPr>
      <w:r w:rsidRPr="004E2D43">
        <w:t xml:space="preserve">4. </w:t>
      </w:r>
      <w:r w:rsidR="00885CC6" w:rsidRPr="004E2D43">
        <w:t>Moderate liquidity pressures</w:t>
      </w:r>
    </w:p>
    <w:p w:rsidR="00885CC6" w:rsidRPr="004E2D43" w:rsidRDefault="00885CC6" w:rsidP="004E2D43">
      <w:pPr>
        <w:pStyle w:val="NormalWeb"/>
        <w:spacing w:line="360" w:lineRule="auto"/>
        <w:jc w:val="both"/>
      </w:pPr>
      <w:r w:rsidRPr="004E2D43">
        <w:t>Project C is in accordance with these conditions as:</w:t>
      </w:r>
    </w:p>
    <w:p w:rsidR="00885CC6" w:rsidRPr="004E2D43" w:rsidRDefault="00C72E2D" w:rsidP="004E2D43">
      <w:pPr>
        <w:pStyle w:val="NormalWeb"/>
        <w:spacing w:line="360" w:lineRule="auto"/>
        <w:jc w:val="both"/>
      </w:pPr>
      <w:r w:rsidRPr="004E2D43">
        <w:t xml:space="preserve">1. </w:t>
      </w:r>
      <w:r w:rsidR="00885CC6" w:rsidRPr="004E2D43">
        <w:t>Cash (liquidity) has been recovered on a more rapid basis.</w:t>
      </w:r>
    </w:p>
    <w:p w:rsidR="00885CC6" w:rsidRPr="004E2D43" w:rsidRDefault="00C72E2D" w:rsidP="004E2D43">
      <w:pPr>
        <w:pStyle w:val="NormalWeb"/>
        <w:spacing w:line="360" w:lineRule="auto"/>
        <w:jc w:val="both"/>
      </w:pPr>
      <w:r w:rsidRPr="004E2D43">
        <w:t xml:space="preserve">2. </w:t>
      </w:r>
      <w:r w:rsidR="00885CC6" w:rsidRPr="004E2D43">
        <w:t>Achieving higher returns (maintains profitability)</w:t>
      </w:r>
    </w:p>
    <w:p w:rsidR="00885CC6" w:rsidRPr="004E2D43" w:rsidRDefault="00C72E2D"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 xml:space="preserve">3. </w:t>
      </w:r>
      <w:r w:rsidR="00885CC6" w:rsidRPr="004E2D43">
        <w:rPr>
          <w:rFonts w:ascii="Times New Roman" w:hAnsi="Times New Roman" w:cs="Times New Roman"/>
          <w:sz w:val="24"/>
          <w:szCs w:val="24"/>
        </w:rPr>
        <w:t>Maximizing capital efficiency</w:t>
      </w:r>
      <w:r w:rsidR="00C813AF" w:rsidRPr="004E2D43">
        <w:rPr>
          <w:rFonts w:ascii="Times New Roman" w:eastAsia="Times New Roman" w:hAnsi="Times New Roman" w:cs="Times New Roman"/>
          <w:sz w:val="24"/>
          <w:szCs w:val="24"/>
          <w:lang w:eastAsia="en-IN"/>
        </w:rPr>
        <w:t>(Ren et al., 2023)</w:t>
      </w:r>
    </w:p>
    <w:p w:rsidR="00885CC6" w:rsidRPr="004E2D43" w:rsidRDefault="00885CC6" w:rsidP="004E2D43">
      <w:pPr>
        <w:pStyle w:val="NormalWeb"/>
        <w:spacing w:line="360" w:lineRule="auto"/>
        <w:jc w:val="both"/>
        <w:rPr>
          <w:b/>
        </w:rPr>
      </w:pPr>
      <w:r w:rsidRPr="004E2D43">
        <w:rPr>
          <w:b/>
        </w:rPr>
        <w:t>Non-Financial Considerations</w:t>
      </w:r>
    </w:p>
    <w:p w:rsidR="00885CC6" w:rsidRPr="004E2D43" w:rsidRDefault="00885CC6" w:rsidP="004E2D43">
      <w:pPr>
        <w:pStyle w:val="NormalWeb"/>
        <w:spacing w:line="360" w:lineRule="auto"/>
        <w:jc w:val="both"/>
      </w:pPr>
      <w:r w:rsidRPr="004E2D43">
        <w:rPr>
          <w:b/>
        </w:rPr>
        <w:t>Political Risk:</w:t>
      </w:r>
      <w:r w:rsidRPr="004E2D43">
        <w:t xml:space="preserve"> Tesla is an international business; the faster the rebounding into the project (like C), the less it will be subject to political and regulatory changes.</w:t>
      </w:r>
    </w:p>
    <w:p w:rsidR="00885CC6" w:rsidRPr="004E2D43" w:rsidRDefault="00885CC6"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b/>
          <w:sz w:val="24"/>
          <w:szCs w:val="24"/>
        </w:rPr>
        <w:t>Customer Loyalty:</w:t>
      </w:r>
      <w:r w:rsidRPr="004E2D43">
        <w:rPr>
          <w:rFonts w:ascii="Times New Roman" w:hAnsi="Times New Roman" w:cs="Times New Roman"/>
          <w:sz w:val="24"/>
          <w:szCs w:val="24"/>
        </w:rPr>
        <w:t xml:space="preserve"> Investment in projects which are heavy in terms of innovation (the trend that project C follows) makes brand positioning a better one</w:t>
      </w:r>
      <w:r w:rsidR="00C813AF" w:rsidRPr="004E2D43">
        <w:rPr>
          <w:rFonts w:ascii="Times New Roman" w:eastAsia="Times New Roman" w:hAnsi="Times New Roman" w:cs="Times New Roman"/>
          <w:sz w:val="24"/>
          <w:szCs w:val="24"/>
          <w:lang w:eastAsia="en-IN"/>
        </w:rPr>
        <w:t>(Yang, 2024)</w:t>
      </w:r>
      <w:r w:rsidRPr="004E2D43">
        <w:rPr>
          <w:rFonts w:ascii="Times New Roman" w:hAnsi="Times New Roman" w:cs="Times New Roman"/>
          <w:sz w:val="24"/>
          <w:szCs w:val="24"/>
        </w:rPr>
        <w:t>.</w:t>
      </w:r>
    </w:p>
    <w:p w:rsidR="00022657" w:rsidRPr="004E2D43" w:rsidRDefault="00885CC6" w:rsidP="004E2D43">
      <w:pPr>
        <w:pStyle w:val="NormalWeb"/>
        <w:spacing w:line="360" w:lineRule="auto"/>
        <w:jc w:val="both"/>
      </w:pPr>
      <w:r w:rsidRPr="004E2D43">
        <w:rPr>
          <w:b/>
        </w:rPr>
        <w:t>Technological risk:</w:t>
      </w:r>
      <w:r w:rsidRPr="004E2D43">
        <w:t xml:space="preserve"> The Unbalanced cash flows of the project C reflect on the returns of innovation that are appropriate to the concentration in the Tesla R&amp;D.</w:t>
      </w:r>
    </w:p>
    <w:p w:rsidR="00022657" w:rsidRPr="004E2D43" w:rsidRDefault="00022657" w:rsidP="004E2D43">
      <w:pPr>
        <w:pStyle w:val="Heading2"/>
        <w:spacing w:line="360" w:lineRule="auto"/>
        <w:jc w:val="both"/>
        <w:rPr>
          <w:sz w:val="24"/>
          <w:szCs w:val="24"/>
        </w:rPr>
      </w:pPr>
      <w:bookmarkStart w:id="29" w:name="_Toc226325800"/>
      <w:r w:rsidRPr="004E2D43">
        <w:rPr>
          <w:sz w:val="24"/>
          <w:szCs w:val="24"/>
        </w:rPr>
        <w:t>4.9 Capital Rationing Decision (Budget = £100m)</w:t>
      </w:r>
      <w:bookmarkEnd w:id="29"/>
    </w:p>
    <w:p w:rsidR="00022657" w:rsidRPr="004E2D43" w:rsidRDefault="00885CC6" w:rsidP="004E2D43">
      <w:pPr>
        <w:pStyle w:val="NormalWeb"/>
        <w:spacing w:line="360" w:lineRule="auto"/>
        <w:jc w:val="both"/>
      </w:pPr>
      <w:r w:rsidRPr="004E2D43">
        <w:t>There are two projects that Tesla can invest in.</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lastRenderedPageBreak/>
        <w:t>Possible Combinations</w:t>
      </w:r>
    </w:p>
    <w:p w:rsidR="00022657" w:rsidRPr="004E2D43" w:rsidRDefault="00022657" w:rsidP="004E2D43">
      <w:pPr>
        <w:numPr>
          <w:ilvl w:val="0"/>
          <w:numId w:val="14"/>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 + B = NPV = –17.00</w:t>
      </w:r>
    </w:p>
    <w:p w:rsidR="00022657" w:rsidRPr="004E2D43" w:rsidRDefault="00022657" w:rsidP="004E2D43">
      <w:pPr>
        <w:numPr>
          <w:ilvl w:val="0"/>
          <w:numId w:val="14"/>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 + C = NPV = –10.67</w:t>
      </w:r>
    </w:p>
    <w:p w:rsidR="00022657" w:rsidRPr="004E2D43" w:rsidRDefault="00022657" w:rsidP="004E2D43">
      <w:pPr>
        <w:numPr>
          <w:ilvl w:val="0"/>
          <w:numId w:val="14"/>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B + C = NPV = –10.29</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Profitability Index Approach</w:t>
      </w:r>
    </w:p>
    <w:p w:rsidR="00022657" w:rsidRPr="004E2D43" w:rsidRDefault="00022657"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Ranking by PI:</w:t>
      </w:r>
    </w:p>
    <w:p w:rsidR="00022657" w:rsidRPr="004E2D43" w:rsidRDefault="00022657" w:rsidP="004E2D43">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Project C (0.96)</w:t>
      </w:r>
    </w:p>
    <w:p w:rsidR="00022657" w:rsidRPr="004E2D43" w:rsidRDefault="00022657" w:rsidP="004E2D43">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Project B (0.83)</w:t>
      </w:r>
    </w:p>
    <w:p w:rsidR="00022657" w:rsidRPr="004E2D43" w:rsidRDefault="00022657" w:rsidP="004E2D43">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Project A (0.83)</w:t>
      </w:r>
    </w:p>
    <w:p w:rsidR="00022657" w:rsidRPr="004E2D43" w:rsidRDefault="00022657" w:rsidP="004E2D43">
      <w:pPr>
        <w:spacing w:line="360" w:lineRule="auto"/>
        <w:jc w:val="both"/>
        <w:rPr>
          <w:rFonts w:ascii="Times New Roman" w:hAnsi="Times New Roman" w:cs="Times New Roman"/>
          <w:b/>
          <w:sz w:val="24"/>
          <w:szCs w:val="24"/>
          <w:lang w:eastAsia="en-IN"/>
        </w:rPr>
      </w:pPr>
      <w:r w:rsidRPr="004E2D43">
        <w:rPr>
          <w:rFonts w:ascii="Times New Roman" w:hAnsi="Times New Roman" w:cs="Times New Roman"/>
          <w:b/>
          <w:sz w:val="24"/>
          <w:szCs w:val="24"/>
          <w:lang w:eastAsia="en-IN"/>
        </w:rPr>
        <w:t>Optimal Combination</w:t>
      </w:r>
    </w:p>
    <w:p w:rsidR="00C8385B" w:rsidRPr="004E2D43" w:rsidRDefault="00C72E2D" w:rsidP="004E2D43">
      <w:pPr>
        <w:pStyle w:val="NormalWeb"/>
        <w:spacing w:line="360" w:lineRule="auto"/>
        <w:jc w:val="both"/>
      </w:pPr>
      <w:r w:rsidRPr="004E2D43">
        <w:t xml:space="preserve">1. </w:t>
      </w:r>
      <w:r w:rsidR="00C8385B" w:rsidRPr="004E2D43">
        <w:t>Project B + Project C will be recommended because it is based on the following reason:</w:t>
      </w:r>
    </w:p>
    <w:p w:rsidR="00C8385B" w:rsidRPr="004E2D43" w:rsidRDefault="00C72E2D" w:rsidP="004E2D43">
      <w:pPr>
        <w:pStyle w:val="NormalWeb"/>
        <w:spacing w:line="360" w:lineRule="auto"/>
        <w:jc w:val="both"/>
      </w:pPr>
      <w:r w:rsidRPr="004E2D43">
        <w:t xml:space="preserve">2. </w:t>
      </w:r>
      <w:r w:rsidR="00C8385B" w:rsidRPr="004E2D43">
        <w:t>There is no less adverse value of maximum combined NPV.</w:t>
      </w:r>
    </w:p>
    <w:p w:rsidR="00C8385B" w:rsidRPr="004E2D43" w:rsidRDefault="00C72E2D"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 xml:space="preserve">3. </w:t>
      </w:r>
      <w:r w:rsidR="00C8385B" w:rsidRPr="004E2D43">
        <w:rPr>
          <w:rFonts w:ascii="Times New Roman" w:hAnsi="Times New Roman" w:cs="Times New Roman"/>
          <w:sz w:val="24"/>
          <w:szCs w:val="24"/>
        </w:rPr>
        <w:t>Stable (growth and development based) cash flows</w:t>
      </w:r>
      <w:r w:rsidR="00C813AF" w:rsidRPr="004E2D43">
        <w:rPr>
          <w:rFonts w:ascii="Times New Roman" w:eastAsia="Times New Roman" w:hAnsi="Times New Roman" w:cs="Times New Roman"/>
          <w:sz w:val="24"/>
          <w:szCs w:val="24"/>
          <w:lang w:eastAsia="en-IN"/>
        </w:rPr>
        <w:t>(Zuo, 2023)</w:t>
      </w:r>
      <w:r w:rsidR="00C8385B" w:rsidRPr="004E2D43">
        <w:rPr>
          <w:rFonts w:ascii="Times New Roman" w:hAnsi="Times New Roman" w:cs="Times New Roman"/>
          <w:sz w:val="24"/>
          <w:szCs w:val="24"/>
        </w:rPr>
        <w:t>.</w:t>
      </w:r>
    </w:p>
    <w:p w:rsidR="00022657" w:rsidRPr="004E2D43" w:rsidRDefault="00C72E2D" w:rsidP="004E2D43">
      <w:pPr>
        <w:pStyle w:val="NormalWeb"/>
        <w:spacing w:line="360" w:lineRule="auto"/>
        <w:jc w:val="both"/>
      </w:pPr>
      <w:r w:rsidRPr="004E2D43">
        <w:t xml:space="preserve">4. </w:t>
      </w:r>
      <w:r w:rsidR="00C8385B" w:rsidRPr="004E2D43">
        <w:t>Risk Dilutes risk of both stable and volatile returns.</w:t>
      </w:r>
    </w:p>
    <w:p w:rsidR="00022657" w:rsidRPr="004E2D43" w:rsidRDefault="00022657" w:rsidP="004E2D43">
      <w:pPr>
        <w:pStyle w:val="Heading2"/>
        <w:spacing w:line="360" w:lineRule="auto"/>
        <w:jc w:val="both"/>
        <w:rPr>
          <w:sz w:val="24"/>
          <w:szCs w:val="24"/>
        </w:rPr>
      </w:pPr>
      <w:bookmarkStart w:id="30" w:name="_Toc226325801"/>
      <w:r w:rsidRPr="004E2D43">
        <w:rPr>
          <w:sz w:val="24"/>
          <w:szCs w:val="24"/>
        </w:rPr>
        <w:t>4.10 Final Evaluation</w:t>
      </w:r>
      <w:bookmarkEnd w:id="30"/>
    </w:p>
    <w:p w:rsidR="00022657" w:rsidRPr="004E2D43" w:rsidRDefault="00C8385B" w:rsidP="004E2D43">
      <w:pPr>
        <w:spacing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sz w:val="24"/>
          <w:szCs w:val="24"/>
        </w:rPr>
        <w:t>In spite of the fact that not all the projects are profitable enough to attain the 10% required figure, however, only Project C and both Project B and C in capital rationing have the best financial and strategic outcomes</w:t>
      </w:r>
      <w:r w:rsidR="00C813AF" w:rsidRPr="004E2D43">
        <w:rPr>
          <w:rFonts w:ascii="Times New Roman" w:eastAsia="Times New Roman" w:hAnsi="Times New Roman" w:cs="Times New Roman"/>
          <w:sz w:val="24"/>
          <w:szCs w:val="24"/>
          <w:lang w:eastAsia="en-IN"/>
        </w:rPr>
        <w:t>(Li, 2024)</w:t>
      </w:r>
      <w:r w:rsidRPr="004E2D43">
        <w:rPr>
          <w:rFonts w:ascii="Times New Roman" w:hAnsi="Times New Roman" w:cs="Times New Roman"/>
          <w:sz w:val="24"/>
          <w:szCs w:val="24"/>
        </w:rPr>
        <w:t>. These decisions are within the financial position of Tesla since they improve the liquidity, growth and risk management in a cutthroat and capital-based EV market.</w:t>
      </w:r>
    </w:p>
    <w:p w:rsidR="00A64018" w:rsidRPr="004E2D43" w:rsidRDefault="00A64018" w:rsidP="004E2D43">
      <w:pPr>
        <w:pStyle w:val="Heading1"/>
        <w:spacing w:line="360" w:lineRule="auto"/>
        <w:jc w:val="both"/>
        <w:rPr>
          <w:sz w:val="24"/>
          <w:szCs w:val="24"/>
        </w:rPr>
      </w:pPr>
      <w:bookmarkStart w:id="31" w:name="_Toc226325802"/>
      <w:r w:rsidRPr="004E2D43">
        <w:rPr>
          <w:sz w:val="24"/>
          <w:szCs w:val="24"/>
        </w:rPr>
        <w:t>Conclusion</w:t>
      </w:r>
      <w:bookmarkEnd w:id="31"/>
    </w:p>
    <w:p w:rsidR="00C72E2D" w:rsidRPr="004E2D43" w:rsidRDefault="00C8385B"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 xml:space="preserve">The Tesla, Inc. testify to a profound financial transformation in the form of an improved profitability, lowered leverage and effectiveness in the cash flow generation. Despite these merits of this work strategy, raging issues that must be planned with are contraction of margins, huge inventory and extravagant expenditure on capital. The good liquidity </w:t>
      </w:r>
      <w:r w:rsidRPr="004E2D43">
        <w:rPr>
          <w:rFonts w:ascii="Times New Roman" w:eastAsia="Times New Roman" w:hAnsi="Times New Roman" w:cs="Times New Roman"/>
          <w:sz w:val="24"/>
          <w:szCs w:val="24"/>
          <w:lang w:eastAsia="en-IN"/>
        </w:rPr>
        <w:lastRenderedPageBreak/>
        <w:t>management is being confirmed by the working capital ratio, and will require additional optimization to be able to sustain the efficiency. Financial restructuring recommendation is a flexible approach to operations, which increases shareholders value and combats international and ethical issues. The results of investment appraisal have shown that Project C best provides the best financial rewards, and a mixture of project B and C is the best mix in case of constraint in capital. Altogether, Tesla has a promising future in terms of sustainable development, however, it should be financially disciplined and implement changes to the operational business model to match emerging market realities.</w:t>
      </w:r>
    </w:p>
    <w:p w:rsidR="00C72E2D" w:rsidRPr="004E2D43" w:rsidRDefault="00C72E2D" w:rsidP="004E2D43">
      <w:pPr>
        <w:spacing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br w:type="page"/>
      </w:r>
    </w:p>
    <w:p w:rsidR="00C72E2D" w:rsidRPr="004E2D43" w:rsidRDefault="00C72E2D" w:rsidP="004E2D43">
      <w:pPr>
        <w:pStyle w:val="Heading1"/>
        <w:spacing w:line="360" w:lineRule="auto"/>
        <w:jc w:val="both"/>
        <w:rPr>
          <w:sz w:val="24"/>
          <w:szCs w:val="24"/>
        </w:rPr>
      </w:pPr>
      <w:bookmarkStart w:id="32" w:name="_Toc226325803"/>
      <w:r w:rsidRPr="004E2D43">
        <w:rPr>
          <w:sz w:val="24"/>
          <w:szCs w:val="24"/>
        </w:rPr>
        <w:lastRenderedPageBreak/>
        <w:t>References</w:t>
      </w:r>
      <w:bookmarkEnd w:id="32"/>
    </w:p>
    <w:p w:rsidR="000D78C1" w:rsidRPr="004E2D43" w:rsidRDefault="000D78C1" w:rsidP="004E2D43">
      <w:pPr>
        <w:pStyle w:val="NormalWeb"/>
        <w:spacing w:before="0" w:beforeAutospacing="0" w:after="240" w:afterAutospacing="0" w:line="360" w:lineRule="auto"/>
        <w:jc w:val="both"/>
      </w:pPr>
      <w:r w:rsidRPr="004E2D43">
        <w:t xml:space="preserve">Aduama, P., Al-Sumaiti, A.S. and Al-Hosani, K.H. (2023). Electric Vehicle Charging Infrastructure and Energy Resources: A Review. </w:t>
      </w:r>
      <w:r w:rsidRPr="004E2D43">
        <w:rPr>
          <w:i/>
          <w:iCs/>
        </w:rPr>
        <w:t>Energies</w:t>
      </w:r>
      <w:r w:rsidRPr="004E2D43">
        <w:t xml:space="preserve">, [online] 16(4), p.1965. doi: </w:t>
      </w:r>
      <w:hyperlink r:id="rId21" w:history="1">
        <w:r w:rsidRPr="004E2D43">
          <w:rPr>
            <w:rStyle w:val="Hyperlink"/>
          </w:rPr>
          <w:t>https://doi.org/10.3390/en16041965</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Akin, I., Akin, M., Hakan Satiroglu and Mahak Jhamb (2024). Influence of Growth, Capital Structure, Profitability, and Size on FTSE 100 Enterprise Value. </w:t>
      </w:r>
      <w:r w:rsidRPr="004E2D43">
        <w:rPr>
          <w:i/>
          <w:iCs/>
        </w:rPr>
        <w:t>Journal of Corporate Accounting &amp; Finance</w:t>
      </w:r>
      <w:r w:rsidRPr="004E2D43">
        <w:t xml:space="preserve">. doi: </w:t>
      </w:r>
      <w:hyperlink r:id="rId22" w:history="1">
        <w:r w:rsidRPr="004E2D43">
          <w:rPr>
            <w:rStyle w:val="Hyperlink"/>
          </w:rPr>
          <w:t>https://doi.org/10.1002/jcaf.22761</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Alami, Mouiha, A., Hafid, A. and El, A. (2025). </w:t>
      </w:r>
      <w:r w:rsidRPr="004E2D43">
        <w:rPr>
          <w:i/>
          <w:iCs/>
        </w:rPr>
        <w:t>Machine Learning and Deep Learning in Computational Finance: A Systematic Review</w:t>
      </w:r>
      <w:r w:rsidRPr="004E2D43">
        <w:t xml:space="preserve">. [online] arXiv.org. doi: </w:t>
      </w:r>
      <w:hyperlink r:id="rId23" w:history="1">
        <w:r w:rsidRPr="004E2D43">
          <w:rPr>
            <w:rStyle w:val="Hyperlink"/>
          </w:rPr>
          <w:t>https://arxiv.org/abs/2511.21588</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Aldossary, M., Alharbi, H.A. and Ayub, N. (2024). Optimizing Electric Vehicle (EV) Charging with Integrated Renewable Energy Sources: A Cloud-Based Forecasting Approach for Eco-Sustainability. </w:t>
      </w:r>
      <w:r w:rsidRPr="004E2D43">
        <w:rPr>
          <w:i/>
          <w:iCs/>
        </w:rPr>
        <w:t>Mathematics</w:t>
      </w:r>
      <w:r w:rsidRPr="004E2D43">
        <w:t xml:space="preserve">, [online] 12(17), p.2627. doi: </w:t>
      </w:r>
      <w:hyperlink r:id="rId24" w:history="1">
        <w:r w:rsidRPr="004E2D43">
          <w:rPr>
            <w:rStyle w:val="Hyperlink"/>
          </w:rPr>
          <w:t>https://doi.org/10.3390/math12172627</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Bai, X. (2024). Tesla Financial Performance Forecast and Analysis. [online] doi: </w:t>
      </w:r>
      <w:hyperlink r:id="rId25" w:history="1">
        <w:r w:rsidRPr="004E2D43">
          <w:rPr>
            <w:rStyle w:val="Hyperlink"/>
          </w:rPr>
          <w:t>https://doi.org/10.54254/2754-1169/145/2024.LD19041</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Chen, B., Moore, A., Jia, B., Zhang, K. and Cao, M. (2025). Equity Considerations in Public Electric Vehicle Charging: A Review. </w:t>
      </w:r>
      <w:r w:rsidRPr="004E2D43">
        <w:rPr>
          <w:i/>
          <w:iCs/>
        </w:rPr>
        <w:t>World Electric Vehicle Journal</w:t>
      </w:r>
      <w:r w:rsidRPr="004E2D43">
        <w:t xml:space="preserve">, [online] 16(10), p.553. doi: </w:t>
      </w:r>
      <w:hyperlink r:id="rId26" w:history="1">
        <w:r w:rsidRPr="004E2D43">
          <w:rPr>
            <w:rStyle w:val="Hyperlink"/>
          </w:rPr>
          <w:t>https://doi.org/10.3390/wevj16100553</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Comi, A., Francis and Cabras, L. (2024). Sustainable Mobility as a Service: A Scientometric Review in the Context of Agenda 2030. </w:t>
      </w:r>
      <w:r w:rsidRPr="004E2D43">
        <w:rPr>
          <w:i/>
          <w:iCs/>
        </w:rPr>
        <w:t>Information</w:t>
      </w:r>
      <w:r w:rsidRPr="004E2D43">
        <w:t xml:space="preserve">, [online] 15(10), pp.637–637. doi: </w:t>
      </w:r>
      <w:hyperlink r:id="rId27" w:history="1">
        <w:r w:rsidRPr="004E2D43">
          <w:rPr>
            <w:rStyle w:val="Hyperlink"/>
          </w:rPr>
          <w:t>https://doi.org/10.3390/info15100637</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Dai, H., Li, N., Wang, Y. and Zhao, X. (2022). </w:t>
      </w:r>
      <w:r w:rsidRPr="004E2D43">
        <w:rPr>
          <w:i/>
          <w:iCs/>
        </w:rPr>
        <w:t>The Analysis of Three Main Investment Criteria: NPV IRR and Payback Period</w:t>
      </w:r>
      <w:r w:rsidRPr="004E2D43">
        <w:t xml:space="preserve">. [online] Advances in Economics, Business and Management Research. doi: </w:t>
      </w:r>
      <w:hyperlink r:id="rId28" w:history="1">
        <w:r w:rsidRPr="004E2D43">
          <w:rPr>
            <w:rStyle w:val="Hyperlink"/>
          </w:rPr>
          <w:t>https://doi.org/10.2991/aebmr.k.220307.028</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Dimanchev, E., Fleten, S.-E., MacKenzie, D. and Korpås, M. (2023). Accelerating electric vehicle charging investments: A real options approach to policy design. </w:t>
      </w:r>
      <w:r w:rsidRPr="004E2D43">
        <w:rPr>
          <w:i/>
          <w:iCs/>
        </w:rPr>
        <w:t>Energy Policy</w:t>
      </w:r>
      <w:r w:rsidRPr="004E2D43">
        <w:t xml:space="preserve">, [online] 181, p.113703. doi: </w:t>
      </w:r>
      <w:hyperlink r:id="rId29" w:history="1">
        <w:r w:rsidRPr="004E2D43">
          <w:rPr>
            <w:rStyle w:val="Hyperlink"/>
          </w:rPr>
          <w:t>https://doi.org/10.1016/j.enpol.2023.113703</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lastRenderedPageBreak/>
        <w:t xml:space="preserve">Ding, R. (2025). Value Investing in the EV Industry: A Case Study of Tesla. </w:t>
      </w:r>
      <w:r w:rsidRPr="004E2D43">
        <w:rPr>
          <w:i/>
          <w:iCs/>
        </w:rPr>
        <w:t>Advances in economics, business and management research/Advances in Economics, Business and Management Research</w:t>
      </w:r>
      <w:r w:rsidRPr="004E2D43">
        <w:t xml:space="preserve">, pp.929–937. doi: </w:t>
      </w:r>
      <w:hyperlink r:id="rId30" w:history="1">
        <w:r w:rsidRPr="004E2D43">
          <w:rPr>
            <w:rStyle w:val="Hyperlink"/>
          </w:rPr>
          <w:t>https://doi.org/10.2991/978-94-6463-748-9_101</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Du, X. (2025). Balancing Brand Growth with Financial Health: The Prospective Evolvement of Teslas Marketing Strategy. </w:t>
      </w:r>
      <w:r w:rsidRPr="004E2D43">
        <w:rPr>
          <w:i/>
          <w:iCs/>
        </w:rPr>
        <w:t>Advances in Economics Management and Political Sciences</w:t>
      </w:r>
      <w:r w:rsidRPr="004E2D43">
        <w:t xml:space="preserve">, 234(1), pp.1–7. doi: </w:t>
      </w:r>
      <w:hyperlink r:id="rId31" w:history="1">
        <w:r w:rsidRPr="004E2D43">
          <w:rPr>
            <w:rStyle w:val="Hyperlink"/>
          </w:rPr>
          <w:t>https://doi.org/10.54254/2754-1169/2025.bj28667</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DURMUŞ ŞENYAPAR, H.N. and AKIL, M. (2023). Analysis of Consumer Behavior towards Electric Vehicles: Intentions, Concerns, and Policies. </w:t>
      </w:r>
      <w:r w:rsidRPr="004E2D43">
        <w:rPr>
          <w:i/>
          <w:iCs/>
        </w:rPr>
        <w:t>Gazi Üniversitesi Fen Bilimleri Dergisi Part C: Tasarım ve Teknoloji</w:t>
      </w:r>
      <w:r w:rsidRPr="004E2D43">
        <w:t xml:space="preserve">, 11(1). doi: </w:t>
      </w:r>
      <w:hyperlink r:id="rId32" w:history="1">
        <w:r w:rsidRPr="004E2D43">
          <w:rPr>
            <w:rStyle w:val="Hyperlink"/>
          </w:rPr>
          <w:t>https://doi.org/10.29109/gujsc.1232071</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Fadhil, I. and Shen, C. (2025). </w:t>
      </w:r>
      <w:r w:rsidRPr="004E2D43">
        <w:rPr>
          <w:i/>
          <w:iCs/>
        </w:rPr>
        <w:t>Global electric vehicle market monitor for light-duty vehicles in key markets, 2024</w:t>
      </w:r>
      <w:r w:rsidRPr="004E2D43">
        <w:t xml:space="preserve">. [online] doi: </w:t>
      </w:r>
      <w:hyperlink r:id="rId33" w:history="1">
        <w:r w:rsidRPr="004E2D43">
          <w:rPr>
            <w:rStyle w:val="Hyperlink"/>
          </w:rPr>
          <w:t>https://theicct.org/wp-content/uploads/2025/06/ID-366-%E2%80%93-Global-monitor-cars_brief_final.pdf</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Li, J. (2024). Analysis of Financial Performance for Tesla: Based on Comparison with General Motors, Ford, and Toyota. </w:t>
      </w:r>
      <w:r w:rsidRPr="004E2D43">
        <w:rPr>
          <w:i/>
          <w:iCs/>
        </w:rPr>
        <w:t>Advances in Economics, Management and Political Sciences</w:t>
      </w:r>
      <w:r w:rsidRPr="004E2D43">
        <w:t xml:space="preserve">, 105(1), pp.190–197. doi: </w:t>
      </w:r>
      <w:hyperlink r:id="rId34" w:history="1">
        <w:r w:rsidRPr="004E2D43">
          <w:rPr>
            <w:rStyle w:val="Hyperlink"/>
          </w:rPr>
          <w:t>https://doi.org/10.54254/2754-1169/105/20241967</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Liu, C.C., Boothman, S.G. and Graham, J.D. (2025). The Rise and Recent Decline of Tesla’s Share of the U.S. Electric Vehicle Market. </w:t>
      </w:r>
      <w:r w:rsidRPr="004E2D43">
        <w:rPr>
          <w:i/>
          <w:iCs/>
        </w:rPr>
        <w:t>World Electric Vehicle Journal</w:t>
      </w:r>
      <w:r w:rsidRPr="004E2D43">
        <w:t xml:space="preserve">, [online] 16(2), pp.90–90. doi: </w:t>
      </w:r>
      <w:hyperlink r:id="rId35" w:history="1">
        <w:r w:rsidRPr="004E2D43">
          <w:rPr>
            <w:rStyle w:val="Hyperlink"/>
          </w:rPr>
          <w:t>https://doi.org/10.3390/wevj16020090</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Mengzhuo Shi (2022). </w:t>
      </w:r>
      <w:r w:rsidRPr="004E2D43">
        <w:rPr>
          <w:i/>
          <w:iCs/>
        </w:rPr>
        <w:t>A Review of Factors Affecting Tesla’s Profitability</w:t>
      </w:r>
      <w:r w:rsidRPr="004E2D43">
        <w:t xml:space="preserve">. [online] Bcpublication.org. doi: </w:t>
      </w:r>
      <w:hyperlink r:id="rId36" w:history="1">
        <w:r w:rsidRPr="004E2D43">
          <w:rPr>
            <w:rStyle w:val="Hyperlink"/>
          </w:rPr>
          <w:t>https://bcpublication.org/index.php/BM/article/view/1821/1819</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Pg Emeroylariffion Abas and Tan, B. (2024). Modeling the Impact of Different Policies on Electric Vehicle Adoption: An Investigative Study. </w:t>
      </w:r>
      <w:r w:rsidRPr="004E2D43">
        <w:rPr>
          <w:i/>
          <w:iCs/>
        </w:rPr>
        <w:t>World Electric Vehicle Journal</w:t>
      </w:r>
      <w:r w:rsidRPr="004E2D43">
        <w:t xml:space="preserve">, 15(2), pp.52–52. doi: </w:t>
      </w:r>
      <w:hyperlink r:id="rId37" w:history="1">
        <w:r w:rsidRPr="004E2D43">
          <w:rPr>
            <w:rStyle w:val="Hyperlink"/>
          </w:rPr>
          <w:t>https://doi.org/10.3390/wevj15020052</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Ren, Z., Weng, X., Xu, Y. and Xu, Z. (2023). Financial Analysis and Valuation of Tesla Inc. </w:t>
      </w:r>
      <w:r w:rsidRPr="004E2D43">
        <w:rPr>
          <w:i/>
          <w:iCs/>
        </w:rPr>
        <w:t>Advances in Economics, Management and Political Sciences</w:t>
      </w:r>
      <w:r w:rsidRPr="004E2D43">
        <w:t xml:space="preserve">, [online] 42(1), pp.69–76. doi: </w:t>
      </w:r>
      <w:hyperlink r:id="rId38" w:history="1">
        <w:r w:rsidRPr="004E2D43">
          <w:rPr>
            <w:rStyle w:val="Hyperlink"/>
          </w:rPr>
          <w:t>https://doi.org/10.54254/2754-1169/42/20232081</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WSJ (2023). </w:t>
      </w:r>
      <w:r w:rsidRPr="004E2D43">
        <w:rPr>
          <w:i/>
          <w:iCs/>
        </w:rPr>
        <w:t>Tesla Inc.</w:t>
      </w:r>
      <w:r w:rsidRPr="004E2D43">
        <w:t xml:space="preserve"> [online] Wsj.com. doi: </w:t>
      </w:r>
      <w:hyperlink r:id="rId39" w:history="1">
        <w:r w:rsidRPr="004E2D43">
          <w:rPr>
            <w:rStyle w:val="Hyperlink"/>
          </w:rPr>
          <w:t>https://www.wsj.com/market-data/quotes/TSLA/financials/annual/income-statement</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lastRenderedPageBreak/>
        <w:t xml:space="preserve">Yang, G. (2024). A Financial Analysis and Valuation of Electric Vehicle Companies. </w:t>
      </w:r>
      <w:r w:rsidRPr="004E2D43">
        <w:rPr>
          <w:i/>
          <w:iCs/>
        </w:rPr>
        <w:t>Advances in Economics Management and Political Sciences</w:t>
      </w:r>
      <w:r w:rsidRPr="004E2D43">
        <w:t xml:space="preserve">, 102(1), pp.232–237. doi: </w:t>
      </w:r>
      <w:hyperlink r:id="rId40" w:history="1">
        <w:r w:rsidRPr="004E2D43">
          <w:rPr>
            <w:rStyle w:val="Hyperlink"/>
          </w:rPr>
          <w:t>https://doi.org/10.54254/2754-1169/102/2024ed0089</w:t>
        </w:r>
      </w:hyperlink>
      <w:r w:rsidRPr="004E2D43">
        <w:t xml:space="preserve">. </w:t>
      </w:r>
    </w:p>
    <w:p w:rsidR="000D78C1" w:rsidRPr="004E2D43" w:rsidRDefault="000D78C1" w:rsidP="004E2D43">
      <w:pPr>
        <w:pStyle w:val="NormalWeb"/>
        <w:spacing w:before="0" w:beforeAutospacing="0" w:after="240" w:afterAutospacing="0" w:line="360" w:lineRule="auto"/>
        <w:jc w:val="both"/>
      </w:pPr>
      <w:r w:rsidRPr="004E2D43">
        <w:t xml:space="preserve">Zuo, J. (2023). Valuation and Analysis of Equity Value of Tesla. </w:t>
      </w:r>
      <w:r w:rsidRPr="004E2D43">
        <w:rPr>
          <w:i/>
          <w:iCs/>
        </w:rPr>
        <w:t>Advances in Economics Management and Political Sciences</w:t>
      </w:r>
      <w:r w:rsidRPr="004E2D43">
        <w:t xml:space="preserve">, 19(1), pp.150–156. doi: </w:t>
      </w:r>
      <w:hyperlink r:id="rId41" w:history="1">
        <w:r w:rsidRPr="004E2D43">
          <w:rPr>
            <w:rStyle w:val="Hyperlink"/>
          </w:rPr>
          <w:t>https://doi.org/10.54254/2754-1169/19/20230131</w:t>
        </w:r>
      </w:hyperlink>
      <w:r w:rsidRPr="004E2D43">
        <w:t xml:space="preserve">. </w:t>
      </w:r>
    </w:p>
    <w:p w:rsidR="00C72E2D" w:rsidRPr="004E2D43" w:rsidRDefault="00C72E2D" w:rsidP="004E2D43">
      <w:pPr>
        <w:spacing w:line="360" w:lineRule="auto"/>
        <w:jc w:val="both"/>
        <w:rPr>
          <w:rFonts w:ascii="Times New Roman" w:eastAsia="Times New Roman" w:hAnsi="Times New Roman" w:cs="Times New Roman"/>
          <w:b/>
          <w:bCs/>
          <w:kern w:val="36"/>
          <w:sz w:val="24"/>
          <w:szCs w:val="24"/>
          <w:lang w:eastAsia="en-IN"/>
        </w:rPr>
      </w:pPr>
      <w:r w:rsidRPr="004E2D43">
        <w:rPr>
          <w:rFonts w:ascii="Times New Roman" w:hAnsi="Times New Roman" w:cs="Times New Roman"/>
          <w:sz w:val="24"/>
          <w:szCs w:val="24"/>
        </w:rPr>
        <w:br w:type="page"/>
      </w:r>
    </w:p>
    <w:p w:rsidR="00A64018" w:rsidRPr="004E2D43" w:rsidRDefault="00C72E2D" w:rsidP="004E2D43">
      <w:pPr>
        <w:pStyle w:val="Heading1"/>
        <w:spacing w:line="360" w:lineRule="auto"/>
        <w:jc w:val="both"/>
        <w:rPr>
          <w:sz w:val="24"/>
          <w:szCs w:val="24"/>
        </w:rPr>
      </w:pPr>
      <w:bookmarkStart w:id="33" w:name="_Toc226325804"/>
      <w:r w:rsidRPr="004E2D43">
        <w:rPr>
          <w:sz w:val="24"/>
          <w:szCs w:val="24"/>
        </w:rPr>
        <w:lastRenderedPageBreak/>
        <w:t>Appendices</w:t>
      </w:r>
      <w:bookmarkEnd w:id="33"/>
    </w:p>
    <w:tbl>
      <w:tblPr>
        <w:tblW w:w="0" w:type="auto"/>
        <w:tblCellSpacing w:w="15" w:type="dxa"/>
        <w:tblCellMar>
          <w:top w:w="15" w:type="dxa"/>
          <w:left w:w="15" w:type="dxa"/>
          <w:bottom w:w="15" w:type="dxa"/>
          <w:right w:w="15" w:type="dxa"/>
        </w:tblCellMar>
        <w:tblLook w:val="04A0"/>
      </w:tblPr>
      <w:tblGrid>
        <w:gridCol w:w="2682"/>
        <w:gridCol w:w="720"/>
        <w:gridCol w:w="720"/>
        <w:gridCol w:w="720"/>
        <w:gridCol w:w="720"/>
        <w:gridCol w:w="855"/>
      </w:tblGrid>
      <w:tr w:rsidR="008A2F3F" w:rsidRPr="004E2D43" w:rsidTr="001D315E">
        <w:trPr>
          <w:tblHeade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Variable</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2019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2020</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2022</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2023</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Revenue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24,578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31,536</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53,823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81,462</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96,773</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Gross Profit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4,070</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6,629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13,604</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20,853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17,660</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Net Profit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-862</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721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5,519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12,556</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14,997</w:t>
            </w:r>
          </w:p>
        </w:tc>
      </w:tr>
      <w:tr w:rsidR="008A2F3F" w:rsidRPr="004E2D43" w:rsidTr="001D315E">
        <w:trPr>
          <w:tblCellSpacing w:w="15" w:type="dxa"/>
        </w:trPr>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Equity ($M)</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8,200</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23,700</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31,600</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45,900</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63,600</w:t>
            </w:r>
          </w:p>
        </w:tc>
      </w:tr>
      <w:tr w:rsidR="008A2F3F" w:rsidRPr="004E2D43" w:rsidTr="001D315E">
        <w:trPr>
          <w:tblCellSpacing w:w="15" w:type="dxa"/>
        </w:trPr>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EBIT ($M)</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-69</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1,994</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6,523</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13,656</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8,891</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Current Assets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14,876</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26,717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30,548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40,917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49,616</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Inventory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3,415</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4,101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5,757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12,839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13,626</w:t>
            </w:r>
          </w:p>
        </w:tc>
      </w:tr>
      <w:tr w:rsidR="008A2F3F" w:rsidRPr="004E2D43" w:rsidTr="001D315E">
        <w:trPr>
          <w:tblCellSpacing w:w="15" w:type="dxa"/>
        </w:trPr>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Interest Expense ($M)</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685</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748</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371</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191</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156</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Current Liabilities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12,130</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14,248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19,705</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26,709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28,748</w:t>
            </w:r>
          </w:p>
        </w:tc>
      </w:tr>
      <w:tr w:rsidR="008A2F3F" w:rsidRPr="004E2D43" w:rsidTr="001D315E">
        <w:trPr>
          <w:tblCellSpacing w:w="15" w:type="dxa"/>
        </w:trPr>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Quick Assets ($M)</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8,551</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22,616</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24,791</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28,078</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35,990</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Total Assets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34,309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52,148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62,131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82,338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106,618</w:t>
            </w:r>
          </w:p>
        </w:tc>
      </w:tr>
      <w:tr w:rsidR="008A2F3F" w:rsidRPr="004E2D43" w:rsidTr="001D315E">
        <w:trPr>
          <w:tblCellSpacing w:w="15" w:type="dxa"/>
        </w:trPr>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Total Debt ($M)</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13,719</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13,354</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8,879</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5,574</w:t>
            </w:r>
          </w:p>
        </w:tc>
        <w:tc>
          <w:tcPr>
            <w:tcW w:w="0" w:type="auto"/>
            <w:vAlign w:val="center"/>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4,585</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Cost of Goods Sold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20,508</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24,907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40,219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60,609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79,113</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Operating Cash Flow ($M)</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2,405</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5,943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11,497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14,724</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13,256</w:t>
            </w:r>
          </w:p>
        </w:tc>
      </w:tr>
    </w:tbl>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lastRenderedPageBreak/>
        <w:drawing>
          <wp:inline distT="0" distB="0" distL="0" distR="0">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lastRenderedPageBreak/>
        <w:drawing>
          <wp:inline distT="0" distB="0" distL="0" distR="0">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tbl>
      <w:tblPr>
        <w:tblW w:w="0" w:type="auto"/>
        <w:tblCellSpacing w:w="15" w:type="dxa"/>
        <w:tblCellMar>
          <w:top w:w="15" w:type="dxa"/>
          <w:left w:w="15" w:type="dxa"/>
          <w:bottom w:w="15" w:type="dxa"/>
          <w:right w:w="15" w:type="dxa"/>
        </w:tblCellMar>
        <w:tblLook w:val="04A0"/>
      </w:tblPr>
      <w:tblGrid>
        <w:gridCol w:w="582"/>
        <w:gridCol w:w="575"/>
      </w:tblGrid>
      <w:tr w:rsidR="008A2F3F" w:rsidRPr="004E2D43" w:rsidTr="001D315E">
        <w:trPr>
          <w:tblHeade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lastRenderedPageBreak/>
              <w:t>Year</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EPS</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2019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-0.98</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2020</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0.21</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1.63</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2022</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3.62</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4.30</w:t>
            </w:r>
          </w:p>
        </w:tc>
      </w:tr>
    </w:tbl>
    <w:p w:rsidR="008A2F3F" w:rsidRPr="004E2D43" w:rsidRDefault="008A2F3F" w:rsidP="004E2D43">
      <w:pPr>
        <w:spacing w:line="360" w:lineRule="auto"/>
        <w:jc w:val="both"/>
        <w:rPr>
          <w:rFonts w:ascii="Times New Roman" w:hAnsi="Times New Roman" w:cs="Times New Roman"/>
          <w:b/>
          <w:sz w:val="24"/>
          <w:szCs w:val="24"/>
          <w:lang w:eastAsia="en-IN"/>
        </w:rPr>
      </w:pPr>
    </w:p>
    <w:tbl>
      <w:tblPr>
        <w:tblW w:w="0" w:type="auto"/>
        <w:tblCellSpacing w:w="15" w:type="dxa"/>
        <w:tblCellMar>
          <w:top w:w="15" w:type="dxa"/>
          <w:left w:w="15" w:type="dxa"/>
          <w:bottom w:w="15" w:type="dxa"/>
          <w:right w:w="15" w:type="dxa"/>
        </w:tblCellMar>
        <w:tblLook w:val="04A0"/>
      </w:tblPr>
      <w:tblGrid>
        <w:gridCol w:w="582"/>
        <w:gridCol w:w="1976"/>
      </w:tblGrid>
      <w:tr w:rsidR="008A2F3F" w:rsidRPr="004E2D43" w:rsidTr="001D315E">
        <w:trPr>
          <w:tblHeade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Year</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Approx. P/E Ratio</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~300x</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2022</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~80x</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2023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~60x</w:t>
            </w:r>
          </w:p>
        </w:tc>
      </w:tr>
    </w:tbl>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lastRenderedPageBreak/>
        <w:drawing>
          <wp:inline distT="0" distB="0" distL="0" distR="0">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rsidR="008A2F3F" w:rsidRPr="004E2D43" w:rsidRDefault="008A2F3F"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4E2D43">
        <w:rPr>
          <w:rFonts w:ascii="Times New Roman" w:hAnsi="Times New Roman" w:cs="Times New Roman"/>
          <w:noProof/>
          <w:sz w:val="24"/>
          <w:szCs w:val="24"/>
          <w:lang w:eastAsia="en-IN"/>
        </w:rPr>
        <w:drawing>
          <wp:inline distT="0" distB="0" distL="0" distR="0">
            <wp:extent cx="4572000" cy="27432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rsidR="008A2F3F" w:rsidRPr="004E2D43" w:rsidRDefault="008A2F3F" w:rsidP="004E2D43">
      <w:pPr>
        <w:spacing w:line="360" w:lineRule="auto"/>
        <w:jc w:val="both"/>
        <w:rPr>
          <w:rFonts w:ascii="Times New Roman" w:hAnsi="Times New Roman" w:cs="Times New Roman"/>
          <w:sz w:val="24"/>
          <w:szCs w:val="24"/>
          <w:lang w:eastAsia="en-IN"/>
        </w:rPr>
      </w:pPr>
      <w:r w:rsidRPr="004E2D43">
        <w:rPr>
          <w:rFonts w:ascii="Times New Roman" w:hAnsi="Times New Roman" w:cs="Times New Roman"/>
          <w:noProof/>
          <w:sz w:val="24"/>
          <w:szCs w:val="24"/>
          <w:lang w:eastAsia="en-IN"/>
        </w:rPr>
        <w:lastRenderedPageBreak/>
        <w:drawing>
          <wp:inline distT="0" distB="0" distL="0" distR="0">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rsidR="008A2F3F" w:rsidRPr="004E2D43" w:rsidRDefault="008A2F3F" w:rsidP="004E2D43">
      <w:pPr>
        <w:spacing w:line="360" w:lineRule="auto"/>
        <w:jc w:val="both"/>
        <w:rPr>
          <w:rFonts w:ascii="Times New Roman" w:hAnsi="Times New Roman" w:cs="Times New Roman"/>
          <w:sz w:val="24"/>
          <w:szCs w:val="24"/>
          <w:lang w:eastAsia="en-IN"/>
        </w:rPr>
      </w:pPr>
    </w:p>
    <w:tbl>
      <w:tblPr>
        <w:tblW w:w="0" w:type="auto"/>
        <w:tblCellSpacing w:w="15" w:type="dxa"/>
        <w:tblCellMar>
          <w:top w:w="15" w:type="dxa"/>
          <w:left w:w="15" w:type="dxa"/>
          <w:bottom w:w="15" w:type="dxa"/>
          <w:right w:w="15" w:type="dxa"/>
        </w:tblCellMar>
        <w:tblLook w:val="04A0"/>
      </w:tblPr>
      <w:tblGrid>
        <w:gridCol w:w="902"/>
        <w:gridCol w:w="1040"/>
        <w:gridCol w:w="1027"/>
        <w:gridCol w:w="1055"/>
      </w:tblGrid>
      <w:tr w:rsidR="008A2F3F" w:rsidRPr="004E2D43" w:rsidTr="001D315E">
        <w:trPr>
          <w:tblHeade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Criteria</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A</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B</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b/>
                <w:bCs/>
                <w:sz w:val="24"/>
                <w:szCs w:val="24"/>
                <w:lang w:eastAsia="en-IN"/>
              </w:rPr>
            </w:pPr>
            <w:r w:rsidRPr="004E2D43">
              <w:rPr>
                <w:rFonts w:ascii="Times New Roman" w:eastAsia="Times New Roman" w:hAnsi="Times New Roman" w:cs="Times New Roman"/>
                <w:b/>
                <w:bCs/>
                <w:sz w:val="24"/>
                <w:szCs w:val="24"/>
                <w:lang w:eastAsia="en-IN"/>
              </w:rPr>
              <w:t>Project C</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Payback</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 yrs</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4.55 yrs</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3.6 yrs</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ARR</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1.6%</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2.0%</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6.0%</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NPV</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-8.69</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-8.31</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-1.98</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PI</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0.83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0.83</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0.96</w:t>
            </w:r>
          </w:p>
        </w:tc>
      </w:tr>
      <w:tr w:rsidR="008A2F3F" w:rsidRPr="004E2D43" w:rsidTr="001D315E">
        <w:trPr>
          <w:tblCellSpacing w:w="15" w:type="dxa"/>
        </w:trPr>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IRR</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~6–7%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sz w:val="24"/>
                <w:szCs w:val="24"/>
                <w:lang w:eastAsia="en-IN"/>
              </w:rPr>
              <w:t>~7%</w:t>
            </w:r>
          </w:p>
        </w:tc>
        <w:tc>
          <w:tcPr>
            <w:tcW w:w="0" w:type="auto"/>
            <w:vAlign w:val="center"/>
            <w:hideMark/>
          </w:tcPr>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r w:rsidRPr="004E2D43">
              <w:rPr>
                <w:rFonts w:ascii="Times New Roman" w:eastAsia="Times New Roman" w:hAnsi="Times New Roman" w:cs="Times New Roman"/>
                <w:b/>
                <w:bCs/>
                <w:sz w:val="24"/>
                <w:szCs w:val="24"/>
                <w:lang w:eastAsia="en-IN"/>
              </w:rPr>
              <w:t>~9%</w:t>
            </w:r>
          </w:p>
        </w:tc>
      </w:tr>
    </w:tbl>
    <w:p w:rsidR="008A2F3F" w:rsidRPr="004E2D43" w:rsidRDefault="008A2F3F" w:rsidP="004E2D43">
      <w:pPr>
        <w:spacing w:after="0" w:line="360" w:lineRule="auto"/>
        <w:jc w:val="both"/>
        <w:rPr>
          <w:rFonts w:ascii="Times New Roman" w:eastAsia="Times New Roman" w:hAnsi="Times New Roman" w:cs="Times New Roman"/>
          <w:sz w:val="24"/>
          <w:szCs w:val="24"/>
          <w:lang w:eastAsia="en-IN"/>
        </w:rPr>
      </w:pPr>
    </w:p>
    <w:p w:rsidR="00620682" w:rsidRPr="004E2D43" w:rsidRDefault="00620682" w:rsidP="004E2D43">
      <w:pPr>
        <w:pStyle w:val="NormalWeb"/>
        <w:spacing w:line="360" w:lineRule="auto"/>
        <w:jc w:val="both"/>
        <w:rPr>
          <w:b/>
        </w:rPr>
      </w:pPr>
      <w:r w:rsidRPr="004E2D43">
        <w:rPr>
          <w:b/>
        </w:rPr>
        <w:t>Excel calculation</w:t>
      </w:r>
    </w:p>
    <w:p w:rsidR="00022657" w:rsidRPr="004E2D43" w:rsidRDefault="00620682" w:rsidP="004E2D43">
      <w:pPr>
        <w:pStyle w:val="NormalWeb"/>
        <w:spacing w:line="360" w:lineRule="auto"/>
        <w:jc w:val="both"/>
      </w:pPr>
      <w:r w:rsidRPr="004E2D43">
        <w:object w:dxaOrig="1543" w:dyaOrig="9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54" o:title=""/>
          </v:shape>
          <o:OLEObject Type="Embed" ProgID="Excel.Sheet.12" ShapeID="_x0000_i1025" DrawAspect="Icon" ObjectID="_1838550458" r:id="rId55"/>
        </w:object>
      </w:r>
    </w:p>
    <w:p w:rsidR="00B32A3D" w:rsidRPr="004E2D43" w:rsidRDefault="00B32A3D"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p>
    <w:p w:rsidR="009E5BC6" w:rsidRPr="004E2D43" w:rsidRDefault="009E5BC6" w:rsidP="004E2D43">
      <w:pPr>
        <w:spacing w:before="100" w:beforeAutospacing="1" w:after="100" w:afterAutospacing="1" w:line="360" w:lineRule="auto"/>
        <w:jc w:val="both"/>
        <w:rPr>
          <w:rFonts w:ascii="Times New Roman" w:eastAsia="Times New Roman" w:hAnsi="Times New Roman" w:cs="Times New Roman"/>
          <w:sz w:val="24"/>
          <w:szCs w:val="24"/>
          <w:lang w:eastAsia="en-IN"/>
        </w:rPr>
      </w:pPr>
    </w:p>
    <w:p w:rsidR="00BF0CD9" w:rsidRPr="004E2D43" w:rsidRDefault="00BF0CD9" w:rsidP="004E2D43">
      <w:pPr>
        <w:spacing w:line="360" w:lineRule="auto"/>
        <w:jc w:val="both"/>
        <w:rPr>
          <w:rFonts w:ascii="Times New Roman" w:hAnsi="Times New Roman" w:cs="Times New Roman"/>
          <w:sz w:val="24"/>
          <w:szCs w:val="24"/>
        </w:rPr>
      </w:pPr>
    </w:p>
    <w:sectPr w:rsidR="00BF0CD9" w:rsidRPr="004E2D43" w:rsidSect="001E51AB">
      <w:footerReference w:type="defaul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3D0C" w:rsidRDefault="00A93D0C" w:rsidP="001E51AB">
      <w:pPr>
        <w:spacing w:after="0" w:line="240" w:lineRule="auto"/>
      </w:pPr>
      <w:r>
        <w:separator/>
      </w:r>
    </w:p>
  </w:endnote>
  <w:endnote w:type="continuationSeparator" w:id="1">
    <w:p w:rsidR="00A93D0C" w:rsidRDefault="00A93D0C" w:rsidP="001E51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722528"/>
      <w:docPartObj>
        <w:docPartGallery w:val="Page Numbers (Bottom of Page)"/>
        <w:docPartUnique/>
      </w:docPartObj>
    </w:sdtPr>
    <w:sdtEndPr>
      <w:rPr>
        <w:noProof/>
      </w:rPr>
    </w:sdtEndPr>
    <w:sdtContent>
      <w:p w:rsidR="007F748D" w:rsidRDefault="0070643B">
        <w:pPr>
          <w:pStyle w:val="Footer"/>
          <w:jc w:val="center"/>
        </w:pPr>
        <w:fldSimple w:instr=" PAGE   \* MERGEFORMAT ">
          <w:r w:rsidR="002973EF">
            <w:rPr>
              <w:noProof/>
            </w:rPr>
            <w:t>42</w:t>
          </w:r>
        </w:fldSimple>
      </w:p>
    </w:sdtContent>
  </w:sdt>
  <w:p w:rsidR="007F748D" w:rsidRDefault="007F74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3D0C" w:rsidRDefault="00A93D0C" w:rsidP="001E51AB">
      <w:pPr>
        <w:spacing w:after="0" w:line="240" w:lineRule="auto"/>
      </w:pPr>
      <w:r>
        <w:separator/>
      </w:r>
    </w:p>
  </w:footnote>
  <w:footnote w:type="continuationSeparator" w:id="1">
    <w:p w:rsidR="00A93D0C" w:rsidRDefault="00A93D0C" w:rsidP="001E51A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B4F94"/>
    <w:multiLevelType w:val="multilevel"/>
    <w:tmpl w:val="4A72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16301D"/>
    <w:multiLevelType w:val="multilevel"/>
    <w:tmpl w:val="F2CE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A520C4"/>
    <w:multiLevelType w:val="multilevel"/>
    <w:tmpl w:val="4BC63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B546E2"/>
    <w:multiLevelType w:val="multilevel"/>
    <w:tmpl w:val="0D84E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C149B8"/>
    <w:multiLevelType w:val="multilevel"/>
    <w:tmpl w:val="9EE4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4144787"/>
    <w:multiLevelType w:val="multilevel"/>
    <w:tmpl w:val="B066C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323A8D"/>
    <w:multiLevelType w:val="multilevel"/>
    <w:tmpl w:val="F4C4C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A023B43"/>
    <w:multiLevelType w:val="multilevel"/>
    <w:tmpl w:val="5FDA9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3492C5B"/>
    <w:multiLevelType w:val="multilevel"/>
    <w:tmpl w:val="D7823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7CA7A00"/>
    <w:multiLevelType w:val="multilevel"/>
    <w:tmpl w:val="3F32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7CE2829"/>
    <w:multiLevelType w:val="multilevel"/>
    <w:tmpl w:val="EE92F2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DF35476"/>
    <w:multiLevelType w:val="multilevel"/>
    <w:tmpl w:val="F0DE3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C8B26FA"/>
    <w:multiLevelType w:val="multilevel"/>
    <w:tmpl w:val="EAEA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406391"/>
    <w:multiLevelType w:val="multilevel"/>
    <w:tmpl w:val="E54E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5376FA4"/>
    <w:multiLevelType w:val="multilevel"/>
    <w:tmpl w:val="48E25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6525045"/>
    <w:multiLevelType w:val="multilevel"/>
    <w:tmpl w:val="54FA5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B2E2CB5"/>
    <w:multiLevelType w:val="multilevel"/>
    <w:tmpl w:val="C37CF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DB81A57"/>
    <w:multiLevelType w:val="multilevel"/>
    <w:tmpl w:val="74B2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1D02EA4"/>
    <w:multiLevelType w:val="multilevel"/>
    <w:tmpl w:val="EDDC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505394D"/>
    <w:multiLevelType w:val="multilevel"/>
    <w:tmpl w:val="00EA6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77377CF"/>
    <w:multiLevelType w:val="multilevel"/>
    <w:tmpl w:val="0DE8F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A7644D4"/>
    <w:multiLevelType w:val="multilevel"/>
    <w:tmpl w:val="6AFC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E7D6502"/>
    <w:multiLevelType w:val="multilevel"/>
    <w:tmpl w:val="9BBE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8"/>
  </w:num>
  <w:num w:numId="3">
    <w:abstractNumId w:val="1"/>
  </w:num>
  <w:num w:numId="4">
    <w:abstractNumId w:val="11"/>
  </w:num>
  <w:num w:numId="5">
    <w:abstractNumId w:val="6"/>
  </w:num>
  <w:num w:numId="6">
    <w:abstractNumId w:val="15"/>
  </w:num>
  <w:num w:numId="7">
    <w:abstractNumId w:val="2"/>
  </w:num>
  <w:num w:numId="8">
    <w:abstractNumId w:val="4"/>
  </w:num>
  <w:num w:numId="9">
    <w:abstractNumId w:val="8"/>
  </w:num>
  <w:num w:numId="10">
    <w:abstractNumId w:val="13"/>
  </w:num>
  <w:num w:numId="11">
    <w:abstractNumId w:val="7"/>
  </w:num>
  <w:num w:numId="12">
    <w:abstractNumId w:val="9"/>
  </w:num>
  <w:num w:numId="13">
    <w:abstractNumId w:val="20"/>
  </w:num>
  <w:num w:numId="14">
    <w:abstractNumId w:val="12"/>
  </w:num>
  <w:num w:numId="15">
    <w:abstractNumId w:val="14"/>
  </w:num>
  <w:num w:numId="16">
    <w:abstractNumId w:val="21"/>
  </w:num>
  <w:num w:numId="17">
    <w:abstractNumId w:val="10"/>
  </w:num>
  <w:num w:numId="18">
    <w:abstractNumId w:val="3"/>
  </w:num>
  <w:num w:numId="19">
    <w:abstractNumId w:val="0"/>
  </w:num>
  <w:num w:numId="20">
    <w:abstractNumId w:val="16"/>
  </w:num>
  <w:num w:numId="21">
    <w:abstractNumId w:val="5"/>
  </w:num>
  <w:num w:numId="22">
    <w:abstractNumId w:val="17"/>
  </w:num>
  <w:num w:numId="23">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B7828"/>
    <w:rsid w:val="00022657"/>
    <w:rsid w:val="000901BA"/>
    <w:rsid w:val="000D0FD0"/>
    <w:rsid w:val="000D78C1"/>
    <w:rsid w:val="00112469"/>
    <w:rsid w:val="00124DF0"/>
    <w:rsid w:val="00133BAE"/>
    <w:rsid w:val="00180D63"/>
    <w:rsid w:val="001D315E"/>
    <w:rsid w:val="001E51AB"/>
    <w:rsid w:val="00251E23"/>
    <w:rsid w:val="0027426A"/>
    <w:rsid w:val="002837AB"/>
    <w:rsid w:val="002973EF"/>
    <w:rsid w:val="00354A21"/>
    <w:rsid w:val="003E4BC1"/>
    <w:rsid w:val="00423E78"/>
    <w:rsid w:val="00436FD7"/>
    <w:rsid w:val="004C6AB6"/>
    <w:rsid w:val="004E2D20"/>
    <w:rsid w:val="004E2D43"/>
    <w:rsid w:val="004E585D"/>
    <w:rsid w:val="005337D5"/>
    <w:rsid w:val="00550944"/>
    <w:rsid w:val="005955B6"/>
    <w:rsid w:val="005B4610"/>
    <w:rsid w:val="005C1156"/>
    <w:rsid w:val="005E0C28"/>
    <w:rsid w:val="005F5F09"/>
    <w:rsid w:val="00620682"/>
    <w:rsid w:val="006373DB"/>
    <w:rsid w:val="006701F3"/>
    <w:rsid w:val="006D05C4"/>
    <w:rsid w:val="0070009D"/>
    <w:rsid w:val="0070643B"/>
    <w:rsid w:val="0076688F"/>
    <w:rsid w:val="007A4EE8"/>
    <w:rsid w:val="007F30DE"/>
    <w:rsid w:val="007F32BB"/>
    <w:rsid w:val="007F748D"/>
    <w:rsid w:val="00885CC6"/>
    <w:rsid w:val="00895F54"/>
    <w:rsid w:val="008A2F3F"/>
    <w:rsid w:val="008E2ED5"/>
    <w:rsid w:val="00910B0E"/>
    <w:rsid w:val="00955C74"/>
    <w:rsid w:val="00963733"/>
    <w:rsid w:val="009B7828"/>
    <w:rsid w:val="009E5BC6"/>
    <w:rsid w:val="009F44C0"/>
    <w:rsid w:val="00A11A8E"/>
    <w:rsid w:val="00A64018"/>
    <w:rsid w:val="00A671BF"/>
    <w:rsid w:val="00A93D0C"/>
    <w:rsid w:val="00AB4A5F"/>
    <w:rsid w:val="00AE1E63"/>
    <w:rsid w:val="00AE2B47"/>
    <w:rsid w:val="00AF5895"/>
    <w:rsid w:val="00B241B4"/>
    <w:rsid w:val="00B32A3D"/>
    <w:rsid w:val="00B36FD6"/>
    <w:rsid w:val="00B4472B"/>
    <w:rsid w:val="00B57750"/>
    <w:rsid w:val="00BC4037"/>
    <w:rsid w:val="00BE4805"/>
    <w:rsid w:val="00BF0CD9"/>
    <w:rsid w:val="00C03E75"/>
    <w:rsid w:val="00C152D9"/>
    <w:rsid w:val="00C2698C"/>
    <w:rsid w:val="00C40523"/>
    <w:rsid w:val="00C460FA"/>
    <w:rsid w:val="00C72E2D"/>
    <w:rsid w:val="00C77827"/>
    <w:rsid w:val="00C813AF"/>
    <w:rsid w:val="00C8385B"/>
    <w:rsid w:val="00CA42FE"/>
    <w:rsid w:val="00CB4A51"/>
    <w:rsid w:val="00CC6DE2"/>
    <w:rsid w:val="00CD7157"/>
    <w:rsid w:val="00D34894"/>
    <w:rsid w:val="00D95A26"/>
    <w:rsid w:val="00E275A3"/>
    <w:rsid w:val="00E32A8F"/>
    <w:rsid w:val="00E80ECF"/>
    <w:rsid w:val="00EC52F8"/>
    <w:rsid w:val="00F02C84"/>
    <w:rsid w:val="00F3183A"/>
    <w:rsid w:val="00F36B9D"/>
    <w:rsid w:val="00FA2DE5"/>
    <w:rsid w:val="00FE3EA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3E78"/>
  </w:style>
  <w:style w:type="paragraph" w:styleId="Heading1">
    <w:name w:val="heading 1"/>
    <w:basedOn w:val="Normal"/>
    <w:link w:val="Heading1Char"/>
    <w:uiPriority w:val="9"/>
    <w:qFormat/>
    <w:rsid w:val="009B78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9B7828"/>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9B7828"/>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828"/>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9B7828"/>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9B7828"/>
    <w:rPr>
      <w:rFonts w:ascii="Times New Roman" w:eastAsia="Times New Roman" w:hAnsi="Times New Roman" w:cs="Times New Roman"/>
      <w:b/>
      <w:bCs/>
      <w:sz w:val="27"/>
      <w:szCs w:val="27"/>
      <w:lang w:eastAsia="en-IN"/>
    </w:rPr>
  </w:style>
  <w:style w:type="character" w:styleId="Hyperlink">
    <w:name w:val="Hyperlink"/>
    <w:basedOn w:val="DefaultParagraphFont"/>
    <w:uiPriority w:val="99"/>
    <w:unhideWhenUsed/>
    <w:rsid w:val="009B7828"/>
    <w:rPr>
      <w:color w:val="0000FF"/>
      <w:u w:val="single"/>
    </w:rPr>
  </w:style>
  <w:style w:type="paragraph" w:styleId="NormalWeb">
    <w:name w:val="Normal (Web)"/>
    <w:basedOn w:val="Normal"/>
    <w:uiPriority w:val="99"/>
    <w:unhideWhenUsed/>
    <w:rsid w:val="009B782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9B7828"/>
    <w:rPr>
      <w:b/>
      <w:bCs/>
    </w:rPr>
  </w:style>
  <w:style w:type="character" w:styleId="Emphasis">
    <w:name w:val="Emphasis"/>
    <w:basedOn w:val="DefaultParagraphFont"/>
    <w:uiPriority w:val="20"/>
    <w:qFormat/>
    <w:rsid w:val="00A64018"/>
    <w:rPr>
      <w:i/>
      <w:iCs/>
    </w:rPr>
  </w:style>
  <w:style w:type="character" w:styleId="PlaceholderText">
    <w:name w:val="Placeholder Text"/>
    <w:basedOn w:val="DefaultParagraphFont"/>
    <w:uiPriority w:val="99"/>
    <w:semiHidden/>
    <w:rsid w:val="00E80ECF"/>
    <w:rPr>
      <w:color w:val="808080"/>
    </w:rPr>
  </w:style>
  <w:style w:type="paragraph" w:styleId="Header">
    <w:name w:val="header"/>
    <w:basedOn w:val="Normal"/>
    <w:link w:val="HeaderChar"/>
    <w:uiPriority w:val="99"/>
    <w:unhideWhenUsed/>
    <w:rsid w:val="001E5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1AB"/>
  </w:style>
  <w:style w:type="paragraph" w:styleId="Footer">
    <w:name w:val="footer"/>
    <w:basedOn w:val="Normal"/>
    <w:link w:val="FooterChar"/>
    <w:uiPriority w:val="99"/>
    <w:unhideWhenUsed/>
    <w:rsid w:val="001E5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1AB"/>
  </w:style>
  <w:style w:type="paragraph" w:styleId="TOCHeading">
    <w:name w:val="TOC Heading"/>
    <w:basedOn w:val="Heading1"/>
    <w:next w:val="Normal"/>
    <w:uiPriority w:val="39"/>
    <w:unhideWhenUsed/>
    <w:qFormat/>
    <w:rsid w:val="00A671B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A671BF"/>
    <w:pPr>
      <w:spacing w:after="100"/>
    </w:pPr>
  </w:style>
  <w:style w:type="paragraph" w:styleId="TOC2">
    <w:name w:val="toc 2"/>
    <w:basedOn w:val="Normal"/>
    <w:next w:val="Normal"/>
    <w:autoRedefine/>
    <w:uiPriority w:val="39"/>
    <w:unhideWhenUsed/>
    <w:rsid w:val="00A671BF"/>
    <w:pPr>
      <w:spacing w:after="100"/>
      <w:ind w:left="220"/>
    </w:pPr>
  </w:style>
  <w:style w:type="paragraph" w:styleId="BalloonText">
    <w:name w:val="Balloon Text"/>
    <w:basedOn w:val="Normal"/>
    <w:link w:val="BalloonTextChar"/>
    <w:uiPriority w:val="99"/>
    <w:semiHidden/>
    <w:unhideWhenUsed/>
    <w:rsid w:val="005C11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15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154486">
      <w:bodyDiv w:val="1"/>
      <w:marLeft w:val="0"/>
      <w:marRight w:val="0"/>
      <w:marTop w:val="0"/>
      <w:marBottom w:val="0"/>
      <w:divBdr>
        <w:top w:val="none" w:sz="0" w:space="0" w:color="auto"/>
        <w:left w:val="none" w:sz="0" w:space="0" w:color="auto"/>
        <w:bottom w:val="none" w:sz="0" w:space="0" w:color="auto"/>
        <w:right w:val="none" w:sz="0" w:space="0" w:color="auto"/>
      </w:divBdr>
    </w:div>
    <w:div w:id="64113463">
      <w:bodyDiv w:val="1"/>
      <w:marLeft w:val="0"/>
      <w:marRight w:val="0"/>
      <w:marTop w:val="0"/>
      <w:marBottom w:val="0"/>
      <w:divBdr>
        <w:top w:val="none" w:sz="0" w:space="0" w:color="auto"/>
        <w:left w:val="none" w:sz="0" w:space="0" w:color="auto"/>
        <w:bottom w:val="none" w:sz="0" w:space="0" w:color="auto"/>
        <w:right w:val="none" w:sz="0" w:space="0" w:color="auto"/>
      </w:divBdr>
    </w:div>
    <w:div w:id="68963333">
      <w:bodyDiv w:val="1"/>
      <w:marLeft w:val="0"/>
      <w:marRight w:val="0"/>
      <w:marTop w:val="0"/>
      <w:marBottom w:val="0"/>
      <w:divBdr>
        <w:top w:val="none" w:sz="0" w:space="0" w:color="auto"/>
        <w:left w:val="none" w:sz="0" w:space="0" w:color="auto"/>
        <w:bottom w:val="none" w:sz="0" w:space="0" w:color="auto"/>
        <w:right w:val="none" w:sz="0" w:space="0" w:color="auto"/>
      </w:divBdr>
    </w:div>
    <w:div w:id="75177996">
      <w:bodyDiv w:val="1"/>
      <w:marLeft w:val="0"/>
      <w:marRight w:val="0"/>
      <w:marTop w:val="0"/>
      <w:marBottom w:val="0"/>
      <w:divBdr>
        <w:top w:val="none" w:sz="0" w:space="0" w:color="auto"/>
        <w:left w:val="none" w:sz="0" w:space="0" w:color="auto"/>
        <w:bottom w:val="none" w:sz="0" w:space="0" w:color="auto"/>
        <w:right w:val="none" w:sz="0" w:space="0" w:color="auto"/>
      </w:divBdr>
    </w:div>
    <w:div w:id="105740857">
      <w:bodyDiv w:val="1"/>
      <w:marLeft w:val="0"/>
      <w:marRight w:val="0"/>
      <w:marTop w:val="0"/>
      <w:marBottom w:val="0"/>
      <w:divBdr>
        <w:top w:val="none" w:sz="0" w:space="0" w:color="auto"/>
        <w:left w:val="none" w:sz="0" w:space="0" w:color="auto"/>
        <w:bottom w:val="none" w:sz="0" w:space="0" w:color="auto"/>
        <w:right w:val="none" w:sz="0" w:space="0" w:color="auto"/>
      </w:divBdr>
    </w:div>
    <w:div w:id="175073087">
      <w:bodyDiv w:val="1"/>
      <w:marLeft w:val="0"/>
      <w:marRight w:val="0"/>
      <w:marTop w:val="0"/>
      <w:marBottom w:val="0"/>
      <w:divBdr>
        <w:top w:val="none" w:sz="0" w:space="0" w:color="auto"/>
        <w:left w:val="none" w:sz="0" w:space="0" w:color="auto"/>
        <w:bottom w:val="none" w:sz="0" w:space="0" w:color="auto"/>
        <w:right w:val="none" w:sz="0" w:space="0" w:color="auto"/>
      </w:divBdr>
    </w:div>
    <w:div w:id="245768983">
      <w:bodyDiv w:val="1"/>
      <w:marLeft w:val="0"/>
      <w:marRight w:val="0"/>
      <w:marTop w:val="0"/>
      <w:marBottom w:val="0"/>
      <w:divBdr>
        <w:top w:val="none" w:sz="0" w:space="0" w:color="auto"/>
        <w:left w:val="none" w:sz="0" w:space="0" w:color="auto"/>
        <w:bottom w:val="none" w:sz="0" w:space="0" w:color="auto"/>
        <w:right w:val="none" w:sz="0" w:space="0" w:color="auto"/>
      </w:divBdr>
    </w:div>
    <w:div w:id="248857124">
      <w:bodyDiv w:val="1"/>
      <w:marLeft w:val="0"/>
      <w:marRight w:val="0"/>
      <w:marTop w:val="0"/>
      <w:marBottom w:val="0"/>
      <w:divBdr>
        <w:top w:val="none" w:sz="0" w:space="0" w:color="auto"/>
        <w:left w:val="none" w:sz="0" w:space="0" w:color="auto"/>
        <w:bottom w:val="none" w:sz="0" w:space="0" w:color="auto"/>
        <w:right w:val="none" w:sz="0" w:space="0" w:color="auto"/>
      </w:divBdr>
    </w:div>
    <w:div w:id="323239818">
      <w:bodyDiv w:val="1"/>
      <w:marLeft w:val="0"/>
      <w:marRight w:val="0"/>
      <w:marTop w:val="0"/>
      <w:marBottom w:val="0"/>
      <w:divBdr>
        <w:top w:val="none" w:sz="0" w:space="0" w:color="auto"/>
        <w:left w:val="none" w:sz="0" w:space="0" w:color="auto"/>
        <w:bottom w:val="none" w:sz="0" w:space="0" w:color="auto"/>
        <w:right w:val="none" w:sz="0" w:space="0" w:color="auto"/>
      </w:divBdr>
    </w:div>
    <w:div w:id="341277308">
      <w:bodyDiv w:val="1"/>
      <w:marLeft w:val="0"/>
      <w:marRight w:val="0"/>
      <w:marTop w:val="0"/>
      <w:marBottom w:val="0"/>
      <w:divBdr>
        <w:top w:val="none" w:sz="0" w:space="0" w:color="auto"/>
        <w:left w:val="none" w:sz="0" w:space="0" w:color="auto"/>
        <w:bottom w:val="none" w:sz="0" w:space="0" w:color="auto"/>
        <w:right w:val="none" w:sz="0" w:space="0" w:color="auto"/>
      </w:divBdr>
    </w:div>
    <w:div w:id="359741764">
      <w:bodyDiv w:val="1"/>
      <w:marLeft w:val="0"/>
      <w:marRight w:val="0"/>
      <w:marTop w:val="0"/>
      <w:marBottom w:val="0"/>
      <w:divBdr>
        <w:top w:val="none" w:sz="0" w:space="0" w:color="auto"/>
        <w:left w:val="none" w:sz="0" w:space="0" w:color="auto"/>
        <w:bottom w:val="none" w:sz="0" w:space="0" w:color="auto"/>
        <w:right w:val="none" w:sz="0" w:space="0" w:color="auto"/>
      </w:divBdr>
    </w:div>
    <w:div w:id="362679656">
      <w:bodyDiv w:val="1"/>
      <w:marLeft w:val="0"/>
      <w:marRight w:val="0"/>
      <w:marTop w:val="0"/>
      <w:marBottom w:val="0"/>
      <w:divBdr>
        <w:top w:val="none" w:sz="0" w:space="0" w:color="auto"/>
        <w:left w:val="none" w:sz="0" w:space="0" w:color="auto"/>
        <w:bottom w:val="none" w:sz="0" w:space="0" w:color="auto"/>
        <w:right w:val="none" w:sz="0" w:space="0" w:color="auto"/>
      </w:divBdr>
    </w:div>
    <w:div w:id="364719700">
      <w:bodyDiv w:val="1"/>
      <w:marLeft w:val="0"/>
      <w:marRight w:val="0"/>
      <w:marTop w:val="0"/>
      <w:marBottom w:val="0"/>
      <w:divBdr>
        <w:top w:val="none" w:sz="0" w:space="0" w:color="auto"/>
        <w:left w:val="none" w:sz="0" w:space="0" w:color="auto"/>
        <w:bottom w:val="none" w:sz="0" w:space="0" w:color="auto"/>
        <w:right w:val="none" w:sz="0" w:space="0" w:color="auto"/>
      </w:divBdr>
    </w:div>
    <w:div w:id="369262425">
      <w:bodyDiv w:val="1"/>
      <w:marLeft w:val="0"/>
      <w:marRight w:val="0"/>
      <w:marTop w:val="0"/>
      <w:marBottom w:val="0"/>
      <w:divBdr>
        <w:top w:val="none" w:sz="0" w:space="0" w:color="auto"/>
        <w:left w:val="none" w:sz="0" w:space="0" w:color="auto"/>
        <w:bottom w:val="none" w:sz="0" w:space="0" w:color="auto"/>
        <w:right w:val="none" w:sz="0" w:space="0" w:color="auto"/>
      </w:divBdr>
    </w:div>
    <w:div w:id="391199040">
      <w:bodyDiv w:val="1"/>
      <w:marLeft w:val="0"/>
      <w:marRight w:val="0"/>
      <w:marTop w:val="0"/>
      <w:marBottom w:val="0"/>
      <w:divBdr>
        <w:top w:val="none" w:sz="0" w:space="0" w:color="auto"/>
        <w:left w:val="none" w:sz="0" w:space="0" w:color="auto"/>
        <w:bottom w:val="none" w:sz="0" w:space="0" w:color="auto"/>
        <w:right w:val="none" w:sz="0" w:space="0" w:color="auto"/>
      </w:divBdr>
    </w:div>
    <w:div w:id="441844625">
      <w:bodyDiv w:val="1"/>
      <w:marLeft w:val="0"/>
      <w:marRight w:val="0"/>
      <w:marTop w:val="0"/>
      <w:marBottom w:val="0"/>
      <w:divBdr>
        <w:top w:val="none" w:sz="0" w:space="0" w:color="auto"/>
        <w:left w:val="none" w:sz="0" w:space="0" w:color="auto"/>
        <w:bottom w:val="none" w:sz="0" w:space="0" w:color="auto"/>
        <w:right w:val="none" w:sz="0" w:space="0" w:color="auto"/>
      </w:divBdr>
    </w:div>
    <w:div w:id="457799647">
      <w:bodyDiv w:val="1"/>
      <w:marLeft w:val="0"/>
      <w:marRight w:val="0"/>
      <w:marTop w:val="0"/>
      <w:marBottom w:val="0"/>
      <w:divBdr>
        <w:top w:val="none" w:sz="0" w:space="0" w:color="auto"/>
        <w:left w:val="none" w:sz="0" w:space="0" w:color="auto"/>
        <w:bottom w:val="none" w:sz="0" w:space="0" w:color="auto"/>
        <w:right w:val="none" w:sz="0" w:space="0" w:color="auto"/>
      </w:divBdr>
    </w:div>
    <w:div w:id="474681789">
      <w:bodyDiv w:val="1"/>
      <w:marLeft w:val="0"/>
      <w:marRight w:val="0"/>
      <w:marTop w:val="0"/>
      <w:marBottom w:val="0"/>
      <w:divBdr>
        <w:top w:val="none" w:sz="0" w:space="0" w:color="auto"/>
        <w:left w:val="none" w:sz="0" w:space="0" w:color="auto"/>
        <w:bottom w:val="none" w:sz="0" w:space="0" w:color="auto"/>
        <w:right w:val="none" w:sz="0" w:space="0" w:color="auto"/>
      </w:divBdr>
    </w:div>
    <w:div w:id="475874563">
      <w:bodyDiv w:val="1"/>
      <w:marLeft w:val="0"/>
      <w:marRight w:val="0"/>
      <w:marTop w:val="0"/>
      <w:marBottom w:val="0"/>
      <w:divBdr>
        <w:top w:val="none" w:sz="0" w:space="0" w:color="auto"/>
        <w:left w:val="none" w:sz="0" w:space="0" w:color="auto"/>
        <w:bottom w:val="none" w:sz="0" w:space="0" w:color="auto"/>
        <w:right w:val="none" w:sz="0" w:space="0" w:color="auto"/>
      </w:divBdr>
    </w:div>
    <w:div w:id="497431381">
      <w:bodyDiv w:val="1"/>
      <w:marLeft w:val="0"/>
      <w:marRight w:val="0"/>
      <w:marTop w:val="0"/>
      <w:marBottom w:val="0"/>
      <w:divBdr>
        <w:top w:val="none" w:sz="0" w:space="0" w:color="auto"/>
        <w:left w:val="none" w:sz="0" w:space="0" w:color="auto"/>
        <w:bottom w:val="none" w:sz="0" w:space="0" w:color="auto"/>
        <w:right w:val="none" w:sz="0" w:space="0" w:color="auto"/>
      </w:divBdr>
    </w:div>
    <w:div w:id="505243504">
      <w:bodyDiv w:val="1"/>
      <w:marLeft w:val="0"/>
      <w:marRight w:val="0"/>
      <w:marTop w:val="0"/>
      <w:marBottom w:val="0"/>
      <w:divBdr>
        <w:top w:val="none" w:sz="0" w:space="0" w:color="auto"/>
        <w:left w:val="none" w:sz="0" w:space="0" w:color="auto"/>
        <w:bottom w:val="none" w:sz="0" w:space="0" w:color="auto"/>
        <w:right w:val="none" w:sz="0" w:space="0" w:color="auto"/>
      </w:divBdr>
    </w:div>
    <w:div w:id="579675084">
      <w:bodyDiv w:val="1"/>
      <w:marLeft w:val="0"/>
      <w:marRight w:val="0"/>
      <w:marTop w:val="0"/>
      <w:marBottom w:val="0"/>
      <w:divBdr>
        <w:top w:val="none" w:sz="0" w:space="0" w:color="auto"/>
        <w:left w:val="none" w:sz="0" w:space="0" w:color="auto"/>
        <w:bottom w:val="none" w:sz="0" w:space="0" w:color="auto"/>
        <w:right w:val="none" w:sz="0" w:space="0" w:color="auto"/>
      </w:divBdr>
    </w:div>
    <w:div w:id="590545469">
      <w:bodyDiv w:val="1"/>
      <w:marLeft w:val="0"/>
      <w:marRight w:val="0"/>
      <w:marTop w:val="0"/>
      <w:marBottom w:val="0"/>
      <w:divBdr>
        <w:top w:val="none" w:sz="0" w:space="0" w:color="auto"/>
        <w:left w:val="none" w:sz="0" w:space="0" w:color="auto"/>
        <w:bottom w:val="none" w:sz="0" w:space="0" w:color="auto"/>
        <w:right w:val="none" w:sz="0" w:space="0" w:color="auto"/>
      </w:divBdr>
    </w:div>
    <w:div w:id="614017192">
      <w:bodyDiv w:val="1"/>
      <w:marLeft w:val="0"/>
      <w:marRight w:val="0"/>
      <w:marTop w:val="0"/>
      <w:marBottom w:val="0"/>
      <w:divBdr>
        <w:top w:val="none" w:sz="0" w:space="0" w:color="auto"/>
        <w:left w:val="none" w:sz="0" w:space="0" w:color="auto"/>
        <w:bottom w:val="none" w:sz="0" w:space="0" w:color="auto"/>
        <w:right w:val="none" w:sz="0" w:space="0" w:color="auto"/>
      </w:divBdr>
    </w:div>
    <w:div w:id="637153334">
      <w:bodyDiv w:val="1"/>
      <w:marLeft w:val="0"/>
      <w:marRight w:val="0"/>
      <w:marTop w:val="0"/>
      <w:marBottom w:val="0"/>
      <w:divBdr>
        <w:top w:val="none" w:sz="0" w:space="0" w:color="auto"/>
        <w:left w:val="none" w:sz="0" w:space="0" w:color="auto"/>
        <w:bottom w:val="none" w:sz="0" w:space="0" w:color="auto"/>
        <w:right w:val="none" w:sz="0" w:space="0" w:color="auto"/>
      </w:divBdr>
    </w:div>
    <w:div w:id="646014526">
      <w:bodyDiv w:val="1"/>
      <w:marLeft w:val="0"/>
      <w:marRight w:val="0"/>
      <w:marTop w:val="0"/>
      <w:marBottom w:val="0"/>
      <w:divBdr>
        <w:top w:val="none" w:sz="0" w:space="0" w:color="auto"/>
        <w:left w:val="none" w:sz="0" w:space="0" w:color="auto"/>
        <w:bottom w:val="none" w:sz="0" w:space="0" w:color="auto"/>
        <w:right w:val="none" w:sz="0" w:space="0" w:color="auto"/>
      </w:divBdr>
    </w:div>
    <w:div w:id="650333310">
      <w:bodyDiv w:val="1"/>
      <w:marLeft w:val="0"/>
      <w:marRight w:val="0"/>
      <w:marTop w:val="0"/>
      <w:marBottom w:val="0"/>
      <w:divBdr>
        <w:top w:val="none" w:sz="0" w:space="0" w:color="auto"/>
        <w:left w:val="none" w:sz="0" w:space="0" w:color="auto"/>
        <w:bottom w:val="none" w:sz="0" w:space="0" w:color="auto"/>
        <w:right w:val="none" w:sz="0" w:space="0" w:color="auto"/>
      </w:divBdr>
    </w:div>
    <w:div w:id="661932823">
      <w:bodyDiv w:val="1"/>
      <w:marLeft w:val="0"/>
      <w:marRight w:val="0"/>
      <w:marTop w:val="0"/>
      <w:marBottom w:val="0"/>
      <w:divBdr>
        <w:top w:val="none" w:sz="0" w:space="0" w:color="auto"/>
        <w:left w:val="none" w:sz="0" w:space="0" w:color="auto"/>
        <w:bottom w:val="none" w:sz="0" w:space="0" w:color="auto"/>
        <w:right w:val="none" w:sz="0" w:space="0" w:color="auto"/>
      </w:divBdr>
    </w:div>
    <w:div w:id="677394257">
      <w:bodyDiv w:val="1"/>
      <w:marLeft w:val="0"/>
      <w:marRight w:val="0"/>
      <w:marTop w:val="0"/>
      <w:marBottom w:val="0"/>
      <w:divBdr>
        <w:top w:val="none" w:sz="0" w:space="0" w:color="auto"/>
        <w:left w:val="none" w:sz="0" w:space="0" w:color="auto"/>
        <w:bottom w:val="none" w:sz="0" w:space="0" w:color="auto"/>
        <w:right w:val="none" w:sz="0" w:space="0" w:color="auto"/>
      </w:divBdr>
    </w:div>
    <w:div w:id="737365807">
      <w:bodyDiv w:val="1"/>
      <w:marLeft w:val="0"/>
      <w:marRight w:val="0"/>
      <w:marTop w:val="0"/>
      <w:marBottom w:val="0"/>
      <w:divBdr>
        <w:top w:val="none" w:sz="0" w:space="0" w:color="auto"/>
        <w:left w:val="none" w:sz="0" w:space="0" w:color="auto"/>
        <w:bottom w:val="none" w:sz="0" w:space="0" w:color="auto"/>
        <w:right w:val="none" w:sz="0" w:space="0" w:color="auto"/>
      </w:divBdr>
    </w:div>
    <w:div w:id="737898558">
      <w:bodyDiv w:val="1"/>
      <w:marLeft w:val="0"/>
      <w:marRight w:val="0"/>
      <w:marTop w:val="0"/>
      <w:marBottom w:val="0"/>
      <w:divBdr>
        <w:top w:val="none" w:sz="0" w:space="0" w:color="auto"/>
        <w:left w:val="none" w:sz="0" w:space="0" w:color="auto"/>
        <w:bottom w:val="none" w:sz="0" w:space="0" w:color="auto"/>
        <w:right w:val="none" w:sz="0" w:space="0" w:color="auto"/>
      </w:divBdr>
    </w:div>
    <w:div w:id="752706277">
      <w:bodyDiv w:val="1"/>
      <w:marLeft w:val="0"/>
      <w:marRight w:val="0"/>
      <w:marTop w:val="0"/>
      <w:marBottom w:val="0"/>
      <w:divBdr>
        <w:top w:val="none" w:sz="0" w:space="0" w:color="auto"/>
        <w:left w:val="none" w:sz="0" w:space="0" w:color="auto"/>
        <w:bottom w:val="none" w:sz="0" w:space="0" w:color="auto"/>
        <w:right w:val="none" w:sz="0" w:space="0" w:color="auto"/>
      </w:divBdr>
    </w:div>
    <w:div w:id="756250133">
      <w:bodyDiv w:val="1"/>
      <w:marLeft w:val="0"/>
      <w:marRight w:val="0"/>
      <w:marTop w:val="0"/>
      <w:marBottom w:val="0"/>
      <w:divBdr>
        <w:top w:val="none" w:sz="0" w:space="0" w:color="auto"/>
        <w:left w:val="none" w:sz="0" w:space="0" w:color="auto"/>
        <w:bottom w:val="none" w:sz="0" w:space="0" w:color="auto"/>
        <w:right w:val="none" w:sz="0" w:space="0" w:color="auto"/>
      </w:divBdr>
    </w:div>
    <w:div w:id="783614176">
      <w:bodyDiv w:val="1"/>
      <w:marLeft w:val="0"/>
      <w:marRight w:val="0"/>
      <w:marTop w:val="0"/>
      <w:marBottom w:val="0"/>
      <w:divBdr>
        <w:top w:val="none" w:sz="0" w:space="0" w:color="auto"/>
        <w:left w:val="none" w:sz="0" w:space="0" w:color="auto"/>
        <w:bottom w:val="none" w:sz="0" w:space="0" w:color="auto"/>
        <w:right w:val="none" w:sz="0" w:space="0" w:color="auto"/>
      </w:divBdr>
    </w:div>
    <w:div w:id="799540678">
      <w:bodyDiv w:val="1"/>
      <w:marLeft w:val="0"/>
      <w:marRight w:val="0"/>
      <w:marTop w:val="0"/>
      <w:marBottom w:val="0"/>
      <w:divBdr>
        <w:top w:val="none" w:sz="0" w:space="0" w:color="auto"/>
        <w:left w:val="none" w:sz="0" w:space="0" w:color="auto"/>
        <w:bottom w:val="none" w:sz="0" w:space="0" w:color="auto"/>
        <w:right w:val="none" w:sz="0" w:space="0" w:color="auto"/>
      </w:divBdr>
    </w:div>
    <w:div w:id="833029779">
      <w:bodyDiv w:val="1"/>
      <w:marLeft w:val="0"/>
      <w:marRight w:val="0"/>
      <w:marTop w:val="0"/>
      <w:marBottom w:val="0"/>
      <w:divBdr>
        <w:top w:val="none" w:sz="0" w:space="0" w:color="auto"/>
        <w:left w:val="none" w:sz="0" w:space="0" w:color="auto"/>
        <w:bottom w:val="none" w:sz="0" w:space="0" w:color="auto"/>
        <w:right w:val="none" w:sz="0" w:space="0" w:color="auto"/>
      </w:divBdr>
    </w:div>
    <w:div w:id="850145699">
      <w:bodyDiv w:val="1"/>
      <w:marLeft w:val="0"/>
      <w:marRight w:val="0"/>
      <w:marTop w:val="0"/>
      <w:marBottom w:val="0"/>
      <w:divBdr>
        <w:top w:val="none" w:sz="0" w:space="0" w:color="auto"/>
        <w:left w:val="none" w:sz="0" w:space="0" w:color="auto"/>
        <w:bottom w:val="none" w:sz="0" w:space="0" w:color="auto"/>
        <w:right w:val="none" w:sz="0" w:space="0" w:color="auto"/>
      </w:divBdr>
    </w:div>
    <w:div w:id="858391032">
      <w:bodyDiv w:val="1"/>
      <w:marLeft w:val="0"/>
      <w:marRight w:val="0"/>
      <w:marTop w:val="0"/>
      <w:marBottom w:val="0"/>
      <w:divBdr>
        <w:top w:val="none" w:sz="0" w:space="0" w:color="auto"/>
        <w:left w:val="none" w:sz="0" w:space="0" w:color="auto"/>
        <w:bottom w:val="none" w:sz="0" w:space="0" w:color="auto"/>
        <w:right w:val="none" w:sz="0" w:space="0" w:color="auto"/>
      </w:divBdr>
    </w:div>
    <w:div w:id="864487797">
      <w:bodyDiv w:val="1"/>
      <w:marLeft w:val="0"/>
      <w:marRight w:val="0"/>
      <w:marTop w:val="0"/>
      <w:marBottom w:val="0"/>
      <w:divBdr>
        <w:top w:val="none" w:sz="0" w:space="0" w:color="auto"/>
        <w:left w:val="none" w:sz="0" w:space="0" w:color="auto"/>
        <w:bottom w:val="none" w:sz="0" w:space="0" w:color="auto"/>
        <w:right w:val="none" w:sz="0" w:space="0" w:color="auto"/>
      </w:divBdr>
    </w:div>
    <w:div w:id="871964836">
      <w:bodyDiv w:val="1"/>
      <w:marLeft w:val="0"/>
      <w:marRight w:val="0"/>
      <w:marTop w:val="0"/>
      <w:marBottom w:val="0"/>
      <w:divBdr>
        <w:top w:val="none" w:sz="0" w:space="0" w:color="auto"/>
        <w:left w:val="none" w:sz="0" w:space="0" w:color="auto"/>
        <w:bottom w:val="none" w:sz="0" w:space="0" w:color="auto"/>
        <w:right w:val="none" w:sz="0" w:space="0" w:color="auto"/>
      </w:divBdr>
    </w:div>
    <w:div w:id="888690981">
      <w:bodyDiv w:val="1"/>
      <w:marLeft w:val="0"/>
      <w:marRight w:val="0"/>
      <w:marTop w:val="0"/>
      <w:marBottom w:val="0"/>
      <w:divBdr>
        <w:top w:val="none" w:sz="0" w:space="0" w:color="auto"/>
        <w:left w:val="none" w:sz="0" w:space="0" w:color="auto"/>
        <w:bottom w:val="none" w:sz="0" w:space="0" w:color="auto"/>
        <w:right w:val="none" w:sz="0" w:space="0" w:color="auto"/>
      </w:divBdr>
    </w:div>
    <w:div w:id="903106520">
      <w:bodyDiv w:val="1"/>
      <w:marLeft w:val="0"/>
      <w:marRight w:val="0"/>
      <w:marTop w:val="0"/>
      <w:marBottom w:val="0"/>
      <w:divBdr>
        <w:top w:val="none" w:sz="0" w:space="0" w:color="auto"/>
        <w:left w:val="none" w:sz="0" w:space="0" w:color="auto"/>
        <w:bottom w:val="none" w:sz="0" w:space="0" w:color="auto"/>
        <w:right w:val="none" w:sz="0" w:space="0" w:color="auto"/>
      </w:divBdr>
    </w:div>
    <w:div w:id="922226076">
      <w:bodyDiv w:val="1"/>
      <w:marLeft w:val="0"/>
      <w:marRight w:val="0"/>
      <w:marTop w:val="0"/>
      <w:marBottom w:val="0"/>
      <w:divBdr>
        <w:top w:val="none" w:sz="0" w:space="0" w:color="auto"/>
        <w:left w:val="none" w:sz="0" w:space="0" w:color="auto"/>
        <w:bottom w:val="none" w:sz="0" w:space="0" w:color="auto"/>
        <w:right w:val="none" w:sz="0" w:space="0" w:color="auto"/>
      </w:divBdr>
    </w:div>
    <w:div w:id="929120595">
      <w:bodyDiv w:val="1"/>
      <w:marLeft w:val="0"/>
      <w:marRight w:val="0"/>
      <w:marTop w:val="0"/>
      <w:marBottom w:val="0"/>
      <w:divBdr>
        <w:top w:val="none" w:sz="0" w:space="0" w:color="auto"/>
        <w:left w:val="none" w:sz="0" w:space="0" w:color="auto"/>
        <w:bottom w:val="none" w:sz="0" w:space="0" w:color="auto"/>
        <w:right w:val="none" w:sz="0" w:space="0" w:color="auto"/>
      </w:divBdr>
    </w:div>
    <w:div w:id="977615393">
      <w:bodyDiv w:val="1"/>
      <w:marLeft w:val="0"/>
      <w:marRight w:val="0"/>
      <w:marTop w:val="0"/>
      <w:marBottom w:val="0"/>
      <w:divBdr>
        <w:top w:val="none" w:sz="0" w:space="0" w:color="auto"/>
        <w:left w:val="none" w:sz="0" w:space="0" w:color="auto"/>
        <w:bottom w:val="none" w:sz="0" w:space="0" w:color="auto"/>
        <w:right w:val="none" w:sz="0" w:space="0" w:color="auto"/>
      </w:divBdr>
    </w:div>
    <w:div w:id="1011488899">
      <w:bodyDiv w:val="1"/>
      <w:marLeft w:val="0"/>
      <w:marRight w:val="0"/>
      <w:marTop w:val="0"/>
      <w:marBottom w:val="0"/>
      <w:divBdr>
        <w:top w:val="none" w:sz="0" w:space="0" w:color="auto"/>
        <w:left w:val="none" w:sz="0" w:space="0" w:color="auto"/>
        <w:bottom w:val="none" w:sz="0" w:space="0" w:color="auto"/>
        <w:right w:val="none" w:sz="0" w:space="0" w:color="auto"/>
      </w:divBdr>
    </w:div>
    <w:div w:id="1012493218">
      <w:bodyDiv w:val="1"/>
      <w:marLeft w:val="0"/>
      <w:marRight w:val="0"/>
      <w:marTop w:val="0"/>
      <w:marBottom w:val="0"/>
      <w:divBdr>
        <w:top w:val="none" w:sz="0" w:space="0" w:color="auto"/>
        <w:left w:val="none" w:sz="0" w:space="0" w:color="auto"/>
        <w:bottom w:val="none" w:sz="0" w:space="0" w:color="auto"/>
        <w:right w:val="none" w:sz="0" w:space="0" w:color="auto"/>
      </w:divBdr>
    </w:div>
    <w:div w:id="1019429892">
      <w:bodyDiv w:val="1"/>
      <w:marLeft w:val="0"/>
      <w:marRight w:val="0"/>
      <w:marTop w:val="0"/>
      <w:marBottom w:val="0"/>
      <w:divBdr>
        <w:top w:val="none" w:sz="0" w:space="0" w:color="auto"/>
        <w:left w:val="none" w:sz="0" w:space="0" w:color="auto"/>
        <w:bottom w:val="none" w:sz="0" w:space="0" w:color="auto"/>
        <w:right w:val="none" w:sz="0" w:space="0" w:color="auto"/>
      </w:divBdr>
    </w:div>
    <w:div w:id="1115520562">
      <w:bodyDiv w:val="1"/>
      <w:marLeft w:val="0"/>
      <w:marRight w:val="0"/>
      <w:marTop w:val="0"/>
      <w:marBottom w:val="0"/>
      <w:divBdr>
        <w:top w:val="none" w:sz="0" w:space="0" w:color="auto"/>
        <w:left w:val="none" w:sz="0" w:space="0" w:color="auto"/>
        <w:bottom w:val="none" w:sz="0" w:space="0" w:color="auto"/>
        <w:right w:val="none" w:sz="0" w:space="0" w:color="auto"/>
      </w:divBdr>
    </w:div>
    <w:div w:id="1131556638">
      <w:bodyDiv w:val="1"/>
      <w:marLeft w:val="0"/>
      <w:marRight w:val="0"/>
      <w:marTop w:val="0"/>
      <w:marBottom w:val="0"/>
      <w:divBdr>
        <w:top w:val="none" w:sz="0" w:space="0" w:color="auto"/>
        <w:left w:val="none" w:sz="0" w:space="0" w:color="auto"/>
        <w:bottom w:val="none" w:sz="0" w:space="0" w:color="auto"/>
        <w:right w:val="none" w:sz="0" w:space="0" w:color="auto"/>
      </w:divBdr>
    </w:div>
    <w:div w:id="1161385111">
      <w:bodyDiv w:val="1"/>
      <w:marLeft w:val="0"/>
      <w:marRight w:val="0"/>
      <w:marTop w:val="0"/>
      <w:marBottom w:val="0"/>
      <w:divBdr>
        <w:top w:val="none" w:sz="0" w:space="0" w:color="auto"/>
        <w:left w:val="none" w:sz="0" w:space="0" w:color="auto"/>
        <w:bottom w:val="none" w:sz="0" w:space="0" w:color="auto"/>
        <w:right w:val="none" w:sz="0" w:space="0" w:color="auto"/>
      </w:divBdr>
    </w:div>
    <w:div w:id="1220358336">
      <w:bodyDiv w:val="1"/>
      <w:marLeft w:val="0"/>
      <w:marRight w:val="0"/>
      <w:marTop w:val="0"/>
      <w:marBottom w:val="0"/>
      <w:divBdr>
        <w:top w:val="none" w:sz="0" w:space="0" w:color="auto"/>
        <w:left w:val="none" w:sz="0" w:space="0" w:color="auto"/>
        <w:bottom w:val="none" w:sz="0" w:space="0" w:color="auto"/>
        <w:right w:val="none" w:sz="0" w:space="0" w:color="auto"/>
      </w:divBdr>
    </w:div>
    <w:div w:id="1227763467">
      <w:bodyDiv w:val="1"/>
      <w:marLeft w:val="0"/>
      <w:marRight w:val="0"/>
      <w:marTop w:val="0"/>
      <w:marBottom w:val="0"/>
      <w:divBdr>
        <w:top w:val="none" w:sz="0" w:space="0" w:color="auto"/>
        <w:left w:val="none" w:sz="0" w:space="0" w:color="auto"/>
        <w:bottom w:val="none" w:sz="0" w:space="0" w:color="auto"/>
        <w:right w:val="none" w:sz="0" w:space="0" w:color="auto"/>
      </w:divBdr>
    </w:div>
    <w:div w:id="1269119505">
      <w:bodyDiv w:val="1"/>
      <w:marLeft w:val="0"/>
      <w:marRight w:val="0"/>
      <w:marTop w:val="0"/>
      <w:marBottom w:val="0"/>
      <w:divBdr>
        <w:top w:val="none" w:sz="0" w:space="0" w:color="auto"/>
        <w:left w:val="none" w:sz="0" w:space="0" w:color="auto"/>
        <w:bottom w:val="none" w:sz="0" w:space="0" w:color="auto"/>
        <w:right w:val="none" w:sz="0" w:space="0" w:color="auto"/>
      </w:divBdr>
    </w:div>
    <w:div w:id="1305698769">
      <w:bodyDiv w:val="1"/>
      <w:marLeft w:val="0"/>
      <w:marRight w:val="0"/>
      <w:marTop w:val="0"/>
      <w:marBottom w:val="0"/>
      <w:divBdr>
        <w:top w:val="none" w:sz="0" w:space="0" w:color="auto"/>
        <w:left w:val="none" w:sz="0" w:space="0" w:color="auto"/>
        <w:bottom w:val="none" w:sz="0" w:space="0" w:color="auto"/>
        <w:right w:val="none" w:sz="0" w:space="0" w:color="auto"/>
      </w:divBdr>
    </w:div>
    <w:div w:id="1324040214">
      <w:bodyDiv w:val="1"/>
      <w:marLeft w:val="0"/>
      <w:marRight w:val="0"/>
      <w:marTop w:val="0"/>
      <w:marBottom w:val="0"/>
      <w:divBdr>
        <w:top w:val="none" w:sz="0" w:space="0" w:color="auto"/>
        <w:left w:val="none" w:sz="0" w:space="0" w:color="auto"/>
        <w:bottom w:val="none" w:sz="0" w:space="0" w:color="auto"/>
        <w:right w:val="none" w:sz="0" w:space="0" w:color="auto"/>
      </w:divBdr>
    </w:div>
    <w:div w:id="1324550155">
      <w:bodyDiv w:val="1"/>
      <w:marLeft w:val="0"/>
      <w:marRight w:val="0"/>
      <w:marTop w:val="0"/>
      <w:marBottom w:val="0"/>
      <w:divBdr>
        <w:top w:val="none" w:sz="0" w:space="0" w:color="auto"/>
        <w:left w:val="none" w:sz="0" w:space="0" w:color="auto"/>
        <w:bottom w:val="none" w:sz="0" w:space="0" w:color="auto"/>
        <w:right w:val="none" w:sz="0" w:space="0" w:color="auto"/>
      </w:divBdr>
    </w:div>
    <w:div w:id="1334987066">
      <w:bodyDiv w:val="1"/>
      <w:marLeft w:val="0"/>
      <w:marRight w:val="0"/>
      <w:marTop w:val="0"/>
      <w:marBottom w:val="0"/>
      <w:divBdr>
        <w:top w:val="none" w:sz="0" w:space="0" w:color="auto"/>
        <w:left w:val="none" w:sz="0" w:space="0" w:color="auto"/>
        <w:bottom w:val="none" w:sz="0" w:space="0" w:color="auto"/>
        <w:right w:val="none" w:sz="0" w:space="0" w:color="auto"/>
      </w:divBdr>
    </w:div>
    <w:div w:id="1421171880">
      <w:bodyDiv w:val="1"/>
      <w:marLeft w:val="0"/>
      <w:marRight w:val="0"/>
      <w:marTop w:val="0"/>
      <w:marBottom w:val="0"/>
      <w:divBdr>
        <w:top w:val="none" w:sz="0" w:space="0" w:color="auto"/>
        <w:left w:val="none" w:sz="0" w:space="0" w:color="auto"/>
        <w:bottom w:val="none" w:sz="0" w:space="0" w:color="auto"/>
        <w:right w:val="none" w:sz="0" w:space="0" w:color="auto"/>
      </w:divBdr>
    </w:div>
    <w:div w:id="1426343250">
      <w:bodyDiv w:val="1"/>
      <w:marLeft w:val="0"/>
      <w:marRight w:val="0"/>
      <w:marTop w:val="0"/>
      <w:marBottom w:val="0"/>
      <w:divBdr>
        <w:top w:val="none" w:sz="0" w:space="0" w:color="auto"/>
        <w:left w:val="none" w:sz="0" w:space="0" w:color="auto"/>
        <w:bottom w:val="none" w:sz="0" w:space="0" w:color="auto"/>
        <w:right w:val="none" w:sz="0" w:space="0" w:color="auto"/>
      </w:divBdr>
      <w:divsChild>
        <w:div w:id="1033110657">
          <w:marLeft w:val="0"/>
          <w:marRight w:val="0"/>
          <w:marTop w:val="0"/>
          <w:marBottom w:val="0"/>
          <w:divBdr>
            <w:top w:val="none" w:sz="0" w:space="0" w:color="auto"/>
            <w:left w:val="none" w:sz="0" w:space="0" w:color="auto"/>
            <w:bottom w:val="none" w:sz="0" w:space="0" w:color="auto"/>
            <w:right w:val="none" w:sz="0" w:space="0" w:color="auto"/>
          </w:divBdr>
        </w:div>
      </w:divsChild>
    </w:div>
    <w:div w:id="1445224898">
      <w:bodyDiv w:val="1"/>
      <w:marLeft w:val="0"/>
      <w:marRight w:val="0"/>
      <w:marTop w:val="0"/>
      <w:marBottom w:val="0"/>
      <w:divBdr>
        <w:top w:val="none" w:sz="0" w:space="0" w:color="auto"/>
        <w:left w:val="none" w:sz="0" w:space="0" w:color="auto"/>
        <w:bottom w:val="none" w:sz="0" w:space="0" w:color="auto"/>
        <w:right w:val="none" w:sz="0" w:space="0" w:color="auto"/>
      </w:divBdr>
    </w:div>
    <w:div w:id="1467626308">
      <w:bodyDiv w:val="1"/>
      <w:marLeft w:val="0"/>
      <w:marRight w:val="0"/>
      <w:marTop w:val="0"/>
      <w:marBottom w:val="0"/>
      <w:divBdr>
        <w:top w:val="none" w:sz="0" w:space="0" w:color="auto"/>
        <w:left w:val="none" w:sz="0" w:space="0" w:color="auto"/>
        <w:bottom w:val="none" w:sz="0" w:space="0" w:color="auto"/>
        <w:right w:val="none" w:sz="0" w:space="0" w:color="auto"/>
      </w:divBdr>
    </w:div>
    <w:div w:id="1468546010">
      <w:bodyDiv w:val="1"/>
      <w:marLeft w:val="0"/>
      <w:marRight w:val="0"/>
      <w:marTop w:val="0"/>
      <w:marBottom w:val="0"/>
      <w:divBdr>
        <w:top w:val="none" w:sz="0" w:space="0" w:color="auto"/>
        <w:left w:val="none" w:sz="0" w:space="0" w:color="auto"/>
        <w:bottom w:val="none" w:sz="0" w:space="0" w:color="auto"/>
        <w:right w:val="none" w:sz="0" w:space="0" w:color="auto"/>
      </w:divBdr>
    </w:div>
    <w:div w:id="1531411764">
      <w:bodyDiv w:val="1"/>
      <w:marLeft w:val="0"/>
      <w:marRight w:val="0"/>
      <w:marTop w:val="0"/>
      <w:marBottom w:val="0"/>
      <w:divBdr>
        <w:top w:val="none" w:sz="0" w:space="0" w:color="auto"/>
        <w:left w:val="none" w:sz="0" w:space="0" w:color="auto"/>
        <w:bottom w:val="none" w:sz="0" w:space="0" w:color="auto"/>
        <w:right w:val="none" w:sz="0" w:space="0" w:color="auto"/>
      </w:divBdr>
    </w:div>
    <w:div w:id="1629582667">
      <w:bodyDiv w:val="1"/>
      <w:marLeft w:val="0"/>
      <w:marRight w:val="0"/>
      <w:marTop w:val="0"/>
      <w:marBottom w:val="0"/>
      <w:divBdr>
        <w:top w:val="none" w:sz="0" w:space="0" w:color="auto"/>
        <w:left w:val="none" w:sz="0" w:space="0" w:color="auto"/>
        <w:bottom w:val="none" w:sz="0" w:space="0" w:color="auto"/>
        <w:right w:val="none" w:sz="0" w:space="0" w:color="auto"/>
      </w:divBdr>
    </w:div>
    <w:div w:id="1642922557">
      <w:bodyDiv w:val="1"/>
      <w:marLeft w:val="0"/>
      <w:marRight w:val="0"/>
      <w:marTop w:val="0"/>
      <w:marBottom w:val="0"/>
      <w:divBdr>
        <w:top w:val="none" w:sz="0" w:space="0" w:color="auto"/>
        <w:left w:val="none" w:sz="0" w:space="0" w:color="auto"/>
        <w:bottom w:val="none" w:sz="0" w:space="0" w:color="auto"/>
        <w:right w:val="none" w:sz="0" w:space="0" w:color="auto"/>
      </w:divBdr>
    </w:div>
    <w:div w:id="1679691147">
      <w:bodyDiv w:val="1"/>
      <w:marLeft w:val="0"/>
      <w:marRight w:val="0"/>
      <w:marTop w:val="0"/>
      <w:marBottom w:val="0"/>
      <w:divBdr>
        <w:top w:val="none" w:sz="0" w:space="0" w:color="auto"/>
        <w:left w:val="none" w:sz="0" w:space="0" w:color="auto"/>
        <w:bottom w:val="none" w:sz="0" w:space="0" w:color="auto"/>
        <w:right w:val="none" w:sz="0" w:space="0" w:color="auto"/>
      </w:divBdr>
    </w:div>
    <w:div w:id="1684699980">
      <w:bodyDiv w:val="1"/>
      <w:marLeft w:val="0"/>
      <w:marRight w:val="0"/>
      <w:marTop w:val="0"/>
      <w:marBottom w:val="0"/>
      <w:divBdr>
        <w:top w:val="none" w:sz="0" w:space="0" w:color="auto"/>
        <w:left w:val="none" w:sz="0" w:space="0" w:color="auto"/>
        <w:bottom w:val="none" w:sz="0" w:space="0" w:color="auto"/>
        <w:right w:val="none" w:sz="0" w:space="0" w:color="auto"/>
      </w:divBdr>
    </w:div>
    <w:div w:id="1704940752">
      <w:bodyDiv w:val="1"/>
      <w:marLeft w:val="0"/>
      <w:marRight w:val="0"/>
      <w:marTop w:val="0"/>
      <w:marBottom w:val="0"/>
      <w:divBdr>
        <w:top w:val="none" w:sz="0" w:space="0" w:color="auto"/>
        <w:left w:val="none" w:sz="0" w:space="0" w:color="auto"/>
        <w:bottom w:val="none" w:sz="0" w:space="0" w:color="auto"/>
        <w:right w:val="none" w:sz="0" w:space="0" w:color="auto"/>
      </w:divBdr>
    </w:div>
    <w:div w:id="1742947284">
      <w:bodyDiv w:val="1"/>
      <w:marLeft w:val="0"/>
      <w:marRight w:val="0"/>
      <w:marTop w:val="0"/>
      <w:marBottom w:val="0"/>
      <w:divBdr>
        <w:top w:val="none" w:sz="0" w:space="0" w:color="auto"/>
        <w:left w:val="none" w:sz="0" w:space="0" w:color="auto"/>
        <w:bottom w:val="none" w:sz="0" w:space="0" w:color="auto"/>
        <w:right w:val="none" w:sz="0" w:space="0" w:color="auto"/>
      </w:divBdr>
    </w:div>
    <w:div w:id="1744184476">
      <w:bodyDiv w:val="1"/>
      <w:marLeft w:val="0"/>
      <w:marRight w:val="0"/>
      <w:marTop w:val="0"/>
      <w:marBottom w:val="0"/>
      <w:divBdr>
        <w:top w:val="none" w:sz="0" w:space="0" w:color="auto"/>
        <w:left w:val="none" w:sz="0" w:space="0" w:color="auto"/>
        <w:bottom w:val="none" w:sz="0" w:space="0" w:color="auto"/>
        <w:right w:val="none" w:sz="0" w:space="0" w:color="auto"/>
      </w:divBdr>
    </w:div>
    <w:div w:id="1746485621">
      <w:bodyDiv w:val="1"/>
      <w:marLeft w:val="0"/>
      <w:marRight w:val="0"/>
      <w:marTop w:val="0"/>
      <w:marBottom w:val="0"/>
      <w:divBdr>
        <w:top w:val="none" w:sz="0" w:space="0" w:color="auto"/>
        <w:left w:val="none" w:sz="0" w:space="0" w:color="auto"/>
        <w:bottom w:val="none" w:sz="0" w:space="0" w:color="auto"/>
        <w:right w:val="none" w:sz="0" w:space="0" w:color="auto"/>
      </w:divBdr>
    </w:div>
    <w:div w:id="1780029171">
      <w:bodyDiv w:val="1"/>
      <w:marLeft w:val="0"/>
      <w:marRight w:val="0"/>
      <w:marTop w:val="0"/>
      <w:marBottom w:val="0"/>
      <w:divBdr>
        <w:top w:val="none" w:sz="0" w:space="0" w:color="auto"/>
        <w:left w:val="none" w:sz="0" w:space="0" w:color="auto"/>
        <w:bottom w:val="none" w:sz="0" w:space="0" w:color="auto"/>
        <w:right w:val="none" w:sz="0" w:space="0" w:color="auto"/>
      </w:divBdr>
    </w:div>
    <w:div w:id="1811096136">
      <w:bodyDiv w:val="1"/>
      <w:marLeft w:val="0"/>
      <w:marRight w:val="0"/>
      <w:marTop w:val="0"/>
      <w:marBottom w:val="0"/>
      <w:divBdr>
        <w:top w:val="none" w:sz="0" w:space="0" w:color="auto"/>
        <w:left w:val="none" w:sz="0" w:space="0" w:color="auto"/>
        <w:bottom w:val="none" w:sz="0" w:space="0" w:color="auto"/>
        <w:right w:val="none" w:sz="0" w:space="0" w:color="auto"/>
      </w:divBdr>
    </w:div>
    <w:div w:id="1887258111">
      <w:bodyDiv w:val="1"/>
      <w:marLeft w:val="0"/>
      <w:marRight w:val="0"/>
      <w:marTop w:val="0"/>
      <w:marBottom w:val="0"/>
      <w:divBdr>
        <w:top w:val="none" w:sz="0" w:space="0" w:color="auto"/>
        <w:left w:val="none" w:sz="0" w:space="0" w:color="auto"/>
        <w:bottom w:val="none" w:sz="0" w:space="0" w:color="auto"/>
        <w:right w:val="none" w:sz="0" w:space="0" w:color="auto"/>
      </w:divBdr>
    </w:div>
    <w:div w:id="1896968815">
      <w:bodyDiv w:val="1"/>
      <w:marLeft w:val="0"/>
      <w:marRight w:val="0"/>
      <w:marTop w:val="0"/>
      <w:marBottom w:val="0"/>
      <w:divBdr>
        <w:top w:val="none" w:sz="0" w:space="0" w:color="auto"/>
        <w:left w:val="none" w:sz="0" w:space="0" w:color="auto"/>
        <w:bottom w:val="none" w:sz="0" w:space="0" w:color="auto"/>
        <w:right w:val="none" w:sz="0" w:space="0" w:color="auto"/>
      </w:divBdr>
    </w:div>
    <w:div w:id="1898279712">
      <w:bodyDiv w:val="1"/>
      <w:marLeft w:val="0"/>
      <w:marRight w:val="0"/>
      <w:marTop w:val="0"/>
      <w:marBottom w:val="0"/>
      <w:divBdr>
        <w:top w:val="none" w:sz="0" w:space="0" w:color="auto"/>
        <w:left w:val="none" w:sz="0" w:space="0" w:color="auto"/>
        <w:bottom w:val="none" w:sz="0" w:space="0" w:color="auto"/>
        <w:right w:val="none" w:sz="0" w:space="0" w:color="auto"/>
      </w:divBdr>
    </w:div>
    <w:div w:id="1902016316">
      <w:bodyDiv w:val="1"/>
      <w:marLeft w:val="0"/>
      <w:marRight w:val="0"/>
      <w:marTop w:val="0"/>
      <w:marBottom w:val="0"/>
      <w:divBdr>
        <w:top w:val="none" w:sz="0" w:space="0" w:color="auto"/>
        <w:left w:val="none" w:sz="0" w:space="0" w:color="auto"/>
        <w:bottom w:val="none" w:sz="0" w:space="0" w:color="auto"/>
        <w:right w:val="none" w:sz="0" w:space="0" w:color="auto"/>
      </w:divBdr>
    </w:div>
    <w:div w:id="1902399340">
      <w:bodyDiv w:val="1"/>
      <w:marLeft w:val="0"/>
      <w:marRight w:val="0"/>
      <w:marTop w:val="0"/>
      <w:marBottom w:val="0"/>
      <w:divBdr>
        <w:top w:val="none" w:sz="0" w:space="0" w:color="auto"/>
        <w:left w:val="none" w:sz="0" w:space="0" w:color="auto"/>
        <w:bottom w:val="none" w:sz="0" w:space="0" w:color="auto"/>
        <w:right w:val="none" w:sz="0" w:space="0" w:color="auto"/>
      </w:divBdr>
    </w:div>
    <w:div w:id="1937863573">
      <w:bodyDiv w:val="1"/>
      <w:marLeft w:val="0"/>
      <w:marRight w:val="0"/>
      <w:marTop w:val="0"/>
      <w:marBottom w:val="0"/>
      <w:divBdr>
        <w:top w:val="none" w:sz="0" w:space="0" w:color="auto"/>
        <w:left w:val="none" w:sz="0" w:space="0" w:color="auto"/>
        <w:bottom w:val="none" w:sz="0" w:space="0" w:color="auto"/>
        <w:right w:val="none" w:sz="0" w:space="0" w:color="auto"/>
      </w:divBdr>
    </w:div>
    <w:div w:id="1962106670">
      <w:bodyDiv w:val="1"/>
      <w:marLeft w:val="0"/>
      <w:marRight w:val="0"/>
      <w:marTop w:val="0"/>
      <w:marBottom w:val="0"/>
      <w:divBdr>
        <w:top w:val="none" w:sz="0" w:space="0" w:color="auto"/>
        <w:left w:val="none" w:sz="0" w:space="0" w:color="auto"/>
        <w:bottom w:val="none" w:sz="0" w:space="0" w:color="auto"/>
        <w:right w:val="none" w:sz="0" w:space="0" w:color="auto"/>
      </w:divBdr>
    </w:div>
    <w:div w:id="1984117510">
      <w:bodyDiv w:val="1"/>
      <w:marLeft w:val="0"/>
      <w:marRight w:val="0"/>
      <w:marTop w:val="0"/>
      <w:marBottom w:val="0"/>
      <w:divBdr>
        <w:top w:val="none" w:sz="0" w:space="0" w:color="auto"/>
        <w:left w:val="none" w:sz="0" w:space="0" w:color="auto"/>
        <w:bottom w:val="none" w:sz="0" w:space="0" w:color="auto"/>
        <w:right w:val="none" w:sz="0" w:space="0" w:color="auto"/>
      </w:divBdr>
    </w:div>
    <w:div w:id="2025352303">
      <w:bodyDiv w:val="1"/>
      <w:marLeft w:val="0"/>
      <w:marRight w:val="0"/>
      <w:marTop w:val="0"/>
      <w:marBottom w:val="0"/>
      <w:divBdr>
        <w:top w:val="none" w:sz="0" w:space="0" w:color="auto"/>
        <w:left w:val="none" w:sz="0" w:space="0" w:color="auto"/>
        <w:bottom w:val="none" w:sz="0" w:space="0" w:color="auto"/>
        <w:right w:val="none" w:sz="0" w:space="0" w:color="auto"/>
      </w:divBdr>
    </w:div>
    <w:div w:id="2047368394">
      <w:bodyDiv w:val="1"/>
      <w:marLeft w:val="0"/>
      <w:marRight w:val="0"/>
      <w:marTop w:val="0"/>
      <w:marBottom w:val="0"/>
      <w:divBdr>
        <w:top w:val="none" w:sz="0" w:space="0" w:color="auto"/>
        <w:left w:val="none" w:sz="0" w:space="0" w:color="auto"/>
        <w:bottom w:val="none" w:sz="0" w:space="0" w:color="auto"/>
        <w:right w:val="none" w:sz="0" w:space="0" w:color="auto"/>
      </w:divBdr>
    </w:div>
    <w:div w:id="2107115093">
      <w:bodyDiv w:val="1"/>
      <w:marLeft w:val="0"/>
      <w:marRight w:val="0"/>
      <w:marTop w:val="0"/>
      <w:marBottom w:val="0"/>
      <w:divBdr>
        <w:top w:val="none" w:sz="0" w:space="0" w:color="auto"/>
        <w:left w:val="none" w:sz="0" w:space="0" w:color="auto"/>
        <w:bottom w:val="none" w:sz="0" w:space="0" w:color="auto"/>
        <w:right w:val="none" w:sz="0" w:space="0" w:color="auto"/>
      </w:divBdr>
    </w:div>
    <w:div w:id="214330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doi.org/10.3390/wevj16100553" TargetMode="External"/><Relationship Id="rId39" Type="http://schemas.openxmlformats.org/officeDocument/2006/relationships/hyperlink" Target="https://www.wsj.com/market-data/quotes/TSLA/financials/annual/income-statement" TargetMode="External"/><Relationship Id="rId21" Type="http://schemas.openxmlformats.org/officeDocument/2006/relationships/hyperlink" Target="https://doi.org/10.3390/en16041965" TargetMode="External"/><Relationship Id="rId34" Type="http://schemas.openxmlformats.org/officeDocument/2006/relationships/hyperlink" Target="https://doi.org/10.54254/2754-1169/105/20241967" TargetMode="External"/><Relationship Id="rId42" Type="http://schemas.openxmlformats.org/officeDocument/2006/relationships/chart" Target="charts/chart13.xml"/><Relationship Id="rId47" Type="http://schemas.openxmlformats.org/officeDocument/2006/relationships/chart" Target="charts/chart18.xml"/><Relationship Id="rId50" Type="http://schemas.openxmlformats.org/officeDocument/2006/relationships/chart" Target="charts/chart21.xml"/><Relationship Id="rId55" Type="http://schemas.openxmlformats.org/officeDocument/2006/relationships/package" Target="embeddings/Microsoft_Office_Excel_Worksheet1.xlsx"/><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doi.org/10.54254/2754-1169/145/2024.LD19041" TargetMode="External"/><Relationship Id="rId33" Type="http://schemas.openxmlformats.org/officeDocument/2006/relationships/hyperlink" Target="https://theicct.org/wp-content/uploads/2025/06/ID-366-%E2%80%93-Global-monitor-cars_brief_final.pdf" TargetMode="External"/><Relationship Id="rId38" Type="http://schemas.openxmlformats.org/officeDocument/2006/relationships/hyperlink" Target="https://doi.org/10.54254/2754-1169/42/20232081" TargetMode="External"/><Relationship Id="rId46" Type="http://schemas.openxmlformats.org/officeDocument/2006/relationships/chart" Target="charts/chart17.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hyperlink" Target="https://doi.org/10.1016/j.enpol.2023.113703" TargetMode="External"/><Relationship Id="rId41" Type="http://schemas.openxmlformats.org/officeDocument/2006/relationships/hyperlink" Target="https://doi.org/10.54254/2754-1169/19/20230131" TargetMode="External"/><Relationship Id="rId54"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3390/math12172627" TargetMode="External"/><Relationship Id="rId32" Type="http://schemas.openxmlformats.org/officeDocument/2006/relationships/hyperlink" Target="https://doi.org/10.29109/gujsc.1232071" TargetMode="External"/><Relationship Id="rId37" Type="http://schemas.openxmlformats.org/officeDocument/2006/relationships/hyperlink" Target="https://doi.org/10.3390/wevj15020052" TargetMode="External"/><Relationship Id="rId40" Type="http://schemas.openxmlformats.org/officeDocument/2006/relationships/hyperlink" Target="https://doi.org/10.54254/2754-1169/102/2024ed0089" TargetMode="External"/><Relationship Id="rId45" Type="http://schemas.openxmlformats.org/officeDocument/2006/relationships/chart" Target="charts/chart16.xml"/><Relationship Id="rId53" Type="http://schemas.openxmlformats.org/officeDocument/2006/relationships/chart" Target="charts/chart24.xm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arxiv.org/abs/2511.21588" TargetMode="External"/><Relationship Id="rId28" Type="http://schemas.openxmlformats.org/officeDocument/2006/relationships/hyperlink" Target="https://doi.org/10.2991/aebmr.k.220307.028" TargetMode="External"/><Relationship Id="rId36" Type="http://schemas.openxmlformats.org/officeDocument/2006/relationships/hyperlink" Target="https://bcpublication.org/index.php/BM/article/view/1821/1819" TargetMode="External"/><Relationship Id="rId49" Type="http://schemas.openxmlformats.org/officeDocument/2006/relationships/chart" Target="charts/chart20.xml"/><Relationship Id="rId57"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hyperlink" Target="https://doi.org/10.54254/2754-1169/2025.bj28667" TargetMode="External"/><Relationship Id="rId44" Type="http://schemas.openxmlformats.org/officeDocument/2006/relationships/chart" Target="charts/chart15.xml"/><Relationship Id="rId52" Type="http://schemas.openxmlformats.org/officeDocument/2006/relationships/chart" Target="charts/chart2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doi.org/10.1002/jcaf.22761" TargetMode="External"/><Relationship Id="rId27" Type="http://schemas.openxmlformats.org/officeDocument/2006/relationships/hyperlink" Target="https://doi.org/10.3390/info15100637" TargetMode="External"/><Relationship Id="rId30" Type="http://schemas.openxmlformats.org/officeDocument/2006/relationships/hyperlink" Target="https://doi.org/10.2991/978-94-6463-748-9_101" TargetMode="External"/><Relationship Id="rId35" Type="http://schemas.openxmlformats.org/officeDocument/2006/relationships/hyperlink" Target="https://doi.org/10.3390/wevj16020090" TargetMode="External"/><Relationship Id="rId43" Type="http://schemas.openxmlformats.org/officeDocument/2006/relationships/chart" Target="charts/chart14.xml"/><Relationship Id="rId48" Type="http://schemas.openxmlformats.org/officeDocument/2006/relationships/chart" Target="charts/chart19.xm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chart" Target="charts/chart22.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Profitability Ratios (2019–2023)</a:t>
            </a:r>
          </a:p>
        </c:rich>
      </c:tx>
      <c:spPr>
        <a:noFill/>
        <a:ln>
          <a:noFill/>
        </a:ln>
        <a:effectLst/>
      </c:spPr>
    </c:title>
    <c:plotArea>
      <c:layout/>
      <c:scatterChart>
        <c:scatterStyle val="lineMarker"/>
        <c:ser>
          <c:idx val="0"/>
          <c:order val="0"/>
          <c:tx>
            <c:strRef>
              <c:f>Sheet1!$B$17</c:f>
              <c:strCache>
                <c:ptCount val="1"/>
                <c:pt idx="0">
                  <c:v>Gross Profit Margin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Sheet1!$A$18:$A$22</c:f>
              <c:numCache>
                <c:formatCode>General</c:formatCode>
                <c:ptCount val="5"/>
                <c:pt idx="0">
                  <c:v>2019</c:v>
                </c:pt>
                <c:pt idx="1">
                  <c:v>2020</c:v>
                </c:pt>
                <c:pt idx="2">
                  <c:v>2021</c:v>
                </c:pt>
                <c:pt idx="3">
                  <c:v>2022</c:v>
                </c:pt>
                <c:pt idx="4">
                  <c:v>2023</c:v>
                </c:pt>
              </c:numCache>
            </c:numRef>
          </c:xVal>
          <c:yVal>
            <c:numRef>
              <c:f>Sheet1!$B$18:$B$22</c:f>
              <c:numCache>
                <c:formatCode>General</c:formatCode>
                <c:ptCount val="5"/>
                <c:pt idx="0">
                  <c:v>16.559999999999999</c:v>
                </c:pt>
                <c:pt idx="1">
                  <c:v>21.03</c:v>
                </c:pt>
                <c:pt idx="2">
                  <c:v>25.279999999999987</c:v>
                </c:pt>
                <c:pt idx="3">
                  <c:v>25.6</c:v>
                </c:pt>
                <c:pt idx="4">
                  <c:v>18.25</c:v>
                </c:pt>
              </c:numCache>
            </c:numRef>
          </c:yVal>
          <c:extLst xmlns:c16r2="http://schemas.microsoft.com/office/drawing/2015/06/chart">
            <c:ext xmlns:c16="http://schemas.microsoft.com/office/drawing/2014/chart" uri="{C3380CC4-5D6E-409C-BE32-E72D297353CC}">
              <c16:uniqueId val="{00000000-68CA-4152-83A6-BB53C26CB9C1}"/>
            </c:ext>
          </c:extLst>
        </c:ser>
        <c:ser>
          <c:idx val="1"/>
          <c:order val="1"/>
          <c:tx>
            <c:strRef>
              <c:f>Sheet1!$C$17</c:f>
              <c:strCache>
                <c:ptCount val="1"/>
                <c:pt idx="0">
                  <c:v>Net Profit Margin</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Sheet1!$A$18:$A$22</c:f>
              <c:numCache>
                <c:formatCode>General</c:formatCode>
                <c:ptCount val="5"/>
                <c:pt idx="0">
                  <c:v>2019</c:v>
                </c:pt>
                <c:pt idx="1">
                  <c:v>2020</c:v>
                </c:pt>
                <c:pt idx="2">
                  <c:v>2021</c:v>
                </c:pt>
                <c:pt idx="3">
                  <c:v>2022</c:v>
                </c:pt>
                <c:pt idx="4">
                  <c:v>2023</c:v>
                </c:pt>
              </c:numCache>
            </c:numRef>
          </c:xVal>
          <c:yVal>
            <c:numRef>
              <c:f>Sheet1!$C$18:$C$22</c:f>
              <c:numCache>
                <c:formatCode>General</c:formatCode>
                <c:ptCount val="5"/>
                <c:pt idx="0">
                  <c:v>-3.51</c:v>
                </c:pt>
                <c:pt idx="1">
                  <c:v>2.29</c:v>
                </c:pt>
                <c:pt idx="2">
                  <c:v>10.25</c:v>
                </c:pt>
                <c:pt idx="3">
                  <c:v>15.41</c:v>
                </c:pt>
                <c:pt idx="4">
                  <c:v>15.49</c:v>
                </c:pt>
              </c:numCache>
            </c:numRef>
          </c:yVal>
          <c:extLst xmlns:c16r2="http://schemas.microsoft.com/office/drawing/2015/06/chart">
            <c:ext xmlns:c16="http://schemas.microsoft.com/office/drawing/2014/chart" uri="{C3380CC4-5D6E-409C-BE32-E72D297353CC}">
              <c16:uniqueId val="{00000001-68CA-4152-83A6-BB53C26CB9C1}"/>
            </c:ext>
          </c:extLst>
        </c:ser>
        <c:axId val="44668416"/>
        <c:axId val="44675072"/>
      </c:scatterChart>
      <c:valAx>
        <c:axId val="44668416"/>
        <c:scaling>
          <c:orientation val="minMax"/>
        </c:scaling>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noFill/>
            <a:round/>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4675072"/>
        <c:crosses val="autoZero"/>
        <c:crossBetween val="midCat"/>
      </c:valAx>
      <c:valAx>
        <c:axId val="44675072"/>
        <c:scaling>
          <c:orientation val="minMax"/>
        </c:scaling>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Percentage %</a:t>
                </a:r>
              </a:p>
            </c:rich>
          </c:tx>
          <c:spPr>
            <a:noFill/>
            <a:ln>
              <a:noFill/>
            </a:ln>
            <a:effectLst/>
          </c:spPr>
        </c:title>
        <c:numFmt formatCode="General" sourceLinked="1"/>
        <c:maj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4668416"/>
        <c:crosses val="autoZero"/>
        <c:crossBetween val="midCat"/>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b="0" i="0" u="none" strike="noStrike" kern="1200" baseline="0">
                <a:solidFill>
                  <a:schemeClr val="dk1">
                    <a:lumMod val="65000"/>
                    <a:lumOff val="35000"/>
                  </a:schemeClr>
                </a:solidFill>
                <a:effectLst/>
                <a:latin typeface="+mn-lt"/>
                <a:ea typeface="+mn-ea"/>
                <a:cs typeface="+mn-cs"/>
              </a:defRPr>
            </a:pPr>
            <a:r>
              <a:rPr lang="en-IN" b="1"/>
              <a:t>Comparison</a:t>
            </a:r>
          </a:p>
        </c:rich>
      </c:tx>
      <c:spPr>
        <a:noFill/>
        <a:ln>
          <a:noFill/>
        </a:ln>
        <a:effectLst/>
      </c:spPr>
    </c:title>
    <c:plotArea>
      <c:layout/>
      <c:barChart>
        <c:barDir val="col"/>
        <c:grouping val="clustered"/>
        <c:ser>
          <c:idx val="0"/>
          <c:order val="0"/>
          <c:tx>
            <c:strRef>
              <c:f>Sheet1!$B$9</c:f>
              <c:strCache>
                <c:ptCount val="1"/>
                <c:pt idx="0">
                  <c:v>ROE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Sheet1!$A$10:$A$14</c:f>
              <c:numCache>
                <c:formatCode>General</c:formatCode>
                <c:ptCount val="5"/>
                <c:pt idx="0">
                  <c:v>2019</c:v>
                </c:pt>
                <c:pt idx="1">
                  <c:v>2020</c:v>
                </c:pt>
                <c:pt idx="2">
                  <c:v>2021</c:v>
                </c:pt>
                <c:pt idx="3">
                  <c:v>2022</c:v>
                </c:pt>
                <c:pt idx="4">
                  <c:v>2023</c:v>
                </c:pt>
              </c:numCache>
            </c:numRef>
          </c:cat>
          <c:val>
            <c:numRef>
              <c:f>Sheet1!$B$10:$B$14</c:f>
              <c:numCache>
                <c:formatCode>0.00%</c:formatCode>
                <c:ptCount val="5"/>
                <c:pt idx="0">
                  <c:v>-0.10500000000000002</c:v>
                </c:pt>
                <c:pt idx="1">
                  <c:v>3.0000000000000002E-2</c:v>
                </c:pt>
                <c:pt idx="2">
                  <c:v>0.17500000000000004</c:v>
                </c:pt>
                <c:pt idx="3">
                  <c:v>0.27400000000000002</c:v>
                </c:pt>
                <c:pt idx="4">
                  <c:v>0.23600000000000004</c:v>
                </c:pt>
              </c:numCache>
            </c:numRef>
          </c:val>
          <c:extLst xmlns:c16r2="http://schemas.microsoft.com/office/drawing/2015/06/chart">
            <c:ext xmlns:c16="http://schemas.microsoft.com/office/drawing/2014/chart" uri="{C3380CC4-5D6E-409C-BE32-E72D297353CC}">
              <c16:uniqueId val="{00000000-0BF5-4EAC-93A0-EC3B387B29D5}"/>
            </c:ext>
          </c:extLst>
        </c:ser>
        <c:dLbls>
          <c:showVal val="1"/>
        </c:dLbls>
        <c:gapWidth val="41"/>
        <c:axId val="44769664"/>
        <c:axId val="44771584"/>
      </c:barChart>
      <c:catAx>
        <c:axId val="44769664"/>
        <c:scaling>
          <c:orientation val="minMax"/>
        </c:scaling>
        <c:axPos val="b"/>
        <c:title>
          <c:tx>
            <c:rich>
              <a:bodyPr rot="0" spcFirstLastPara="1" vertOverflow="ellipsis" vert="horz" wrap="square" anchor="ctr" anchorCtr="1"/>
              <a:lstStyle/>
              <a:p>
                <a:pPr>
                  <a:defRPr lang="en-US" sz="900" b="1" i="0" u="none" strike="noStrike" kern="1200"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44771584"/>
        <c:crosses val="autoZero"/>
        <c:auto val="1"/>
        <c:lblAlgn val="ctr"/>
        <c:lblOffset val="100"/>
      </c:catAx>
      <c:valAx>
        <c:axId val="44771584"/>
        <c:scaling>
          <c:orientation val="minMax"/>
        </c:scaling>
        <c:delete val="1"/>
        <c:axPos val="l"/>
        <c:title>
          <c:tx>
            <c:rich>
              <a:bodyPr rot="-5400000" spcFirstLastPara="1" vertOverflow="ellipsis" vert="horz" wrap="square" anchor="ctr" anchorCtr="1"/>
              <a:lstStyle/>
              <a:p>
                <a:pPr>
                  <a:defRPr lang="en-US" sz="900" b="1" i="0" u="none" strike="noStrike" kern="1200" baseline="0">
                    <a:solidFill>
                      <a:schemeClr val="dk1">
                        <a:lumMod val="65000"/>
                        <a:lumOff val="35000"/>
                      </a:schemeClr>
                    </a:solidFill>
                    <a:latin typeface="+mn-lt"/>
                    <a:ea typeface="+mn-ea"/>
                    <a:cs typeface="+mn-cs"/>
                  </a:defRPr>
                </a:pPr>
                <a:r>
                  <a:rPr lang="en-IN"/>
                  <a:t>ROE (%)</a:t>
                </a:r>
              </a:p>
            </c:rich>
          </c:tx>
          <c:spPr>
            <a:noFill/>
            <a:ln>
              <a:noFill/>
            </a:ln>
            <a:effectLst/>
          </c:spPr>
        </c:title>
        <c:numFmt formatCode="0.00%" sourceLinked="1"/>
        <c:majorTickMark val="none"/>
        <c:tickLblPos val="nextTo"/>
        <c:crossAx val="44769664"/>
        <c:crosses val="autoZero"/>
        <c:crossBetween val="between"/>
      </c:valAx>
      <c:spPr>
        <a:noFill/>
        <a:ln>
          <a:noFill/>
        </a:ln>
        <a:effectLst/>
      </c:spPr>
    </c:plotArea>
    <c:plotVisOnly val="1"/>
    <c:dispBlanksAs val="gap"/>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Liquidity Position (2019–2023)</a:t>
            </a:r>
          </a:p>
        </c:rich>
      </c:tx>
      <c:spPr>
        <a:noFill/>
        <a:ln>
          <a:noFill/>
        </a:ln>
        <a:effectLst/>
      </c:spPr>
    </c:title>
    <c:plotArea>
      <c:layout/>
      <c:lineChart>
        <c:grouping val="standard"/>
        <c:ser>
          <c:idx val="0"/>
          <c:order val="0"/>
          <c:tx>
            <c:strRef>
              <c:f>Sheet1!$B$32</c:f>
              <c:strCache>
                <c:ptCount val="1"/>
                <c:pt idx="0">
                  <c:v>Current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Sheet1!$A$33:$A$37</c:f>
              <c:numCache>
                <c:formatCode>General</c:formatCode>
                <c:ptCount val="5"/>
                <c:pt idx="0">
                  <c:v>2019</c:v>
                </c:pt>
                <c:pt idx="1">
                  <c:v>2020</c:v>
                </c:pt>
                <c:pt idx="2">
                  <c:v>2021</c:v>
                </c:pt>
                <c:pt idx="3">
                  <c:v>2022</c:v>
                </c:pt>
                <c:pt idx="4">
                  <c:v>2023</c:v>
                </c:pt>
              </c:numCache>
            </c:numRef>
          </c:cat>
          <c:val>
            <c:numRef>
              <c:f>Sheet1!$B$33:$B$37</c:f>
              <c:numCache>
                <c:formatCode>General</c:formatCode>
                <c:ptCount val="5"/>
                <c:pt idx="0">
                  <c:v>1</c:v>
                </c:pt>
                <c:pt idx="1">
                  <c:v>1.8800000000000001</c:v>
                </c:pt>
                <c:pt idx="2">
                  <c:v>1.55</c:v>
                </c:pt>
                <c:pt idx="3">
                  <c:v>1.53</c:v>
                </c:pt>
                <c:pt idx="4">
                  <c:v>1.73</c:v>
                </c:pt>
              </c:numCache>
            </c:numRef>
          </c:val>
          <c:extLst xmlns:c16r2="http://schemas.microsoft.com/office/drawing/2015/06/chart">
            <c:ext xmlns:c16="http://schemas.microsoft.com/office/drawing/2014/chart" uri="{C3380CC4-5D6E-409C-BE32-E72D297353CC}">
              <c16:uniqueId val="{00000000-3DBA-468D-AC16-F3971F1D8F08}"/>
            </c:ext>
          </c:extLst>
        </c:ser>
        <c:ser>
          <c:idx val="1"/>
          <c:order val="1"/>
          <c:tx>
            <c:strRef>
              <c:f>Sheet1!$C$32</c:f>
              <c:strCache>
                <c:ptCount val="1"/>
                <c:pt idx="0">
                  <c:v>Quick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Sheet1!$A$33:$A$37</c:f>
              <c:numCache>
                <c:formatCode>General</c:formatCode>
                <c:ptCount val="5"/>
                <c:pt idx="0">
                  <c:v>2019</c:v>
                </c:pt>
                <c:pt idx="1">
                  <c:v>2020</c:v>
                </c:pt>
                <c:pt idx="2">
                  <c:v>2021</c:v>
                </c:pt>
                <c:pt idx="3">
                  <c:v>2022</c:v>
                </c:pt>
                <c:pt idx="4">
                  <c:v>2023</c:v>
                </c:pt>
              </c:numCache>
            </c:numRef>
          </c:cat>
          <c:val>
            <c:numRef>
              <c:f>Sheet1!$C$33:$C$37</c:f>
              <c:numCache>
                <c:formatCode>General</c:formatCode>
                <c:ptCount val="5"/>
                <c:pt idx="0">
                  <c:v>0.71000000000000041</c:v>
                </c:pt>
                <c:pt idx="1">
                  <c:v>1.59</c:v>
                </c:pt>
                <c:pt idx="2">
                  <c:v>1.26</c:v>
                </c:pt>
                <c:pt idx="3">
                  <c:v>1.05</c:v>
                </c:pt>
                <c:pt idx="4">
                  <c:v>1.25</c:v>
                </c:pt>
              </c:numCache>
            </c:numRef>
          </c:val>
          <c:extLst xmlns:c16r2="http://schemas.microsoft.com/office/drawing/2015/06/chart">
            <c:ext xmlns:c16="http://schemas.microsoft.com/office/drawing/2014/chart" uri="{C3380CC4-5D6E-409C-BE32-E72D297353CC}">
              <c16:uniqueId val="{00000001-3DBA-468D-AC16-F3971F1D8F08}"/>
            </c:ext>
          </c:extLst>
        </c:ser>
        <c:marker val="1"/>
        <c:axId val="44788736"/>
        <c:axId val="44798720"/>
      </c:lineChart>
      <c:catAx>
        <c:axId val="44788736"/>
        <c:scaling>
          <c:orientation val="minMax"/>
        </c:scaling>
        <c:axPos val="b"/>
        <c:numFmt formatCode="General" sourceLinked="1"/>
        <c:maj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4798720"/>
        <c:crosses val="autoZero"/>
        <c:auto val="1"/>
        <c:lblAlgn val="ctr"/>
        <c:lblOffset val="100"/>
      </c:catAx>
      <c:valAx>
        <c:axId val="44798720"/>
        <c:scaling>
          <c:orientation val="minMax"/>
        </c:scaling>
        <c:axPos val="l"/>
        <c:majorGridlines>
          <c:spPr>
            <a:ln w="9525" cap="flat" cmpd="sng" algn="ctr">
              <a:solidFill>
                <a:schemeClr val="lt1">
                  <a:lumMod val="95000"/>
                  <a:alpha val="1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4788736"/>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cap="none" spc="20" baseline="0">
                <a:solidFill>
                  <a:schemeClr val="dk1">
                    <a:lumMod val="50000"/>
                    <a:lumOff val="50000"/>
                  </a:schemeClr>
                </a:solidFill>
                <a:latin typeface="+mn-lt"/>
                <a:ea typeface="+mn-ea"/>
                <a:cs typeface="+mn-cs"/>
              </a:defRPr>
            </a:pPr>
            <a:r>
              <a:rPr lang="en-IN" b="1"/>
              <a:t>Trend (2019–2023)</a:t>
            </a:r>
            <a:endParaRPr lang="en-US" b="1"/>
          </a:p>
        </c:rich>
      </c:tx>
      <c:spPr>
        <a:noFill/>
        <a:ln>
          <a:noFill/>
        </a:ln>
        <a:effectLst/>
      </c:spPr>
    </c:title>
    <c:plotArea>
      <c:layout/>
      <c:lineChart>
        <c:grouping val="standard"/>
        <c:ser>
          <c:idx val="0"/>
          <c:order val="0"/>
          <c:tx>
            <c:strRef>
              <c:f>Sheet1!$B$40</c:f>
              <c:strCache>
                <c:ptCount val="1"/>
                <c:pt idx="0">
                  <c:v>Asset Turnover</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Sheet1!$A$41:$A$45</c:f>
              <c:numCache>
                <c:formatCode>General</c:formatCode>
                <c:ptCount val="5"/>
                <c:pt idx="0">
                  <c:v>2019</c:v>
                </c:pt>
                <c:pt idx="1">
                  <c:v>2020</c:v>
                </c:pt>
                <c:pt idx="2">
                  <c:v>2021</c:v>
                </c:pt>
                <c:pt idx="3">
                  <c:v>2022</c:v>
                </c:pt>
                <c:pt idx="4">
                  <c:v>2023</c:v>
                </c:pt>
              </c:numCache>
            </c:numRef>
          </c:cat>
          <c:val>
            <c:numRef>
              <c:f>Sheet1!$B$41:$B$45</c:f>
              <c:numCache>
                <c:formatCode>General</c:formatCode>
                <c:ptCount val="5"/>
                <c:pt idx="0">
                  <c:v>0.72000000000000042</c:v>
                </c:pt>
                <c:pt idx="1">
                  <c:v>0.60000000000000042</c:v>
                </c:pt>
                <c:pt idx="2">
                  <c:v>0.87000000000000044</c:v>
                </c:pt>
                <c:pt idx="3">
                  <c:v>0.99</c:v>
                </c:pt>
                <c:pt idx="4">
                  <c:v>0.91</c:v>
                </c:pt>
              </c:numCache>
            </c:numRef>
          </c:val>
          <c:extLst xmlns:c16r2="http://schemas.microsoft.com/office/drawing/2015/06/chart">
            <c:ext xmlns:c16="http://schemas.microsoft.com/office/drawing/2014/chart" uri="{C3380CC4-5D6E-409C-BE32-E72D297353CC}">
              <c16:uniqueId val="{00000000-51DC-43BF-B531-4B10073E1ED1}"/>
            </c:ext>
          </c:extLst>
        </c:ser>
        <c:dLbls>
          <c:showVal val="1"/>
        </c:dLbls>
        <c:dropLines>
          <c:spPr>
            <a:ln w="9525" cap="flat" cmpd="sng" algn="ctr">
              <a:solidFill>
                <a:schemeClr val="dk1">
                  <a:lumMod val="35000"/>
                  <a:lumOff val="65000"/>
                  <a:alpha val="33000"/>
                </a:schemeClr>
              </a:solidFill>
              <a:round/>
            </a:ln>
            <a:effectLst/>
          </c:spPr>
        </c:dropLines>
        <c:marker val="1"/>
        <c:axId val="44705280"/>
        <c:axId val="44707200"/>
      </c:lineChart>
      <c:catAx>
        <c:axId val="44705280"/>
        <c:scaling>
          <c:orientation val="minMax"/>
        </c:scaling>
        <c:axPos val="b"/>
        <c:title>
          <c:tx>
            <c:rich>
              <a:bodyPr rot="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4707200"/>
        <c:crosses val="autoZero"/>
        <c:auto val="1"/>
        <c:lblAlgn val="ctr"/>
        <c:lblOffset val="100"/>
      </c:catAx>
      <c:valAx>
        <c:axId val="44707200"/>
        <c:scaling>
          <c:orientation val="minMax"/>
        </c:scaling>
        <c:axPos val="l"/>
        <c:title>
          <c:tx>
            <c:rich>
              <a:bodyPr rot="-540000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4705280"/>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Comparison (2019–2023)</a:t>
            </a:r>
          </a:p>
        </c:rich>
      </c:tx>
      <c:spPr>
        <a:noFill/>
        <a:ln>
          <a:noFill/>
        </a:ln>
        <a:effectLst/>
      </c:spPr>
    </c:title>
    <c:plotArea>
      <c:layout/>
      <c:barChart>
        <c:barDir val="col"/>
        <c:grouping val="clustered"/>
        <c:ser>
          <c:idx val="0"/>
          <c:order val="0"/>
          <c:tx>
            <c:strRef>
              <c:f>Sheet1!$B$51</c:f>
              <c:strCache>
                <c:ptCount val="1"/>
                <c:pt idx="0">
                  <c:v>Inventory Turnover</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Sheet1!$A$52:$A$56</c:f>
              <c:numCache>
                <c:formatCode>General</c:formatCode>
                <c:ptCount val="5"/>
                <c:pt idx="0">
                  <c:v>2019</c:v>
                </c:pt>
                <c:pt idx="1">
                  <c:v>2020</c:v>
                </c:pt>
                <c:pt idx="2">
                  <c:v>2021</c:v>
                </c:pt>
                <c:pt idx="3">
                  <c:v>2022</c:v>
                </c:pt>
                <c:pt idx="4">
                  <c:v>2023</c:v>
                </c:pt>
              </c:numCache>
            </c:numRef>
          </c:cat>
          <c:val>
            <c:numRef>
              <c:f>Sheet1!$B$52:$B$56</c:f>
              <c:numCache>
                <c:formatCode>General</c:formatCode>
                <c:ptCount val="5"/>
                <c:pt idx="0">
                  <c:v>5.7700000000000014</c:v>
                </c:pt>
                <c:pt idx="1">
                  <c:v>6.07</c:v>
                </c:pt>
                <c:pt idx="2">
                  <c:v>6.99</c:v>
                </c:pt>
                <c:pt idx="3">
                  <c:v>4.72</c:v>
                </c:pt>
                <c:pt idx="4">
                  <c:v>5.81</c:v>
                </c:pt>
              </c:numCache>
            </c:numRef>
          </c:val>
          <c:extLst xmlns:c16r2="http://schemas.microsoft.com/office/drawing/2015/06/chart">
            <c:ext xmlns:c16="http://schemas.microsoft.com/office/drawing/2014/chart" uri="{C3380CC4-5D6E-409C-BE32-E72D297353CC}">
              <c16:uniqueId val="{00000000-7A4B-40D9-9373-BF7B0CB1A3DC}"/>
            </c:ext>
          </c:extLst>
        </c:ser>
        <c:dLbls>
          <c:showVal val="1"/>
        </c:dLbls>
        <c:gapWidth val="219"/>
        <c:overlap val="-27"/>
        <c:axId val="44723584"/>
        <c:axId val="44905984"/>
      </c:barChart>
      <c:catAx>
        <c:axId val="44723584"/>
        <c:scaling>
          <c:orientation val="minMax"/>
        </c:scaling>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4905984"/>
        <c:crosses val="autoZero"/>
        <c:auto val="1"/>
        <c:lblAlgn val="ctr"/>
        <c:lblOffset val="100"/>
      </c:catAx>
      <c:valAx>
        <c:axId val="44905984"/>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IN"/>
                  <a:t>Turnover</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4723584"/>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Trend</a:t>
            </a:r>
          </a:p>
        </c:rich>
      </c:tx>
      <c:spPr>
        <a:noFill/>
        <a:ln>
          <a:noFill/>
        </a:ln>
        <a:effectLst/>
      </c:spPr>
    </c:title>
    <c:plotArea>
      <c:layout/>
      <c:lineChart>
        <c:grouping val="standard"/>
        <c:ser>
          <c:idx val="0"/>
          <c:order val="0"/>
          <c:tx>
            <c:strRef>
              <c:f>Sheet1!$B$61</c:f>
              <c:strCache>
                <c:ptCount val="1"/>
                <c:pt idx="0">
                  <c:v>Debt-to-Equity</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Sheet1!$A$62:$A$66</c:f>
              <c:numCache>
                <c:formatCode>General</c:formatCode>
                <c:ptCount val="5"/>
                <c:pt idx="0">
                  <c:v>2019</c:v>
                </c:pt>
                <c:pt idx="1">
                  <c:v>2020</c:v>
                </c:pt>
                <c:pt idx="2">
                  <c:v>2021</c:v>
                </c:pt>
                <c:pt idx="3">
                  <c:v>2022</c:v>
                </c:pt>
                <c:pt idx="4">
                  <c:v>2023</c:v>
                </c:pt>
              </c:numCache>
            </c:numRef>
          </c:cat>
          <c:val>
            <c:numRef>
              <c:f>Sheet1!$B$62:$B$66</c:f>
              <c:numCache>
                <c:formatCode>General</c:formatCode>
                <c:ptCount val="5"/>
                <c:pt idx="0">
                  <c:v>1.6700000000000008</c:v>
                </c:pt>
                <c:pt idx="1">
                  <c:v>0.56000000000000005</c:v>
                </c:pt>
                <c:pt idx="2">
                  <c:v>0.28000000000000008</c:v>
                </c:pt>
                <c:pt idx="3">
                  <c:v>0.12000000000000002</c:v>
                </c:pt>
                <c:pt idx="4">
                  <c:v>7.0000000000000021E-2</c:v>
                </c:pt>
              </c:numCache>
            </c:numRef>
          </c:val>
          <c:extLst xmlns:c16r2="http://schemas.microsoft.com/office/drawing/2015/06/chart">
            <c:ext xmlns:c16="http://schemas.microsoft.com/office/drawing/2014/chart" uri="{C3380CC4-5D6E-409C-BE32-E72D297353CC}">
              <c16:uniqueId val="{00000000-F70E-402A-BA59-4DEA117982FE}"/>
            </c:ext>
          </c:extLst>
        </c:ser>
        <c:dLbls>
          <c:showVal val="1"/>
        </c:dLbls>
        <c:marker val="1"/>
        <c:axId val="44922368"/>
        <c:axId val="44924288"/>
      </c:lineChart>
      <c:catAx>
        <c:axId val="44922368"/>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4924288"/>
        <c:crosses val="autoZero"/>
        <c:auto val="1"/>
        <c:lblAlgn val="ctr"/>
        <c:lblOffset val="100"/>
      </c:catAx>
      <c:valAx>
        <c:axId val="44924288"/>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4922368"/>
        <c:crosses val="autoZero"/>
        <c:crossBetween val="between"/>
      </c:valAx>
      <c:spPr>
        <a:noFill/>
        <a:ln>
          <a:noFill/>
        </a:ln>
        <a:effectLst/>
      </c:spPr>
    </c:plotArea>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IN"/>
  <c:chart>
    <c:title>
      <c:spPr>
        <a:noFill/>
        <a:ln>
          <a:noFill/>
        </a:ln>
        <a:effectLst/>
      </c:spPr>
      <c:txPr>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endParaRPr lang="en-US"/>
        </a:p>
      </c:txPr>
    </c:title>
    <c:plotArea>
      <c:layout/>
      <c:lineChart>
        <c:grouping val="standard"/>
        <c:ser>
          <c:idx val="0"/>
          <c:order val="0"/>
          <c:tx>
            <c:strRef>
              <c:f>Sheet1!$B$74</c:f>
              <c:strCache>
                <c:ptCount val="1"/>
                <c:pt idx="0">
                  <c:v>Interest Coverage</c:v>
                </c:pt>
              </c:strCache>
            </c:strRef>
          </c:tx>
          <c:spPr>
            <a:ln w="317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Sheet1!$A$75:$A$79</c:f>
              <c:numCache>
                <c:formatCode>General</c:formatCode>
                <c:ptCount val="5"/>
                <c:pt idx="0">
                  <c:v>2019</c:v>
                </c:pt>
                <c:pt idx="1">
                  <c:v>2020</c:v>
                </c:pt>
                <c:pt idx="2">
                  <c:v>2021</c:v>
                </c:pt>
                <c:pt idx="3">
                  <c:v>2022</c:v>
                </c:pt>
                <c:pt idx="4">
                  <c:v>2023</c:v>
                </c:pt>
              </c:numCache>
            </c:numRef>
          </c:cat>
          <c:val>
            <c:numRef>
              <c:f>Sheet1!$B$75:$B$79</c:f>
              <c:numCache>
                <c:formatCode>General</c:formatCode>
                <c:ptCount val="5"/>
                <c:pt idx="0">
                  <c:v>-0.1</c:v>
                </c:pt>
                <c:pt idx="1">
                  <c:v>2.67</c:v>
                </c:pt>
                <c:pt idx="2">
                  <c:v>17.600000000000001</c:v>
                </c:pt>
                <c:pt idx="3">
                  <c:v>71.5</c:v>
                </c:pt>
                <c:pt idx="4">
                  <c:v>56.9</c:v>
                </c:pt>
              </c:numCache>
            </c:numRef>
          </c:val>
          <c:extLst xmlns:c16r2="http://schemas.microsoft.com/office/drawing/2015/06/chart">
            <c:ext xmlns:c16="http://schemas.microsoft.com/office/drawing/2014/chart" uri="{C3380CC4-5D6E-409C-BE32-E72D297353CC}">
              <c16:uniqueId val="{00000000-B718-4DD1-B55D-733BF2E4C4AE}"/>
            </c:ext>
          </c:extLst>
        </c:ser>
        <c:dLbls>
          <c:showVal val="1"/>
        </c:dLbls>
        <c:marker val="1"/>
        <c:axId val="45038976"/>
        <c:axId val="45045248"/>
      </c:lineChart>
      <c:catAx>
        <c:axId val="45038976"/>
        <c:scaling>
          <c:orientation val="minMax"/>
        </c:scaling>
        <c:axPos val="b"/>
        <c:title>
          <c:tx>
            <c:rich>
              <a:bodyPr rot="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Years</a:t>
                </a:r>
              </a:p>
            </c:rich>
          </c:tx>
          <c:spPr>
            <a:noFill/>
            <a:ln>
              <a:noFill/>
            </a:ln>
            <a:effectLst/>
          </c:spPr>
        </c:title>
        <c:numFmt formatCode="General" sourceLinked="1"/>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045248"/>
        <c:crosses val="autoZero"/>
        <c:auto val="1"/>
        <c:lblAlgn val="ctr"/>
        <c:lblOffset val="100"/>
      </c:catAx>
      <c:valAx>
        <c:axId val="45045248"/>
        <c:scaling>
          <c:orientation val="minMax"/>
        </c:scaling>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038976"/>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cap="none" spc="20" baseline="0">
                <a:solidFill>
                  <a:schemeClr val="dk1">
                    <a:lumMod val="50000"/>
                    <a:lumOff val="50000"/>
                  </a:schemeClr>
                </a:solidFill>
                <a:latin typeface="+mn-lt"/>
                <a:ea typeface="+mn-ea"/>
                <a:cs typeface="+mn-cs"/>
              </a:defRPr>
            </a:pPr>
            <a:r>
              <a:rPr lang="en-US" b="1"/>
              <a:t>Ratio Trend (2019-2023)</a:t>
            </a:r>
          </a:p>
        </c:rich>
      </c:tx>
      <c:spPr>
        <a:noFill/>
        <a:ln>
          <a:noFill/>
        </a:ln>
        <a:effectLst/>
      </c:spPr>
    </c:title>
    <c:plotArea>
      <c:layout/>
      <c:lineChart>
        <c:grouping val="standard"/>
        <c:ser>
          <c:idx val="0"/>
          <c:order val="0"/>
          <c:tx>
            <c:strRef>
              <c:f>Sheet1!$B$88</c:f>
              <c:strCache>
                <c:ptCount val="1"/>
                <c:pt idx="0">
                  <c:v>Operating cashflowRatio</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Sheet1!$A$89:$A$93</c:f>
              <c:numCache>
                <c:formatCode>General</c:formatCode>
                <c:ptCount val="5"/>
                <c:pt idx="0">
                  <c:v>2019</c:v>
                </c:pt>
                <c:pt idx="1">
                  <c:v>2020</c:v>
                </c:pt>
                <c:pt idx="2">
                  <c:v>2021</c:v>
                </c:pt>
                <c:pt idx="3">
                  <c:v>2022</c:v>
                </c:pt>
                <c:pt idx="4">
                  <c:v>2023</c:v>
                </c:pt>
              </c:numCache>
            </c:numRef>
          </c:cat>
          <c:val>
            <c:numRef>
              <c:f>Sheet1!$B$89:$B$93</c:f>
              <c:numCache>
                <c:formatCode>General</c:formatCode>
                <c:ptCount val="5"/>
                <c:pt idx="0">
                  <c:v>0.2</c:v>
                </c:pt>
                <c:pt idx="1">
                  <c:v>0.42000000000000021</c:v>
                </c:pt>
                <c:pt idx="2">
                  <c:v>0.58000000000000007</c:v>
                </c:pt>
                <c:pt idx="3">
                  <c:v>0.55000000000000004</c:v>
                </c:pt>
                <c:pt idx="4">
                  <c:v>0.46</c:v>
                </c:pt>
              </c:numCache>
            </c:numRef>
          </c:val>
          <c:extLst xmlns:c16r2="http://schemas.microsoft.com/office/drawing/2015/06/chart">
            <c:ext xmlns:c16="http://schemas.microsoft.com/office/drawing/2014/chart" uri="{C3380CC4-5D6E-409C-BE32-E72D297353CC}">
              <c16:uniqueId val="{00000000-1B01-4252-939C-2A2CCB9FDE55}"/>
            </c:ext>
          </c:extLst>
        </c:ser>
        <c:dLbls>
          <c:showVal val="1"/>
        </c:dLbls>
        <c:dropLines>
          <c:spPr>
            <a:ln w="9525" cap="flat" cmpd="sng" algn="ctr">
              <a:solidFill>
                <a:schemeClr val="dk1">
                  <a:lumMod val="35000"/>
                  <a:lumOff val="65000"/>
                  <a:alpha val="33000"/>
                </a:schemeClr>
              </a:solidFill>
              <a:round/>
            </a:ln>
            <a:effectLst/>
          </c:spPr>
        </c:dropLines>
        <c:marker val="1"/>
        <c:axId val="45062400"/>
        <c:axId val="45101440"/>
      </c:lineChart>
      <c:catAx>
        <c:axId val="45062400"/>
        <c:scaling>
          <c:orientation val="minMax"/>
        </c:scaling>
        <c:axPos val="b"/>
        <c:title>
          <c:tx>
            <c:rich>
              <a:bodyPr rot="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101440"/>
        <c:crosses val="autoZero"/>
        <c:auto val="1"/>
        <c:lblAlgn val="ctr"/>
        <c:lblOffset val="100"/>
      </c:catAx>
      <c:valAx>
        <c:axId val="45101440"/>
        <c:scaling>
          <c:orientation val="minMax"/>
        </c:scaling>
        <c:axPos val="l"/>
        <c:title>
          <c:tx>
            <c:rich>
              <a:bodyPr rot="-540000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062400"/>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r>
              <a:rPr lang="en-US"/>
              <a:t>Trends </a:t>
            </a:r>
          </a:p>
        </c:rich>
      </c:tx>
      <c:spPr>
        <a:noFill/>
        <a:ln>
          <a:noFill/>
        </a:ln>
        <a:effectLst/>
      </c:spPr>
    </c:title>
    <c:plotArea>
      <c:layout/>
      <c:barChart>
        <c:barDir val="col"/>
        <c:grouping val="clustered"/>
        <c:ser>
          <c:idx val="0"/>
          <c:order val="0"/>
          <c:tx>
            <c:strRef>
              <c:f>Sheet1!$B$97</c:f>
              <c:strCache>
                <c:ptCount val="1"/>
                <c:pt idx="0">
                  <c:v>Free Cash Flow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Sheet1!$A$98:$A$102</c:f>
              <c:numCache>
                <c:formatCode>General</c:formatCode>
                <c:ptCount val="5"/>
                <c:pt idx="0">
                  <c:v>2019</c:v>
                </c:pt>
                <c:pt idx="1">
                  <c:v>2020</c:v>
                </c:pt>
                <c:pt idx="2">
                  <c:v>2021</c:v>
                </c:pt>
                <c:pt idx="3">
                  <c:v>2022</c:v>
                </c:pt>
                <c:pt idx="4">
                  <c:v>2023</c:v>
                </c:pt>
              </c:numCache>
            </c:numRef>
          </c:cat>
          <c:val>
            <c:numRef>
              <c:f>Sheet1!$B$98:$B$102</c:f>
              <c:numCache>
                <c:formatCode>#,##0</c:formatCode>
                <c:ptCount val="5"/>
                <c:pt idx="0">
                  <c:v>1078</c:v>
                </c:pt>
                <c:pt idx="1">
                  <c:v>2786</c:v>
                </c:pt>
                <c:pt idx="2">
                  <c:v>4996</c:v>
                </c:pt>
                <c:pt idx="3">
                  <c:v>7566</c:v>
                </c:pt>
                <c:pt idx="4">
                  <c:v>4357</c:v>
                </c:pt>
              </c:numCache>
            </c:numRef>
          </c:val>
          <c:extLst xmlns:c16r2="http://schemas.microsoft.com/office/drawing/2015/06/chart">
            <c:ext xmlns:c16="http://schemas.microsoft.com/office/drawing/2014/chart" uri="{C3380CC4-5D6E-409C-BE32-E72D297353CC}">
              <c16:uniqueId val="{00000000-074D-477E-8083-24E8537CDF04}"/>
            </c:ext>
          </c:extLst>
        </c:ser>
        <c:dLbls>
          <c:showVal val="1"/>
        </c:dLbls>
        <c:gapWidth val="100"/>
        <c:overlap val="-24"/>
        <c:axId val="45138304"/>
        <c:axId val="45140224"/>
      </c:barChart>
      <c:catAx>
        <c:axId val="45138304"/>
        <c:scaling>
          <c:orientation val="minMax"/>
        </c:scaling>
        <c:axPos val="b"/>
        <c:title>
          <c:tx>
            <c:rich>
              <a:bodyPr rot="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140224"/>
        <c:crosses val="autoZero"/>
        <c:auto val="1"/>
        <c:lblAlgn val="ctr"/>
        <c:lblOffset val="100"/>
      </c:catAx>
      <c:valAx>
        <c:axId val="45140224"/>
        <c:scaling>
          <c:orientation val="minMax"/>
        </c:scaling>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AxiFree</a:t>
                </a:r>
                <a:r>
                  <a:rPr lang="en-IN" baseline="0"/>
                  <a:t> cashflow</a:t>
                </a:r>
                <a:r>
                  <a:rPr lang="en-IN"/>
                  <a:t> Title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138304"/>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IN" sz="1800" b="1" i="0" u="none" strike="noStrike" baseline="0"/>
              <a:t>Comparison of Investment Projects (%)</a:t>
            </a:r>
            <a:endParaRPr lang="en-US"/>
          </a:p>
        </c:rich>
      </c:tx>
      <c:spPr>
        <a:noFill/>
        <a:ln>
          <a:noFill/>
        </a:ln>
        <a:effectLst/>
      </c:spPr>
    </c:title>
    <c:plotArea>
      <c:layout/>
      <c:barChart>
        <c:barDir val="bar"/>
        <c:grouping val="clustered"/>
        <c:ser>
          <c:idx val="0"/>
          <c:order val="0"/>
          <c:tx>
            <c:strRef>
              <c:f>Sheet1!$B$118</c:f>
              <c:strCache>
                <c:ptCount val="1"/>
                <c:pt idx="0">
                  <c:v>ARR (%)</c:v>
                </c:pt>
              </c:strCache>
            </c:strRef>
          </c:tx>
          <c:spPr>
            <a:solidFill>
              <a:schemeClr val="accent1">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Sheet1!$A$119:$A$121</c:f>
              <c:strCache>
                <c:ptCount val="3"/>
                <c:pt idx="0">
                  <c:v>A</c:v>
                </c:pt>
                <c:pt idx="1">
                  <c:v>B</c:v>
                </c:pt>
                <c:pt idx="2">
                  <c:v>C</c:v>
                </c:pt>
              </c:strCache>
            </c:strRef>
          </c:cat>
          <c:val>
            <c:numRef>
              <c:f>Sheet1!$B$119:$B$121</c:f>
              <c:numCache>
                <c:formatCode>General</c:formatCode>
                <c:ptCount val="3"/>
                <c:pt idx="0">
                  <c:v>1.6</c:v>
                </c:pt>
                <c:pt idx="1">
                  <c:v>2</c:v>
                </c:pt>
                <c:pt idx="2">
                  <c:v>6</c:v>
                </c:pt>
              </c:numCache>
            </c:numRef>
          </c:val>
          <c:extLst xmlns:c16r2="http://schemas.microsoft.com/office/drawing/2015/06/chart">
            <c:ext xmlns:c16="http://schemas.microsoft.com/office/drawing/2014/chart" uri="{C3380CC4-5D6E-409C-BE32-E72D297353CC}">
              <c16:uniqueId val="{00000000-D307-4932-BE6C-20FF6DEBCFA0}"/>
            </c:ext>
          </c:extLst>
        </c:ser>
        <c:dLbls>
          <c:showVal val="1"/>
        </c:dLbls>
        <c:gapWidth val="65"/>
        <c:axId val="45250816"/>
        <c:axId val="45268992"/>
      </c:barChart>
      <c:catAx>
        <c:axId val="45250816"/>
        <c:scaling>
          <c:orientation val="minMax"/>
        </c:scaling>
        <c:axPos val="l"/>
        <c:numFmt formatCode="General" sourceLinked="1"/>
        <c:maj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45268992"/>
        <c:crosses val="autoZero"/>
        <c:auto val="1"/>
        <c:lblAlgn val="ctr"/>
        <c:lblOffset val="100"/>
      </c:catAx>
      <c:valAx>
        <c:axId val="45268992"/>
        <c:scaling>
          <c:orientation val="minMax"/>
        </c:scaling>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crossAx val="45250816"/>
        <c:crosses val="autoZero"/>
        <c:crossBetween val="between"/>
      </c:valAx>
      <c:spPr>
        <a:noFill/>
        <a:ln>
          <a:noFill/>
        </a:ln>
        <a:effectLst/>
      </c:spPr>
    </c:plotArea>
    <c:plotVisOnly val="1"/>
    <c:dispBlanksAs val="gap"/>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IN"/>
              <a:t>Comparison of Investment Projects</a:t>
            </a:r>
          </a:p>
        </c:rich>
      </c:tx>
      <c:spPr>
        <a:noFill/>
        <a:ln>
          <a:noFill/>
        </a:ln>
        <a:effectLst/>
      </c:spPr>
    </c:title>
    <c:plotArea>
      <c:layout/>
      <c:barChart>
        <c:barDir val="col"/>
        <c:grouping val="clustered"/>
        <c:ser>
          <c:idx val="0"/>
          <c:order val="0"/>
          <c:tx>
            <c:strRef>
              <c:f>Sheet1!$B$105</c:f>
              <c:strCache>
                <c:ptCount val="1"/>
                <c:pt idx="0">
                  <c:v>NPV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Sheet1!$A$106:$A$108</c:f>
              <c:strCache>
                <c:ptCount val="3"/>
                <c:pt idx="0">
                  <c:v>A</c:v>
                </c:pt>
                <c:pt idx="1">
                  <c:v>B</c:v>
                </c:pt>
                <c:pt idx="2">
                  <c:v>C</c:v>
                </c:pt>
              </c:strCache>
            </c:strRef>
          </c:cat>
          <c:val>
            <c:numRef>
              <c:f>Sheet1!$B$106:$B$108</c:f>
              <c:numCache>
                <c:formatCode>General</c:formatCode>
                <c:ptCount val="3"/>
                <c:pt idx="0">
                  <c:v>-8.69</c:v>
                </c:pt>
                <c:pt idx="1">
                  <c:v>-8.31</c:v>
                </c:pt>
                <c:pt idx="2">
                  <c:v>-1.9800000000000009</c:v>
                </c:pt>
              </c:numCache>
            </c:numRef>
          </c:val>
          <c:extLst xmlns:c16r2="http://schemas.microsoft.com/office/drawing/2015/06/chart">
            <c:ext xmlns:c16="http://schemas.microsoft.com/office/drawing/2014/chart" uri="{C3380CC4-5D6E-409C-BE32-E72D297353CC}">
              <c16:uniqueId val="{00000000-8AD0-4231-8F4D-436D273F409B}"/>
            </c:ext>
          </c:extLst>
        </c:ser>
        <c:dLbls>
          <c:showVal val="1"/>
        </c:dLbls>
        <c:gapWidth val="100"/>
        <c:overlap val="-24"/>
        <c:axId val="45284736"/>
        <c:axId val="45290624"/>
      </c:barChart>
      <c:catAx>
        <c:axId val="45284736"/>
        <c:scaling>
          <c:orientation val="minMax"/>
        </c:scaling>
        <c:axPos val="b"/>
        <c:numFmt formatCode="General" sourceLinked="1"/>
        <c:maj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290624"/>
        <c:crosses val="autoZero"/>
        <c:auto val="1"/>
        <c:lblAlgn val="ctr"/>
        <c:lblOffset val="100"/>
      </c:catAx>
      <c:valAx>
        <c:axId val="45290624"/>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284736"/>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Trends of Investment Projects</a:t>
            </a:r>
          </a:p>
        </c:rich>
      </c:tx>
      <c:spPr>
        <a:noFill/>
        <a:ln>
          <a:noFill/>
        </a:ln>
        <a:effectLst/>
      </c:spPr>
    </c:title>
    <c:plotArea>
      <c:layout/>
      <c:lineChart>
        <c:grouping val="standard"/>
        <c:ser>
          <c:idx val="0"/>
          <c:order val="0"/>
          <c:tx>
            <c:strRef>
              <c:f>Sheet1!$B$133</c:f>
              <c:strCache>
                <c:ptCount val="1"/>
                <c:pt idx="0">
                  <c:v>Project A</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Sheet1!$B$134:$B$138</c:f>
              <c:numCache>
                <c:formatCode>General</c:formatCode>
                <c:ptCount val="5"/>
                <c:pt idx="0">
                  <c:v>10</c:v>
                </c:pt>
                <c:pt idx="1">
                  <c:v>12</c:v>
                </c:pt>
                <c:pt idx="2">
                  <c:v>14</c:v>
                </c:pt>
                <c:pt idx="3">
                  <c:v>10</c:v>
                </c:pt>
                <c:pt idx="4">
                  <c:v>8</c:v>
                </c:pt>
              </c:numCache>
            </c:numRef>
          </c:val>
          <c:extLst xmlns:c16r2="http://schemas.microsoft.com/office/drawing/2015/06/chart">
            <c:ext xmlns:c16="http://schemas.microsoft.com/office/drawing/2014/chart" uri="{C3380CC4-5D6E-409C-BE32-E72D297353CC}">
              <c16:uniqueId val="{00000000-4CC0-4F95-819E-81D5FB626EA4}"/>
            </c:ext>
          </c:extLst>
        </c:ser>
        <c:ser>
          <c:idx val="1"/>
          <c:order val="1"/>
          <c:tx>
            <c:strRef>
              <c:f>Sheet1!$C$133</c:f>
              <c:strCache>
                <c:ptCount val="1"/>
                <c:pt idx="0">
                  <c:v>Project B</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Sheet1!$C$134:$C$138</c:f>
              <c:numCache>
                <c:formatCode>General</c:formatCode>
                <c:ptCount val="5"/>
                <c:pt idx="0">
                  <c:v>11</c:v>
                </c:pt>
                <c:pt idx="1">
                  <c:v>11</c:v>
                </c:pt>
                <c:pt idx="2">
                  <c:v>11</c:v>
                </c:pt>
                <c:pt idx="3">
                  <c:v>11</c:v>
                </c:pt>
                <c:pt idx="4">
                  <c:v>11</c:v>
                </c:pt>
              </c:numCache>
            </c:numRef>
          </c:val>
          <c:extLst xmlns:c16r2="http://schemas.microsoft.com/office/drawing/2015/06/chart">
            <c:ext xmlns:c16="http://schemas.microsoft.com/office/drawing/2014/chart" uri="{C3380CC4-5D6E-409C-BE32-E72D297353CC}">
              <c16:uniqueId val="{00000001-4CC0-4F95-819E-81D5FB626EA4}"/>
            </c:ext>
          </c:extLst>
        </c:ser>
        <c:ser>
          <c:idx val="2"/>
          <c:order val="2"/>
          <c:tx>
            <c:strRef>
              <c:f>Sheet1!$D$133</c:f>
              <c:strCache>
                <c:ptCount val="1"/>
                <c:pt idx="0">
                  <c:v>Project C</c:v>
                </c:pt>
              </c:strCache>
            </c:strRef>
          </c:tx>
          <c:spPr>
            <a:ln w="22225" cap="rnd">
              <a:solidFill>
                <a:schemeClr val="accent3"/>
              </a:solidFill>
            </a:ln>
            <a:effectLst>
              <a:glow rad="139700">
                <a:schemeClr val="accent3">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Sheet1!$D$134:$D$138</c:f>
              <c:numCache>
                <c:formatCode>General</c:formatCode>
                <c:ptCount val="5"/>
                <c:pt idx="0">
                  <c:v>5</c:v>
                </c:pt>
                <c:pt idx="1">
                  <c:v>10</c:v>
                </c:pt>
                <c:pt idx="2">
                  <c:v>20</c:v>
                </c:pt>
                <c:pt idx="3">
                  <c:v>25</c:v>
                </c:pt>
                <c:pt idx="4">
                  <c:v>5</c:v>
                </c:pt>
              </c:numCache>
            </c:numRef>
          </c:val>
          <c:extLst xmlns:c16r2="http://schemas.microsoft.com/office/drawing/2015/06/chart">
            <c:ext xmlns:c16="http://schemas.microsoft.com/office/drawing/2014/chart" uri="{C3380CC4-5D6E-409C-BE32-E72D297353CC}">
              <c16:uniqueId val="{00000002-4CC0-4F95-819E-81D5FB626EA4}"/>
            </c:ext>
          </c:extLst>
        </c:ser>
        <c:dLbls>
          <c:showVal val="1"/>
        </c:dLbls>
        <c:marker val="1"/>
        <c:axId val="45341696"/>
        <c:axId val="45355776"/>
      </c:lineChart>
      <c:catAx>
        <c:axId val="45341696"/>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355776"/>
        <c:crosses val="autoZero"/>
        <c:auto val="1"/>
        <c:lblAlgn val="ctr"/>
        <c:lblOffset val="100"/>
      </c:catAx>
      <c:valAx>
        <c:axId val="45355776"/>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341696"/>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Profitability Ratios (2019–2023)</a:t>
            </a:r>
          </a:p>
        </c:rich>
      </c:tx>
      <c:spPr>
        <a:noFill/>
        <a:ln>
          <a:noFill/>
        </a:ln>
        <a:effectLst/>
      </c:spPr>
    </c:title>
    <c:plotArea>
      <c:layout/>
      <c:scatterChart>
        <c:scatterStyle val="lineMarker"/>
        <c:ser>
          <c:idx val="0"/>
          <c:order val="0"/>
          <c:tx>
            <c:strRef>
              <c:f>Sheet1!$B$17</c:f>
              <c:strCache>
                <c:ptCount val="1"/>
                <c:pt idx="0">
                  <c:v>Gross Profit Margin</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Sheet1!$A$18:$A$22</c:f>
              <c:numCache>
                <c:formatCode>General</c:formatCode>
                <c:ptCount val="5"/>
                <c:pt idx="0">
                  <c:v>2019</c:v>
                </c:pt>
                <c:pt idx="1">
                  <c:v>2020</c:v>
                </c:pt>
                <c:pt idx="2">
                  <c:v>2021</c:v>
                </c:pt>
                <c:pt idx="3">
                  <c:v>2022</c:v>
                </c:pt>
                <c:pt idx="4">
                  <c:v>2023</c:v>
                </c:pt>
              </c:numCache>
            </c:numRef>
          </c:xVal>
          <c:yVal>
            <c:numRef>
              <c:f>Sheet1!$B$18:$B$22</c:f>
              <c:numCache>
                <c:formatCode>General</c:formatCode>
                <c:ptCount val="5"/>
                <c:pt idx="0">
                  <c:v>16.559999999999999</c:v>
                </c:pt>
                <c:pt idx="1">
                  <c:v>21.03</c:v>
                </c:pt>
                <c:pt idx="2">
                  <c:v>25.279999999999987</c:v>
                </c:pt>
                <c:pt idx="3">
                  <c:v>25.6</c:v>
                </c:pt>
                <c:pt idx="4">
                  <c:v>18.25</c:v>
                </c:pt>
              </c:numCache>
            </c:numRef>
          </c:yVal>
          <c:extLst xmlns:c16r2="http://schemas.microsoft.com/office/drawing/2015/06/chart">
            <c:ext xmlns:c16="http://schemas.microsoft.com/office/drawing/2014/chart" uri="{C3380CC4-5D6E-409C-BE32-E72D297353CC}">
              <c16:uniqueId val="{00000000-23DE-4F31-9A5D-F3CE3135285F}"/>
            </c:ext>
          </c:extLst>
        </c:ser>
        <c:ser>
          <c:idx val="1"/>
          <c:order val="1"/>
          <c:tx>
            <c:strRef>
              <c:f>Sheet1!$C$17</c:f>
              <c:strCache>
                <c:ptCount val="1"/>
                <c:pt idx="0">
                  <c:v>Net Profit Margin</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Sheet1!$A$18:$A$22</c:f>
              <c:numCache>
                <c:formatCode>General</c:formatCode>
                <c:ptCount val="5"/>
                <c:pt idx="0">
                  <c:v>2019</c:v>
                </c:pt>
                <c:pt idx="1">
                  <c:v>2020</c:v>
                </c:pt>
                <c:pt idx="2">
                  <c:v>2021</c:v>
                </c:pt>
                <c:pt idx="3">
                  <c:v>2022</c:v>
                </c:pt>
                <c:pt idx="4">
                  <c:v>2023</c:v>
                </c:pt>
              </c:numCache>
            </c:numRef>
          </c:xVal>
          <c:yVal>
            <c:numRef>
              <c:f>Sheet1!$C$18:$C$22</c:f>
              <c:numCache>
                <c:formatCode>General</c:formatCode>
                <c:ptCount val="5"/>
                <c:pt idx="0">
                  <c:v>-3.51</c:v>
                </c:pt>
                <c:pt idx="1">
                  <c:v>2.29</c:v>
                </c:pt>
                <c:pt idx="2">
                  <c:v>10.25</c:v>
                </c:pt>
                <c:pt idx="3">
                  <c:v>15.41</c:v>
                </c:pt>
                <c:pt idx="4">
                  <c:v>15.49</c:v>
                </c:pt>
              </c:numCache>
            </c:numRef>
          </c:yVal>
          <c:extLst xmlns:c16r2="http://schemas.microsoft.com/office/drawing/2015/06/chart">
            <c:ext xmlns:c16="http://schemas.microsoft.com/office/drawing/2014/chart" uri="{C3380CC4-5D6E-409C-BE32-E72D297353CC}">
              <c16:uniqueId val="{00000001-23DE-4F31-9A5D-F3CE3135285F}"/>
            </c:ext>
          </c:extLst>
        </c:ser>
        <c:axId val="45409024"/>
        <c:axId val="45411328"/>
      </c:scatterChart>
      <c:valAx>
        <c:axId val="45409024"/>
        <c:scaling>
          <c:orientation val="minMax"/>
        </c:scaling>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noFill/>
            <a:round/>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411328"/>
        <c:crosses val="autoZero"/>
        <c:crossBetween val="midCat"/>
      </c:valAx>
      <c:valAx>
        <c:axId val="45411328"/>
        <c:scaling>
          <c:orientation val="minMax"/>
        </c:scaling>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Percentage %</a:t>
                </a:r>
              </a:p>
            </c:rich>
          </c:tx>
          <c:spPr>
            <a:noFill/>
            <a:ln>
              <a:noFill/>
            </a:ln>
            <a:effectLst/>
          </c:spPr>
        </c:title>
        <c:numFmt formatCode="General" sourceLinked="1"/>
        <c:maj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409024"/>
        <c:crosses val="autoZero"/>
        <c:crossBetween val="midCat"/>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b="0" i="0" u="none" strike="noStrike" kern="1200" baseline="0">
                <a:solidFill>
                  <a:schemeClr val="dk1">
                    <a:lumMod val="65000"/>
                    <a:lumOff val="35000"/>
                  </a:schemeClr>
                </a:solidFill>
                <a:effectLst/>
                <a:latin typeface="+mn-lt"/>
                <a:ea typeface="+mn-ea"/>
                <a:cs typeface="+mn-cs"/>
              </a:defRPr>
            </a:pPr>
            <a:r>
              <a:rPr lang="en-IN" b="1"/>
              <a:t>Comparison</a:t>
            </a:r>
          </a:p>
        </c:rich>
      </c:tx>
      <c:spPr>
        <a:noFill/>
        <a:ln>
          <a:noFill/>
        </a:ln>
        <a:effectLst/>
      </c:spPr>
    </c:title>
    <c:plotArea>
      <c:layout/>
      <c:barChart>
        <c:barDir val="col"/>
        <c:grouping val="clustered"/>
        <c:ser>
          <c:idx val="0"/>
          <c:order val="0"/>
          <c:tx>
            <c:strRef>
              <c:f>Sheet1!$B$9</c:f>
              <c:strCache>
                <c:ptCount val="1"/>
                <c:pt idx="0">
                  <c:v>ROE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dLbls>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Sheet1!$A$10:$A$14</c:f>
              <c:numCache>
                <c:formatCode>General</c:formatCode>
                <c:ptCount val="5"/>
                <c:pt idx="0">
                  <c:v>2019</c:v>
                </c:pt>
                <c:pt idx="1">
                  <c:v>2020</c:v>
                </c:pt>
                <c:pt idx="2">
                  <c:v>2021</c:v>
                </c:pt>
                <c:pt idx="3">
                  <c:v>2022</c:v>
                </c:pt>
                <c:pt idx="4">
                  <c:v>2023</c:v>
                </c:pt>
              </c:numCache>
            </c:numRef>
          </c:cat>
          <c:val>
            <c:numRef>
              <c:f>Sheet1!$B$10:$B$14</c:f>
              <c:numCache>
                <c:formatCode>0.00%</c:formatCode>
                <c:ptCount val="5"/>
                <c:pt idx="0">
                  <c:v>-0.10500000000000002</c:v>
                </c:pt>
                <c:pt idx="1">
                  <c:v>3.0000000000000002E-2</c:v>
                </c:pt>
                <c:pt idx="2">
                  <c:v>0.17500000000000004</c:v>
                </c:pt>
                <c:pt idx="3">
                  <c:v>0.27400000000000002</c:v>
                </c:pt>
                <c:pt idx="4">
                  <c:v>0.23600000000000004</c:v>
                </c:pt>
              </c:numCache>
            </c:numRef>
          </c:val>
          <c:extLst xmlns:c16r2="http://schemas.microsoft.com/office/drawing/2015/06/chart">
            <c:ext xmlns:c16="http://schemas.microsoft.com/office/drawing/2014/chart" uri="{C3380CC4-5D6E-409C-BE32-E72D297353CC}">
              <c16:uniqueId val="{00000000-A098-43EB-87D8-FA25B2F6D84F}"/>
            </c:ext>
          </c:extLst>
        </c:ser>
        <c:dLbls>
          <c:showVal val="1"/>
        </c:dLbls>
        <c:gapWidth val="41"/>
        <c:axId val="45440384"/>
        <c:axId val="45454848"/>
      </c:barChart>
      <c:catAx>
        <c:axId val="45440384"/>
        <c:scaling>
          <c:orientation val="minMax"/>
        </c:scaling>
        <c:axPos val="b"/>
        <c:title>
          <c:tx>
            <c:rich>
              <a:bodyPr rot="0" spcFirstLastPara="1" vertOverflow="ellipsis" vert="horz" wrap="square" anchor="ctr" anchorCtr="1"/>
              <a:lstStyle/>
              <a:p>
                <a:pPr>
                  <a:defRPr lang="en-US" sz="900" b="1" i="0" u="none" strike="noStrike" kern="1200"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65000"/>
                    <a:lumOff val="35000"/>
                  </a:schemeClr>
                </a:solidFill>
                <a:effectLst/>
                <a:latin typeface="+mn-lt"/>
                <a:ea typeface="+mn-ea"/>
                <a:cs typeface="+mn-cs"/>
              </a:defRPr>
            </a:pPr>
            <a:endParaRPr lang="en-US"/>
          </a:p>
        </c:txPr>
        <c:crossAx val="45454848"/>
        <c:crosses val="autoZero"/>
        <c:auto val="1"/>
        <c:lblAlgn val="ctr"/>
        <c:lblOffset val="100"/>
      </c:catAx>
      <c:valAx>
        <c:axId val="45454848"/>
        <c:scaling>
          <c:orientation val="minMax"/>
        </c:scaling>
        <c:delete val="1"/>
        <c:axPos val="l"/>
        <c:title>
          <c:tx>
            <c:rich>
              <a:bodyPr rot="-5400000" spcFirstLastPara="1" vertOverflow="ellipsis" vert="horz" wrap="square" anchor="ctr" anchorCtr="1"/>
              <a:lstStyle/>
              <a:p>
                <a:pPr>
                  <a:defRPr lang="en-US" sz="900" b="1" i="0" u="none" strike="noStrike" kern="1200" baseline="0">
                    <a:solidFill>
                      <a:schemeClr val="dk1">
                        <a:lumMod val="65000"/>
                        <a:lumOff val="35000"/>
                      </a:schemeClr>
                    </a:solidFill>
                    <a:latin typeface="+mn-lt"/>
                    <a:ea typeface="+mn-ea"/>
                    <a:cs typeface="+mn-cs"/>
                  </a:defRPr>
                </a:pPr>
                <a:r>
                  <a:rPr lang="en-IN"/>
                  <a:t>ROE (%)</a:t>
                </a:r>
              </a:p>
            </c:rich>
          </c:tx>
          <c:spPr>
            <a:noFill/>
            <a:ln>
              <a:noFill/>
            </a:ln>
            <a:effectLst/>
          </c:spPr>
        </c:title>
        <c:numFmt formatCode="0.00%" sourceLinked="1"/>
        <c:majorTickMark val="none"/>
        <c:tickLblPos val="nextTo"/>
        <c:crossAx val="45440384"/>
        <c:crosses val="autoZero"/>
        <c:crossBetween val="between"/>
      </c:valAx>
      <c:spPr>
        <a:noFill/>
        <a:ln>
          <a:noFill/>
        </a:ln>
        <a:effectLst/>
      </c:spPr>
    </c:plotArea>
    <c:plotVisOnly val="1"/>
    <c:dispBlanksAs val="gap"/>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5.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Liquidity Position (2019–2023)</a:t>
            </a:r>
          </a:p>
        </c:rich>
      </c:tx>
      <c:spPr>
        <a:noFill/>
        <a:ln>
          <a:noFill/>
        </a:ln>
        <a:effectLst/>
      </c:spPr>
    </c:title>
    <c:plotArea>
      <c:layout/>
      <c:lineChart>
        <c:grouping val="standard"/>
        <c:ser>
          <c:idx val="0"/>
          <c:order val="0"/>
          <c:tx>
            <c:strRef>
              <c:f>Sheet1!$B$32</c:f>
              <c:strCache>
                <c:ptCount val="1"/>
                <c:pt idx="0">
                  <c:v>Current Ratio</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Sheet1!$A$33:$A$37</c:f>
              <c:numCache>
                <c:formatCode>General</c:formatCode>
                <c:ptCount val="5"/>
                <c:pt idx="0">
                  <c:v>2019</c:v>
                </c:pt>
                <c:pt idx="1">
                  <c:v>2020</c:v>
                </c:pt>
                <c:pt idx="2">
                  <c:v>2021</c:v>
                </c:pt>
                <c:pt idx="3">
                  <c:v>2022</c:v>
                </c:pt>
                <c:pt idx="4">
                  <c:v>2023</c:v>
                </c:pt>
              </c:numCache>
            </c:numRef>
          </c:cat>
          <c:val>
            <c:numRef>
              <c:f>Sheet1!$B$33:$B$37</c:f>
              <c:numCache>
                <c:formatCode>General</c:formatCode>
                <c:ptCount val="5"/>
                <c:pt idx="0">
                  <c:v>1</c:v>
                </c:pt>
                <c:pt idx="1">
                  <c:v>1.8800000000000001</c:v>
                </c:pt>
                <c:pt idx="2">
                  <c:v>1.55</c:v>
                </c:pt>
                <c:pt idx="3">
                  <c:v>1.53</c:v>
                </c:pt>
                <c:pt idx="4">
                  <c:v>1.73</c:v>
                </c:pt>
              </c:numCache>
            </c:numRef>
          </c:val>
          <c:extLst xmlns:c16r2="http://schemas.microsoft.com/office/drawing/2015/06/chart">
            <c:ext xmlns:c16="http://schemas.microsoft.com/office/drawing/2014/chart" uri="{C3380CC4-5D6E-409C-BE32-E72D297353CC}">
              <c16:uniqueId val="{00000000-F53C-4FD0-9183-B9E61360D6C4}"/>
            </c:ext>
          </c:extLst>
        </c:ser>
        <c:ser>
          <c:idx val="1"/>
          <c:order val="1"/>
          <c:tx>
            <c:strRef>
              <c:f>Sheet1!$C$32</c:f>
              <c:strCache>
                <c:ptCount val="1"/>
                <c:pt idx="0">
                  <c:v>Quick Ratio</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Sheet1!$A$33:$A$37</c:f>
              <c:numCache>
                <c:formatCode>General</c:formatCode>
                <c:ptCount val="5"/>
                <c:pt idx="0">
                  <c:v>2019</c:v>
                </c:pt>
                <c:pt idx="1">
                  <c:v>2020</c:v>
                </c:pt>
                <c:pt idx="2">
                  <c:v>2021</c:v>
                </c:pt>
                <c:pt idx="3">
                  <c:v>2022</c:v>
                </c:pt>
                <c:pt idx="4">
                  <c:v>2023</c:v>
                </c:pt>
              </c:numCache>
            </c:numRef>
          </c:cat>
          <c:val>
            <c:numRef>
              <c:f>Sheet1!$C$33:$C$37</c:f>
              <c:numCache>
                <c:formatCode>General</c:formatCode>
                <c:ptCount val="5"/>
                <c:pt idx="0">
                  <c:v>0.71000000000000041</c:v>
                </c:pt>
                <c:pt idx="1">
                  <c:v>1.59</c:v>
                </c:pt>
                <c:pt idx="2">
                  <c:v>1.26</c:v>
                </c:pt>
                <c:pt idx="3">
                  <c:v>1.05</c:v>
                </c:pt>
                <c:pt idx="4">
                  <c:v>1.25</c:v>
                </c:pt>
              </c:numCache>
            </c:numRef>
          </c:val>
          <c:extLst xmlns:c16r2="http://schemas.microsoft.com/office/drawing/2015/06/chart">
            <c:ext xmlns:c16="http://schemas.microsoft.com/office/drawing/2014/chart" uri="{C3380CC4-5D6E-409C-BE32-E72D297353CC}">
              <c16:uniqueId val="{00000001-F53C-4FD0-9183-B9E61360D6C4}"/>
            </c:ext>
          </c:extLst>
        </c:ser>
        <c:marker val="1"/>
        <c:axId val="44976384"/>
        <c:axId val="44986368"/>
      </c:lineChart>
      <c:catAx>
        <c:axId val="44976384"/>
        <c:scaling>
          <c:orientation val="minMax"/>
        </c:scaling>
        <c:axPos val="b"/>
        <c:numFmt formatCode="General" sourceLinked="1"/>
        <c:maj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4986368"/>
        <c:crosses val="autoZero"/>
        <c:auto val="1"/>
        <c:lblAlgn val="ctr"/>
        <c:lblOffset val="100"/>
      </c:catAx>
      <c:valAx>
        <c:axId val="44986368"/>
        <c:scaling>
          <c:orientation val="minMax"/>
        </c:scaling>
        <c:axPos val="l"/>
        <c:majorGridlines>
          <c:spPr>
            <a:ln w="9525" cap="flat" cmpd="sng" algn="ctr">
              <a:solidFill>
                <a:schemeClr val="lt1">
                  <a:lumMod val="95000"/>
                  <a:alpha val="1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4976384"/>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chartSpace>
</file>

<file path=word/charts/chart16.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cap="none" spc="20" baseline="0">
                <a:solidFill>
                  <a:schemeClr val="dk1">
                    <a:lumMod val="50000"/>
                    <a:lumOff val="50000"/>
                  </a:schemeClr>
                </a:solidFill>
                <a:latin typeface="+mn-lt"/>
                <a:ea typeface="+mn-ea"/>
                <a:cs typeface="+mn-cs"/>
              </a:defRPr>
            </a:pPr>
            <a:r>
              <a:rPr lang="en-IN" b="1"/>
              <a:t>Trend (2019–2023)</a:t>
            </a:r>
            <a:endParaRPr lang="en-US" b="1"/>
          </a:p>
        </c:rich>
      </c:tx>
      <c:spPr>
        <a:noFill/>
        <a:ln>
          <a:noFill/>
        </a:ln>
        <a:effectLst/>
      </c:spPr>
    </c:title>
    <c:plotArea>
      <c:layout/>
      <c:lineChart>
        <c:grouping val="standard"/>
        <c:ser>
          <c:idx val="0"/>
          <c:order val="0"/>
          <c:tx>
            <c:strRef>
              <c:f>Sheet1!$B$40</c:f>
              <c:strCache>
                <c:ptCount val="1"/>
                <c:pt idx="0">
                  <c:v>Asset Turnover</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Sheet1!$A$41:$A$45</c:f>
              <c:numCache>
                <c:formatCode>General</c:formatCode>
                <c:ptCount val="5"/>
                <c:pt idx="0">
                  <c:v>2019</c:v>
                </c:pt>
                <c:pt idx="1">
                  <c:v>2020</c:v>
                </c:pt>
                <c:pt idx="2">
                  <c:v>2021</c:v>
                </c:pt>
                <c:pt idx="3">
                  <c:v>2022</c:v>
                </c:pt>
                <c:pt idx="4">
                  <c:v>2023</c:v>
                </c:pt>
              </c:numCache>
            </c:numRef>
          </c:cat>
          <c:val>
            <c:numRef>
              <c:f>Sheet1!$B$41:$B$45</c:f>
              <c:numCache>
                <c:formatCode>General</c:formatCode>
                <c:ptCount val="5"/>
                <c:pt idx="0">
                  <c:v>0.72000000000000042</c:v>
                </c:pt>
                <c:pt idx="1">
                  <c:v>0.60000000000000042</c:v>
                </c:pt>
                <c:pt idx="2">
                  <c:v>0.87000000000000044</c:v>
                </c:pt>
                <c:pt idx="3">
                  <c:v>0.99</c:v>
                </c:pt>
                <c:pt idx="4">
                  <c:v>0.91</c:v>
                </c:pt>
              </c:numCache>
            </c:numRef>
          </c:val>
          <c:extLst xmlns:c16r2="http://schemas.microsoft.com/office/drawing/2015/06/chart">
            <c:ext xmlns:c16="http://schemas.microsoft.com/office/drawing/2014/chart" uri="{C3380CC4-5D6E-409C-BE32-E72D297353CC}">
              <c16:uniqueId val="{00000000-E5E6-44A6-BBFC-57C7515818EB}"/>
            </c:ext>
          </c:extLst>
        </c:ser>
        <c:dLbls>
          <c:showVal val="1"/>
        </c:dLbls>
        <c:dropLines>
          <c:spPr>
            <a:ln w="9525" cap="flat" cmpd="sng" algn="ctr">
              <a:solidFill>
                <a:schemeClr val="dk1">
                  <a:lumMod val="35000"/>
                  <a:lumOff val="65000"/>
                  <a:alpha val="33000"/>
                </a:schemeClr>
              </a:solidFill>
              <a:round/>
            </a:ln>
            <a:effectLst/>
          </c:spPr>
        </c:dropLines>
        <c:marker val="1"/>
        <c:axId val="45482752"/>
        <c:axId val="45484672"/>
      </c:lineChart>
      <c:catAx>
        <c:axId val="45482752"/>
        <c:scaling>
          <c:orientation val="minMax"/>
        </c:scaling>
        <c:axPos val="b"/>
        <c:title>
          <c:tx>
            <c:rich>
              <a:bodyPr rot="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484672"/>
        <c:crosses val="autoZero"/>
        <c:auto val="1"/>
        <c:lblAlgn val="ctr"/>
        <c:lblOffset val="100"/>
      </c:catAx>
      <c:valAx>
        <c:axId val="45484672"/>
        <c:scaling>
          <c:orientation val="minMax"/>
        </c:scaling>
        <c:axPos val="l"/>
        <c:title>
          <c:tx>
            <c:rich>
              <a:bodyPr rot="-540000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48275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7.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IN" b="1"/>
              <a:t>Comparison (2019–2023)</a:t>
            </a:r>
          </a:p>
        </c:rich>
      </c:tx>
      <c:spPr>
        <a:noFill/>
        <a:ln>
          <a:noFill/>
        </a:ln>
        <a:effectLst/>
      </c:spPr>
    </c:title>
    <c:plotArea>
      <c:layout/>
      <c:barChart>
        <c:barDir val="col"/>
        <c:grouping val="clustered"/>
        <c:ser>
          <c:idx val="0"/>
          <c:order val="0"/>
          <c:tx>
            <c:strRef>
              <c:f>Sheet1!$B$51</c:f>
              <c:strCache>
                <c:ptCount val="1"/>
                <c:pt idx="0">
                  <c:v>Inventory Turnover</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Sheet1!$A$52:$A$56</c:f>
              <c:numCache>
                <c:formatCode>General</c:formatCode>
                <c:ptCount val="5"/>
                <c:pt idx="0">
                  <c:v>2019</c:v>
                </c:pt>
                <c:pt idx="1">
                  <c:v>2020</c:v>
                </c:pt>
                <c:pt idx="2">
                  <c:v>2021</c:v>
                </c:pt>
                <c:pt idx="3">
                  <c:v>2022</c:v>
                </c:pt>
                <c:pt idx="4">
                  <c:v>2023</c:v>
                </c:pt>
              </c:numCache>
            </c:numRef>
          </c:cat>
          <c:val>
            <c:numRef>
              <c:f>Sheet1!$B$52:$B$56</c:f>
              <c:numCache>
                <c:formatCode>General</c:formatCode>
                <c:ptCount val="5"/>
                <c:pt idx="0">
                  <c:v>5.7700000000000014</c:v>
                </c:pt>
                <c:pt idx="1">
                  <c:v>6.07</c:v>
                </c:pt>
                <c:pt idx="2">
                  <c:v>6.99</c:v>
                </c:pt>
                <c:pt idx="3">
                  <c:v>4.72</c:v>
                </c:pt>
                <c:pt idx="4">
                  <c:v>5.81</c:v>
                </c:pt>
              </c:numCache>
            </c:numRef>
          </c:val>
          <c:extLst xmlns:c16r2="http://schemas.microsoft.com/office/drawing/2015/06/chart">
            <c:ext xmlns:c16="http://schemas.microsoft.com/office/drawing/2014/chart" uri="{C3380CC4-5D6E-409C-BE32-E72D297353CC}">
              <c16:uniqueId val="{00000000-9CE5-4019-9F54-42979A4A55C3}"/>
            </c:ext>
          </c:extLst>
        </c:ser>
        <c:dLbls>
          <c:showVal val="1"/>
        </c:dLbls>
        <c:gapWidth val="219"/>
        <c:overlap val="-27"/>
        <c:axId val="45513344"/>
        <c:axId val="45527808"/>
      </c:barChart>
      <c:catAx>
        <c:axId val="45513344"/>
        <c:scaling>
          <c:orientation val="minMax"/>
        </c:scaling>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527808"/>
        <c:crosses val="autoZero"/>
        <c:auto val="1"/>
        <c:lblAlgn val="ctr"/>
        <c:lblOffset val="100"/>
      </c:catAx>
      <c:valAx>
        <c:axId val="45527808"/>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IN"/>
                  <a:t>Turnover</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513344"/>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18.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Trend</a:t>
            </a:r>
          </a:p>
        </c:rich>
      </c:tx>
      <c:spPr>
        <a:noFill/>
        <a:ln>
          <a:noFill/>
        </a:ln>
        <a:effectLst/>
      </c:spPr>
    </c:title>
    <c:plotArea>
      <c:layout/>
      <c:lineChart>
        <c:grouping val="standard"/>
        <c:ser>
          <c:idx val="0"/>
          <c:order val="0"/>
          <c:tx>
            <c:strRef>
              <c:f>Sheet1!$B$61</c:f>
              <c:strCache>
                <c:ptCount val="1"/>
                <c:pt idx="0">
                  <c:v>Debt-to-Equity</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Sheet1!$A$62:$A$66</c:f>
              <c:numCache>
                <c:formatCode>General</c:formatCode>
                <c:ptCount val="5"/>
                <c:pt idx="0">
                  <c:v>2019</c:v>
                </c:pt>
                <c:pt idx="1">
                  <c:v>2020</c:v>
                </c:pt>
                <c:pt idx="2">
                  <c:v>2021</c:v>
                </c:pt>
                <c:pt idx="3">
                  <c:v>2022</c:v>
                </c:pt>
                <c:pt idx="4">
                  <c:v>2023</c:v>
                </c:pt>
              </c:numCache>
            </c:numRef>
          </c:cat>
          <c:val>
            <c:numRef>
              <c:f>Sheet1!$B$62:$B$66</c:f>
              <c:numCache>
                <c:formatCode>General</c:formatCode>
                <c:ptCount val="5"/>
                <c:pt idx="0">
                  <c:v>1.6700000000000008</c:v>
                </c:pt>
                <c:pt idx="1">
                  <c:v>0.56000000000000005</c:v>
                </c:pt>
                <c:pt idx="2">
                  <c:v>0.28000000000000008</c:v>
                </c:pt>
                <c:pt idx="3">
                  <c:v>0.12000000000000002</c:v>
                </c:pt>
                <c:pt idx="4">
                  <c:v>7.0000000000000021E-2</c:v>
                </c:pt>
              </c:numCache>
            </c:numRef>
          </c:val>
          <c:extLst xmlns:c16r2="http://schemas.microsoft.com/office/drawing/2015/06/chart">
            <c:ext xmlns:c16="http://schemas.microsoft.com/office/drawing/2014/chart" uri="{C3380CC4-5D6E-409C-BE32-E72D297353CC}">
              <c16:uniqueId val="{00000000-E2AE-4CAA-9D79-4F88779B6A5A}"/>
            </c:ext>
          </c:extLst>
        </c:ser>
        <c:dLbls>
          <c:showVal val="1"/>
        </c:dLbls>
        <c:marker val="1"/>
        <c:axId val="45650688"/>
        <c:axId val="45652608"/>
      </c:lineChart>
      <c:catAx>
        <c:axId val="45650688"/>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652608"/>
        <c:crosses val="autoZero"/>
        <c:auto val="1"/>
        <c:lblAlgn val="ctr"/>
        <c:lblOffset val="100"/>
      </c:catAx>
      <c:valAx>
        <c:axId val="45652608"/>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lang="en-US" sz="900" b="1" i="0" u="none" strike="noStrike" kern="1200" baseline="0">
                    <a:solidFill>
                      <a:schemeClr val="lt1">
                        <a:lumMod val="7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650688"/>
        <c:crosses val="autoZero"/>
        <c:crossBetween val="between"/>
      </c:valAx>
      <c:spPr>
        <a:noFill/>
        <a:ln>
          <a:noFill/>
        </a:ln>
        <a:effectLst/>
      </c:spPr>
    </c:plotArea>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19.xml><?xml version="1.0" encoding="utf-8"?>
<c:chartSpace xmlns:c="http://schemas.openxmlformats.org/drawingml/2006/chart" xmlns:a="http://schemas.openxmlformats.org/drawingml/2006/main" xmlns:r="http://schemas.openxmlformats.org/officeDocument/2006/relationships">
  <c:date1904 val="1"/>
  <c:lang val="en-IN"/>
  <c:chart>
    <c:title>
      <c:spPr>
        <a:noFill/>
        <a:ln>
          <a:noFill/>
        </a:ln>
        <a:effectLst/>
      </c:spPr>
      <c:txPr>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endParaRPr lang="en-US"/>
        </a:p>
      </c:txPr>
    </c:title>
    <c:plotArea>
      <c:layout/>
      <c:lineChart>
        <c:grouping val="standard"/>
        <c:ser>
          <c:idx val="0"/>
          <c:order val="0"/>
          <c:tx>
            <c:strRef>
              <c:f>Sheet1!$B$74</c:f>
              <c:strCache>
                <c:ptCount val="1"/>
                <c:pt idx="0">
                  <c:v>Interest Coverage</c:v>
                </c:pt>
              </c:strCache>
            </c:strRef>
          </c:tx>
          <c:spPr>
            <a:ln w="317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Sheet1!$A$75:$A$79</c:f>
              <c:numCache>
                <c:formatCode>General</c:formatCode>
                <c:ptCount val="5"/>
                <c:pt idx="0">
                  <c:v>2019</c:v>
                </c:pt>
                <c:pt idx="1">
                  <c:v>2020</c:v>
                </c:pt>
                <c:pt idx="2">
                  <c:v>2021</c:v>
                </c:pt>
                <c:pt idx="3">
                  <c:v>2022</c:v>
                </c:pt>
                <c:pt idx="4">
                  <c:v>2023</c:v>
                </c:pt>
              </c:numCache>
            </c:numRef>
          </c:cat>
          <c:val>
            <c:numRef>
              <c:f>Sheet1!$B$75:$B$79</c:f>
              <c:numCache>
                <c:formatCode>General</c:formatCode>
                <c:ptCount val="5"/>
                <c:pt idx="0">
                  <c:v>-0.1</c:v>
                </c:pt>
                <c:pt idx="1">
                  <c:v>2.67</c:v>
                </c:pt>
                <c:pt idx="2">
                  <c:v>17.600000000000001</c:v>
                </c:pt>
                <c:pt idx="3">
                  <c:v>71.5</c:v>
                </c:pt>
                <c:pt idx="4">
                  <c:v>56.9</c:v>
                </c:pt>
              </c:numCache>
            </c:numRef>
          </c:val>
          <c:extLst xmlns:c16r2="http://schemas.microsoft.com/office/drawing/2015/06/chart">
            <c:ext xmlns:c16="http://schemas.microsoft.com/office/drawing/2014/chart" uri="{C3380CC4-5D6E-409C-BE32-E72D297353CC}">
              <c16:uniqueId val="{00000000-4E73-4C69-A8A2-2DC334FC4DC8}"/>
            </c:ext>
          </c:extLst>
        </c:ser>
        <c:dLbls>
          <c:showVal val="1"/>
        </c:dLbls>
        <c:marker val="1"/>
        <c:axId val="45673088"/>
        <c:axId val="45175552"/>
      </c:lineChart>
      <c:catAx>
        <c:axId val="45673088"/>
        <c:scaling>
          <c:orientation val="minMax"/>
        </c:scaling>
        <c:axPos val="b"/>
        <c:title>
          <c:tx>
            <c:rich>
              <a:bodyPr rot="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Years</a:t>
                </a:r>
              </a:p>
            </c:rich>
          </c:tx>
          <c:spPr>
            <a:noFill/>
            <a:ln>
              <a:noFill/>
            </a:ln>
            <a:effectLst/>
          </c:spPr>
        </c:title>
        <c:numFmt formatCode="General" sourceLinked="1"/>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175552"/>
        <c:crosses val="autoZero"/>
        <c:auto val="1"/>
        <c:lblAlgn val="ctr"/>
        <c:lblOffset val="100"/>
      </c:catAx>
      <c:valAx>
        <c:axId val="45175552"/>
        <c:scaling>
          <c:orientation val="minMax"/>
        </c:scaling>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673088"/>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chartSpace>
</file>

<file path=word/charts/chart20.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0" i="0" u="none" strike="noStrike" kern="1200" cap="none" spc="20" baseline="0">
                <a:solidFill>
                  <a:schemeClr val="dk1">
                    <a:lumMod val="50000"/>
                    <a:lumOff val="50000"/>
                  </a:schemeClr>
                </a:solidFill>
                <a:latin typeface="+mn-lt"/>
                <a:ea typeface="+mn-ea"/>
                <a:cs typeface="+mn-cs"/>
              </a:defRPr>
            </a:pPr>
            <a:r>
              <a:rPr lang="en-US" b="1"/>
              <a:t>Ratio Trend (2019-2023)</a:t>
            </a:r>
          </a:p>
        </c:rich>
      </c:tx>
      <c:spPr>
        <a:noFill/>
        <a:ln>
          <a:noFill/>
        </a:ln>
        <a:effectLst/>
      </c:spPr>
    </c:title>
    <c:plotArea>
      <c:layout/>
      <c:lineChart>
        <c:grouping val="standard"/>
        <c:ser>
          <c:idx val="0"/>
          <c:order val="0"/>
          <c:tx>
            <c:strRef>
              <c:f>Sheet1!$B$88</c:f>
              <c:strCache>
                <c:ptCount val="1"/>
                <c:pt idx="0">
                  <c:v>Operating cashflowRatio</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Sheet1!$A$89:$A$93</c:f>
              <c:numCache>
                <c:formatCode>General</c:formatCode>
                <c:ptCount val="5"/>
                <c:pt idx="0">
                  <c:v>2019</c:v>
                </c:pt>
                <c:pt idx="1">
                  <c:v>2020</c:v>
                </c:pt>
                <c:pt idx="2">
                  <c:v>2021</c:v>
                </c:pt>
                <c:pt idx="3">
                  <c:v>2022</c:v>
                </c:pt>
                <c:pt idx="4">
                  <c:v>2023</c:v>
                </c:pt>
              </c:numCache>
            </c:numRef>
          </c:cat>
          <c:val>
            <c:numRef>
              <c:f>Sheet1!$B$89:$B$93</c:f>
              <c:numCache>
                <c:formatCode>General</c:formatCode>
                <c:ptCount val="5"/>
                <c:pt idx="0">
                  <c:v>0.2</c:v>
                </c:pt>
                <c:pt idx="1">
                  <c:v>0.42000000000000021</c:v>
                </c:pt>
                <c:pt idx="2">
                  <c:v>0.58000000000000007</c:v>
                </c:pt>
                <c:pt idx="3">
                  <c:v>0.55000000000000004</c:v>
                </c:pt>
                <c:pt idx="4">
                  <c:v>0.46</c:v>
                </c:pt>
              </c:numCache>
            </c:numRef>
          </c:val>
          <c:extLst xmlns:c16r2="http://schemas.microsoft.com/office/drawing/2015/06/chart">
            <c:ext xmlns:c16="http://schemas.microsoft.com/office/drawing/2014/chart" uri="{C3380CC4-5D6E-409C-BE32-E72D297353CC}">
              <c16:uniqueId val="{00000000-BC92-46FD-A826-8919F38772CF}"/>
            </c:ext>
          </c:extLst>
        </c:ser>
        <c:dLbls>
          <c:showVal val="1"/>
        </c:dLbls>
        <c:dropLines>
          <c:spPr>
            <a:ln w="9525" cap="flat" cmpd="sng" algn="ctr">
              <a:solidFill>
                <a:schemeClr val="dk1">
                  <a:lumMod val="35000"/>
                  <a:lumOff val="65000"/>
                  <a:alpha val="33000"/>
                </a:schemeClr>
              </a:solidFill>
              <a:round/>
            </a:ln>
            <a:effectLst/>
          </c:spPr>
        </c:dropLines>
        <c:marker val="1"/>
        <c:axId val="45204992"/>
        <c:axId val="45206912"/>
      </c:lineChart>
      <c:catAx>
        <c:axId val="45204992"/>
        <c:scaling>
          <c:orientation val="minMax"/>
        </c:scaling>
        <c:axPos val="b"/>
        <c:title>
          <c:tx>
            <c:rich>
              <a:bodyPr rot="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206912"/>
        <c:crosses val="autoZero"/>
        <c:auto val="1"/>
        <c:lblAlgn val="ctr"/>
        <c:lblOffset val="100"/>
      </c:catAx>
      <c:valAx>
        <c:axId val="45206912"/>
        <c:scaling>
          <c:orientation val="minMax"/>
        </c:scaling>
        <c:axPos val="l"/>
        <c:title>
          <c:tx>
            <c:rich>
              <a:bodyPr rot="-5400000" spcFirstLastPara="1" vertOverflow="ellipsis" vert="horz" wrap="square" anchor="ctr" anchorCtr="1"/>
              <a:lstStyle/>
              <a:p>
                <a:pPr>
                  <a:defRPr lang="en-US" sz="900" b="0" i="0" u="none" strike="noStrike" kern="1200" cap="all" baseline="0">
                    <a:solidFill>
                      <a:schemeClr val="dk1">
                        <a:lumMod val="65000"/>
                        <a:lumOff val="35000"/>
                      </a:schemeClr>
                    </a:solidFill>
                    <a:latin typeface="+mn-lt"/>
                    <a:ea typeface="+mn-ea"/>
                    <a:cs typeface="+mn-cs"/>
                  </a:defRPr>
                </a:pPr>
                <a:r>
                  <a:rPr lang="en-IN"/>
                  <a:t>Ratio</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spc="20" baseline="0">
                <a:solidFill>
                  <a:schemeClr val="dk1">
                    <a:lumMod val="65000"/>
                    <a:lumOff val="35000"/>
                  </a:schemeClr>
                </a:solidFill>
                <a:latin typeface="+mn-lt"/>
                <a:ea typeface="+mn-ea"/>
                <a:cs typeface="+mn-cs"/>
              </a:defRPr>
            </a:pPr>
            <a:endParaRPr lang="en-US"/>
          </a:p>
        </c:txPr>
        <c:crossAx val="4520499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charts/chart21.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r>
              <a:rPr lang="en-US"/>
              <a:t>Trends </a:t>
            </a:r>
          </a:p>
        </c:rich>
      </c:tx>
      <c:spPr>
        <a:noFill/>
        <a:ln>
          <a:noFill/>
        </a:ln>
        <a:effectLst/>
      </c:spPr>
    </c:title>
    <c:plotArea>
      <c:layout/>
      <c:barChart>
        <c:barDir val="col"/>
        <c:grouping val="clustered"/>
        <c:ser>
          <c:idx val="0"/>
          <c:order val="0"/>
          <c:tx>
            <c:strRef>
              <c:f>Sheet1!$B$97</c:f>
              <c:strCache>
                <c:ptCount val="1"/>
                <c:pt idx="0">
                  <c:v>Free Cash Flow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Sheet1!$A$98:$A$102</c:f>
              <c:numCache>
                <c:formatCode>General</c:formatCode>
                <c:ptCount val="5"/>
                <c:pt idx="0">
                  <c:v>2019</c:v>
                </c:pt>
                <c:pt idx="1">
                  <c:v>2020</c:v>
                </c:pt>
                <c:pt idx="2">
                  <c:v>2021</c:v>
                </c:pt>
                <c:pt idx="3">
                  <c:v>2022</c:v>
                </c:pt>
                <c:pt idx="4">
                  <c:v>2023</c:v>
                </c:pt>
              </c:numCache>
            </c:numRef>
          </c:cat>
          <c:val>
            <c:numRef>
              <c:f>Sheet1!$B$98:$B$102</c:f>
              <c:numCache>
                <c:formatCode>#,##0</c:formatCode>
                <c:ptCount val="5"/>
                <c:pt idx="0">
                  <c:v>1078</c:v>
                </c:pt>
                <c:pt idx="1">
                  <c:v>2786</c:v>
                </c:pt>
                <c:pt idx="2">
                  <c:v>4996</c:v>
                </c:pt>
                <c:pt idx="3">
                  <c:v>7566</c:v>
                </c:pt>
                <c:pt idx="4">
                  <c:v>4357</c:v>
                </c:pt>
              </c:numCache>
            </c:numRef>
          </c:val>
          <c:extLst xmlns:c16r2="http://schemas.microsoft.com/office/drawing/2015/06/chart">
            <c:ext xmlns:c16="http://schemas.microsoft.com/office/drawing/2014/chart" uri="{C3380CC4-5D6E-409C-BE32-E72D297353CC}">
              <c16:uniqueId val="{00000000-86AB-4863-9A30-8B33E3447A52}"/>
            </c:ext>
          </c:extLst>
        </c:ser>
        <c:dLbls>
          <c:showVal val="1"/>
        </c:dLbls>
        <c:gapWidth val="100"/>
        <c:overlap val="-24"/>
        <c:axId val="45706624"/>
        <c:axId val="45741568"/>
      </c:barChart>
      <c:catAx>
        <c:axId val="45706624"/>
        <c:scaling>
          <c:orientation val="minMax"/>
        </c:scaling>
        <c:axPos val="b"/>
        <c:title>
          <c:tx>
            <c:rich>
              <a:bodyPr rot="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Years</a:t>
                </a:r>
              </a:p>
            </c:rich>
          </c:tx>
          <c:spPr>
            <a:noFill/>
            <a:ln>
              <a:noFill/>
            </a:ln>
            <a:effectLst/>
          </c:spPr>
        </c:title>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741568"/>
        <c:crosses val="autoZero"/>
        <c:auto val="1"/>
        <c:lblAlgn val="ctr"/>
        <c:lblOffset val="100"/>
      </c:catAx>
      <c:valAx>
        <c:axId val="45741568"/>
        <c:scaling>
          <c:orientation val="minMax"/>
        </c:scaling>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lang="en-US" sz="900" b="1" i="0" u="none" strike="noStrike" kern="1200" baseline="0">
                    <a:solidFill>
                      <a:schemeClr val="tx2"/>
                    </a:solidFill>
                    <a:latin typeface="+mn-lt"/>
                    <a:ea typeface="+mn-ea"/>
                    <a:cs typeface="+mn-cs"/>
                  </a:defRPr>
                </a:pPr>
                <a:r>
                  <a:rPr lang="en-IN"/>
                  <a:t>AxiFree</a:t>
                </a:r>
                <a:r>
                  <a:rPr lang="en-IN" baseline="0"/>
                  <a:t> cashflow</a:t>
                </a:r>
                <a:r>
                  <a:rPr lang="en-IN"/>
                  <a:t> Title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endParaRPr lang="en-US"/>
          </a:p>
        </c:txPr>
        <c:crossAx val="45706624"/>
        <c:crosses val="autoZero"/>
        <c:crossBetween val="between"/>
      </c:valAx>
      <c:spPr>
        <a:noFill/>
        <a:ln>
          <a:noFill/>
        </a:ln>
        <a:effectLst/>
      </c:spPr>
    </c:plotArea>
    <c:plotVisOnly val="1"/>
    <c:dispBlanksAs val="gap"/>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chartSpace>
</file>

<file path=word/charts/chart22.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IN" sz="1800" b="1" i="0" u="none" strike="noStrike" baseline="0"/>
              <a:t>Comparison of Investment Projects (%)</a:t>
            </a:r>
            <a:endParaRPr lang="en-US"/>
          </a:p>
        </c:rich>
      </c:tx>
      <c:spPr>
        <a:noFill/>
        <a:ln>
          <a:noFill/>
        </a:ln>
        <a:effectLst/>
      </c:spPr>
    </c:title>
    <c:plotArea>
      <c:layout/>
      <c:barChart>
        <c:barDir val="bar"/>
        <c:grouping val="clustered"/>
        <c:ser>
          <c:idx val="0"/>
          <c:order val="0"/>
          <c:tx>
            <c:strRef>
              <c:f>Sheet1!$B$118</c:f>
              <c:strCache>
                <c:ptCount val="1"/>
                <c:pt idx="0">
                  <c:v>ARR (%)</c:v>
                </c:pt>
              </c:strCache>
            </c:strRef>
          </c:tx>
          <c:spPr>
            <a:solidFill>
              <a:schemeClr val="accent1">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Sheet1!$A$119:$A$121</c:f>
              <c:strCache>
                <c:ptCount val="3"/>
                <c:pt idx="0">
                  <c:v>A</c:v>
                </c:pt>
                <c:pt idx="1">
                  <c:v>B</c:v>
                </c:pt>
                <c:pt idx="2">
                  <c:v>C</c:v>
                </c:pt>
              </c:strCache>
            </c:strRef>
          </c:cat>
          <c:val>
            <c:numRef>
              <c:f>Sheet1!$B$119:$B$121</c:f>
              <c:numCache>
                <c:formatCode>General</c:formatCode>
                <c:ptCount val="3"/>
                <c:pt idx="0">
                  <c:v>1.6</c:v>
                </c:pt>
                <c:pt idx="1">
                  <c:v>2</c:v>
                </c:pt>
                <c:pt idx="2">
                  <c:v>6</c:v>
                </c:pt>
              </c:numCache>
            </c:numRef>
          </c:val>
          <c:extLst xmlns:c16r2="http://schemas.microsoft.com/office/drawing/2015/06/chart">
            <c:ext xmlns:c16="http://schemas.microsoft.com/office/drawing/2014/chart" uri="{C3380CC4-5D6E-409C-BE32-E72D297353CC}">
              <c16:uniqueId val="{00000000-1973-4018-AA96-708712A833A8}"/>
            </c:ext>
          </c:extLst>
        </c:ser>
        <c:dLbls>
          <c:showVal val="1"/>
        </c:dLbls>
        <c:gapWidth val="65"/>
        <c:axId val="45831680"/>
        <c:axId val="45833216"/>
      </c:barChart>
      <c:catAx>
        <c:axId val="45831680"/>
        <c:scaling>
          <c:orientation val="minMax"/>
        </c:scaling>
        <c:axPos val="l"/>
        <c:numFmt formatCode="General" sourceLinked="1"/>
        <c:maj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chemeClr val="dk1">
                    <a:lumMod val="75000"/>
                    <a:lumOff val="25000"/>
                  </a:schemeClr>
                </a:solidFill>
                <a:latin typeface="+mn-lt"/>
                <a:ea typeface="+mn-ea"/>
                <a:cs typeface="+mn-cs"/>
              </a:defRPr>
            </a:pPr>
            <a:endParaRPr lang="en-US"/>
          </a:p>
        </c:txPr>
        <c:crossAx val="45833216"/>
        <c:crosses val="autoZero"/>
        <c:auto val="1"/>
        <c:lblAlgn val="ctr"/>
        <c:lblOffset val="100"/>
      </c:catAx>
      <c:valAx>
        <c:axId val="45833216"/>
        <c:scaling>
          <c:orientation val="minMax"/>
        </c:scaling>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crossAx val="45831680"/>
        <c:crosses val="autoZero"/>
        <c:crossBetween val="between"/>
      </c:valAx>
      <c:spPr>
        <a:noFill/>
        <a:ln>
          <a:noFill/>
        </a:ln>
        <a:effectLst/>
      </c:spPr>
    </c:plotArea>
    <c:plotVisOnly val="1"/>
    <c:dispBlanksAs val="gap"/>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3.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IN"/>
              <a:t>Comparison of Investment Projects</a:t>
            </a:r>
          </a:p>
        </c:rich>
      </c:tx>
      <c:spPr>
        <a:noFill/>
        <a:ln>
          <a:noFill/>
        </a:ln>
        <a:effectLst/>
      </c:spPr>
    </c:title>
    <c:plotArea>
      <c:layout/>
      <c:barChart>
        <c:barDir val="col"/>
        <c:grouping val="clustered"/>
        <c:ser>
          <c:idx val="0"/>
          <c:order val="0"/>
          <c:tx>
            <c:strRef>
              <c:f>Sheet1!$B$105</c:f>
              <c:strCache>
                <c:ptCount val="1"/>
                <c:pt idx="0">
                  <c:v>NPV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Sheet1!$A$106:$A$108</c:f>
              <c:strCache>
                <c:ptCount val="3"/>
                <c:pt idx="0">
                  <c:v>A</c:v>
                </c:pt>
                <c:pt idx="1">
                  <c:v>B</c:v>
                </c:pt>
                <c:pt idx="2">
                  <c:v>C</c:v>
                </c:pt>
              </c:strCache>
            </c:strRef>
          </c:cat>
          <c:val>
            <c:numRef>
              <c:f>Sheet1!$B$106:$B$108</c:f>
              <c:numCache>
                <c:formatCode>General</c:formatCode>
                <c:ptCount val="3"/>
                <c:pt idx="0">
                  <c:v>-8.69</c:v>
                </c:pt>
                <c:pt idx="1">
                  <c:v>-8.31</c:v>
                </c:pt>
                <c:pt idx="2">
                  <c:v>-1.9800000000000009</c:v>
                </c:pt>
              </c:numCache>
            </c:numRef>
          </c:val>
          <c:extLst xmlns:c16r2="http://schemas.microsoft.com/office/drawing/2015/06/chart">
            <c:ext xmlns:c16="http://schemas.microsoft.com/office/drawing/2014/chart" uri="{C3380CC4-5D6E-409C-BE32-E72D297353CC}">
              <c16:uniqueId val="{00000000-2CAA-451C-83A9-1F2F896BF5D9}"/>
            </c:ext>
          </c:extLst>
        </c:ser>
        <c:dLbls>
          <c:showVal val="1"/>
        </c:dLbls>
        <c:gapWidth val="100"/>
        <c:overlap val="-24"/>
        <c:axId val="45877888"/>
        <c:axId val="45879680"/>
      </c:barChart>
      <c:catAx>
        <c:axId val="45877888"/>
        <c:scaling>
          <c:orientation val="minMax"/>
        </c:scaling>
        <c:axPos val="b"/>
        <c:numFmt formatCode="General" sourceLinked="1"/>
        <c:maj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879680"/>
        <c:crosses val="autoZero"/>
        <c:auto val="1"/>
        <c:lblAlgn val="ctr"/>
        <c:lblOffset val="100"/>
      </c:catAx>
      <c:valAx>
        <c:axId val="45879680"/>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5877888"/>
        <c:crosses val="autoZero"/>
        <c:crossBetween val="between"/>
      </c:valAx>
      <c:spPr>
        <a:noFill/>
        <a:ln>
          <a:noFill/>
        </a:ln>
        <a:effectLst/>
      </c:spPr>
    </c:plotArea>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4.xml><?xml version="1.0" encoding="utf-8"?>
<c:chartSpace xmlns:c="http://schemas.openxmlformats.org/drawingml/2006/chart" xmlns:a="http://schemas.openxmlformats.org/drawingml/2006/main" xmlns:r="http://schemas.openxmlformats.org/officeDocument/2006/relationships">
  <c:date1904 val="1"/>
  <c:lang val="en-IN"/>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mn-lt"/>
                <a:ea typeface="+mn-ea"/>
                <a:cs typeface="+mn-cs"/>
              </a:defRPr>
            </a:pPr>
            <a:r>
              <a:rPr lang="en-IN"/>
              <a:t>Trends of Investment Projects</a:t>
            </a:r>
          </a:p>
        </c:rich>
      </c:tx>
      <c:spPr>
        <a:noFill/>
        <a:ln>
          <a:noFill/>
        </a:ln>
        <a:effectLst/>
      </c:spPr>
    </c:title>
    <c:plotArea>
      <c:layout/>
      <c:lineChart>
        <c:grouping val="standard"/>
        <c:ser>
          <c:idx val="0"/>
          <c:order val="0"/>
          <c:tx>
            <c:strRef>
              <c:f>Sheet1!$B$133</c:f>
              <c:strCache>
                <c:ptCount val="1"/>
                <c:pt idx="0">
                  <c:v>Project A</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Sheet1!$B$134:$B$138</c:f>
              <c:numCache>
                <c:formatCode>General</c:formatCode>
                <c:ptCount val="5"/>
                <c:pt idx="0">
                  <c:v>10</c:v>
                </c:pt>
                <c:pt idx="1">
                  <c:v>12</c:v>
                </c:pt>
                <c:pt idx="2">
                  <c:v>14</c:v>
                </c:pt>
                <c:pt idx="3">
                  <c:v>10</c:v>
                </c:pt>
                <c:pt idx="4">
                  <c:v>8</c:v>
                </c:pt>
              </c:numCache>
            </c:numRef>
          </c:val>
          <c:extLst xmlns:c16r2="http://schemas.microsoft.com/office/drawing/2015/06/chart">
            <c:ext xmlns:c16="http://schemas.microsoft.com/office/drawing/2014/chart" uri="{C3380CC4-5D6E-409C-BE32-E72D297353CC}">
              <c16:uniqueId val="{00000000-4A8B-4887-9BFF-9C03A47D1B4F}"/>
            </c:ext>
          </c:extLst>
        </c:ser>
        <c:ser>
          <c:idx val="1"/>
          <c:order val="1"/>
          <c:tx>
            <c:strRef>
              <c:f>Sheet1!$C$133</c:f>
              <c:strCache>
                <c:ptCount val="1"/>
                <c:pt idx="0">
                  <c:v>Project B</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Sheet1!$C$134:$C$138</c:f>
              <c:numCache>
                <c:formatCode>General</c:formatCode>
                <c:ptCount val="5"/>
                <c:pt idx="0">
                  <c:v>11</c:v>
                </c:pt>
                <c:pt idx="1">
                  <c:v>11</c:v>
                </c:pt>
                <c:pt idx="2">
                  <c:v>11</c:v>
                </c:pt>
                <c:pt idx="3">
                  <c:v>11</c:v>
                </c:pt>
                <c:pt idx="4">
                  <c:v>11</c:v>
                </c:pt>
              </c:numCache>
            </c:numRef>
          </c:val>
          <c:extLst xmlns:c16r2="http://schemas.microsoft.com/office/drawing/2015/06/chart">
            <c:ext xmlns:c16="http://schemas.microsoft.com/office/drawing/2014/chart" uri="{C3380CC4-5D6E-409C-BE32-E72D297353CC}">
              <c16:uniqueId val="{00000001-4A8B-4887-9BFF-9C03A47D1B4F}"/>
            </c:ext>
          </c:extLst>
        </c:ser>
        <c:ser>
          <c:idx val="2"/>
          <c:order val="2"/>
          <c:tx>
            <c:strRef>
              <c:f>Sheet1!$D$133</c:f>
              <c:strCache>
                <c:ptCount val="1"/>
                <c:pt idx="0">
                  <c:v>Project C</c:v>
                </c:pt>
              </c:strCache>
            </c:strRef>
          </c:tx>
          <c:spPr>
            <a:ln w="22225" cap="rnd">
              <a:solidFill>
                <a:schemeClr val="accent3"/>
              </a:solidFill>
            </a:ln>
            <a:effectLst>
              <a:glow rad="139700">
                <a:schemeClr val="accent3">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75000"/>
                      </a:schemeClr>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Sheet1!$A$134:$A$138</c:f>
              <c:numCache>
                <c:formatCode>General</c:formatCode>
                <c:ptCount val="5"/>
                <c:pt idx="0">
                  <c:v>1</c:v>
                </c:pt>
                <c:pt idx="1">
                  <c:v>2</c:v>
                </c:pt>
                <c:pt idx="2">
                  <c:v>3</c:v>
                </c:pt>
                <c:pt idx="3">
                  <c:v>4</c:v>
                </c:pt>
                <c:pt idx="4">
                  <c:v>5</c:v>
                </c:pt>
              </c:numCache>
            </c:numRef>
          </c:cat>
          <c:val>
            <c:numRef>
              <c:f>Sheet1!$D$134:$D$138</c:f>
              <c:numCache>
                <c:formatCode>General</c:formatCode>
                <c:ptCount val="5"/>
                <c:pt idx="0">
                  <c:v>5</c:v>
                </c:pt>
                <c:pt idx="1">
                  <c:v>10</c:v>
                </c:pt>
                <c:pt idx="2">
                  <c:v>20</c:v>
                </c:pt>
                <c:pt idx="3">
                  <c:v>25</c:v>
                </c:pt>
                <c:pt idx="4">
                  <c:v>5</c:v>
                </c:pt>
              </c:numCache>
            </c:numRef>
          </c:val>
          <c:extLst xmlns:c16r2="http://schemas.microsoft.com/office/drawing/2015/06/chart">
            <c:ext xmlns:c16="http://schemas.microsoft.com/office/drawing/2014/chart" uri="{C3380CC4-5D6E-409C-BE32-E72D297353CC}">
              <c16:uniqueId val="{00000002-4A8B-4887-9BFF-9C03A47D1B4F}"/>
            </c:ext>
          </c:extLst>
        </c:ser>
        <c:dLbls>
          <c:showVal val="1"/>
        </c:dLbls>
        <c:marker val="1"/>
        <c:axId val="45943040"/>
        <c:axId val="45948928"/>
      </c:lineChart>
      <c:catAx>
        <c:axId val="45943040"/>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948928"/>
        <c:crosses val="autoZero"/>
        <c:auto val="1"/>
        <c:lblAlgn val="ctr"/>
        <c:lblOffset val="100"/>
      </c:catAx>
      <c:valAx>
        <c:axId val="45948928"/>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crossAx val="45943040"/>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endParaRPr lang="en-US"/>
        </a:p>
      </c:txPr>
    </c:legend>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B1029-5D5D-489C-AEAF-7AFFD99FC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1727</TotalTime>
  <Pages>43</Pages>
  <Words>6702</Words>
  <Characters>38206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Vishal</cp:lastModifiedBy>
  <cp:revision>78</cp:revision>
  <dcterms:created xsi:type="dcterms:W3CDTF">2026-04-04T13:42:00Z</dcterms:created>
  <dcterms:modified xsi:type="dcterms:W3CDTF">2026-04-24T10:11:00Z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636dba7e-9e37-4875-86af-cdd7a42ccb2a</vt:lpwstr>
  </property>
</Properties>
</file>