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5D845" w14:textId="77777777" w:rsidR="000B6697" w:rsidRPr="003968E9" w:rsidRDefault="000B6697" w:rsidP="000B6697">
      <w:pPr>
        <w:jc w:val="center"/>
        <w:rPr>
          <w:rFonts w:ascii="Arial" w:hAnsi="Arial" w:cs="Arial"/>
        </w:rPr>
      </w:pPr>
      <w:r w:rsidRPr="003968E9">
        <w:rPr>
          <w:rFonts w:ascii="Arial" w:hAnsi="Arial" w:cs="Arial"/>
        </w:rPr>
        <w:fldChar w:fldCharType="begin"/>
      </w:r>
      <w:r w:rsidRPr="003968E9">
        <w:rPr>
          <w:rFonts w:ascii="Arial" w:hAnsi="Arial" w:cs="Arial"/>
        </w:rPr>
        <w:instrText xml:space="preserve"> INCLUDEPICTURE "/Users/AzZedin01/Library/Group Containers/UBF8T346G9.ms/WebArchiveCopyPasteTempFiles/com.microsoft.Word/8P2xdp3q1g646AAAAAElFTkSuQmCC" \* MERGEFORMATINET </w:instrText>
      </w:r>
      <w:r w:rsidRPr="003968E9">
        <w:rPr>
          <w:rFonts w:ascii="Arial" w:hAnsi="Arial" w:cs="Arial"/>
        </w:rPr>
        <w:fldChar w:fldCharType="separate"/>
      </w:r>
      <w:r w:rsidRPr="003968E9">
        <w:rPr>
          <w:rFonts w:ascii="Arial" w:hAnsi="Arial" w:cs="Arial"/>
          <w:noProof/>
        </w:rPr>
        <w:drawing>
          <wp:inline distT="0" distB="0" distL="0" distR="0" wp14:anchorId="0FF21A6D" wp14:editId="55EC784D">
            <wp:extent cx="2301072" cy="1169101"/>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3977" cy="1195980"/>
                    </a:xfrm>
                    <a:prstGeom prst="rect">
                      <a:avLst/>
                    </a:prstGeom>
                    <a:noFill/>
                    <a:ln>
                      <a:noFill/>
                    </a:ln>
                  </pic:spPr>
                </pic:pic>
              </a:graphicData>
            </a:graphic>
          </wp:inline>
        </w:drawing>
      </w:r>
      <w:r w:rsidRPr="003968E9">
        <w:rPr>
          <w:rFonts w:ascii="Arial" w:hAnsi="Arial" w:cs="Arial"/>
        </w:rPr>
        <w:fldChar w:fldCharType="end"/>
      </w:r>
    </w:p>
    <w:p w14:paraId="1256C349" w14:textId="77777777" w:rsidR="000B6697" w:rsidRPr="003968E9" w:rsidRDefault="000B6697" w:rsidP="000B6697">
      <w:pPr>
        <w:jc w:val="center"/>
        <w:rPr>
          <w:rFonts w:ascii="Arial" w:hAnsi="Arial" w:cs="Arial"/>
        </w:rPr>
      </w:pPr>
    </w:p>
    <w:p w14:paraId="258E706F" w14:textId="77777777" w:rsidR="000B6697" w:rsidRPr="003968E9" w:rsidRDefault="000B6697" w:rsidP="000B6697">
      <w:pPr>
        <w:jc w:val="center"/>
        <w:rPr>
          <w:rFonts w:ascii="Arial" w:hAnsi="Arial" w:cs="Arial"/>
        </w:rPr>
      </w:pPr>
    </w:p>
    <w:p w14:paraId="647C0C8B" w14:textId="77777777" w:rsidR="000B6697" w:rsidRPr="003968E9" w:rsidRDefault="000B6697" w:rsidP="000B6697">
      <w:pPr>
        <w:rPr>
          <w:rFonts w:ascii="Arial" w:hAnsi="Arial" w:cs="Arial"/>
        </w:rPr>
      </w:pPr>
    </w:p>
    <w:p w14:paraId="05FA0F82" w14:textId="3D14ABB7" w:rsidR="000B6697" w:rsidRPr="003968E9" w:rsidRDefault="000B6697" w:rsidP="000B6697">
      <w:pPr>
        <w:jc w:val="center"/>
        <w:rPr>
          <w:rFonts w:ascii="Arial" w:hAnsi="Arial" w:cs="Arial"/>
          <w:b/>
          <w:bCs/>
        </w:rPr>
      </w:pPr>
      <w:r w:rsidRPr="003968E9">
        <w:rPr>
          <w:rFonts w:ascii="Arial" w:hAnsi="Arial" w:cs="Arial"/>
          <w:b/>
          <w:bCs/>
        </w:rPr>
        <w:t xml:space="preserve">Student Name: </w:t>
      </w:r>
      <w:r w:rsidRPr="000B6697">
        <w:rPr>
          <w:rFonts w:ascii="Arial" w:hAnsi="Arial" w:cs="Arial"/>
          <w:b/>
          <w:bCs/>
        </w:rPr>
        <w:t>Sakib Ahmed Siam</w:t>
      </w:r>
    </w:p>
    <w:p w14:paraId="6531ADFD" w14:textId="5C8D141B" w:rsidR="000B6697" w:rsidRPr="003968E9" w:rsidRDefault="000B6697" w:rsidP="000B6697">
      <w:pPr>
        <w:jc w:val="center"/>
        <w:rPr>
          <w:rFonts w:ascii="Arial" w:hAnsi="Arial" w:cs="Arial"/>
          <w:b/>
          <w:bCs/>
        </w:rPr>
      </w:pPr>
      <w:r w:rsidRPr="003968E9">
        <w:rPr>
          <w:rFonts w:ascii="Arial" w:hAnsi="Arial" w:cs="Arial"/>
          <w:b/>
          <w:bCs/>
        </w:rPr>
        <w:t xml:space="preserve">Student ID: </w:t>
      </w:r>
      <w:r w:rsidRPr="000B6697">
        <w:rPr>
          <w:rFonts w:ascii="Arial" w:hAnsi="Arial" w:cs="Arial"/>
          <w:b/>
          <w:bCs/>
        </w:rPr>
        <w:t>2418463</w:t>
      </w:r>
    </w:p>
    <w:p w14:paraId="3DECB2DA" w14:textId="77777777" w:rsidR="000B6697" w:rsidRPr="003968E9" w:rsidRDefault="000B6697" w:rsidP="000B6697">
      <w:pPr>
        <w:jc w:val="center"/>
        <w:rPr>
          <w:rFonts w:ascii="Arial" w:hAnsi="Arial" w:cs="Arial"/>
          <w:b/>
          <w:bCs/>
        </w:rPr>
      </w:pPr>
    </w:p>
    <w:p w14:paraId="3C963D45" w14:textId="77777777" w:rsidR="000B6697" w:rsidRPr="003968E9" w:rsidRDefault="000B6697" w:rsidP="000B6697">
      <w:pPr>
        <w:rPr>
          <w:rFonts w:ascii="Arial" w:hAnsi="Arial" w:cs="Arial"/>
        </w:rPr>
      </w:pPr>
    </w:p>
    <w:p w14:paraId="6AB9655E" w14:textId="77777777" w:rsidR="000B6697" w:rsidRPr="003968E9" w:rsidRDefault="000B6697" w:rsidP="000B6697">
      <w:pPr>
        <w:jc w:val="center"/>
        <w:rPr>
          <w:rFonts w:ascii="Arial" w:hAnsi="Arial" w:cs="Arial"/>
        </w:rPr>
      </w:pPr>
    </w:p>
    <w:p w14:paraId="6572B72A" w14:textId="77777777" w:rsidR="000B6697" w:rsidRPr="003968E9" w:rsidRDefault="000B6697" w:rsidP="000B6697">
      <w:pPr>
        <w:jc w:val="center"/>
        <w:rPr>
          <w:rFonts w:ascii="Arial" w:hAnsi="Arial" w:cs="Arial"/>
          <w:b/>
          <w:bCs/>
        </w:rPr>
      </w:pPr>
      <w:r w:rsidRPr="003968E9">
        <w:rPr>
          <w:rFonts w:ascii="Arial" w:hAnsi="Arial" w:cs="Arial"/>
          <w:b/>
          <w:bCs/>
        </w:rPr>
        <w:t>Module Name: Marketing Management</w:t>
      </w:r>
    </w:p>
    <w:p w14:paraId="7CE9B54C" w14:textId="77777777" w:rsidR="000B6697" w:rsidRPr="003968E9" w:rsidRDefault="000B6697" w:rsidP="000B6697">
      <w:pPr>
        <w:jc w:val="center"/>
        <w:rPr>
          <w:rFonts w:ascii="Arial" w:hAnsi="Arial" w:cs="Arial"/>
          <w:b/>
          <w:bCs/>
        </w:rPr>
      </w:pPr>
    </w:p>
    <w:p w14:paraId="2CDD2C28" w14:textId="77777777" w:rsidR="000B6697" w:rsidRPr="003968E9" w:rsidRDefault="000B6697" w:rsidP="000B6697">
      <w:pPr>
        <w:jc w:val="center"/>
        <w:rPr>
          <w:rFonts w:ascii="Arial" w:hAnsi="Arial" w:cs="Arial"/>
          <w:b/>
          <w:bCs/>
        </w:rPr>
      </w:pPr>
      <w:r w:rsidRPr="003968E9">
        <w:rPr>
          <w:rFonts w:ascii="Arial" w:hAnsi="Arial" w:cs="Arial"/>
          <w:b/>
          <w:bCs/>
        </w:rPr>
        <w:t>Module Code: LCMB7024</w:t>
      </w:r>
    </w:p>
    <w:p w14:paraId="3BF3C4A3" w14:textId="77777777" w:rsidR="000B6697" w:rsidRPr="003968E9" w:rsidRDefault="000B6697" w:rsidP="000B6697">
      <w:pPr>
        <w:jc w:val="center"/>
        <w:rPr>
          <w:rFonts w:ascii="Arial" w:hAnsi="Arial" w:cs="Arial"/>
          <w:b/>
          <w:bCs/>
        </w:rPr>
      </w:pPr>
    </w:p>
    <w:p w14:paraId="11CB6D58" w14:textId="77777777" w:rsidR="000B6697" w:rsidRPr="003968E9" w:rsidRDefault="000B6697" w:rsidP="000B6697">
      <w:pPr>
        <w:jc w:val="center"/>
        <w:rPr>
          <w:rFonts w:ascii="Arial" w:hAnsi="Arial" w:cs="Arial"/>
          <w:b/>
          <w:bCs/>
        </w:rPr>
      </w:pPr>
    </w:p>
    <w:p w14:paraId="442E916D" w14:textId="77777777" w:rsidR="000B6697" w:rsidRPr="003968E9" w:rsidRDefault="000B6697" w:rsidP="000B6697">
      <w:pPr>
        <w:jc w:val="center"/>
        <w:rPr>
          <w:rFonts w:ascii="Arial" w:hAnsi="Arial" w:cs="Arial"/>
          <w:b/>
          <w:bCs/>
        </w:rPr>
      </w:pPr>
    </w:p>
    <w:p w14:paraId="498DCEE0" w14:textId="77777777" w:rsidR="000B6697" w:rsidRPr="003968E9" w:rsidRDefault="000B6697" w:rsidP="000B6697">
      <w:pPr>
        <w:jc w:val="center"/>
        <w:rPr>
          <w:rFonts w:ascii="Arial" w:hAnsi="Arial" w:cs="Arial"/>
          <w:b/>
          <w:bCs/>
        </w:rPr>
      </w:pPr>
    </w:p>
    <w:p w14:paraId="60463DC4" w14:textId="77777777" w:rsidR="000B6697" w:rsidRPr="003968E9" w:rsidRDefault="000B6697" w:rsidP="000B6697">
      <w:pPr>
        <w:jc w:val="center"/>
        <w:rPr>
          <w:rFonts w:ascii="Arial" w:hAnsi="Arial" w:cs="Arial"/>
          <w:b/>
          <w:bCs/>
          <w:lang w:val="en-US"/>
        </w:rPr>
      </w:pPr>
      <w:r w:rsidRPr="003968E9">
        <w:rPr>
          <w:rFonts w:ascii="Arial" w:hAnsi="Arial" w:cs="Arial"/>
          <w:b/>
          <w:bCs/>
        </w:rPr>
        <w:t>Lecturer’s Name:</w:t>
      </w:r>
      <w:r w:rsidRPr="003968E9">
        <w:rPr>
          <w:rFonts w:ascii="Arial" w:hAnsi="Arial" w:cs="Arial"/>
          <w:b/>
          <w:bCs/>
          <w:lang w:val="en-US"/>
        </w:rPr>
        <w:t xml:space="preserve"> Dr </w:t>
      </w:r>
      <w:proofErr w:type="spellStart"/>
      <w:r w:rsidRPr="003968E9">
        <w:rPr>
          <w:rFonts w:ascii="Arial" w:hAnsi="Arial" w:cs="Arial"/>
          <w:b/>
          <w:bCs/>
          <w:lang w:val="en-US"/>
        </w:rPr>
        <w:t>Haoran</w:t>
      </w:r>
      <w:proofErr w:type="spellEnd"/>
      <w:r w:rsidRPr="003968E9">
        <w:rPr>
          <w:rFonts w:ascii="Arial" w:hAnsi="Arial" w:cs="Arial"/>
          <w:b/>
          <w:bCs/>
          <w:lang w:val="en-US"/>
        </w:rPr>
        <w:t xml:space="preserve"> Liu</w:t>
      </w:r>
    </w:p>
    <w:p w14:paraId="01BC729B" w14:textId="77777777" w:rsidR="000B6697" w:rsidRPr="003968E9" w:rsidRDefault="000B6697" w:rsidP="000B6697">
      <w:pPr>
        <w:jc w:val="center"/>
        <w:rPr>
          <w:rFonts w:ascii="Arial" w:hAnsi="Arial" w:cs="Arial"/>
          <w:b/>
          <w:bCs/>
        </w:rPr>
      </w:pPr>
    </w:p>
    <w:p w14:paraId="35855516" w14:textId="77777777" w:rsidR="000B6697" w:rsidRPr="003968E9" w:rsidRDefault="000B6697" w:rsidP="000B6697">
      <w:pPr>
        <w:jc w:val="center"/>
        <w:rPr>
          <w:rFonts w:ascii="Arial" w:hAnsi="Arial" w:cs="Arial"/>
          <w:b/>
          <w:bCs/>
        </w:rPr>
      </w:pPr>
    </w:p>
    <w:p w14:paraId="571E1059" w14:textId="77777777" w:rsidR="000B6697" w:rsidRPr="003968E9" w:rsidRDefault="000B6697" w:rsidP="000B6697">
      <w:pPr>
        <w:rPr>
          <w:rFonts w:ascii="Arial" w:hAnsi="Arial" w:cs="Arial"/>
          <w:b/>
          <w:bCs/>
        </w:rPr>
      </w:pPr>
    </w:p>
    <w:p w14:paraId="376611A1" w14:textId="77777777" w:rsidR="000B6697" w:rsidRPr="003968E9" w:rsidRDefault="000B6697" w:rsidP="000B6697">
      <w:pPr>
        <w:jc w:val="center"/>
        <w:rPr>
          <w:rFonts w:ascii="Arial" w:hAnsi="Arial" w:cs="Arial"/>
          <w:b/>
          <w:bCs/>
        </w:rPr>
      </w:pPr>
      <w:r w:rsidRPr="003968E9">
        <w:rPr>
          <w:rFonts w:ascii="Arial" w:hAnsi="Arial" w:cs="Arial"/>
          <w:b/>
          <w:bCs/>
        </w:rPr>
        <w:t>Word Count: 2</w:t>
      </w:r>
      <w:r w:rsidRPr="003968E9">
        <w:rPr>
          <w:rFonts w:ascii="Arial" w:hAnsi="Arial" w:cs="Arial"/>
          <w:b/>
          <w:bCs/>
          <w:lang w:val="en-US"/>
        </w:rPr>
        <w:t>482</w:t>
      </w:r>
      <w:r w:rsidRPr="003968E9">
        <w:rPr>
          <w:rFonts w:ascii="Arial" w:hAnsi="Arial" w:cs="Arial"/>
          <w:b/>
          <w:bCs/>
        </w:rPr>
        <w:t xml:space="preserve"> </w:t>
      </w:r>
    </w:p>
    <w:p w14:paraId="61BF2B86" w14:textId="77777777" w:rsidR="000B6697" w:rsidRPr="003968E9" w:rsidRDefault="000B6697" w:rsidP="000B6697">
      <w:pPr>
        <w:jc w:val="center"/>
        <w:rPr>
          <w:rFonts w:ascii="Arial" w:hAnsi="Arial" w:cs="Arial"/>
          <w:b/>
          <w:bCs/>
        </w:rPr>
      </w:pPr>
    </w:p>
    <w:p w14:paraId="7DF58BF1" w14:textId="77777777" w:rsidR="000B6697" w:rsidRPr="003968E9" w:rsidRDefault="000B6697" w:rsidP="000B6697">
      <w:pPr>
        <w:rPr>
          <w:rFonts w:ascii="Arial" w:hAnsi="Arial" w:cs="Arial"/>
          <w:b/>
          <w:bCs/>
        </w:rPr>
      </w:pPr>
    </w:p>
    <w:p w14:paraId="50069BB4" w14:textId="77777777" w:rsidR="000B6697" w:rsidRPr="003968E9" w:rsidRDefault="000B6697" w:rsidP="000B6697">
      <w:pPr>
        <w:rPr>
          <w:rFonts w:ascii="Arial" w:hAnsi="Arial" w:cs="Arial"/>
          <w:b/>
          <w:bCs/>
        </w:rPr>
      </w:pPr>
    </w:p>
    <w:p w14:paraId="28902BAC" w14:textId="77777777" w:rsidR="000B6697" w:rsidRPr="003968E9" w:rsidRDefault="000B6697" w:rsidP="000B6697">
      <w:pPr>
        <w:jc w:val="center"/>
        <w:rPr>
          <w:rFonts w:ascii="Arial" w:hAnsi="Arial" w:cs="Arial"/>
          <w:b/>
          <w:bCs/>
        </w:rPr>
      </w:pPr>
    </w:p>
    <w:p w14:paraId="3DE832D0" w14:textId="77777777" w:rsidR="000B6697" w:rsidRPr="003968E9" w:rsidRDefault="000B6697" w:rsidP="000B6697">
      <w:pPr>
        <w:jc w:val="center"/>
        <w:rPr>
          <w:rFonts w:ascii="Arial" w:hAnsi="Arial" w:cs="Arial"/>
          <w:b/>
          <w:bCs/>
        </w:rPr>
      </w:pPr>
      <w:r w:rsidRPr="003968E9">
        <w:rPr>
          <w:rFonts w:ascii="Arial" w:hAnsi="Arial" w:cs="Arial"/>
          <w:b/>
          <w:bCs/>
        </w:rPr>
        <w:t>Term 1</w:t>
      </w:r>
    </w:p>
    <w:p w14:paraId="7FFDCDD9" w14:textId="268C0252" w:rsidR="000B6697" w:rsidRDefault="000B6697">
      <w:pPr>
        <w:spacing w:after="160" w:line="259" w:lineRule="auto"/>
        <w:jc w:val="left"/>
        <w:rPr>
          <w:rFonts w:ascii="Arial" w:hAnsi="Arial" w:cs="Arial"/>
        </w:rPr>
      </w:pPr>
      <w:r>
        <w:rPr>
          <w:rFonts w:ascii="Arial" w:hAnsi="Arial" w:cs="Arial"/>
        </w:rPr>
        <w:br w:type="page"/>
      </w:r>
    </w:p>
    <w:sdt>
      <w:sdtPr>
        <w:id w:val="-698776925"/>
        <w:docPartObj>
          <w:docPartGallery w:val="Table of Contents"/>
          <w:docPartUnique/>
        </w:docPartObj>
      </w:sdtPr>
      <w:sdtEndPr>
        <w:rPr>
          <w:rFonts w:cs="Times New Roman"/>
          <w:bCs/>
          <w:noProof/>
          <w:sz w:val="24"/>
          <w:szCs w:val="24"/>
          <w:lang w:val="en-BD" w:eastAsia="en-GB" w:bidi="bn-IN"/>
        </w:rPr>
      </w:sdtEndPr>
      <w:sdtContent>
        <w:p w14:paraId="3739019C" w14:textId="49F4F85A" w:rsidR="000B6697" w:rsidRDefault="000B6697">
          <w:pPr>
            <w:pStyle w:val="TOCHeading"/>
          </w:pPr>
          <w:r>
            <w:t>Table of Contents</w:t>
          </w:r>
        </w:p>
        <w:p w14:paraId="5A29F1DD" w14:textId="3BE3AA22" w:rsidR="000B6697" w:rsidRPr="000B6697" w:rsidRDefault="000B6697">
          <w:pPr>
            <w:pStyle w:val="TOC1"/>
            <w:tabs>
              <w:tab w:val="right" w:leader="dot" w:pos="9010"/>
            </w:tabs>
            <w:rPr>
              <w:rFonts w:ascii="Arial" w:eastAsiaTheme="minorEastAsia" w:hAnsi="Arial" w:cs="Arial"/>
              <w:b w:val="0"/>
              <w:bCs w:val="0"/>
              <w:i w:val="0"/>
              <w:iCs w:val="0"/>
              <w:noProof/>
              <w:szCs w:val="30"/>
            </w:rPr>
          </w:pPr>
          <w:r w:rsidRPr="000B6697">
            <w:rPr>
              <w:rFonts w:ascii="Arial" w:hAnsi="Arial" w:cs="Arial"/>
              <w:b w:val="0"/>
              <w:bCs w:val="0"/>
              <w:i w:val="0"/>
              <w:iCs w:val="0"/>
            </w:rPr>
            <w:fldChar w:fldCharType="begin"/>
          </w:r>
          <w:r w:rsidRPr="000B6697">
            <w:rPr>
              <w:rFonts w:ascii="Arial" w:hAnsi="Arial" w:cs="Arial"/>
              <w:b w:val="0"/>
              <w:bCs w:val="0"/>
              <w:i w:val="0"/>
              <w:iCs w:val="0"/>
            </w:rPr>
            <w:instrText xml:space="preserve"> TOC \o "1-3" \h \z \u </w:instrText>
          </w:r>
          <w:r w:rsidRPr="000B6697">
            <w:rPr>
              <w:rFonts w:ascii="Arial" w:hAnsi="Arial" w:cs="Arial"/>
              <w:b w:val="0"/>
              <w:bCs w:val="0"/>
              <w:i w:val="0"/>
              <w:iCs w:val="0"/>
            </w:rPr>
            <w:fldChar w:fldCharType="separate"/>
          </w:r>
          <w:hyperlink w:anchor="_Toc193522051" w:history="1">
            <w:r w:rsidRPr="000B6697">
              <w:rPr>
                <w:rStyle w:val="Hyperlink"/>
                <w:rFonts w:ascii="Arial" w:hAnsi="Arial" w:cs="Arial"/>
                <w:b w:val="0"/>
                <w:bCs w:val="0"/>
                <w:i w:val="0"/>
                <w:iCs w:val="0"/>
                <w:noProof/>
              </w:rPr>
              <w:t>Introduction</w:t>
            </w:r>
            <w:r w:rsidRPr="000B6697">
              <w:rPr>
                <w:rFonts w:ascii="Arial" w:hAnsi="Arial" w:cs="Arial"/>
                <w:b w:val="0"/>
                <w:bCs w:val="0"/>
                <w:i w:val="0"/>
                <w:iCs w:val="0"/>
                <w:noProof/>
                <w:webHidden/>
              </w:rPr>
              <w:tab/>
            </w:r>
            <w:r w:rsidRPr="000B6697">
              <w:rPr>
                <w:rFonts w:ascii="Arial" w:hAnsi="Arial" w:cs="Arial"/>
                <w:b w:val="0"/>
                <w:bCs w:val="0"/>
                <w:i w:val="0"/>
                <w:iCs w:val="0"/>
                <w:noProof/>
                <w:webHidden/>
              </w:rPr>
              <w:fldChar w:fldCharType="begin"/>
            </w:r>
            <w:r w:rsidRPr="000B6697">
              <w:rPr>
                <w:rFonts w:ascii="Arial" w:hAnsi="Arial" w:cs="Arial"/>
                <w:b w:val="0"/>
                <w:bCs w:val="0"/>
                <w:i w:val="0"/>
                <w:iCs w:val="0"/>
                <w:noProof/>
                <w:webHidden/>
              </w:rPr>
              <w:instrText xml:space="preserve"> PAGEREF _Toc193522051 \h </w:instrText>
            </w:r>
            <w:r w:rsidRPr="000B6697">
              <w:rPr>
                <w:rFonts w:ascii="Arial" w:hAnsi="Arial" w:cs="Arial"/>
                <w:b w:val="0"/>
                <w:bCs w:val="0"/>
                <w:i w:val="0"/>
                <w:iCs w:val="0"/>
                <w:noProof/>
                <w:webHidden/>
              </w:rPr>
            </w:r>
            <w:r w:rsidRPr="000B6697">
              <w:rPr>
                <w:rFonts w:ascii="Arial" w:hAnsi="Arial" w:cs="Arial"/>
                <w:b w:val="0"/>
                <w:bCs w:val="0"/>
                <w:i w:val="0"/>
                <w:iCs w:val="0"/>
                <w:noProof/>
                <w:webHidden/>
              </w:rPr>
              <w:fldChar w:fldCharType="separate"/>
            </w:r>
            <w:r w:rsidRPr="000B6697">
              <w:rPr>
                <w:rFonts w:ascii="Arial" w:hAnsi="Arial" w:cs="Arial"/>
                <w:b w:val="0"/>
                <w:bCs w:val="0"/>
                <w:i w:val="0"/>
                <w:iCs w:val="0"/>
                <w:noProof/>
                <w:webHidden/>
              </w:rPr>
              <w:t>4</w:t>
            </w:r>
            <w:r w:rsidRPr="000B6697">
              <w:rPr>
                <w:rFonts w:ascii="Arial" w:hAnsi="Arial" w:cs="Arial"/>
                <w:b w:val="0"/>
                <w:bCs w:val="0"/>
                <w:i w:val="0"/>
                <w:iCs w:val="0"/>
                <w:noProof/>
                <w:webHidden/>
              </w:rPr>
              <w:fldChar w:fldCharType="end"/>
            </w:r>
          </w:hyperlink>
        </w:p>
        <w:p w14:paraId="16308953" w14:textId="0CBF9ABA" w:rsidR="000B6697" w:rsidRPr="000B6697" w:rsidRDefault="000B6697">
          <w:pPr>
            <w:pStyle w:val="TOC1"/>
            <w:tabs>
              <w:tab w:val="right" w:leader="dot" w:pos="9010"/>
            </w:tabs>
            <w:rPr>
              <w:rFonts w:ascii="Arial" w:eastAsiaTheme="minorEastAsia" w:hAnsi="Arial" w:cs="Arial"/>
              <w:b w:val="0"/>
              <w:bCs w:val="0"/>
              <w:i w:val="0"/>
              <w:iCs w:val="0"/>
              <w:noProof/>
              <w:szCs w:val="30"/>
            </w:rPr>
          </w:pPr>
          <w:hyperlink w:anchor="_Toc193522052" w:history="1">
            <w:r w:rsidRPr="000B6697">
              <w:rPr>
                <w:rStyle w:val="Hyperlink"/>
                <w:rFonts w:ascii="Arial" w:hAnsi="Arial" w:cs="Arial"/>
                <w:b w:val="0"/>
                <w:bCs w:val="0"/>
                <w:i w:val="0"/>
                <w:iCs w:val="0"/>
                <w:noProof/>
              </w:rPr>
              <w:t>The Advantages of Being a Pioneer Company</w:t>
            </w:r>
            <w:r w:rsidRPr="000B6697">
              <w:rPr>
                <w:rFonts w:ascii="Arial" w:hAnsi="Arial" w:cs="Arial"/>
                <w:b w:val="0"/>
                <w:bCs w:val="0"/>
                <w:i w:val="0"/>
                <w:iCs w:val="0"/>
                <w:noProof/>
                <w:webHidden/>
              </w:rPr>
              <w:tab/>
            </w:r>
            <w:r w:rsidRPr="000B6697">
              <w:rPr>
                <w:rFonts w:ascii="Arial" w:hAnsi="Arial" w:cs="Arial"/>
                <w:b w:val="0"/>
                <w:bCs w:val="0"/>
                <w:i w:val="0"/>
                <w:iCs w:val="0"/>
                <w:noProof/>
                <w:webHidden/>
              </w:rPr>
              <w:fldChar w:fldCharType="begin"/>
            </w:r>
            <w:r w:rsidRPr="000B6697">
              <w:rPr>
                <w:rFonts w:ascii="Arial" w:hAnsi="Arial" w:cs="Arial"/>
                <w:b w:val="0"/>
                <w:bCs w:val="0"/>
                <w:i w:val="0"/>
                <w:iCs w:val="0"/>
                <w:noProof/>
                <w:webHidden/>
              </w:rPr>
              <w:instrText xml:space="preserve"> PAGEREF _Toc193522052 \h </w:instrText>
            </w:r>
            <w:r w:rsidRPr="000B6697">
              <w:rPr>
                <w:rFonts w:ascii="Arial" w:hAnsi="Arial" w:cs="Arial"/>
                <w:b w:val="0"/>
                <w:bCs w:val="0"/>
                <w:i w:val="0"/>
                <w:iCs w:val="0"/>
                <w:noProof/>
                <w:webHidden/>
              </w:rPr>
            </w:r>
            <w:r w:rsidRPr="000B6697">
              <w:rPr>
                <w:rFonts w:ascii="Arial" w:hAnsi="Arial" w:cs="Arial"/>
                <w:b w:val="0"/>
                <w:bCs w:val="0"/>
                <w:i w:val="0"/>
                <w:iCs w:val="0"/>
                <w:noProof/>
                <w:webHidden/>
              </w:rPr>
              <w:fldChar w:fldCharType="separate"/>
            </w:r>
            <w:r w:rsidRPr="000B6697">
              <w:rPr>
                <w:rFonts w:ascii="Arial" w:hAnsi="Arial" w:cs="Arial"/>
                <w:b w:val="0"/>
                <w:bCs w:val="0"/>
                <w:i w:val="0"/>
                <w:iCs w:val="0"/>
                <w:noProof/>
                <w:webHidden/>
              </w:rPr>
              <w:t>4</w:t>
            </w:r>
            <w:r w:rsidRPr="000B6697">
              <w:rPr>
                <w:rFonts w:ascii="Arial" w:hAnsi="Arial" w:cs="Arial"/>
                <w:b w:val="0"/>
                <w:bCs w:val="0"/>
                <w:i w:val="0"/>
                <w:iCs w:val="0"/>
                <w:noProof/>
                <w:webHidden/>
              </w:rPr>
              <w:fldChar w:fldCharType="end"/>
            </w:r>
          </w:hyperlink>
        </w:p>
        <w:p w14:paraId="5F10E70E" w14:textId="31A5C223" w:rsidR="000B6697" w:rsidRPr="000B6697" w:rsidRDefault="000B6697">
          <w:pPr>
            <w:pStyle w:val="TOC1"/>
            <w:tabs>
              <w:tab w:val="right" w:leader="dot" w:pos="9010"/>
            </w:tabs>
            <w:rPr>
              <w:rFonts w:ascii="Arial" w:eastAsiaTheme="minorEastAsia" w:hAnsi="Arial" w:cs="Arial"/>
              <w:b w:val="0"/>
              <w:bCs w:val="0"/>
              <w:i w:val="0"/>
              <w:iCs w:val="0"/>
              <w:noProof/>
              <w:szCs w:val="30"/>
            </w:rPr>
          </w:pPr>
          <w:hyperlink w:anchor="_Toc193522053" w:history="1">
            <w:r w:rsidRPr="000B6697">
              <w:rPr>
                <w:rStyle w:val="Hyperlink"/>
                <w:rFonts w:ascii="Arial" w:hAnsi="Arial" w:cs="Arial"/>
                <w:b w:val="0"/>
                <w:bCs w:val="0"/>
                <w:i w:val="0"/>
                <w:iCs w:val="0"/>
                <w:noProof/>
              </w:rPr>
              <w:t>The Advantages of Being a Follower Company</w:t>
            </w:r>
            <w:r w:rsidRPr="000B6697">
              <w:rPr>
                <w:rFonts w:ascii="Arial" w:hAnsi="Arial" w:cs="Arial"/>
                <w:b w:val="0"/>
                <w:bCs w:val="0"/>
                <w:i w:val="0"/>
                <w:iCs w:val="0"/>
                <w:noProof/>
                <w:webHidden/>
              </w:rPr>
              <w:tab/>
            </w:r>
            <w:r w:rsidRPr="000B6697">
              <w:rPr>
                <w:rFonts w:ascii="Arial" w:hAnsi="Arial" w:cs="Arial"/>
                <w:b w:val="0"/>
                <w:bCs w:val="0"/>
                <w:i w:val="0"/>
                <w:iCs w:val="0"/>
                <w:noProof/>
                <w:webHidden/>
              </w:rPr>
              <w:fldChar w:fldCharType="begin"/>
            </w:r>
            <w:r w:rsidRPr="000B6697">
              <w:rPr>
                <w:rFonts w:ascii="Arial" w:hAnsi="Arial" w:cs="Arial"/>
                <w:b w:val="0"/>
                <w:bCs w:val="0"/>
                <w:i w:val="0"/>
                <w:iCs w:val="0"/>
                <w:noProof/>
                <w:webHidden/>
              </w:rPr>
              <w:instrText xml:space="preserve"> PAGEREF _Toc193522053 \h </w:instrText>
            </w:r>
            <w:r w:rsidRPr="000B6697">
              <w:rPr>
                <w:rFonts w:ascii="Arial" w:hAnsi="Arial" w:cs="Arial"/>
                <w:b w:val="0"/>
                <w:bCs w:val="0"/>
                <w:i w:val="0"/>
                <w:iCs w:val="0"/>
                <w:noProof/>
                <w:webHidden/>
              </w:rPr>
            </w:r>
            <w:r w:rsidRPr="000B6697">
              <w:rPr>
                <w:rFonts w:ascii="Arial" w:hAnsi="Arial" w:cs="Arial"/>
                <w:b w:val="0"/>
                <w:bCs w:val="0"/>
                <w:i w:val="0"/>
                <w:iCs w:val="0"/>
                <w:noProof/>
                <w:webHidden/>
              </w:rPr>
              <w:fldChar w:fldCharType="separate"/>
            </w:r>
            <w:r w:rsidRPr="000B6697">
              <w:rPr>
                <w:rFonts w:ascii="Arial" w:hAnsi="Arial" w:cs="Arial"/>
                <w:b w:val="0"/>
                <w:bCs w:val="0"/>
                <w:i w:val="0"/>
                <w:iCs w:val="0"/>
                <w:noProof/>
                <w:webHidden/>
              </w:rPr>
              <w:t>7</w:t>
            </w:r>
            <w:r w:rsidRPr="000B6697">
              <w:rPr>
                <w:rFonts w:ascii="Arial" w:hAnsi="Arial" w:cs="Arial"/>
                <w:b w:val="0"/>
                <w:bCs w:val="0"/>
                <w:i w:val="0"/>
                <w:iCs w:val="0"/>
                <w:noProof/>
                <w:webHidden/>
              </w:rPr>
              <w:fldChar w:fldCharType="end"/>
            </w:r>
          </w:hyperlink>
        </w:p>
        <w:p w14:paraId="267CDCE1" w14:textId="53BF6D73" w:rsidR="000B6697" w:rsidRPr="000B6697" w:rsidRDefault="000B6697">
          <w:pPr>
            <w:pStyle w:val="TOC1"/>
            <w:tabs>
              <w:tab w:val="right" w:leader="dot" w:pos="9010"/>
            </w:tabs>
            <w:rPr>
              <w:rFonts w:ascii="Arial" w:eastAsiaTheme="minorEastAsia" w:hAnsi="Arial" w:cs="Arial"/>
              <w:b w:val="0"/>
              <w:bCs w:val="0"/>
              <w:i w:val="0"/>
              <w:iCs w:val="0"/>
              <w:noProof/>
              <w:szCs w:val="30"/>
            </w:rPr>
          </w:pPr>
          <w:hyperlink w:anchor="_Toc193522054" w:history="1">
            <w:r w:rsidRPr="000B6697">
              <w:rPr>
                <w:rStyle w:val="Hyperlink"/>
                <w:rFonts w:ascii="Arial" w:hAnsi="Arial" w:cs="Arial"/>
                <w:b w:val="0"/>
                <w:bCs w:val="0"/>
                <w:i w:val="0"/>
                <w:iCs w:val="0"/>
                <w:noProof/>
              </w:rPr>
              <w:t>PLC Strategies in the Growth and Maturity Stages</w:t>
            </w:r>
            <w:r w:rsidRPr="000B6697">
              <w:rPr>
                <w:rFonts w:ascii="Arial" w:hAnsi="Arial" w:cs="Arial"/>
                <w:b w:val="0"/>
                <w:bCs w:val="0"/>
                <w:i w:val="0"/>
                <w:iCs w:val="0"/>
                <w:noProof/>
                <w:webHidden/>
              </w:rPr>
              <w:tab/>
            </w:r>
            <w:r w:rsidRPr="000B6697">
              <w:rPr>
                <w:rFonts w:ascii="Arial" w:hAnsi="Arial" w:cs="Arial"/>
                <w:b w:val="0"/>
                <w:bCs w:val="0"/>
                <w:i w:val="0"/>
                <w:iCs w:val="0"/>
                <w:noProof/>
                <w:webHidden/>
              </w:rPr>
              <w:fldChar w:fldCharType="begin"/>
            </w:r>
            <w:r w:rsidRPr="000B6697">
              <w:rPr>
                <w:rFonts w:ascii="Arial" w:hAnsi="Arial" w:cs="Arial"/>
                <w:b w:val="0"/>
                <w:bCs w:val="0"/>
                <w:i w:val="0"/>
                <w:iCs w:val="0"/>
                <w:noProof/>
                <w:webHidden/>
              </w:rPr>
              <w:instrText xml:space="preserve"> PAGEREF _Toc193522054 \h </w:instrText>
            </w:r>
            <w:r w:rsidRPr="000B6697">
              <w:rPr>
                <w:rFonts w:ascii="Arial" w:hAnsi="Arial" w:cs="Arial"/>
                <w:b w:val="0"/>
                <w:bCs w:val="0"/>
                <w:i w:val="0"/>
                <w:iCs w:val="0"/>
                <w:noProof/>
                <w:webHidden/>
              </w:rPr>
            </w:r>
            <w:r w:rsidRPr="000B6697">
              <w:rPr>
                <w:rFonts w:ascii="Arial" w:hAnsi="Arial" w:cs="Arial"/>
                <w:b w:val="0"/>
                <w:bCs w:val="0"/>
                <w:i w:val="0"/>
                <w:iCs w:val="0"/>
                <w:noProof/>
                <w:webHidden/>
              </w:rPr>
              <w:fldChar w:fldCharType="separate"/>
            </w:r>
            <w:r w:rsidRPr="000B6697">
              <w:rPr>
                <w:rFonts w:ascii="Arial" w:hAnsi="Arial" w:cs="Arial"/>
                <w:b w:val="0"/>
                <w:bCs w:val="0"/>
                <w:i w:val="0"/>
                <w:iCs w:val="0"/>
                <w:noProof/>
                <w:webHidden/>
              </w:rPr>
              <w:t>9</w:t>
            </w:r>
            <w:r w:rsidRPr="000B6697">
              <w:rPr>
                <w:rFonts w:ascii="Arial" w:hAnsi="Arial" w:cs="Arial"/>
                <w:b w:val="0"/>
                <w:bCs w:val="0"/>
                <w:i w:val="0"/>
                <w:iCs w:val="0"/>
                <w:noProof/>
                <w:webHidden/>
              </w:rPr>
              <w:fldChar w:fldCharType="end"/>
            </w:r>
          </w:hyperlink>
        </w:p>
        <w:p w14:paraId="1F326095" w14:textId="0C37656E" w:rsidR="000B6697" w:rsidRPr="000B6697" w:rsidRDefault="000B6697">
          <w:pPr>
            <w:pStyle w:val="TOC1"/>
            <w:tabs>
              <w:tab w:val="right" w:leader="dot" w:pos="9010"/>
            </w:tabs>
            <w:rPr>
              <w:rFonts w:ascii="Arial" w:eastAsiaTheme="minorEastAsia" w:hAnsi="Arial" w:cs="Arial"/>
              <w:b w:val="0"/>
              <w:bCs w:val="0"/>
              <w:i w:val="0"/>
              <w:iCs w:val="0"/>
              <w:noProof/>
              <w:szCs w:val="30"/>
            </w:rPr>
          </w:pPr>
          <w:hyperlink w:anchor="_Toc193522055" w:history="1">
            <w:r w:rsidRPr="000B6697">
              <w:rPr>
                <w:rStyle w:val="Hyperlink"/>
                <w:rFonts w:ascii="Arial" w:hAnsi="Arial" w:cs="Arial"/>
                <w:b w:val="0"/>
                <w:bCs w:val="0"/>
                <w:i w:val="0"/>
                <w:iCs w:val="0"/>
                <w:noProof/>
              </w:rPr>
              <w:t>Conclusion</w:t>
            </w:r>
            <w:r w:rsidRPr="000B6697">
              <w:rPr>
                <w:rFonts w:ascii="Arial" w:hAnsi="Arial" w:cs="Arial"/>
                <w:b w:val="0"/>
                <w:bCs w:val="0"/>
                <w:i w:val="0"/>
                <w:iCs w:val="0"/>
                <w:noProof/>
                <w:webHidden/>
              </w:rPr>
              <w:tab/>
            </w:r>
            <w:r w:rsidRPr="000B6697">
              <w:rPr>
                <w:rFonts w:ascii="Arial" w:hAnsi="Arial" w:cs="Arial"/>
                <w:b w:val="0"/>
                <w:bCs w:val="0"/>
                <w:i w:val="0"/>
                <w:iCs w:val="0"/>
                <w:noProof/>
                <w:webHidden/>
              </w:rPr>
              <w:fldChar w:fldCharType="begin"/>
            </w:r>
            <w:r w:rsidRPr="000B6697">
              <w:rPr>
                <w:rFonts w:ascii="Arial" w:hAnsi="Arial" w:cs="Arial"/>
                <w:b w:val="0"/>
                <w:bCs w:val="0"/>
                <w:i w:val="0"/>
                <w:iCs w:val="0"/>
                <w:noProof/>
                <w:webHidden/>
              </w:rPr>
              <w:instrText xml:space="preserve"> PAGEREF _Toc193522055 \h </w:instrText>
            </w:r>
            <w:r w:rsidRPr="000B6697">
              <w:rPr>
                <w:rFonts w:ascii="Arial" w:hAnsi="Arial" w:cs="Arial"/>
                <w:b w:val="0"/>
                <w:bCs w:val="0"/>
                <w:i w:val="0"/>
                <w:iCs w:val="0"/>
                <w:noProof/>
                <w:webHidden/>
              </w:rPr>
            </w:r>
            <w:r w:rsidRPr="000B6697">
              <w:rPr>
                <w:rFonts w:ascii="Arial" w:hAnsi="Arial" w:cs="Arial"/>
                <w:b w:val="0"/>
                <w:bCs w:val="0"/>
                <w:i w:val="0"/>
                <w:iCs w:val="0"/>
                <w:noProof/>
                <w:webHidden/>
              </w:rPr>
              <w:fldChar w:fldCharType="separate"/>
            </w:r>
            <w:r w:rsidRPr="000B6697">
              <w:rPr>
                <w:rFonts w:ascii="Arial" w:hAnsi="Arial" w:cs="Arial"/>
                <w:b w:val="0"/>
                <w:bCs w:val="0"/>
                <w:i w:val="0"/>
                <w:iCs w:val="0"/>
                <w:noProof/>
                <w:webHidden/>
              </w:rPr>
              <w:t>10</w:t>
            </w:r>
            <w:r w:rsidRPr="000B6697">
              <w:rPr>
                <w:rFonts w:ascii="Arial" w:hAnsi="Arial" w:cs="Arial"/>
                <w:b w:val="0"/>
                <w:bCs w:val="0"/>
                <w:i w:val="0"/>
                <w:iCs w:val="0"/>
                <w:noProof/>
                <w:webHidden/>
              </w:rPr>
              <w:fldChar w:fldCharType="end"/>
            </w:r>
          </w:hyperlink>
        </w:p>
        <w:p w14:paraId="6AAFFA7C" w14:textId="266749B6" w:rsidR="000B6697" w:rsidRPr="000B6697" w:rsidRDefault="000B6697">
          <w:pPr>
            <w:pStyle w:val="TOC1"/>
            <w:tabs>
              <w:tab w:val="right" w:leader="dot" w:pos="9010"/>
            </w:tabs>
            <w:rPr>
              <w:rFonts w:ascii="Arial" w:eastAsiaTheme="minorEastAsia" w:hAnsi="Arial" w:cs="Arial"/>
              <w:b w:val="0"/>
              <w:bCs w:val="0"/>
              <w:i w:val="0"/>
              <w:iCs w:val="0"/>
              <w:noProof/>
              <w:szCs w:val="30"/>
            </w:rPr>
          </w:pPr>
          <w:hyperlink w:anchor="_Toc193522056" w:history="1">
            <w:r w:rsidRPr="000B6697">
              <w:rPr>
                <w:rStyle w:val="Hyperlink"/>
                <w:rFonts w:ascii="Arial" w:hAnsi="Arial" w:cs="Arial"/>
                <w:b w:val="0"/>
                <w:bCs w:val="0"/>
                <w:i w:val="0"/>
                <w:iCs w:val="0"/>
                <w:noProof/>
              </w:rPr>
              <w:t>Reference</w:t>
            </w:r>
            <w:r w:rsidRPr="000B6697">
              <w:rPr>
                <w:rFonts w:ascii="Arial" w:hAnsi="Arial" w:cs="Arial"/>
                <w:b w:val="0"/>
                <w:bCs w:val="0"/>
                <w:i w:val="0"/>
                <w:iCs w:val="0"/>
                <w:noProof/>
                <w:webHidden/>
              </w:rPr>
              <w:tab/>
            </w:r>
            <w:r w:rsidRPr="000B6697">
              <w:rPr>
                <w:rFonts w:ascii="Arial" w:hAnsi="Arial" w:cs="Arial"/>
                <w:b w:val="0"/>
                <w:bCs w:val="0"/>
                <w:i w:val="0"/>
                <w:iCs w:val="0"/>
                <w:noProof/>
                <w:webHidden/>
              </w:rPr>
              <w:fldChar w:fldCharType="begin"/>
            </w:r>
            <w:r w:rsidRPr="000B6697">
              <w:rPr>
                <w:rFonts w:ascii="Arial" w:hAnsi="Arial" w:cs="Arial"/>
                <w:b w:val="0"/>
                <w:bCs w:val="0"/>
                <w:i w:val="0"/>
                <w:iCs w:val="0"/>
                <w:noProof/>
                <w:webHidden/>
              </w:rPr>
              <w:instrText xml:space="preserve"> PAGEREF _Toc193522056 \h </w:instrText>
            </w:r>
            <w:r w:rsidRPr="000B6697">
              <w:rPr>
                <w:rFonts w:ascii="Arial" w:hAnsi="Arial" w:cs="Arial"/>
                <w:b w:val="0"/>
                <w:bCs w:val="0"/>
                <w:i w:val="0"/>
                <w:iCs w:val="0"/>
                <w:noProof/>
                <w:webHidden/>
              </w:rPr>
            </w:r>
            <w:r w:rsidRPr="000B6697">
              <w:rPr>
                <w:rFonts w:ascii="Arial" w:hAnsi="Arial" w:cs="Arial"/>
                <w:b w:val="0"/>
                <w:bCs w:val="0"/>
                <w:i w:val="0"/>
                <w:iCs w:val="0"/>
                <w:noProof/>
                <w:webHidden/>
              </w:rPr>
              <w:fldChar w:fldCharType="separate"/>
            </w:r>
            <w:r w:rsidRPr="000B6697">
              <w:rPr>
                <w:rFonts w:ascii="Arial" w:hAnsi="Arial" w:cs="Arial"/>
                <w:b w:val="0"/>
                <w:bCs w:val="0"/>
                <w:i w:val="0"/>
                <w:iCs w:val="0"/>
                <w:noProof/>
                <w:webHidden/>
              </w:rPr>
              <w:t>12</w:t>
            </w:r>
            <w:r w:rsidRPr="000B6697">
              <w:rPr>
                <w:rFonts w:ascii="Arial" w:hAnsi="Arial" w:cs="Arial"/>
                <w:b w:val="0"/>
                <w:bCs w:val="0"/>
                <w:i w:val="0"/>
                <w:iCs w:val="0"/>
                <w:noProof/>
                <w:webHidden/>
              </w:rPr>
              <w:fldChar w:fldCharType="end"/>
            </w:r>
          </w:hyperlink>
        </w:p>
        <w:p w14:paraId="20FF9B56" w14:textId="638394EB" w:rsidR="000B6697" w:rsidRDefault="000B6697">
          <w:r w:rsidRPr="000B6697">
            <w:rPr>
              <w:rFonts w:ascii="Arial" w:hAnsi="Arial" w:cs="Arial"/>
              <w:noProof/>
            </w:rPr>
            <w:fldChar w:fldCharType="end"/>
          </w:r>
        </w:p>
      </w:sdtContent>
    </w:sdt>
    <w:p w14:paraId="6441DBAE" w14:textId="77777777" w:rsidR="00C0115C" w:rsidRPr="00A76415" w:rsidRDefault="00C0115C" w:rsidP="00C0115C">
      <w:pPr>
        <w:rPr>
          <w:rFonts w:ascii="Arial" w:hAnsi="Arial" w:cs="Arial"/>
        </w:rPr>
      </w:pPr>
    </w:p>
    <w:p w14:paraId="48E93022" w14:textId="77777777" w:rsidR="008A6B52" w:rsidRPr="00A76415" w:rsidRDefault="008A6B52" w:rsidP="008A6B52">
      <w:pPr>
        <w:rPr>
          <w:rFonts w:ascii="Arial" w:hAnsi="Arial" w:cs="Arial"/>
        </w:rPr>
      </w:pPr>
      <w:r w:rsidRPr="00A76415">
        <w:rPr>
          <w:rFonts w:ascii="Arial" w:hAnsi="Arial" w:cs="Arial"/>
        </w:rPr>
        <w:br w:type="page"/>
      </w:r>
    </w:p>
    <w:p w14:paraId="56147938" w14:textId="77777777" w:rsidR="008A6B52" w:rsidRPr="00A76415" w:rsidRDefault="008A6B52" w:rsidP="008A6B52">
      <w:pPr>
        <w:pStyle w:val="Heading1"/>
        <w:rPr>
          <w:rFonts w:ascii="Arial" w:hAnsi="Arial" w:cs="Arial"/>
        </w:rPr>
      </w:pPr>
      <w:bookmarkStart w:id="0" w:name="_Toc193522051"/>
      <w:r w:rsidRPr="00A76415">
        <w:rPr>
          <w:rFonts w:ascii="Arial" w:hAnsi="Arial" w:cs="Arial"/>
        </w:rPr>
        <w:lastRenderedPageBreak/>
        <w:t>Introduction</w:t>
      </w:r>
      <w:bookmarkEnd w:id="0"/>
    </w:p>
    <w:p w14:paraId="395E7CC0" w14:textId="657B2C78" w:rsidR="000C586B" w:rsidRPr="00A76415" w:rsidRDefault="000C586B" w:rsidP="008A6B52">
      <w:pPr>
        <w:rPr>
          <w:rFonts w:ascii="Arial" w:hAnsi="Arial" w:cs="Arial"/>
        </w:rPr>
      </w:pPr>
      <w:r w:rsidRPr="00A76415">
        <w:rPr>
          <w:rFonts w:ascii="Arial" w:hAnsi="Arial" w:cs="Arial"/>
        </w:rPr>
        <w:t>Companies face a critical dilemma in today's dynamic business environment, to lead or follow the crowd. Both approaches have its special benefits and drawbacks. While a follower waits for the market to mature, learning from the mistakes and accomplishments of others who came before them, a pioneer initially joins the market typically with a fresh product or service that questions accepted wisdom</w:t>
      </w:r>
      <w:r w:rsidR="00A76415">
        <w:rPr>
          <w:rFonts w:ascii="Arial" w:hAnsi="Arial" w:cs="Arial"/>
          <w:lang w:val="en-US"/>
        </w:rPr>
        <w:t xml:space="preserve">. </w:t>
      </w:r>
      <w:r w:rsidR="00A76415" w:rsidRPr="00A76415">
        <w:rPr>
          <w:rFonts w:ascii="Arial" w:hAnsi="Arial" w:cs="Arial"/>
        </w:rPr>
        <w:t>Companies face a critical dilemma in today's dynamic business environment, to lead or follow the crowd. Both approaches have their special benefits and drawbacks. While a follower waits for the market to mature, learning from the mistakes and accomplishments of others who came before them, a pioneer initially joins the market typically with a fresh product or service that questions accepted wisdom</w:t>
      </w:r>
      <w:r w:rsidRPr="00A76415">
        <w:rPr>
          <w:rFonts w:ascii="Arial" w:hAnsi="Arial" w:cs="Arial"/>
        </w:rPr>
        <w:t xml:space="preserve"> (Mahapatra, Das and Narasimhan, 2019). Being a pioneer has first-mower advantages including brand recognition and the capacity to establish industry norms. High market uncertainty, significant investment in innovation, and the difficulty of keeping a competitive edge are among the high hazards involved, though. Conversely, as they can learn from the experiences of pioneers and take use of the market foundation set by them, followers gain from lowered risks (Hatch and Schultz, 2020.). To stand out in a crowded field, they must so put more effort. Examining companies like Ocado, Bulb Energy, and Monzo—pioneers in their respective domains—this essay investigates the benefits and drawbacks of being a follower or a pioneer in the market. From the follower standpoint, businesses include Sainsbury's ( Plant-based Products), HSBC Digital Banking, EE (5G) and will be covered (Anderson and Zeithaml, 2020). The paper will also explore how Product Life Cycle (PLC) techniques are used by pioneers and followers in the stages of growth and maturity to maintain a competitive edge and properly control market dynamics. By means of this study, the essay will clarify how businesses position themselves for long-term success in an environment growingly competitive and innovative.</w:t>
      </w:r>
    </w:p>
    <w:p w14:paraId="5841351B" w14:textId="77777777" w:rsidR="000C586B" w:rsidRPr="00A76415" w:rsidRDefault="000C586B" w:rsidP="008A6B52">
      <w:pPr>
        <w:rPr>
          <w:rFonts w:ascii="Arial" w:hAnsi="Arial" w:cs="Arial"/>
        </w:rPr>
      </w:pPr>
    </w:p>
    <w:p w14:paraId="5C7ACF21" w14:textId="77777777" w:rsidR="008A6B52" w:rsidRPr="00A76415" w:rsidRDefault="008A6B52" w:rsidP="008A6B52">
      <w:pPr>
        <w:pStyle w:val="Heading1"/>
        <w:rPr>
          <w:rFonts w:ascii="Arial" w:hAnsi="Arial" w:cs="Arial"/>
        </w:rPr>
      </w:pPr>
      <w:bookmarkStart w:id="1" w:name="_Toc193522052"/>
      <w:r w:rsidRPr="00A76415">
        <w:rPr>
          <w:rFonts w:ascii="Arial" w:hAnsi="Arial" w:cs="Arial"/>
        </w:rPr>
        <w:t>The Advantages of Being a Pioneer Company</w:t>
      </w:r>
      <w:bookmarkEnd w:id="1"/>
    </w:p>
    <w:p w14:paraId="6E6908A4" w14:textId="1A77CDF9" w:rsidR="008A6B52" w:rsidRPr="00A76415" w:rsidRDefault="008A6B52" w:rsidP="008A6B52">
      <w:pPr>
        <w:rPr>
          <w:rFonts w:ascii="Arial" w:hAnsi="Arial" w:cs="Arial"/>
        </w:rPr>
      </w:pPr>
      <w:r w:rsidRPr="00A76415">
        <w:rPr>
          <w:rFonts w:ascii="Arial" w:hAnsi="Arial" w:cs="Arial"/>
          <w:color w:val="000000"/>
        </w:rPr>
        <w:t xml:space="preserve">Standards of being a pioneer company produce multiple crucial benefits that ultimately lead to prolonged competitive stability in dynamic markets. The achievement of first-mover advantage serves as the primary benefit that allows companies to create initial </w:t>
      </w:r>
      <w:r w:rsidRPr="00A76415">
        <w:rPr>
          <w:rFonts w:ascii="Arial" w:hAnsi="Arial" w:cs="Arial"/>
          <w:color w:val="000000"/>
        </w:rPr>
        <w:lastRenderedPageBreak/>
        <w:t>brand recognition while establishing customer preferences and obtaining large market control before competitors enter the marketplace. Pioneering the market enables firms to create formidable brand value which subsequent competitors find hard to remove and which leads to lasting market competitiveness. For instance, Tesla, a pioneer in the electric vehicle (EV) industry, holds a dominant 65% share of the U.S. EV market as of 2023 (Birou, Fawcett and Magnan, 2023). The company holds its lead position because its superior technology meets customer EV perceptions which it has intentionally formed. The definition of electric vehicles as luxurious performance-oriented and environmentally friendly has allowed Tesla to create its position as an industry leader. The Psychological Ownership Theory strengthens this advantage through consumer experiences at initially establishing brands which both creates emotional brand commitment and minimises chances to switch to subsequent industry participants (Chellappa and Kumar, 2019). Pioneer companies obtain regulatory control through setting industrial standards that result in market-wide changes to the ecosystem. The Institutional Theory argues that initial market players shape social standards and determine the mandatory industry practices for upcoming competitors. Ocado served as a prime example when it started building the UK's first automatic warehouses for delivering groceries to residences. Ocado achieved operational enhancements while simultaneously establishing industry standards of technology for retail delivery which others needed to emulate. Amazon Fresh together with Tesco had to redesign their commercial approaches because consumers already held standards that came from the successful Ocado business model. Market pioneers gain long-term competitive advantages because their influence on market dynamics establishes considerable obstacles for future competitors entering the market.</w:t>
      </w:r>
    </w:p>
    <w:p w14:paraId="4E7D6BBF" w14:textId="77777777" w:rsidR="008A6B52" w:rsidRPr="00A76415" w:rsidRDefault="008A6B52" w:rsidP="008A6B52">
      <w:pPr>
        <w:rPr>
          <w:rFonts w:ascii="Arial" w:hAnsi="Arial" w:cs="Arial"/>
        </w:rPr>
      </w:pPr>
    </w:p>
    <w:p w14:paraId="3C9B5514" w14:textId="77777777" w:rsidR="008A6B52" w:rsidRPr="00A76415" w:rsidRDefault="008A6B52" w:rsidP="008A6B52">
      <w:pPr>
        <w:rPr>
          <w:rFonts w:ascii="Arial" w:hAnsi="Arial" w:cs="Arial"/>
        </w:rPr>
      </w:pPr>
      <w:r w:rsidRPr="00A76415">
        <w:rPr>
          <w:rFonts w:ascii="Arial" w:hAnsi="Arial" w:cs="Arial"/>
          <w:color w:val="000000"/>
        </w:rPr>
        <w:t xml:space="preserve">Firms that introduce new markets first gain exclusive access to memorable assets such as intellectual property (IP) and strategic partnerships which become unique resources. Pioneer businesses create market advantages by obtaining patents and trademarks along with exclusive agreements which enables them to establish vital supply networks and technology infrastructure. The stringent IP protections Apple used to launch the iPhone in 2007 stopped rival smartphone manufacturers from entering that market for an extended period (Golder and Tellis, 2022). The pioneer energy supplier Bulb Energy used its exclusive partnerships with clean energy </w:t>
      </w:r>
      <w:r w:rsidRPr="00A76415">
        <w:rPr>
          <w:rFonts w:ascii="Arial" w:hAnsi="Arial" w:cs="Arial"/>
          <w:color w:val="000000"/>
        </w:rPr>
        <w:lastRenderedPageBreak/>
        <w:t>suppliers alongside early customer agreements to protect its business control in the sector. An organisation's fundamental competitive advantage rests on unique resources whenever these resources exist as rare and hard to replicate according to the Resource-Based View (RBV) of the firm. As pioneer companies gain experience through their early market involvement they become able to achieve superior efficiency while decreasing costs together with innovation development over late-arrival competitors. The Boston Consulting Group (BCG) documents that leaders entering first markets achieve decreasing production costs by 30% through learned improvements accumulated during successive business cycles. The first-mover advantage of being an early market leader allowed Monzo to improve its application-based banking services thereby acquiring more than 7.4 million customers by 2023 (Rafiq and Fulford, 2023). By implementing user-driven development Monzo demonstrates early learning generates advanced customer satisfaction and cost leadership that becomes difficult for later entrants to match in quick succession.</w:t>
      </w:r>
    </w:p>
    <w:p w14:paraId="2E1BC02D" w14:textId="77777777" w:rsidR="008A6B52" w:rsidRPr="00A76415" w:rsidRDefault="008A6B52" w:rsidP="008A6B52">
      <w:pPr>
        <w:rPr>
          <w:rFonts w:ascii="Arial" w:hAnsi="Arial" w:cs="Arial"/>
        </w:rPr>
      </w:pPr>
    </w:p>
    <w:p w14:paraId="79A84500" w14:textId="75194F6A" w:rsidR="008A6B52" w:rsidRPr="00A76415" w:rsidRDefault="008A6B52" w:rsidP="008A6B52">
      <w:pPr>
        <w:rPr>
          <w:rFonts w:ascii="Arial" w:hAnsi="Arial" w:cs="Arial"/>
        </w:rPr>
      </w:pPr>
      <w:r w:rsidRPr="00A76415">
        <w:rPr>
          <w:rFonts w:ascii="Arial" w:hAnsi="Arial" w:cs="Arial"/>
          <w:color w:val="000000"/>
        </w:rPr>
        <w:t xml:space="preserve">Pioneering companies establish their positions in uncompetitive market areas known as Blue Ocean Strategies. Pure pioneering companies establish themselves by creating fresh market opportunities instead of trying to acquire existing customers thereby securing notable profit margins with fast marketplace growth. Beyond Meat has pioneered the plant-based meat substitute market to attract a current global revenue of $11.8 billion during 2023 (Rafiq and Fulford, 2023). The initial technological developments by Beyond Meat satisfied emerging customers who sought environmentally friendly alternatives and green products and enabled the company to set prices and product specifications in this new domain. Companies that market their products first obtain considerable proprietary data from customers that they can use for service customization and market trend prediction and innovation. The firm's early-mover status harmonises with the Dynamic Capabilities Theory since it allows businesses to change their capabilities and reshape abilities within quickly transforming environments. Spotify managed to become the first music streaming service with its early market entrance before building substantial user databases that guide its future AI-based recommendation engine and personalized customer programs. Establishing flexible capabilities within their operations lets pioneers retain </w:t>
      </w:r>
      <w:r w:rsidRPr="00A76415">
        <w:rPr>
          <w:rFonts w:ascii="Arial" w:hAnsi="Arial" w:cs="Arial"/>
          <w:color w:val="000000"/>
        </w:rPr>
        <w:lastRenderedPageBreak/>
        <w:t>their market responsiveness through changing conditions thus securing lasting competitive benefits despite new competitors entering their space.</w:t>
      </w:r>
    </w:p>
    <w:p w14:paraId="476C1C37" w14:textId="77777777" w:rsidR="008A6B52" w:rsidRPr="00A76415" w:rsidRDefault="008A6B52" w:rsidP="008A6B52">
      <w:pPr>
        <w:rPr>
          <w:rFonts w:ascii="Arial" w:hAnsi="Arial" w:cs="Arial"/>
        </w:rPr>
      </w:pPr>
    </w:p>
    <w:p w14:paraId="198356B4" w14:textId="77777777" w:rsidR="008A6B52" w:rsidRPr="00A76415" w:rsidRDefault="008A6B52" w:rsidP="008A6B52">
      <w:pPr>
        <w:pStyle w:val="Heading1"/>
        <w:rPr>
          <w:rFonts w:ascii="Arial" w:hAnsi="Arial" w:cs="Arial"/>
        </w:rPr>
      </w:pPr>
      <w:bookmarkStart w:id="2" w:name="_Toc193522053"/>
      <w:r w:rsidRPr="00A76415">
        <w:rPr>
          <w:rFonts w:ascii="Arial" w:hAnsi="Arial" w:cs="Arial"/>
        </w:rPr>
        <w:t>The Advantages of Being a Follower Company</w:t>
      </w:r>
      <w:bookmarkEnd w:id="2"/>
      <w:r w:rsidRPr="00A76415">
        <w:rPr>
          <w:rFonts w:ascii="Arial" w:hAnsi="Arial" w:cs="Arial"/>
        </w:rPr>
        <w:t> </w:t>
      </w:r>
    </w:p>
    <w:p w14:paraId="5EA2005F" w14:textId="543C3604" w:rsidR="008A6B52" w:rsidRPr="00A76415" w:rsidRDefault="008A6B52" w:rsidP="008A6B52">
      <w:pPr>
        <w:rPr>
          <w:rFonts w:ascii="Arial" w:hAnsi="Arial" w:cs="Arial"/>
        </w:rPr>
      </w:pPr>
      <w:r w:rsidRPr="00A76415">
        <w:rPr>
          <w:rFonts w:ascii="Arial" w:hAnsi="Arial" w:cs="Arial"/>
          <w:color w:val="000000"/>
        </w:rPr>
        <w:t>Established markets provide lower uncertainty to follower companies which secures them equally important strategic advantages. Following a pioneering firm enables followers to observe at least two valuable datasets including their errors and achievements which helps them launch better and customer-centric market entries. According to Organisational Learning Theory followers benefit from pioneer-generated knowledge to diminish market risks while optimising their product-market offerings. HSBC Digital Banking delayed entering the digital banking sector because consumer demand for mobile-first banking was proven by both Monzo and Starling Bank. Through its expertise in banking operations, HSBC selected key attributes from digital challengers to develop a complete financial solution which merges traditional banking security with logical digital features. Established market demand serves follower companies as they minimise their exposure to risks that accompany new market development. Followers benefit from entering markets where consumers already recognise their product since pioneers previously spent funds on building initial awareness of the new items. Diffusion of Innovation Theory explains that the adoption of innovation by first adopters creates readiness in most consumers for next-generation solutions. EE made its market entry into 5G after Verizon and T-Mobile established their 5G technology globally (Thietart and Vivas, 2022). EE established its position among consumers who already understood 5G after standards were defined because this positioning allowed EE to dedicate efforts toward competitive advantages such as expanded network coverage and improved customer service. Companies like EE prove followers can choose entry timing based on consumer market preparedness which helps them decrease development costs and concentrate on delivering high-quality service and market presence expansion.</w:t>
      </w:r>
    </w:p>
    <w:p w14:paraId="07F51335" w14:textId="77777777" w:rsidR="008A6B52" w:rsidRPr="00A76415" w:rsidRDefault="008A6B52" w:rsidP="008A6B52">
      <w:pPr>
        <w:rPr>
          <w:rFonts w:ascii="Arial" w:hAnsi="Arial" w:cs="Arial"/>
        </w:rPr>
      </w:pPr>
    </w:p>
    <w:p w14:paraId="5FEE91CC" w14:textId="100C008D" w:rsidR="008A6B52" w:rsidRPr="00A76415" w:rsidRDefault="008A6B52" w:rsidP="008A6B52">
      <w:pPr>
        <w:rPr>
          <w:rFonts w:ascii="Arial" w:hAnsi="Arial" w:cs="Arial"/>
        </w:rPr>
      </w:pPr>
      <w:r w:rsidRPr="00A76415">
        <w:rPr>
          <w:rFonts w:ascii="Arial" w:hAnsi="Arial" w:cs="Arial"/>
          <w:color w:val="000000"/>
        </w:rPr>
        <w:t xml:space="preserve">The follower companies avoid costly research and development expenses since they dedicate efforts toward innovative developments that enhance established products. Incremental Innovation Theory shows that the following companies can boost product </w:t>
      </w:r>
      <w:r w:rsidRPr="00A76415">
        <w:rPr>
          <w:rFonts w:ascii="Arial" w:hAnsi="Arial" w:cs="Arial"/>
          <w:color w:val="000000"/>
        </w:rPr>
        <w:lastRenderedPageBreak/>
        <w:t>performance customer care and operational stability through data analysis of pioneer products alongside consumer reaction patterns. The plant-based food market attracted Sainsbury’s following Tesco and Waitrose’s pioneer activity where they created a base of vegan and vegetarian consumer demand (Mecha, Martin and Ondieki, 2022). Sainsbury’s bypassed the concept introduction by expanding its product lineup and enhancing quality and sustainability attributes since the pioneers neglected these points. Profitable market entry for Sainsbury’s occurred through product refinement which brought in growing eco-conscious customers without the steep costs of market innovation and customer education. After their market entrance followers have an advantage of superior infrastructure and established distribution channels that help them surpass pioneers in speed of expansion. Traditional theory by Markides and Geroski (2005) explains how established firms dominate market sectors initially developed by resource-limited pioneer companies with their preexisting company resources. HSBC leveraged its established banking status alongside an extensive customer base and regulatory connexions to speed up the expansion of its digital banking operations above pioneering digital banks that needed to create trust first. Sainsbury's uses its extensive retail network to provide plant-based products across urban and regional areas thus extending better accessibility than pioneer competitors achieved.</w:t>
      </w:r>
    </w:p>
    <w:p w14:paraId="5E5C2C21" w14:textId="5BC52DAD" w:rsidR="008A6B52" w:rsidRPr="00A76415" w:rsidRDefault="008A6B52" w:rsidP="008A6B52">
      <w:pPr>
        <w:rPr>
          <w:rFonts w:ascii="Arial" w:hAnsi="Arial" w:cs="Arial"/>
        </w:rPr>
      </w:pPr>
      <w:r w:rsidRPr="00A76415">
        <w:rPr>
          <w:rFonts w:ascii="Arial" w:hAnsi="Arial" w:cs="Arial"/>
          <w:color w:val="000000"/>
        </w:rPr>
        <w:t>Following companies gain the benefit of observing gaps in pioneers' services so they can create customised improvements to attract customers better. Novel competitors introduce new products swiftly but may neglect vital elements such as individual customer requirements quality service methods and customer-specific needs. Followers can exploit these gaps. EE concentrated its resources on delivering high-quality 5G services quickly across the UK because it differentiated itself from other competitors by placing quality over pure novelty. The implementation of continuous feedback-based improvements enables followers like EE to deliver higher value propositions that enable them to obtain substantial market penetration despite arriving after initial competitors. Lower costs for followers arise from reduced expenses in marketing as well as research and development programmes</w:t>
      </w:r>
      <w:r w:rsidR="00A76415" w:rsidRPr="00A76415">
        <w:rPr>
          <w:rFonts w:ascii="Arial" w:hAnsi="Arial" w:cs="Arial"/>
          <w:color w:val="000000"/>
          <w:lang w:val="en-US"/>
        </w:rPr>
        <w:t xml:space="preserve"> </w:t>
      </w:r>
      <w:r w:rsidR="00A76415" w:rsidRPr="00A76415">
        <w:rPr>
          <w:rFonts w:ascii="Arial" w:hAnsi="Arial" w:cs="Arial"/>
          <w:color w:val="000000"/>
        </w:rPr>
        <w:t>(Mecha, Martin and Ondieki, 2022)</w:t>
      </w:r>
      <w:r w:rsidRPr="00A76415">
        <w:rPr>
          <w:rFonts w:ascii="Arial" w:hAnsi="Arial" w:cs="Arial"/>
          <w:color w:val="000000"/>
        </w:rPr>
        <w:t xml:space="preserve">. Followers in this market achieve price competitiveness without losing product quality which draws price-conscious customers toward their offerings. Sainsbury’s entered the plant-based foods competition by making accessible multiple </w:t>
      </w:r>
      <w:r w:rsidRPr="00A76415">
        <w:rPr>
          <w:rFonts w:ascii="Arial" w:hAnsi="Arial" w:cs="Arial"/>
          <w:color w:val="000000"/>
        </w:rPr>
        <w:lastRenderedPageBreak/>
        <w:t>products at reasonable prices that worked for mainstream consumers beyond the limited audience that premium-priced initial products could reach. By combining low pricing strategies with their trusted brand name Sainsbury's successfully expanded its market reach to casual customers who went beyond original early adopters.</w:t>
      </w:r>
    </w:p>
    <w:p w14:paraId="0D466EAE" w14:textId="1DF668B3" w:rsidR="008A6B52" w:rsidRPr="00A76415" w:rsidRDefault="008A6B52" w:rsidP="008A6B52">
      <w:pPr>
        <w:pStyle w:val="Heading1"/>
        <w:rPr>
          <w:rFonts w:ascii="Arial" w:hAnsi="Arial" w:cs="Arial"/>
        </w:rPr>
      </w:pPr>
      <w:r w:rsidRPr="00A76415">
        <w:rPr>
          <w:rFonts w:ascii="Arial" w:hAnsi="Arial" w:cs="Arial"/>
        </w:rPr>
        <w:br/>
      </w:r>
      <w:bookmarkStart w:id="3" w:name="_Toc193522054"/>
      <w:r w:rsidRPr="00A76415">
        <w:rPr>
          <w:rFonts w:ascii="Arial" w:hAnsi="Arial" w:cs="Arial"/>
        </w:rPr>
        <w:t>PLC Strategies in the Growth and Maturity Stages</w:t>
      </w:r>
      <w:bookmarkEnd w:id="3"/>
      <w:r w:rsidRPr="00A76415">
        <w:rPr>
          <w:rFonts w:ascii="Arial" w:hAnsi="Arial" w:cs="Arial"/>
        </w:rPr>
        <w:t> </w:t>
      </w:r>
    </w:p>
    <w:p w14:paraId="6210C441" w14:textId="7858C771" w:rsidR="008A6B52" w:rsidRPr="00A76415" w:rsidRDefault="008A6B52" w:rsidP="008A6B52">
      <w:pPr>
        <w:rPr>
          <w:rFonts w:ascii="Arial" w:hAnsi="Arial" w:cs="Arial"/>
        </w:rPr>
      </w:pPr>
      <w:r w:rsidRPr="00A76415">
        <w:rPr>
          <w:rFonts w:ascii="Arial" w:hAnsi="Arial" w:cs="Arial"/>
          <w:color w:val="000000"/>
        </w:rPr>
        <w:t>The Product Life Cycle (PLC) provides valuable guidance for companies to develop strategies during their target market phase specifically targeting growth-stage customers alongside those in the maturing stage. Ocado and similar pioneering companies needed to expand their operations quickly to satisfy the growing need for their online grocery business. Ocado used its resources to build up automated warehouse capacity and optimise distribution networks to satisfy customers while maximising operational performance</w:t>
      </w:r>
      <w:r w:rsidR="00A76415" w:rsidRPr="00A76415">
        <w:rPr>
          <w:rFonts w:ascii="Arial" w:hAnsi="Arial" w:cs="Arial"/>
          <w:color w:val="000000"/>
          <w:lang w:val="en-US"/>
        </w:rPr>
        <w:t xml:space="preserve"> </w:t>
      </w:r>
      <w:r w:rsidR="00A76415" w:rsidRPr="00A76415">
        <w:rPr>
          <w:rFonts w:ascii="Arial" w:hAnsi="Arial" w:cs="Arial"/>
          <w:color w:val="000000"/>
        </w:rPr>
        <w:t>(Mecha, Martin and Ondieki, 2022)</w:t>
      </w:r>
      <w:r w:rsidRPr="00A76415">
        <w:rPr>
          <w:rFonts w:ascii="Arial" w:hAnsi="Arial" w:cs="Arial"/>
          <w:color w:val="000000"/>
        </w:rPr>
        <w:t>. The company needed to use customer feedback to refine its products and services to defend its market leadership against Amazon Fresh and Tesco. The growth stage of Bulb Energy focused on gaining new customers through aggressive strategies that also protected its main value proposition of affordable green energy. Through seamless customer interaction tools and clear pricing displays Bulb distinguished itself as an energy company while catering to environmental concerns growing among common people</w:t>
      </w:r>
      <w:r w:rsidR="00A76415" w:rsidRPr="00A76415">
        <w:rPr>
          <w:rFonts w:ascii="Arial" w:hAnsi="Arial" w:cs="Arial"/>
          <w:color w:val="000000"/>
          <w:lang w:val="en-US"/>
        </w:rPr>
        <w:t xml:space="preserve"> </w:t>
      </w:r>
      <w:r w:rsidR="00A76415" w:rsidRPr="00A76415">
        <w:rPr>
          <w:rFonts w:ascii="Arial" w:hAnsi="Arial" w:cs="Arial"/>
          <w:color w:val="000000"/>
        </w:rPr>
        <w:t>(MoyoTalak, 2021)</w:t>
      </w:r>
      <w:r w:rsidRPr="00A76415">
        <w:rPr>
          <w:rFonts w:ascii="Arial" w:hAnsi="Arial" w:cs="Arial"/>
          <w:color w:val="000000"/>
        </w:rPr>
        <w:t>.</w:t>
      </w:r>
    </w:p>
    <w:p w14:paraId="3845D08C" w14:textId="77777777" w:rsidR="008A6B52" w:rsidRPr="00A76415" w:rsidRDefault="008A6B52" w:rsidP="008A6B52">
      <w:pPr>
        <w:rPr>
          <w:rFonts w:ascii="Arial" w:hAnsi="Arial" w:cs="Arial"/>
        </w:rPr>
      </w:pPr>
      <w:r w:rsidRPr="00A76415">
        <w:rPr>
          <w:rFonts w:ascii="Arial" w:hAnsi="Arial" w:cs="Arial"/>
          <w:color w:val="000000"/>
        </w:rPr>
        <w:t xml:space="preserve">Pioneers who advance into maturity need to balance diverse business interests and keep existing customers because their expansion rate has started to decrease. When digital bank Monzo experienced rapid expansion the organisation chose to enter the maturity stage by expanding its services to include deposits, lending products and investment capabilities. OPSIS proved useful for Monzo to strengthen relationships with their existing customers and gain new market segments during this competitive period (McDougall, 2021). The company boosted user satisfaction by striving to improve its application system and customer support through regular updates. Market follower companies use the initiatives created by pioneers to carefully select entry points while the market experiences growth. The launch of HSBC Digital Banking happened after Monzo and other pioneering mobile banking providers proved that users want smartphone-based banking. The growth stage of HSBC centred on </w:t>
      </w:r>
      <w:r w:rsidRPr="00A76415">
        <w:rPr>
          <w:rFonts w:ascii="Arial" w:hAnsi="Arial" w:cs="Arial"/>
          <w:color w:val="000000"/>
        </w:rPr>
        <w:lastRenderedPageBreak/>
        <w:t>merging digital banking functions with an expanded financial service platform which attracted enthusiasts of both traditional banking and modern customers (MoyoTalak, 2021). Through its consolidated brand power and regulatory authority HSBC maintained quick digital platform development while providing customers with innovative features with proven institutional security.</w:t>
      </w:r>
    </w:p>
    <w:p w14:paraId="695E6A04" w14:textId="68B09A1E" w:rsidR="008A6B52" w:rsidRPr="00A76415" w:rsidRDefault="008A6B52" w:rsidP="008A6B52">
      <w:pPr>
        <w:rPr>
          <w:rFonts w:ascii="Arial" w:hAnsi="Arial" w:cs="Arial"/>
        </w:rPr>
      </w:pPr>
      <w:r w:rsidRPr="00A76415">
        <w:rPr>
          <w:rFonts w:ascii="Arial" w:hAnsi="Arial" w:cs="Arial"/>
          <w:color w:val="000000"/>
        </w:rPr>
        <w:t xml:space="preserve">In the 5G market EE adopts a follower’s growth strategy by concentrating on expeditious network development coupled with service dependability goals. EE can quickly roll out 5G across the UK by using its current infrastructure to establish premium network connexions and service quality. EE targeted international telecom competitors through its growth plan by making customer satisfaction and superior services their primary differentiating elements </w:t>
      </w:r>
      <w:r w:rsidR="00A76415" w:rsidRPr="00A76415">
        <w:rPr>
          <w:rFonts w:ascii="Arial" w:hAnsi="Arial" w:cs="Arial"/>
          <w:color w:val="000000"/>
        </w:rPr>
        <w:t>(MoyoTalak, 2021)</w:t>
      </w:r>
      <w:r w:rsidRPr="00A76415">
        <w:rPr>
          <w:rFonts w:ascii="Arial" w:hAnsi="Arial" w:cs="Arial"/>
          <w:color w:val="000000"/>
        </w:rPr>
        <w:t>. During their maturity phase followers like Sainsbury’s expand their product lines to achieve market differentiation in established markets. During the maturity stage, Sainsbury’s followed Tesco into plant-based products by introducing additional plant-based choices to appeal to customers who prioritised sustainability and health. Sainsbury's maintains a competitive position in the mature plant-based market by delivering top-quality products at affordable prices with accessible shopping options (Nasır, 2022). Pioneers along with followers adopt customised PLC plans that base their strategies on adjustments such as scaling to meet both phases of growth and maturity efficiently.</w:t>
      </w:r>
    </w:p>
    <w:p w14:paraId="4A96BE25" w14:textId="77777777" w:rsidR="008A6B52" w:rsidRPr="00A76415" w:rsidRDefault="008A6B52" w:rsidP="008A6B52">
      <w:pPr>
        <w:rPr>
          <w:rFonts w:ascii="Arial" w:hAnsi="Arial" w:cs="Arial"/>
        </w:rPr>
      </w:pPr>
    </w:p>
    <w:p w14:paraId="775E22A7" w14:textId="6D82B641" w:rsidR="008A6B52" w:rsidRPr="00A76415" w:rsidRDefault="008A6B52" w:rsidP="008A6B52">
      <w:pPr>
        <w:pStyle w:val="Heading1"/>
        <w:rPr>
          <w:rFonts w:ascii="Arial" w:hAnsi="Arial" w:cs="Arial"/>
        </w:rPr>
      </w:pPr>
      <w:bookmarkStart w:id="4" w:name="_Toc193522055"/>
      <w:r w:rsidRPr="00A76415">
        <w:rPr>
          <w:rFonts w:ascii="Arial" w:hAnsi="Arial" w:cs="Arial"/>
        </w:rPr>
        <w:t>Conclusion</w:t>
      </w:r>
      <w:bookmarkEnd w:id="4"/>
    </w:p>
    <w:p w14:paraId="7164497D" w14:textId="4702F0EB" w:rsidR="008A6B52" w:rsidRPr="00A76415" w:rsidRDefault="008A6B52" w:rsidP="008A6B52">
      <w:pPr>
        <w:rPr>
          <w:rFonts w:ascii="Arial" w:hAnsi="Arial" w:cs="Arial"/>
        </w:rPr>
      </w:pPr>
      <w:r w:rsidRPr="00A76415">
        <w:rPr>
          <w:rFonts w:ascii="Arial" w:hAnsi="Arial" w:cs="Arial"/>
          <w:color w:val="000000"/>
        </w:rPr>
        <w:t xml:space="preserve">The choice between market leadership and market follower position hinges on conditions in the market alongside behavioural patterns of consumers alongside technological breakthroughs. Through their strategic actions, Ocado Bulb Energy and Monzo have established themselves as leaders by developing unprecedented market sectors gaining loyal customer bases and establishing sector guidelines. Pioneering brings both development costs along market unpredictability together with the requirement for perpetual innovation. Existing validated markets allow HSBC Digital Banking as well as EE (5G) and Sainsbury’s (Plant-based Products) to enter follower positions. The reduction of market risks becomes possible when businesses observe the previous mistakes of pioneers while utilising existing infrastructure to create better versions of produced goods. Companies taking the follower role need to create unique </w:t>
      </w:r>
      <w:r w:rsidRPr="00A76415">
        <w:rPr>
          <w:rFonts w:ascii="Arial" w:hAnsi="Arial" w:cs="Arial"/>
          <w:color w:val="000000"/>
        </w:rPr>
        <w:lastRenderedPageBreak/>
        <w:t>market advantages and continuously innovate when they face competition in well-established markets. Both pioneers and their following competitors use the Product Life Cycle (PLC) model to develop their strategies throughout the market growth and expansion periods (Vrontis, 2019). Competing groups need to keep transforming their operations based on evolving market expectations industry trends and competitive forces to stay ahead. By developing strategic plans and embracing innovation and market adjustment methods both initial market entry companies and latecomers achieve enduring success in competitive market environments.</w:t>
      </w:r>
    </w:p>
    <w:p w14:paraId="2F64451C" w14:textId="77777777" w:rsidR="008A6B52" w:rsidRPr="00A76415" w:rsidRDefault="008A6B52" w:rsidP="008A6B52">
      <w:pPr>
        <w:rPr>
          <w:rFonts w:ascii="Arial" w:hAnsi="Arial" w:cs="Arial"/>
        </w:rPr>
      </w:pPr>
    </w:p>
    <w:p w14:paraId="364108EE" w14:textId="77777777" w:rsidR="008A6B52" w:rsidRPr="00A76415" w:rsidRDefault="008A6B52">
      <w:pPr>
        <w:spacing w:after="160" w:line="259" w:lineRule="auto"/>
        <w:jc w:val="left"/>
        <w:rPr>
          <w:rFonts w:ascii="Arial" w:hAnsi="Arial" w:cs="Arial"/>
          <w:color w:val="000000"/>
        </w:rPr>
      </w:pPr>
      <w:r w:rsidRPr="00A76415">
        <w:rPr>
          <w:rFonts w:ascii="Arial" w:hAnsi="Arial" w:cs="Arial"/>
          <w:color w:val="000000"/>
        </w:rPr>
        <w:br w:type="page"/>
      </w:r>
    </w:p>
    <w:p w14:paraId="34BC1106" w14:textId="574CBED0" w:rsidR="008A6B52" w:rsidRPr="00A76415" w:rsidRDefault="008A6B52" w:rsidP="008A6B52">
      <w:pPr>
        <w:pStyle w:val="Heading1"/>
        <w:rPr>
          <w:rFonts w:ascii="Arial" w:hAnsi="Arial" w:cs="Arial"/>
        </w:rPr>
      </w:pPr>
      <w:bookmarkStart w:id="5" w:name="_Toc193522056"/>
      <w:r w:rsidRPr="00A76415">
        <w:rPr>
          <w:rFonts w:ascii="Arial" w:hAnsi="Arial" w:cs="Arial"/>
        </w:rPr>
        <w:lastRenderedPageBreak/>
        <w:t>Reference</w:t>
      </w:r>
      <w:bookmarkEnd w:id="5"/>
    </w:p>
    <w:p w14:paraId="2DE5E275" w14:textId="77777777" w:rsidR="008A6B52" w:rsidRPr="00A76415" w:rsidRDefault="008A6B52" w:rsidP="008A6B52">
      <w:pPr>
        <w:rPr>
          <w:rFonts w:ascii="Arial" w:hAnsi="Arial" w:cs="Arial"/>
        </w:rPr>
      </w:pPr>
      <w:r w:rsidRPr="00A76415">
        <w:rPr>
          <w:rFonts w:ascii="Arial" w:hAnsi="Arial" w:cs="Arial"/>
          <w:color w:val="000000"/>
        </w:rPr>
        <w:t xml:space="preserve">Anderson, C.R. and Zeithaml, C.P. (2020) 'Stage of the product life cycle, business strategy, and business performance,' </w:t>
      </w:r>
      <w:r w:rsidRPr="00A76415">
        <w:rPr>
          <w:rFonts w:ascii="Arial" w:hAnsi="Arial" w:cs="Arial"/>
          <w:i/>
          <w:iCs/>
          <w:color w:val="000000"/>
        </w:rPr>
        <w:t>Academy of Management Journal</w:t>
      </w:r>
      <w:r w:rsidRPr="00A76415">
        <w:rPr>
          <w:rFonts w:ascii="Arial" w:hAnsi="Arial" w:cs="Arial"/>
          <w:color w:val="000000"/>
        </w:rPr>
        <w:t xml:space="preserve">, 27(1), pp. 5–24. </w:t>
      </w:r>
      <w:hyperlink r:id="rId9" w:history="1">
        <w:r w:rsidRPr="00A76415">
          <w:rPr>
            <w:rStyle w:val="Hyperlink"/>
            <w:rFonts w:ascii="Arial" w:eastAsiaTheme="majorEastAsia" w:hAnsi="Arial" w:cs="Arial"/>
            <w:color w:val="1155CC"/>
          </w:rPr>
          <w:t>https://doi.org/10.5465/255954</w:t>
        </w:r>
      </w:hyperlink>
      <w:r w:rsidRPr="00A76415">
        <w:rPr>
          <w:rFonts w:ascii="Arial" w:hAnsi="Arial" w:cs="Arial"/>
          <w:color w:val="000000"/>
        </w:rPr>
        <w:t>.</w:t>
      </w:r>
    </w:p>
    <w:p w14:paraId="672D5CB9" w14:textId="77777777" w:rsidR="008A6B52" w:rsidRPr="00A76415" w:rsidRDefault="008A6B52" w:rsidP="008A6B52">
      <w:pPr>
        <w:rPr>
          <w:rFonts w:ascii="Arial" w:hAnsi="Arial" w:cs="Arial"/>
        </w:rPr>
      </w:pPr>
      <w:r w:rsidRPr="00A76415">
        <w:rPr>
          <w:rFonts w:ascii="Arial" w:hAnsi="Arial" w:cs="Arial"/>
          <w:color w:val="000000"/>
        </w:rPr>
        <w:t xml:space="preserve">Birou, L., Fawcett, S.E. and Magnan, G.M. (2023) 'Integrating product life cycle and purchasing strategies,' </w:t>
      </w:r>
      <w:r w:rsidRPr="00A76415">
        <w:rPr>
          <w:rFonts w:ascii="Arial" w:hAnsi="Arial" w:cs="Arial"/>
          <w:i/>
          <w:iCs/>
          <w:color w:val="000000"/>
        </w:rPr>
        <w:t>International Journal of Purchasing and Materials Management</w:t>
      </w:r>
      <w:r w:rsidRPr="00A76415">
        <w:rPr>
          <w:rFonts w:ascii="Arial" w:hAnsi="Arial" w:cs="Arial"/>
          <w:color w:val="000000"/>
        </w:rPr>
        <w:t xml:space="preserve">, 33(4), pp. 23–31. </w:t>
      </w:r>
      <w:hyperlink r:id="rId10" w:history="1">
        <w:r w:rsidRPr="00A76415">
          <w:rPr>
            <w:rStyle w:val="Hyperlink"/>
            <w:rFonts w:ascii="Arial" w:eastAsiaTheme="majorEastAsia" w:hAnsi="Arial" w:cs="Arial"/>
            <w:color w:val="1155CC"/>
          </w:rPr>
          <w:t>https://doi.org/10.1111/j.1745-493x.1997.tb00022.x</w:t>
        </w:r>
      </w:hyperlink>
      <w:r w:rsidRPr="00A76415">
        <w:rPr>
          <w:rFonts w:ascii="Arial" w:hAnsi="Arial" w:cs="Arial"/>
          <w:color w:val="000000"/>
        </w:rPr>
        <w:t>.</w:t>
      </w:r>
    </w:p>
    <w:p w14:paraId="524B0437" w14:textId="77777777" w:rsidR="008A6B52" w:rsidRPr="00A76415" w:rsidRDefault="008A6B52" w:rsidP="008A6B52">
      <w:pPr>
        <w:rPr>
          <w:rFonts w:ascii="Arial" w:hAnsi="Arial" w:cs="Arial"/>
        </w:rPr>
      </w:pPr>
      <w:r w:rsidRPr="00A76415">
        <w:rPr>
          <w:rFonts w:ascii="Arial" w:hAnsi="Arial" w:cs="Arial"/>
          <w:color w:val="000000"/>
        </w:rPr>
        <w:t xml:space="preserve">Chellappa, R.K. and Kumar, K.R. (2019) 'Examining the Role of ‘Free’ Product-Augmenting Online Services in pricing and customer retention strategies,' </w:t>
      </w:r>
      <w:r w:rsidRPr="00A76415">
        <w:rPr>
          <w:rFonts w:ascii="Arial" w:hAnsi="Arial" w:cs="Arial"/>
          <w:i/>
          <w:iCs/>
          <w:color w:val="000000"/>
        </w:rPr>
        <w:t>Journal of Management Information Systems</w:t>
      </w:r>
      <w:r w:rsidRPr="00A76415">
        <w:rPr>
          <w:rFonts w:ascii="Arial" w:hAnsi="Arial" w:cs="Arial"/>
          <w:color w:val="000000"/>
        </w:rPr>
        <w:t xml:space="preserve">, 22(1), pp. 355–377. </w:t>
      </w:r>
      <w:hyperlink r:id="rId11" w:history="1">
        <w:r w:rsidRPr="00A76415">
          <w:rPr>
            <w:rStyle w:val="Hyperlink"/>
            <w:rFonts w:ascii="Arial" w:eastAsiaTheme="majorEastAsia" w:hAnsi="Arial" w:cs="Arial"/>
            <w:color w:val="1155CC"/>
          </w:rPr>
          <w:t>https://doi.org/10.1080/07421222.2003.11045834</w:t>
        </w:r>
      </w:hyperlink>
      <w:r w:rsidRPr="00A76415">
        <w:rPr>
          <w:rFonts w:ascii="Arial" w:hAnsi="Arial" w:cs="Arial"/>
          <w:color w:val="000000"/>
        </w:rPr>
        <w:t>.</w:t>
      </w:r>
    </w:p>
    <w:p w14:paraId="22ED981C" w14:textId="77777777" w:rsidR="008A6B52" w:rsidRPr="00A76415" w:rsidRDefault="008A6B52" w:rsidP="008A6B52">
      <w:pPr>
        <w:rPr>
          <w:rFonts w:ascii="Arial" w:hAnsi="Arial" w:cs="Arial"/>
        </w:rPr>
      </w:pPr>
      <w:r w:rsidRPr="00A76415">
        <w:rPr>
          <w:rFonts w:ascii="Arial" w:hAnsi="Arial" w:cs="Arial"/>
          <w:color w:val="000000"/>
        </w:rPr>
        <w:t xml:space="preserve">Golder, P.N. and Tellis, G.J. (2022) 'Pioneer advantage: marketing logic or marketing Legend?,' </w:t>
      </w:r>
      <w:r w:rsidRPr="00A76415">
        <w:rPr>
          <w:rFonts w:ascii="Arial" w:hAnsi="Arial" w:cs="Arial"/>
          <w:i/>
          <w:iCs/>
          <w:color w:val="000000"/>
        </w:rPr>
        <w:t>Journal of Marketing Research</w:t>
      </w:r>
      <w:r w:rsidRPr="00A76415">
        <w:rPr>
          <w:rFonts w:ascii="Arial" w:hAnsi="Arial" w:cs="Arial"/>
          <w:color w:val="000000"/>
        </w:rPr>
        <w:t xml:space="preserve">, 30(2), p. 158. </w:t>
      </w:r>
      <w:hyperlink r:id="rId12" w:history="1">
        <w:r w:rsidRPr="00A76415">
          <w:rPr>
            <w:rStyle w:val="Hyperlink"/>
            <w:rFonts w:ascii="Arial" w:eastAsiaTheme="majorEastAsia" w:hAnsi="Arial" w:cs="Arial"/>
            <w:color w:val="1155CC"/>
          </w:rPr>
          <w:t>https://doi.org/10.2307/3172825</w:t>
        </w:r>
      </w:hyperlink>
      <w:r w:rsidRPr="00A76415">
        <w:rPr>
          <w:rFonts w:ascii="Arial" w:hAnsi="Arial" w:cs="Arial"/>
          <w:color w:val="000000"/>
        </w:rPr>
        <w:t>.</w:t>
      </w:r>
    </w:p>
    <w:p w14:paraId="0FF133C1" w14:textId="77777777" w:rsidR="008A6B52" w:rsidRPr="00A76415" w:rsidRDefault="008A6B52" w:rsidP="008A6B52">
      <w:pPr>
        <w:rPr>
          <w:rFonts w:ascii="Arial" w:hAnsi="Arial" w:cs="Arial"/>
        </w:rPr>
      </w:pPr>
      <w:r w:rsidRPr="00A76415">
        <w:rPr>
          <w:rFonts w:ascii="Arial" w:hAnsi="Arial" w:cs="Arial"/>
          <w:color w:val="000000"/>
        </w:rPr>
        <w:t xml:space="preserve">Hatch, M.J. and Schultz, M. (2020) 'Bringing the corporation into corporate branding,' </w:t>
      </w:r>
      <w:r w:rsidRPr="00A76415">
        <w:rPr>
          <w:rFonts w:ascii="Arial" w:hAnsi="Arial" w:cs="Arial"/>
          <w:i/>
          <w:iCs/>
          <w:color w:val="000000"/>
        </w:rPr>
        <w:t>European Journal of Marketing</w:t>
      </w:r>
      <w:r w:rsidRPr="00A76415">
        <w:rPr>
          <w:rFonts w:ascii="Arial" w:hAnsi="Arial" w:cs="Arial"/>
          <w:color w:val="000000"/>
        </w:rPr>
        <w:t xml:space="preserve">, 37(7/8), pp. 1041–1064. </w:t>
      </w:r>
      <w:hyperlink r:id="rId13" w:history="1">
        <w:r w:rsidRPr="00A76415">
          <w:rPr>
            <w:rStyle w:val="Hyperlink"/>
            <w:rFonts w:ascii="Arial" w:eastAsiaTheme="majorEastAsia" w:hAnsi="Arial" w:cs="Arial"/>
            <w:color w:val="1155CC"/>
          </w:rPr>
          <w:t>https://doi.org/10.1108/03090560310477654</w:t>
        </w:r>
      </w:hyperlink>
      <w:r w:rsidRPr="00A76415">
        <w:rPr>
          <w:rFonts w:ascii="Arial" w:hAnsi="Arial" w:cs="Arial"/>
          <w:color w:val="000000"/>
        </w:rPr>
        <w:t>.</w:t>
      </w:r>
    </w:p>
    <w:p w14:paraId="6C056915" w14:textId="77777777" w:rsidR="008A6B52" w:rsidRPr="00A76415" w:rsidRDefault="008A6B52" w:rsidP="008A6B52">
      <w:pPr>
        <w:rPr>
          <w:rFonts w:ascii="Arial" w:hAnsi="Arial" w:cs="Arial"/>
        </w:rPr>
      </w:pPr>
      <w:r w:rsidRPr="00A76415">
        <w:rPr>
          <w:rFonts w:ascii="Arial" w:hAnsi="Arial" w:cs="Arial"/>
          <w:color w:val="000000"/>
        </w:rPr>
        <w:t xml:space="preserve">Mahapatra, S.K., Das, A. and Narasimhan, R. (2019) 'A contingent theory of supplier management initiatives: Effects of competitive intensity and product life cycle,' </w:t>
      </w:r>
      <w:r w:rsidRPr="00A76415">
        <w:rPr>
          <w:rFonts w:ascii="Arial" w:hAnsi="Arial" w:cs="Arial"/>
          <w:i/>
          <w:iCs/>
          <w:color w:val="000000"/>
        </w:rPr>
        <w:t>Journal of Operations Management</w:t>
      </w:r>
      <w:r w:rsidRPr="00A76415">
        <w:rPr>
          <w:rFonts w:ascii="Arial" w:hAnsi="Arial" w:cs="Arial"/>
          <w:color w:val="000000"/>
        </w:rPr>
        <w:t xml:space="preserve">, 30(5), pp. 406–422. </w:t>
      </w:r>
      <w:hyperlink r:id="rId14" w:history="1">
        <w:r w:rsidRPr="00A76415">
          <w:rPr>
            <w:rStyle w:val="Hyperlink"/>
            <w:rFonts w:ascii="Arial" w:eastAsiaTheme="majorEastAsia" w:hAnsi="Arial" w:cs="Arial"/>
            <w:color w:val="1155CC"/>
          </w:rPr>
          <w:t>https://doi.org/10.1016/j.jom.2012.03.004</w:t>
        </w:r>
      </w:hyperlink>
      <w:r w:rsidRPr="00A76415">
        <w:rPr>
          <w:rFonts w:ascii="Arial" w:hAnsi="Arial" w:cs="Arial"/>
          <w:color w:val="000000"/>
        </w:rPr>
        <w:t>.</w:t>
      </w:r>
    </w:p>
    <w:p w14:paraId="269D3B06" w14:textId="77777777" w:rsidR="008A6B52" w:rsidRPr="00A76415" w:rsidRDefault="008A6B52" w:rsidP="008A6B52">
      <w:pPr>
        <w:rPr>
          <w:rFonts w:ascii="Arial" w:hAnsi="Arial" w:cs="Arial"/>
        </w:rPr>
      </w:pPr>
      <w:r w:rsidRPr="00A76415">
        <w:rPr>
          <w:rFonts w:ascii="Arial" w:hAnsi="Arial" w:cs="Arial"/>
          <w:color w:val="000000"/>
        </w:rPr>
        <w:t xml:space="preserve">McDougall, G. (2021) 'Customer retention strategies,' </w:t>
      </w:r>
      <w:r w:rsidRPr="00A76415">
        <w:rPr>
          <w:rFonts w:ascii="Arial" w:hAnsi="Arial" w:cs="Arial"/>
          <w:i/>
          <w:iCs/>
          <w:color w:val="000000"/>
        </w:rPr>
        <w:t>Services Marketing Quarterly</w:t>
      </w:r>
      <w:r w:rsidRPr="00A76415">
        <w:rPr>
          <w:rFonts w:ascii="Arial" w:hAnsi="Arial" w:cs="Arial"/>
          <w:color w:val="000000"/>
        </w:rPr>
        <w:t xml:space="preserve">, 22(1), pp. 39–55. </w:t>
      </w:r>
      <w:hyperlink r:id="rId15" w:history="1">
        <w:r w:rsidRPr="00A76415">
          <w:rPr>
            <w:rStyle w:val="Hyperlink"/>
            <w:rFonts w:ascii="Arial" w:eastAsiaTheme="majorEastAsia" w:hAnsi="Arial" w:cs="Arial"/>
            <w:color w:val="1155CC"/>
          </w:rPr>
          <w:t>https://doi.org/10.1300/j396v22n01_04</w:t>
        </w:r>
      </w:hyperlink>
      <w:r w:rsidRPr="00A76415">
        <w:rPr>
          <w:rFonts w:ascii="Arial" w:hAnsi="Arial" w:cs="Arial"/>
          <w:color w:val="000000"/>
        </w:rPr>
        <w:t>.</w:t>
      </w:r>
    </w:p>
    <w:p w14:paraId="78EE1A56" w14:textId="77777777" w:rsidR="008A6B52" w:rsidRPr="00A76415" w:rsidRDefault="008A6B52" w:rsidP="008A6B52">
      <w:pPr>
        <w:rPr>
          <w:rFonts w:ascii="Arial" w:hAnsi="Arial" w:cs="Arial"/>
        </w:rPr>
      </w:pPr>
      <w:r w:rsidRPr="00A76415">
        <w:rPr>
          <w:rFonts w:ascii="Arial" w:hAnsi="Arial" w:cs="Arial"/>
          <w:color w:val="000000"/>
        </w:rPr>
        <w:t xml:space="preserve">Mecha, E.K., Martin, O. and Ondieki, S.M. (2022) 'Effectiveness of customer retention strategies: A case of commercial banks, Kenya,' </w:t>
      </w:r>
      <w:r w:rsidRPr="00A76415">
        <w:rPr>
          <w:rFonts w:ascii="Arial" w:hAnsi="Arial" w:cs="Arial"/>
          <w:i/>
          <w:iCs/>
          <w:color w:val="000000"/>
        </w:rPr>
        <w:t>International Journal of Business and Management</w:t>
      </w:r>
      <w:r w:rsidRPr="00A76415">
        <w:rPr>
          <w:rFonts w:ascii="Arial" w:hAnsi="Arial" w:cs="Arial"/>
          <w:color w:val="000000"/>
        </w:rPr>
        <w:t xml:space="preserve">, 10(10). </w:t>
      </w:r>
      <w:hyperlink r:id="rId16" w:history="1">
        <w:r w:rsidRPr="00A76415">
          <w:rPr>
            <w:rStyle w:val="Hyperlink"/>
            <w:rFonts w:ascii="Arial" w:eastAsiaTheme="majorEastAsia" w:hAnsi="Arial" w:cs="Arial"/>
            <w:color w:val="1155CC"/>
          </w:rPr>
          <w:t>https://doi.org/10.5539/ijbm.v10n10p270</w:t>
        </w:r>
      </w:hyperlink>
      <w:r w:rsidRPr="00A76415">
        <w:rPr>
          <w:rFonts w:ascii="Arial" w:hAnsi="Arial" w:cs="Arial"/>
          <w:color w:val="000000"/>
        </w:rPr>
        <w:t>.</w:t>
      </w:r>
    </w:p>
    <w:p w14:paraId="6175482E" w14:textId="77777777" w:rsidR="008A6B52" w:rsidRPr="00A76415" w:rsidRDefault="008A6B52" w:rsidP="008A6B52">
      <w:pPr>
        <w:rPr>
          <w:rFonts w:ascii="Arial" w:hAnsi="Arial" w:cs="Arial"/>
        </w:rPr>
      </w:pPr>
      <w:r w:rsidRPr="00A76415">
        <w:rPr>
          <w:rFonts w:ascii="Arial" w:hAnsi="Arial" w:cs="Arial"/>
          <w:color w:val="000000"/>
        </w:rPr>
        <w:t xml:space="preserve">MoyoTalak, M. (2021) 'Customer Retention Strategies by mobile phone Service providers in Zimbabwe: Case of Masvingo City,' </w:t>
      </w:r>
      <w:r w:rsidRPr="00A76415">
        <w:rPr>
          <w:rFonts w:ascii="Arial" w:hAnsi="Arial" w:cs="Arial"/>
          <w:i/>
          <w:iCs/>
          <w:color w:val="000000"/>
        </w:rPr>
        <w:t>IOSR Journal of Business and Management</w:t>
      </w:r>
      <w:r w:rsidRPr="00A76415">
        <w:rPr>
          <w:rFonts w:ascii="Arial" w:hAnsi="Arial" w:cs="Arial"/>
          <w:color w:val="000000"/>
        </w:rPr>
        <w:t xml:space="preserve">, 9(4), pp. 71–82. </w:t>
      </w:r>
      <w:hyperlink r:id="rId17" w:history="1">
        <w:r w:rsidRPr="00A76415">
          <w:rPr>
            <w:rStyle w:val="Hyperlink"/>
            <w:rFonts w:ascii="Arial" w:eastAsiaTheme="majorEastAsia" w:hAnsi="Arial" w:cs="Arial"/>
            <w:color w:val="1155CC"/>
          </w:rPr>
          <w:t>https://doi.org/10.9790/487x-0947182</w:t>
        </w:r>
      </w:hyperlink>
      <w:r w:rsidRPr="00A76415">
        <w:rPr>
          <w:rFonts w:ascii="Arial" w:hAnsi="Arial" w:cs="Arial"/>
          <w:color w:val="000000"/>
        </w:rPr>
        <w:t>.</w:t>
      </w:r>
    </w:p>
    <w:p w14:paraId="6B5EFF20" w14:textId="77777777" w:rsidR="008A6B52" w:rsidRPr="00A76415" w:rsidRDefault="008A6B52" w:rsidP="008A6B52">
      <w:pPr>
        <w:rPr>
          <w:rFonts w:ascii="Arial" w:hAnsi="Arial" w:cs="Arial"/>
        </w:rPr>
      </w:pPr>
      <w:r w:rsidRPr="00A76415">
        <w:rPr>
          <w:rFonts w:ascii="Arial" w:hAnsi="Arial" w:cs="Arial"/>
          <w:color w:val="000000"/>
        </w:rPr>
        <w:t xml:space="preserve">Nasır, S. (2022) 'Customer retention strategies and customer loyalty,' in </w:t>
      </w:r>
      <w:r w:rsidRPr="00A76415">
        <w:rPr>
          <w:rFonts w:ascii="Arial" w:hAnsi="Arial" w:cs="Arial"/>
          <w:i/>
          <w:iCs/>
          <w:color w:val="000000"/>
        </w:rPr>
        <w:t>IGI Global eBooks</w:t>
      </w:r>
      <w:r w:rsidRPr="00A76415">
        <w:rPr>
          <w:rFonts w:ascii="Arial" w:hAnsi="Arial" w:cs="Arial"/>
          <w:color w:val="000000"/>
        </w:rPr>
        <w:t xml:space="preserve">, pp. 1178–1201. </w:t>
      </w:r>
      <w:hyperlink r:id="rId18" w:history="1">
        <w:r w:rsidRPr="00A76415">
          <w:rPr>
            <w:rStyle w:val="Hyperlink"/>
            <w:rFonts w:ascii="Arial" w:eastAsiaTheme="majorEastAsia" w:hAnsi="Arial" w:cs="Arial"/>
            <w:color w:val="1155CC"/>
          </w:rPr>
          <w:t>https://doi.org/10.4018/978-1-5225-1793-1.ch054</w:t>
        </w:r>
      </w:hyperlink>
      <w:r w:rsidRPr="00A76415">
        <w:rPr>
          <w:rFonts w:ascii="Arial" w:hAnsi="Arial" w:cs="Arial"/>
          <w:color w:val="000000"/>
        </w:rPr>
        <w:t>.</w:t>
      </w:r>
    </w:p>
    <w:p w14:paraId="366E567A" w14:textId="77777777" w:rsidR="008A6B52" w:rsidRPr="00A76415" w:rsidRDefault="008A6B52" w:rsidP="008A6B52">
      <w:pPr>
        <w:rPr>
          <w:rFonts w:ascii="Arial" w:hAnsi="Arial" w:cs="Arial"/>
        </w:rPr>
      </w:pPr>
      <w:r w:rsidRPr="00A76415">
        <w:rPr>
          <w:rFonts w:ascii="Arial" w:hAnsi="Arial" w:cs="Arial"/>
          <w:color w:val="000000"/>
        </w:rPr>
        <w:lastRenderedPageBreak/>
        <w:t xml:space="preserve">Rafiq, M. and Fulford, H. (2023) 'Loyalty transfer from offline to online stores in the UK grocery industry,' </w:t>
      </w:r>
      <w:r w:rsidRPr="00A76415">
        <w:rPr>
          <w:rFonts w:ascii="Arial" w:hAnsi="Arial" w:cs="Arial"/>
          <w:i/>
          <w:iCs/>
          <w:color w:val="000000"/>
        </w:rPr>
        <w:t>International Journal of Retail &amp; Distribution Management</w:t>
      </w:r>
      <w:r w:rsidRPr="00A76415">
        <w:rPr>
          <w:rFonts w:ascii="Arial" w:hAnsi="Arial" w:cs="Arial"/>
          <w:color w:val="000000"/>
        </w:rPr>
        <w:t xml:space="preserve">, 33(6), pp. 444–460. </w:t>
      </w:r>
      <w:hyperlink r:id="rId19" w:history="1">
        <w:r w:rsidRPr="00A76415">
          <w:rPr>
            <w:rStyle w:val="Hyperlink"/>
            <w:rFonts w:ascii="Arial" w:eastAsiaTheme="majorEastAsia" w:hAnsi="Arial" w:cs="Arial"/>
            <w:color w:val="1155CC"/>
          </w:rPr>
          <w:t>https://doi.org/10.1108/09590550510600861</w:t>
        </w:r>
      </w:hyperlink>
      <w:r w:rsidRPr="00A76415">
        <w:rPr>
          <w:rFonts w:ascii="Arial" w:hAnsi="Arial" w:cs="Arial"/>
          <w:color w:val="000000"/>
        </w:rPr>
        <w:t>.</w:t>
      </w:r>
    </w:p>
    <w:p w14:paraId="6F29669A" w14:textId="77777777" w:rsidR="008A6B52" w:rsidRPr="00A76415" w:rsidRDefault="008A6B52" w:rsidP="008A6B52">
      <w:pPr>
        <w:rPr>
          <w:rFonts w:ascii="Arial" w:hAnsi="Arial" w:cs="Arial"/>
        </w:rPr>
      </w:pPr>
      <w:r w:rsidRPr="00A76415">
        <w:rPr>
          <w:rFonts w:ascii="Arial" w:hAnsi="Arial" w:cs="Arial"/>
          <w:color w:val="000000"/>
        </w:rPr>
        <w:t xml:space="preserve">Thietart, R.A. and Vivas, R. (2022) 'An empirical investigation of success strategies for businesses along the product life cycle,' </w:t>
      </w:r>
      <w:r w:rsidRPr="00A76415">
        <w:rPr>
          <w:rFonts w:ascii="Arial" w:hAnsi="Arial" w:cs="Arial"/>
          <w:i/>
          <w:iCs/>
          <w:color w:val="000000"/>
        </w:rPr>
        <w:t>Management Science</w:t>
      </w:r>
      <w:r w:rsidRPr="00A76415">
        <w:rPr>
          <w:rFonts w:ascii="Arial" w:hAnsi="Arial" w:cs="Arial"/>
          <w:color w:val="000000"/>
        </w:rPr>
        <w:t xml:space="preserve">, 30(12), pp. 1405–1423. </w:t>
      </w:r>
      <w:hyperlink r:id="rId20" w:history="1">
        <w:r w:rsidRPr="00A76415">
          <w:rPr>
            <w:rStyle w:val="Hyperlink"/>
            <w:rFonts w:ascii="Arial" w:eastAsiaTheme="majorEastAsia" w:hAnsi="Arial" w:cs="Arial"/>
            <w:color w:val="1155CC"/>
          </w:rPr>
          <w:t>https://doi.org/10.1287/mnsc.30.12.1405</w:t>
        </w:r>
      </w:hyperlink>
      <w:r w:rsidRPr="00A76415">
        <w:rPr>
          <w:rFonts w:ascii="Arial" w:hAnsi="Arial" w:cs="Arial"/>
          <w:color w:val="000000"/>
        </w:rPr>
        <w:t>.</w:t>
      </w:r>
    </w:p>
    <w:p w14:paraId="17D55F27" w14:textId="040625EA" w:rsidR="00CA0CC3" w:rsidRPr="00A76415" w:rsidRDefault="008A6B52" w:rsidP="008A6B52">
      <w:pPr>
        <w:rPr>
          <w:rFonts w:ascii="Arial" w:hAnsi="Arial" w:cs="Arial"/>
        </w:rPr>
      </w:pPr>
      <w:r w:rsidRPr="00A76415">
        <w:rPr>
          <w:rFonts w:ascii="Arial" w:hAnsi="Arial" w:cs="Arial"/>
          <w:color w:val="000000"/>
        </w:rPr>
        <w:t xml:space="preserve">Vrontis, D. (2019) 'Strategic assessment: the importance of branding in the European beer market,' </w:t>
      </w:r>
      <w:r w:rsidRPr="00A76415">
        <w:rPr>
          <w:rFonts w:ascii="Arial" w:hAnsi="Arial" w:cs="Arial"/>
          <w:i/>
          <w:iCs/>
          <w:color w:val="000000"/>
        </w:rPr>
        <w:t>British Food Journal</w:t>
      </w:r>
      <w:r w:rsidRPr="00A76415">
        <w:rPr>
          <w:rFonts w:ascii="Arial" w:hAnsi="Arial" w:cs="Arial"/>
          <w:color w:val="000000"/>
        </w:rPr>
        <w:t xml:space="preserve">, 100(2), pp. 76–84. </w:t>
      </w:r>
      <w:hyperlink r:id="rId21" w:history="1">
        <w:r w:rsidRPr="00A76415">
          <w:rPr>
            <w:rStyle w:val="Hyperlink"/>
            <w:rFonts w:ascii="Arial" w:eastAsiaTheme="majorEastAsia" w:hAnsi="Arial" w:cs="Arial"/>
            <w:color w:val="1155CC"/>
          </w:rPr>
          <w:t>https://doi.org/10.1108/00070709810204066</w:t>
        </w:r>
      </w:hyperlink>
      <w:r w:rsidRPr="00A76415">
        <w:rPr>
          <w:rFonts w:ascii="Arial" w:hAnsi="Arial" w:cs="Arial"/>
          <w:color w:val="000000"/>
        </w:rPr>
        <w:t>.</w:t>
      </w:r>
    </w:p>
    <w:sectPr w:rsidR="00CA0CC3" w:rsidRPr="00A76415" w:rsidSect="00562DF2">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55B6C" w14:textId="77777777" w:rsidR="00FC0CAC" w:rsidRDefault="00FC0CAC" w:rsidP="00CD3D2B">
      <w:r>
        <w:separator/>
      </w:r>
    </w:p>
  </w:endnote>
  <w:endnote w:type="continuationSeparator" w:id="0">
    <w:p w14:paraId="174113B9" w14:textId="77777777" w:rsidR="00FC0CAC" w:rsidRDefault="00FC0CAC"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234FC" w14:textId="77777777" w:rsidR="00FC0CAC" w:rsidRDefault="00FC0CAC" w:rsidP="00CD3D2B">
      <w:r>
        <w:separator/>
      </w:r>
    </w:p>
  </w:footnote>
  <w:footnote w:type="continuationSeparator" w:id="0">
    <w:p w14:paraId="61635B40" w14:textId="77777777" w:rsidR="00FC0CAC" w:rsidRDefault="00FC0CAC"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961068">
    <w:abstractNumId w:val="14"/>
  </w:num>
  <w:num w:numId="2" w16cid:durableId="324431403">
    <w:abstractNumId w:val="8"/>
  </w:num>
  <w:num w:numId="3" w16cid:durableId="956839424">
    <w:abstractNumId w:val="0"/>
  </w:num>
  <w:num w:numId="4" w16cid:durableId="1001859281">
    <w:abstractNumId w:val="3"/>
  </w:num>
  <w:num w:numId="5" w16cid:durableId="209001002">
    <w:abstractNumId w:val="11"/>
  </w:num>
  <w:num w:numId="6" w16cid:durableId="1776167378">
    <w:abstractNumId w:val="6"/>
  </w:num>
  <w:num w:numId="7" w16cid:durableId="92746011">
    <w:abstractNumId w:val="7"/>
  </w:num>
  <w:num w:numId="8" w16cid:durableId="1221593074">
    <w:abstractNumId w:val="9"/>
  </w:num>
  <w:num w:numId="9" w16cid:durableId="312298643">
    <w:abstractNumId w:val="10"/>
  </w:num>
  <w:num w:numId="10" w16cid:durableId="1744252114">
    <w:abstractNumId w:val="5"/>
  </w:num>
  <w:num w:numId="11" w16cid:durableId="4720887">
    <w:abstractNumId w:val="1"/>
  </w:num>
  <w:num w:numId="12" w16cid:durableId="1589190609">
    <w:abstractNumId w:val="13"/>
  </w:num>
  <w:num w:numId="13" w16cid:durableId="1278490511">
    <w:abstractNumId w:val="12"/>
  </w:num>
  <w:num w:numId="14" w16cid:durableId="547956008">
    <w:abstractNumId w:val="2"/>
  </w:num>
  <w:num w:numId="15" w16cid:durableId="805044976">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B6697"/>
    <w:rsid w:val="000C1C9E"/>
    <w:rsid w:val="000C3B82"/>
    <w:rsid w:val="000C4C78"/>
    <w:rsid w:val="000C586B"/>
    <w:rsid w:val="000D0BCC"/>
    <w:rsid w:val="000D3F3B"/>
    <w:rsid w:val="000D4C42"/>
    <w:rsid w:val="000D6BBB"/>
    <w:rsid w:val="000E11EE"/>
    <w:rsid w:val="000E2D38"/>
    <w:rsid w:val="000E2F56"/>
    <w:rsid w:val="000E628B"/>
    <w:rsid w:val="000E6A7E"/>
    <w:rsid w:val="000F1070"/>
    <w:rsid w:val="000F1833"/>
    <w:rsid w:val="000F3F8E"/>
    <w:rsid w:val="000F50A3"/>
    <w:rsid w:val="000F7992"/>
    <w:rsid w:val="00101CD4"/>
    <w:rsid w:val="00101D2F"/>
    <w:rsid w:val="00102F07"/>
    <w:rsid w:val="00104DC2"/>
    <w:rsid w:val="00105CC4"/>
    <w:rsid w:val="00107786"/>
    <w:rsid w:val="001127DF"/>
    <w:rsid w:val="0011301C"/>
    <w:rsid w:val="00115303"/>
    <w:rsid w:val="00120D5E"/>
    <w:rsid w:val="00121E0B"/>
    <w:rsid w:val="00125780"/>
    <w:rsid w:val="001274E4"/>
    <w:rsid w:val="00130B02"/>
    <w:rsid w:val="0013127F"/>
    <w:rsid w:val="001354AC"/>
    <w:rsid w:val="00136215"/>
    <w:rsid w:val="001518FD"/>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202B71"/>
    <w:rsid w:val="00210E8D"/>
    <w:rsid w:val="00212737"/>
    <w:rsid w:val="0021535A"/>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DD"/>
    <w:rsid w:val="00314E36"/>
    <w:rsid w:val="0031529F"/>
    <w:rsid w:val="0031571E"/>
    <w:rsid w:val="00315A36"/>
    <w:rsid w:val="0032195E"/>
    <w:rsid w:val="00324CCB"/>
    <w:rsid w:val="003272FE"/>
    <w:rsid w:val="0032761B"/>
    <w:rsid w:val="003278B5"/>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D28"/>
    <w:rsid w:val="00394D70"/>
    <w:rsid w:val="00395796"/>
    <w:rsid w:val="003A1F52"/>
    <w:rsid w:val="003A3071"/>
    <w:rsid w:val="003A49BF"/>
    <w:rsid w:val="003A520E"/>
    <w:rsid w:val="003A54FF"/>
    <w:rsid w:val="003A65D7"/>
    <w:rsid w:val="003B03F0"/>
    <w:rsid w:val="003B1CFE"/>
    <w:rsid w:val="003B2DD5"/>
    <w:rsid w:val="003B3402"/>
    <w:rsid w:val="003B40F1"/>
    <w:rsid w:val="003B4D03"/>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642B1"/>
    <w:rsid w:val="00465015"/>
    <w:rsid w:val="00466DB2"/>
    <w:rsid w:val="00470982"/>
    <w:rsid w:val="00472709"/>
    <w:rsid w:val="004739CC"/>
    <w:rsid w:val="00474B8A"/>
    <w:rsid w:val="00476437"/>
    <w:rsid w:val="004765DC"/>
    <w:rsid w:val="004820E6"/>
    <w:rsid w:val="00484F71"/>
    <w:rsid w:val="004852DE"/>
    <w:rsid w:val="00485C56"/>
    <w:rsid w:val="00493AB3"/>
    <w:rsid w:val="00496048"/>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155B"/>
    <w:rsid w:val="00834355"/>
    <w:rsid w:val="00841149"/>
    <w:rsid w:val="00841A43"/>
    <w:rsid w:val="008437D5"/>
    <w:rsid w:val="00846A78"/>
    <w:rsid w:val="00850122"/>
    <w:rsid w:val="00850F09"/>
    <w:rsid w:val="00851A85"/>
    <w:rsid w:val="00852B2A"/>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4451"/>
    <w:rsid w:val="008A6B52"/>
    <w:rsid w:val="008A7DAE"/>
    <w:rsid w:val="008B177F"/>
    <w:rsid w:val="008B184E"/>
    <w:rsid w:val="008B1DB5"/>
    <w:rsid w:val="008B20B6"/>
    <w:rsid w:val="008B271A"/>
    <w:rsid w:val="008B51D5"/>
    <w:rsid w:val="008B607E"/>
    <w:rsid w:val="008C19E4"/>
    <w:rsid w:val="008C206A"/>
    <w:rsid w:val="008C2592"/>
    <w:rsid w:val="008C26B9"/>
    <w:rsid w:val="008C281F"/>
    <w:rsid w:val="008C48FB"/>
    <w:rsid w:val="008C4B68"/>
    <w:rsid w:val="008C4D88"/>
    <w:rsid w:val="008C6697"/>
    <w:rsid w:val="008D1F0B"/>
    <w:rsid w:val="008D2557"/>
    <w:rsid w:val="008E3AFC"/>
    <w:rsid w:val="008E715C"/>
    <w:rsid w:val="008F1AFB"/>
    <w:rsid w:val="008F2B5D"/>
    <w:rsid w:val="008F56F8"/>
    <w:rsid w:val="008F5E17"/>
    <w:rsid w:val="00905604"/>
    <w:rsid w:val="0090585E"/>
    <w:rsid w:val="00911964"/>
    <w:rsid w:val="00915F23"/>
    <w:rsid w:val="00920EB4"/>
    <w:rsid w:val="009267F6"/>
    <w:rsid w:val="00932226"/>
    <w:rsid w:val="00932CD0"/>
    <w:rsid w:val="0093345A"/>
    <w:rsid w:val="00937668"/>
    <w:rsid w:val="00937D83"/>
    <w:rsid w:val="00950E92"/>
    <w:rsid w:val="0095171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A6D"/>
    <w:rsid w:val="009B047E"/>
    <w:rsid w:val="009B0BD2"/>
    <w:rsid w:val="009B12A6"/>
    <w:rsid w:val="009B5442"/>
    <w:rsid w:val="009C37CE"/>
    <w:rsid w:val="009C3EC2"/>
    <w:rsid w:val="009D13AA"/>
    <w:rsid w:val="009D4EBF"/>
    <w:rsid w:val="009D79DC"/>
    <w:rsid w:val="009E0BB0"/>
    <w:rsid w:val="009E29EF"/>
    <w:rsid w:val="009E34A7"/>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76C5"/>
    <w:rsid w:val="00A71DC1"/>
    <w:rsid w:val="00A74763"/>
    <w:rsid w:val="00A76415"/>
    <w:rsid w:val="00A8106D"/>
    <w:rsid w:val="00A81911"/>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6E55"/>
    <w:rsid w:val="00AC16FD"/>
    <w:rsid w:val="00AC3C86"/>
    <w:rsid w:val="00AC6FF6"/>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1A73"/>
    <w:rsid w:val="00B31CFF"/>
    <w:rsid w:val="00B41166"/>
    <w:rsid w:val="00B4179B"/>
    <w:rsid w:val="00B435C3"/>
    <w:rsid w:val="00B46620"/>
    <w:rsid w:val="00B52E21"/>
    <w:rsid w:val="00B555C4"/>
    <w:rsid w:val="00B55873"/>
    <w:rsid w:val="00B57F1F"/>
    <w:rsid w:val="00B60C75"/>
    <w:rsid w:val="00B60E56"/>
    <w:rsid w:val="00B643CD"/>
    <w:rsid w:val="00B650C1"/>
    <w:rsid w:val="00B67033"/>
    <w:rsid w:val="00B7573B"/>
    <w:rsid w:val="00B764E7"/>
    <w:rsid w:val="00B77682"/>
    <w:rsid w:val="00B84D5D"/>
    <w:rsid w:val="00B85515"/>
    <w:rsid w:val="00B87777"/>
    <w:rsid w:val="00B926C4"/>
    <w:rsid w:val="00B93961"/>
    <w:rsid w:val="00B940C9"/>
    <w:rsid w:val="00BA08B9"/>
    <w:rsid w:val="00BA172D"/>
    <w:rsid w:val="00BA289F"/>
    <w:rsid w:val="00BA3A44"/>
    <w:rsid w:val="00BA40A9"/>
    <w:rsid w:val="00BA5D9F"/>
    <w:rsid w:val="00BB234E"/>
    <w:rsid w:val="00BB321B"/>
    <w:rsid w:val="00BB381E"/>
    <w:rsid w:val="00BB42C2"/>
    <w:rsid w:val="00BB77A3"/>
    <w:rsid w:val="00BB7DB9"/>
    <w:rsid w:val="00BC0716"/>
    <w:rsid w:val="00BC47A3"/>
    <w:rsid w:val="00BC686C"/>
    <w:rsid w:val="00BC7246"/>
    <w:rsid w:val="00BD1A25"/>
    <w:rsid w:val="00BD2013"/>
    <w:rsid w:val="00BD221F"/>
    <w:rsid w:val="00BD3DC5"/>
    <w:rsid w:val="00BD48F4"/>
    <w:rsid w:val="00BD49B3"/>
    <w:rsid w:val="00BD5D06"/>
    <w:rsid w:val="00BD737D"/>
    <w:rsid w:val="00BE2943"/>
    <w:rsid w:val="00BE30F2"/>
    <w:rsid w:val="00BE3DA9"/>
    <w:rsid w:val="00BE5DC5"/>
    <w:rsid w:val="00BE68F8"/>
    <w:rsid w:val="00BE7F30"/>
    <w:rsid w:val="00BF0D11"/>
    <w:rsid w:val="00BF13A1"/>
    <w:rsid w:val="00BF3DEB"/>
    <w:rsid w:val="00BF5146"/>
    <w:rsid w:val="00BF732C"/>
    <w:rsid w:val="00C0115C"/>
    <w:rsid w:val="00C04405"/>
    <w:rsid w:val="00C05E74"/>
    <w:rsid w:val="00C0601A"/>
    <w:rsid w:val="00C060F0"/>
    <w:rsid w:val="00C12133"/>
    <w:rsid w:val="00C13FE0"/>
    <w:rsid w:val="00C14760"/>
    <w:rsid w:val="00C14A04"/>
    <w:rsid w:val="00C17F99"/>
    <w:rsid w:val="00C20625"/>
    <w:rsid w:val="00C22FB5"/>
    <w:rsid w:val="00C248F8"/>
    <w:rsid w:val="00C257A9"/>
    <w:rsid w:val="00C262EB"/>
    <w:rsid w:val="00C27B7A"/>
    <w:rsid w:val="00C27BD1"/>
    <w:rsid w:val="00C300FE"/>
    <w:rsid w:val="00C32B60"/>
    <w:rsid w:val="00C32F67"/>
    <w:rsid w:val="00C333D1"/>
    <w:rsid w:val="00C34E2B"/>
    <w:rsid w:val="00C353E5"/>
    <w:rsid w:val="00C36E91"/>
    <w:rsid w:val="00C4010E"/>
    <w:rsid w:val="00C40B40"/>
    <w:rsid w:val="00C4115F"/>
    <w:rsid w:val="00C42B4A"/>
    <w:rsid w:val="00C43091"/>
    <w:rsid w:val="00C555A6"/>
    <w:rsid w:val="00C5712E"/>
    <w:rsid w:val="00C57A23"/>
    <w:rsid w:val="00C57B90"/>
    <w:rsid w:val="00C57E63"/>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56EF"/>
    <w:rsid w:val="00CC609F"/>
    <w:rsid w:val="00CC7D6A"/>
    <w:rsid w:val="00CD37C0"/>
    <w:rsid w:val="00CD3D2B"/>
    <w:rsid w:val="00CD44AD"/>
    <w:rsid w:val="00CD54B1"/>
    <w:rsid w:val="00CD6EC7"/>
    <w:rsid w:val="00CE23B6"/>
    <w:rsid w:val="00CE3C7D"/>
    <w:rsid w:val="00CE6659"/>
    <w:rsid w:val="00D02624"/>
    <w:rsid w:val="00D04575"/>
    <w:rsid w:val="00D10545"/>
    <w:rsid w:val="00D1368A"/>
    <w:rsid w:val="00D15412"/>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4096B"/>
    <w:rsid w:val="00D4243C"/>
    <w:rsid w:val="00D43D1E"/>
    <w:rsid w:val="00D441E5"/>
    <w:rsid w:val="00D44743"/>
    <w:rsid w:val="00D44AAD"/>
    <w:rsid w:val="00D44D25"/>
    <w:rsid w:val="00D50E86"/>
    <w:rsid w:val="00D53FC3"/>
    <w:rsid w:val="00D555EE"/>
    <w:rsid w:val="00D5585D"/>
    <w:rsid w:val="00D5678C"/>
    <w:rsid w:val="00D60014"/>
    <w:rsid w:val="00D61D58"/>
    <w:rsid w:val="00D656D2"/>
    <w:rsid w:val="00D7245B"/>
    <w:rsid w:val="00D72C06"/>
    <w:rsid w:val="00D735D9"/>
    <w:rsid w:val="00D74165"/>
    <w:rsid w:val="00D77858"/>
    <w:rsid w:val="00D84F3D"/>
    <w:rsid w:val="00D85FA7"/>
    <w:rsid w:val="00D86F52"/>
    <w:rsid w:val="00D877F2"/>
    <w:rsid w:val="00D9341C"/>
    <w:rsid w:val="00D97BFB"/>
    <w:rsid w:val="00DA1316"/>
    <w:rsid w:val="00DA13FF"/>
    <w:rsid w:val="00DA2A01"/>
    <w:rsid w:val="00DA2AFA"/>
    <w:rsid w:val="00DA3E17"/>
    <w:rsid w:val="00DA5C78"/>
    <w:rsid w:val="00DA6578"/>
    <w:rsid w:val="00DA6949"/>
    <w:rsid w:val="00DB0C9C"/>
    <w:rsid w:val="00DB267B"/>
    <w:rsid w:val="00DB3078"/>
    <w:rsid w:val="00DB39F4"/>
    <w:rsid w:val="00DB3DA6"/>
    <w:rsid w:val="00DB5695"/>
    <w:rsid w:val="00DC1557"/>
    <w:rsid w:val="00DC1948"/>
    <w:rsid w:val="00DD0ED6"/>
    <w:rsid w:val="00DD1F6B"/>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478C"/>
    <w:rsid w:val="00E3464D"/>
    <w:rsid w:val="00E34ECA"/>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601E6"/>
    <w:rsid w:val="00E60449"/>
    <w:rsid w:val="00E60832"/>
    <w:rsid w:val="00E6474C"/>
    <w:rsid w:val="00E66777"/>
    <w:rsid w:val="00E67525"/>
    <w:rsid w:val="00E70A93"/>
    <w:rsid w:val="00E717B3"/>
    <w:rsid w:val="00E72A13"/>
    <w:rsid w:val="00E7566F"/>
    <w:rsid w:val="00E76659"/>
    <w:rsid w:val="00E77829"/>
    <w:rsid w:val="00E8067B"/>
    <w:rsid w:val="00E80B25"/>
    <w:rsid w:val="00E82AAF"/>
    <w:rsid w:val="00E835BE"/>
    <w:rsid w:val="00E9001E"/>
    <w:rsid w:val="00E90713"/>
    <w:rsid w:val="00E96693"/>
    <w:rsid w:val="00E96A34"/>
    <w:rsid w:val="00EA01F8"/>
    <w:rsid w:val="00EA04C6"/>
    <w:rsid w:val="00EA062E"/>
    <w:rsid w:val="00EA38FA"/>
    <w:rsid w:val="00EA4244"/>
    <w:rsid w:val="00EA440C"/>
    <w:rsid w:val="00EB4CB9"/>
    <w:rsid w:val="00EB5017"/>
    <w:rsid w:val="00EB5C2B"/>
    <w:rsid w:val="00EC04FD"/>
    <w:rsid w:val="00EC19BC"/>
    <w:rsid w:val="00EC3472"/>
    <w:rsid w:val="00EC3E5B"/>
    <w:rsid w:val="00EC5168"/>
    <w:rsid w:val="00EC5D4E"/>
    <w:rsid w:val="00EC64DD"/>
    <w:rsid w:val="00ED0988"/>
    <w:rsid w:val="00ED389A"/>
    <w:rsid w:val="00ED49D0"/>
    <w:rsid w:val="00ED75E4"/>
    <w:rsid w:val="00EE0F8D"/>
    <w:rsid w:val="00EE270E"/>
    <w:rsid w:val="00EE5EF8"/>
    <w:rsid w:val="00EE6CBD"/>
    <w:rsid w:val="00EF03A1"/>
    <w:rsid w:val="00EF1036"/>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4325"/>
    <w:rsid w:val="00F64EA6"/>
    <w:rsid w:val="00F6783C"/>
    <w:rsid w:val="00F67FD0"/>
    <w:rsid w:val="00F71409"/>
    <w:rsid w:val="00F749C7"/>
    <w:rsid w:val="00F76646"/>
    <w:rsid w:val="00F77256"/>
    <w:rsid w:val="00F816B0"/>
    <w:rsid w:val="00F820FA"/>
    <w:rsid w:val="00F85E78"/>
    <w:rsid w:val="00F868DB"/>
    <w:rsid w:val="00F87516"/>
    <w:rsid w:val="00F8764A"/>
    <w:rsid w:val="00F92ED7"/>
    <w:rsid w:val="00F9449A"/>
    <w:rsid w:val="00F9535C"/>
    <w:rsid w:val="00F9774F"/>
    <w:rsid w:val="00FA40BF"/>
    <w:rsid w:val="00FA42AD"/>
    <w:rsid w:val="00FA4511"/>
    <w:rsid w:val="00FB3BBE"/>
    <w:rsid w:val="00FB5208"/>
    <w:rsid w:val="00FB56FE"/>
    <w:rsid w:val="00FB6115"/>
    <w:rsid w:val="00FB7025"/>
    <w:rsid w:val="00FC0CAC"/>
    <w:rsid w:val="00FC4795"/>
    <w:rsid w:val="00FC6068"/>
    <w:rsid w:val="00FC7BF2"/>
    <w:rsid w:val="00FD068E"/>
    <w:rsid w:val="00FD12CC"/>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3B6"/>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765F3E"/>
    <w:pPr>
      <w:keepNext/>
      <w:keepLines/>
      <w:spacing w:before="240"/>
      <w:outlineLvl w:val="0"/>
    </w:pPr>
    <w:rPr>
      <w:rFonts w:cstheme="majorBidi"/>
      <w:b/>
      <w:sz w:val="32"/>
      <w:szCs w:val="40"/>
      <w:lang w:val="en-US"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F3E"/>
    <w:rPr>
      <w:rFonts w:ascii="Times New Roman" w:eastAsia="Times New Roman" w:hAnsi="Times New Roman" w:cstheme="majorBidi"/>
      <w:b/>
      <w:sz w:val="32"/>
      <w:szCs w:val="40"/>
      <w:lang w:val="en-US"/>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152505">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007295">
      <w:bodyDiv w:val="1"/>
      <w:marLeft w:val="0"/>
      <w:marRight w:val="0"/>
      <w:marTop w:val="0"/>
      <w:marBottom w:val="0"/>
      <w:divBdr>
        <w:top w:val="none" w:sz="0" w:space="0" w:color="auto"/>
        <w:left w:val="none" w:sz="0" w:space="0" w:color="auto"/>
        <w:bottom w:val="none" w:sz="0" w:space="0" w:color="auto"/>
        <w:right w:val="none" w:sz="0" w:space="0" w:color="auto"/>
      </w:divBdr>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03090560310477654" TargetMode="External"/><Relationship Id="rId18" Type="http://schemas.openxmlformats.org/officeDocument/2006/relationships/hyperlink" Target="https://doi.org/10.4018/978-1-5225-1793-1.ch054" TargetMode="External"/><Relationship Id="rId3" Type="http://schemas.openxmlformats.org/officeDocument/2006/relationships/styles" Target="styles.xml"/><Relationship Id="rId21" Type="http://schemas.openxmlformats.org/officeDocument/2006/relationships/hyperlink" Target="https://doi.org/10.1108/00070709810204066" TargetMode="External"/><Relationship Id="rId7" Type="http://schemas.openxmlformats.org/officeDocument/2006/relationships/endnotes" Target="endnotes.xml"/><Relationship Id="rId12" Type="http://schemas.openxmlformats.org/officeDocument/2006/relationships/hyperlink" Target="https://doi.org/10.2307/3172825" TargetMode="External"/><Relationship Id="rId17" Type="http://schemas.openxmlformats.org/officeDocument/2006/relationships/hyperlink" Target="https://doi.org/10.9790/487x-0947182" TargetMode="External"/><Relationship Id="rId2" Type="http://schemas.openxmlformats.org/officeDocument/2006/relationships/numbering" Target="numbering.xml"/><Relationship Id="rId16" Type="http://schemas.openxmlformats.org/officeDocument/2006/relationships/hyperlink" Target="https://doi.org/10.5539/ijbm.v10n10p270" TargetMode="External"/><Relationship Id="rId20" Type="http://schemas.openxmlformats.org/officeDocument/2006/relationships/hyperlink" Target="https://doi.org/10.1287/mnsc.30.12.14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7421222.2003.1104583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300/j396v22n01_04" TargetMode="External"/><Relationship Id="rId23" Type="http://schemas.openxmlformats.org/officeDocument/2006/relationships/fontTable" Target="fontTable.xml"/><Relationship Id="rId10" Type="http://schemas.openxmlformats.org/officeDocument/2006/relationships/hyperlink" Target="https://doi.org/10.1111/j.1745-493x.1997.tb00022.x" TargetMode="External"/><Relationship Id="rId19" Type="http://schemas.openxmlformats.org/officeDocument/2006/relationships/hyperlink" Target="https://doi.org/10.1108/09590550510600861" TargetMode="External"/><Relationship Id="rId4" Type="http://schemas.openxmlformats.org/officeDocument/2006/relationships/settings" Target="settings.xml"/><Relationship Id="rId9" Type="http://schemas.openxmlformats.org/officeDocument/2006/relationships/hyperlink" Target="https://doi.org/10.5465/255954" TargetMode="External"/><Relationship Id="rId14" Type="http://schemas.openxmlformats.org/officeDocument/2006/relationships/hyperlink" Target="https://doi.org/10.1016/j.jom.2012.03.00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3349</Words>
  <Characters>19090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2025-03-15T20:00:00Z</dcterms:created>
  <dcterms:modified xsi:type="dcterms:W3CDTF">2025-03-22T01:47:00Z</dcterms:modified>
</cp:coreProperties>
</file>