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944" w:rsidRDefault="00543944" w:rsidP="00543944">
      <w:pPr>
        <w:pStyle w:val="StandardWeb"/>
        <w:spacing w:before="0" w:beforeAutospacing="0" w:after="0" w:afterAutospacing="0"/>
        <w:ind w:left="-180" w:right="-334"/>
      </w:pPr>
      <w:r>
        <w:rPr>
          <w:noProof/>
        </w:rPr>
        <w:drawing>
          <wp:inline distT="0" distB="0" distL="0" distR="0" wp14:anchorId="2A102DBB" wp14:editId="49B737F3">
            <wp:extent cx="1907540" cy="635635"/>
            <wp:effectExtent l="25400" t="25400" r="10160" b="12065"/>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43944" w:rsidRPr="00230F35" w:rsidRDefault="00543944" w:rsidP="00543944">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43944" w:rsidRPr="00230F35" w:rsidRDefault="00543944" w:rsidP="00543944">
      <w:pPr>
        <w:rPr>
          <w:rFonts w:ascii="Arial" w:hAnsi="Arial" w:cs="Arial"/>
          <w:sz w:val="28"/>
          <w:szCs w:val="28"/>
          <w:lang w:val="cy-GB"/>
        </w:rPr>
      </w:pPr>
    </w:p>
    <w:p w:rsidR="00543944" w:rsidRDefault="00543944" w:rsidP="00543944">
      <w:pPr>
        <w:pStyle w:val="berschrift3"/>
        <w:jc w:val="center"/>
        <w:rPr>
          <w:lang w:val="cy-GB"/>
        </w:rPr>
      </w:pPr>
      <w:r>
        <w:rPr>
          <w:lang w:val="cy-GB"/>
        </w:rPr>
        <w:t>THIS SHEET MUST BE THE FIRST PAGE OF THE ASSIGNMENT YOU ARE SUBMITTING  (DO NOT SEND AS A SEPARATE FILE)</w:t>
      </w:r>
    </w:p>
    <w:p w:rsidR="00543944" w:rsidRPr="00543944" w:rsidRDefault="00543944" w:rsidP="00543944">
      <w:pPr>
        <w:pStyle w:val="berschrift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43944" w:rsidRPr="00543944" w:rsidTr="008B19EA">
        <w:trPr>
          <w:trHeight w:val="614"/>
        </w:trPr>
        <w:tc>
          <w:tcPr>
            <w:tcW w:w="8856" w:type="dxa"/>
            <w:gridSpan w:val="5"/>
          </w:tcPr>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43944" w:rsidRPr="00543944" w:rsidTr="008B19EA">
        <w:trPr>
          <w:trHeight w:val="718"/>
        </w:trPr>
        <w:tc>
          <w:tcPr>
            <w:tcW w:w="8856" w:type="dxa"/>
            <w:gridSpan w:val="5"/>
          </w:tcPr>
          <w:p w:rsidR="00543944" w:rsidRPr="00916A32" w:rsidRDefault="00543944" w:rsidP="008B19EA">
            <w:pPr>
              <w:pStyle w:val="StandardWeb"/>
              <w:spacing w:before="0" w:beforeAutospacing="0" w:after="0" w:afterAutospacing="0"/>
              <w:ind w:right="34"/>
              <w:rPr>
                <w:rFonts w:ascii="Arial" w:hAnsi="Arial" w:cs="Arial"/>
                <w:sz w:val="22"/>
                <w:szCs w:val="22"/>
                <w:lang w:val="de-DE"/>
              </w:rPr>
            </w:pPr>
            <w:r w:rsidRPr="00916A32">
              <w:rPr>
                <w:rFonts w:ascii="Arial" w:hAnsi="Arial" w:cs="Arial"/>
                <w:sz w:val="22"/>
                <w:szCs w:val="22"/>
                <w:lang w:val="de-DE"/>
              </w:rPr>
              <w:t>Student Name: Antje Christin Karoline Klaehn</w:t>
            </w:r>
          </w:p>
          <w:p w:rsidR="00543944" w:rsidRPr="00916A32" w:rsidRDefault="00543944" w:rsidP="008B19EA">
            <w:pPr>
              <w:pStyle w:val="StandardWeb"/>
              <w:spacing w:before="0" w:beforeAutospacing="0" w:after="0" w:afterAutospacing="0"/>
              <w:ind w:right="34"/>
              <w:rPr>
                <w:rFonts w:ascii="Arial" w:hAnsi="Arial" w:cs="Arial"/>
                <w:sz w:val="22"/>
                <w:szCs w:val="22"/>
                <w:lang w:val="de-DE"/>
              </w:rPr>
            </w:pPr>
          </w:p>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2024454@student.uwtsd.ac.uk</w:t>
            </w:r>
          </w:p>
        </w:tc>
      </w:tr>
      <w:tr w:rsidR="00543944" w:rsidRPr="00543944" w:rsidTr="008B19EA">
        <w:trPr>
          <w:trHeight w:val="849"/>
        </w:trPr>
        <w:tc>
          <w:tcPr>
            <w:tcW w:w="4788" w:type="dxa"/>
          </w:tcPr>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543944">
              <w:rPr>
                <w:rFonts w:ascii="Arial" w:hAnsi="Arial" w:cs="Arial"/>
                <w:sz w:val="22"/>
                <w:szCs w:val="22"/>
                <w:lang w:val="en-US"/>
              </w:rPr>
              <w:t>HPCA7016</w:t>
            </w:r>
          </w:p>
          <w:p w:rsidR="00543944" w:rsidRPr="00230F35" w:rsidRDefault="00543944" w:rsidP="008B19EA">
            <w:pPr>
              <w:pStyle w:val="StandardWeb"/>
              <w:spacing w:before="0" w:beforeAutospacing="0" w:after="0" w:afterAutospacing="0"/>
              <w:ind w:right="34"/>
              <w:rPr>
                <w:rFonts w:ascii="Arial" w:hAnsi="Arial" w:cs="Arial"/>
                <w:sz w:val="22"/>
                <w:szCs w:val="22"/>
              </w:rPr>
            </w:pPr>
          </w:p>
          <w:p w:rsidR="00543944"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543944" w:rsidRPr="00230F35" w:rsidRDefault="00543944" w:rsidP="008B19EA">
            <w:pPr>
              <w:pStyle w:val="StandardWeb"/>
              <w:spacing w:before="0" w:beforeAutospacing="0" w:after="0" w:afterAutospacing="0"/>
              <w:ind w:right="34"/>
              <w:rPr>
                <w:rFonts w:ascii="Arial" w:hAnsi="Arial" w:cs="Arial"/>
                <w:sz w:val="22"/>
                <w:szCs w:val="22"/>
              </w:rPr>
            </w:pPr>
          </w:p>
        </w:tc>
        <w:tc>
          <w:tcPr>
            <w:tcW w:w="2266" w:type="dxa"/>
            <w:gridSpan w:val="3"/>
          </w:tcPr>
          <w:p w:rsidR="00543944"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543944" w:rsidRDefault="00543944" w:rsidP="008B19EA">
            <w:pPr>
              <w:pStyle w:val="StandardWeb"/>
              <w:spacing w:before="0" w:beforeAutospacing="0" w:after="0" w:afterAutospacing="0"/>
              <w:ind w:right="34"/>
              <w:rPr>
                <w:rFonts w:ascii="Arial" w:hAnsi="Arial" w:cs="Arial"/>
                <w:sz w:val="22"/>
                <w:szCs w:val="22"/>
              </w:rPr>
            </w:pPr>
          </w:p>
          <w:p w:rsidR="00543944" w:rsidRPr="00230F35" w:rsidRDefault="00543944" w:rsidP="008B19EA">
            <w:pPr>
              <w:pStyle w:val="StandardWeb"/>
              <w:spacing w:before="0" w:beforeAutospacing="0" w:after="0" w:afterAutospacing="0"/>
              <w:ind w:right="34"/>
              <w:rPr>
                <w:rFonts w:ascii="Arial" w:hAnsi="Arial" w:cs="Arial"/>
                <w:sz w:val="22"/>
                <w:szCs w:val="22"/>
              </w:rPr>
            </w:pPr>
            <w:r>
              <w:rPr>
                <w:rFonts w:ascii="Arial" w:hAnsi="Arial" w:cs="Arial"/>
                <w:sz w:val="22"/>
                <w:szCs w:val="22"/>
              </w:rPr>
              <w:t>2024454</w:t>
            </w:r>
          </w:p>
        </w:tc>
        <w:tc>
          <w:tcPr>
            <w:tcW w:w="1802" w:type="dxa"/>
          </w:tcPr>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43944" w:rsidRPr="00543944" w:rsidTr="008B19EA">
        <w:trPr>
          <w:trHeight w:val="1139"/>
        </w:trPr>
        <w:tc>
          <w:tcPr>
            <w:tcW w:w="8856" w:type="dxa"/>
            <w:gridSpan w:val="5"/>
          </w:tcPr>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C91E12">
              <w:rPr>
                <w:rFonts w:ascii="Arial" w:hAnsi="Arial" w:cs="Arial"/>
                <w:sz w:val="22"/>
                <w:szCs w:val="22"/>
              </w:rPr>
              <w:t xml:space="preserve"> A Critical Comparison of two Secondary Sources</w:t>
            </w:r>
          </w:p>
          <w:p w:rsidR="00543944" w:rsidRPr="00230F35" w:rsidRDefault="00543944" w:rsidP="008B19EA">
            <w:pPr>
              <w:pStyle w:val="StandardWeb"/>
              <w:spacing w:before="0" w:beforeAutospacing="0" w:after="0" w:afterAutospacing="0"/>
              <w:ind w:right="34"/>
              <w:rPr>
                <w:rFonts w:ascii="Arial" w:hAnsi="Arial" w:cs="Arial"/>
                <w:sz w:val="22"/>
                <w:szCs w:val="22"/>
              </w:rPr>
            </w:pPr>
          </w:p>
          <w:p w:rsidR="00543944" w:rsidRDefault="00543944" w:rsidP="008B19EA">
            <w:pPr>
              <w:pStyle w:val="StandardWeb"/>
              <w:spacing w:before="0" w:beforeAutospacing="0" w:after="0" w:afterAutospacing="0"/>
              <w:ind w:right="34"/>
              <w:rPr>
                <w:rFonts w:ascii="Arial" w:hAnsi="Arial" w:cs="Arial"/>
                <w:sz w:val="22"/>
                <w:szCs w:val="22"/>
              </w:rPr>
            </w:pPr>
          </w:p>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91E12">
              <w:rPr>
                <w:rFonts w:ascii="Arial" w:hAnsi="Arial" w:cs="Arial"/>
                <w:sz w:val="22"/>
                <w:szCs w:val="22"/>
              </w:rPr>
              <w:t xml:space="preserve"> March 31</w:t>
            </w:r>
            <w:r w:rsidR="00C91E12" w:rsidRPr="00C91E12">
              <w:rPr>
                <w:rFonts w:ascii="Arial" w:hAnsi="Arial" w:cs="Arial"/>
                <w:sz w:val="22"/>
                <w:szCs w:val="22"/>
                <w:vertAlign w:val="superscript"/>
              </w:rPr>
              <w:t>st</w:t>
            </w:r>
            <w:r w:rsidR="00C91E12">
              <w:rPr>
                <w:rFonts w:ascii="Arial" w:hAnsi="Arial" w:cs="Arial"/>
                <w:sz w:val="22"/>
                <w:szCs w:val="22"/>
              </w:rPr>
              <w:t>, 2021</w:t>
            </w:r>
          </w:p>
        </w:tc>
      </w:tr>
      <w:tr w:rsidR="00543944" w:rsidRPr="00543944" w:rsidTr="008B19EA">
        <w:trPr>
          <w:trHeight w:val="978"/>
        </w:trPr>
        <w:tc>
          <w:tcPr>
            <w:tcW w:w="8856" w:type="dxa"/>
            <w:gridSpan w:val="5"/>
            <w:tcBorders>
              <w:bottom w:val="single" w:sz="4" w:space="0" w:color="000000"/>
            </w:tcBorders>
          </w:tcPr>
          <w:p w:rsidR="00543944" w:rsidRPr="00543944" w:rsidRDefault="00543944" w:rsidP="008B19EA">
            <w:pPr>
              <w:rPr>
                <w:rFonts w:ascii="Arial" w:hAnsi="Arial" w:cs="Arial"/>
                <w:sz w:val="22"/>
                <w:szCs w:val="22"/>
                <w:lang w:val="en-US"/>
              </w:rPr>
            </w:pPr>
            <w:r w:rsidRPr="00543944">
              <w:rPr>
                <w:rFonts w:ascii="Arial" w:hAnsi="Arial" w:cs="Arial"/>
                <w:sz w:val="22"/>
                <w:szCs w:val="22"/>
                <w:lang w:val="en-US"/>
              </w:rPr>
              <w:t>This assignment is for the       1</w:t>
            </w:r>
            <w:r w:rsidRPr="00543944">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sidRPr="00543944">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end"/>
            </w:r>
            <w:bookmarkEnd w:id="0"/>
            <w:r w:rsidRPr="00543944">
              <w:rPr>
                <w:rFonts w:ascii="Arial" w:hAnsi="Arial" w:cs="Arial"/>
                <w:sz w:val="22"/>
                <w:szCs w:val="22"/>
                <w:lang w:val="en-US"/>
              </w:rPr>
              <w:t xml:space="preserve">    2</w:t>
            </w:r>
            <w:r w:rsidRPr="00543944">
              <w:rPr>
                <w:rFonts w:ascii="Arial" w:hAnsi="Arial" w:cs="Arial"/>
                <w:sz w:val="22"/>
                <w:szCs w:val="22"/>
                <w:vertAlign w:val="superscript"/>
                <w:lang w:val="en-US"/>
              </w:rPr>
              <w:t>nd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543944">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543944">
              <w:rPr>
                <w:rFonts w:ascii="Arial" w:hAnsi="Arial" w:cs="Arial"/>
                <w:sz w:val="22"/>
                <w:szCs w:val="22"/>
                <w:lang w:val="en-US"/>
              </w:rPr>
              <w:t xml:space="preserve">     3</w:t>
            </w:r>
            <w:r w:rsidRPr="00543944">
              <w:rPr>
                <w:rFonts w:ascii="Arial" w:hAnsi="Arial" w:cs="Arial"/>
                <w:sz w:val="22"/>
                <w:szCs w:val="22"/>
                <w:vertAlign w:val="superscript"/>
                <w:lang w:val="en-US"/>
              </w:rPr>
              <w:t>rd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543944">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543944">
              <w:rPr>
                <w:rFonts w:ascii="Arial" w:hAnsi="Arial" w:cs="Arial"/>
                <w:sz w:val="22"/>
                <w:szCs w:val="22"/>
                <w:lang w:val="en-US"/>
              </w:rPr>
              <w:t xml:space="preserve">      4</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543944">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543944">
              <w:rPr>
                <w:rFonts w:ascii="Arial" w:hAnsi="Arial" w:cs="Arial"/>
                <w:sz w:val="22"/>
                <w:szCs w:val="22"/>
                <w:lang w:val="en-US"/>
              </w:rPr>
              <w:t xml:space="preserve">      5</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543944">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543944">
              <w:rPr>
                <w:rFonts w:ascii="Arial" w:hAnsi="Arial" w:cs="Arial"/>
                <w:sz w:val="22"/>
                <w:szCs w:val="22"/>
                <w:lang w:val="en-US"/>
              </w:rPr>
              <w:t xml:space="preserve">      6</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543944">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543944">
              <w:rPr>
                <w:rFonts w:ascii="Arial" w:hAnsi="Arial" w:cs="Arial"/>
                <w:b/>
                <w:sz w:val="22"/>
                <w:szCs w:val="22"/>
                <w:lang w:val="en-US"/>
              </w:rPr>
              <w:t xml:space="preserve">   </w:t>
            </w:r>
            <w:r w:rsidRPr="00543944">
              <w:rPr>
                <w:rFonts w:ascii="Arial" w:hAnsi="Arial" w:cs="Arial"/>
                <w:sz w:val="22"/>
                <w:szCs w:val="22"/>
                <w:lang w:val="en-US"/>
              </w:rPr>
              <w:t>module of the degree</w:t>
            </w:r>
          </w:p>
        </w:tc>
      </w:tr>
      <w:tr w:rsidR="00543944" w:rsidRPr="00543944" w:rsidTr="008B19EA">
        <w:trPr>
          <w:trHeight w:val="978"/>
        </w:trPr>
        <w:tc>
          <w:tcPr>
            <w:tcW w:w="8856" w:type="dxa"/>
            <w:gridSpan w:val="5"/>
            <w:shd w:val="clear" w:color="auto" w:fill="D9D9D9"/>
          </w:tcPr>
          <w:p w:rsidR="00543944" w:rsidRPr="00230F35"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43944" w:rsidRDefault="00543944" w:rsidP="008B19EA">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extent cx="1525905" cy="662767"/>
                  <wp:effectExtent l="0" t="0" r="0" b="0"/>
                  <wp:docPr id="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K Unterschrift.jpg"/>
                          <pic:cNvPicPr/>
                        </pic:nvPicPr>
                        <pic:blipFill>
                          <a:blip r:embed="rId9">
                            <a:extLst>
                              <a:ext uri="{28A0092B-C50C-407E-A947-70E740481C1C}">
                                <a14:useLocalDpi xmlns:a14="http://schemas.microsoft.com/office/drawing/2010/main" val="0"/>
                              </a:ext>
                            </a:extLst>
                          </a:blip>
                          <a:stretch>
                            <a:fillRect/>
                          </a:stretch>
                        </pic:blipFill>
                        <pic:spPr>
                          <a:xfrm>
                            <a:off x="0" y="0"/>
                            <a:ext cx="1588577" cy="689988"/>
                          </a:xfrm>
                          <a:prstGeom prst="rect">
                            <a:avLst/>
                          </a:prstGeom>
                        </pic:spPr>
                      </pic:pic>
                    </a:graphicData>
                  </a:graphic>
                </wp:inline>
              </w:drawing>
            </w:r>
            <w:r w:rsidRPr="00230F35">
              <w:rPr>
                <w:rFonts w:ascii="Arial" w:hAnsi="Arial" w:cs="Arial"/>
                <w:sz w:val="22"/>
                <w:szCs w:val="22"/>
              </w:rPr>
              <w:t>………………………………………………</w:t>
            </w:r>
          </w:p>
          <w:p w:rsidR="00543944" w:rsidRDefault="00543944" w:rsidP="008B19EA">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X</w:t>
            </w:r>
          </w:p>
          <w:p w:rsidR="00543944" w:rsidRPr="00230F35" w:rsidRDefault="00543944" w:rsidP="008B19EA">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43944" w:rsidRPr="00543944" w:rsidTr="008B19EA">
        <w:trPr>
          <w:trHeight w:val="3972"/>
        </w:trPr>
        <w:tc>
          <w:tcPr>
            <w:tcW w:w="8856" w:type="dxa"/>
            <w:gridSpan w:val="5"/>
          </w:tcPr>
          <w:p w:rsidR="00543944" w:rsidRPr="00543944" w:rsidRDefault="00543944" w:rsidP="008B19EA">
            <w:pPr>
              <w:rPr>
                <w:rFonts w:ascii="Arial" w:hAnsi="Arial"/>
                <w:b/>
                <w:lang w:val="en-US"/>
              </w:rPr>
            </w:pPr>
          </w:p>
          <w:p w:rsidR="00543944" w:rsidRPr="00116CE6" w:rsidRDefault="00543944" w:rsidP="008B19EA">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43944" w:rsidRPr="00116CE6" w:rsidTr="008B19EA">
              <w:tc>
                <w:tcPr>
                  <w:tcW w:w="6970" w:type="dxa"/>
                </w:tcPr>
                <w:p w:rsidR="00543944" w:rsidRPr="00116CE6" w:rsidRDefault="00543944" w:rsidP="008B19EA">
                  <w:pPr>
                    <w:rPr>
                      <w:rFonts w:ascii="Arial" w:hAnsi="Arial"/>
                      <w:sz w:val="20"/>
                      <w:szCs w:val="20"/>
                    </w:rPr>
                  </w:pPr>
                </w:p>
                <w:p w:rsidR="00543944" w:rsidRPr="00116CE6" w:rsidRDefault="00543944" w:rsidP="008B19E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8B19EA">
                  <w:pPr>
                    <w:rPr>
                      <w:rFonts w:ascii="Arial" w:hAnsi="Arial"/>
                      <w:sz w:val="20"/>
                      <w:szCs w:val="20"/>
                    </w:rPr>
                  </w:pPr>
                </w:p>
              </w:tc>
            </w:tr>
            <w:tr w:rsidR="00543944" w:rsidRPr="00116CE6" w:rsidTr="008B19EA">
              <w:tc>
                <w:tcPr>
                  <w:tcW w:w="6970" w:type="dxa"/>
                </w:tcPr>
                <w:p w:rsidR="00543944" w:rsidRPr="00116CE6" w:rsidRDefault="00543944" w:rsidP="008B19EA">
                  <w:pPr>
                    <w:rPr>
                      <w:rFonts w:ascii="Arial" w:hAnsi="Arial"/>
                      <w:sz w:val="20"/>
                      <w:szCs w:val="20"/>
                    </w:rPr>
                  </w:pPr>
                </w:p>
                <w:p w:rsidR="00543944" w:rsidRPr="00116CE6" w:rsidRDefault="00543944" w:rsidP="008B19E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8B19EA">
                  <w:pPr>
                    <w:rPr>
                      <w:rFonts w:ascii="Arial" w:hAnsi="Arial"/>
                      <w:sz w:val="20"/>
                      <w:szCs w:val="20"/>
                    </w:rPr>
                  </w:pPr>
                </w:p>
              </w:tc>
            </w:tr>
            <w:tr w:rsidR="00543944" w:rsidRPr="00543944" w:rsidTr="008B19EA">
              <w:tc>
                <w:tcPr>
                  <w:tcW w:w="6970" w:type="dxa"/>
                </w:tcPr>
                <w:p w:rsidR="00543944" w:rsidRPr="00543944" w:rsidRDefault="00543944" w:rsidP="008B19EA">
                  <w:pPr>
                    <w:rPr>
                      <w:rFonts w:ascii="Arial" w:hAnsi="Arial"/>
                      <w:sz w:val="20"/>
                      <w:szCs w:val="20"/>
                      <w:lang w:val="en-US"/>
                    </w:rPr>
                  </w:pPr>
                </w:p>
                <w:p w:rsidR="00543944" w:rsidRPr="00543944" w:rsidRDefault="00543944" w:rsidP="008B19EA">
                  <w:pPr>
                    <w:rPr>
                      <w:rFonts w:ascii="Arial" w:hAnsi="Arial"/>
                      <w:sz w:val="20"/>
                      <w:szCs w:val="20"/>
                      <w:lang w:val="en-US"/>
                    </w:rPr>
                  </w:pPr>
                  <w:r w:rsidRPr="00543944">
                    <w:rPr>
                      <w:rFonts w:ascii="Arial" w:hAnsi="Arial"/>
                      <w:sz w:val="20"/>
                      <w:szCs w:val="20"/>
                      <w:lang w:val="en-US"/>
                    </w:rPr>
                    <w:t>External Examiner’s mark (if relevant)</w:t>
                  </w:r>
                </w:p>
              </w:tc>
              <w:tc>
                <w:tcPr>
                  <w:tcW w:w="1660" w:type="dxa"/>
                </w:tcPr>
                <w:p w:rsidR="00543944" w:rsidRPr="00543944" w:rsidRDefault="00543944" w:rsidP="008B19EA">
                  <w:pPr>
                    <w:rPr>
                      <w:rFonts w:ascii="Arial" w:hAnsi="Arial"/>
                      <w:sz w:val="20"/>
                      <w:szCs w:val="20"/>
                      <w:lang w:val="en-US"/>
                    </w:rPr>
                  </w:pPr>
                </w:p>
              </w:tc>
            </w:tr>
            <w:tr w:rsidR="00543944" w:rsidRPr="00543944" w:rsidTr="008B19EA">
              <w:tc>
                <w:tcPr>
                  <w:tcW w:w="6970" w:type="dxa"/>
                </w:tcPr>
                <w:p w:rsidR="00543944" w:rsidRPr="00543944" w:rsidRDefault="00543944" w:rsidP="008B19EA">
                  <w:pPr>
                    <w:rPr>
                      <w:rFonts w:ascii="Arial" w:hAnsi="Arial"/>
                      <w:sz w:val="20"/>
                      <w:szCs w:val="20"/>
                      <w:lang w:val="en-US"/>
                    </w:rPr>
                  </w:pPr>
                </w:p>
                <w:p w:rsidR="00543944" w:rsidRPr="00543944" w:rsidRDefault="00543944" w:rsidP="008B19EA">
                  <w:pPr>
                    <w:rPr>
                      <w:rFonts w:ascii="Arial" w:hAnsi="Arial"/>
                      <w:b/>
                      <w:sz w:val="20"/>
                      <w:szCs w:val="20"/>
                      <w:lang w:val="en-US"/>
                    </w:rPr>
                  </w:pPr>
                  <w:r w:rsidRPr="00543944">
                    <w:rPr>
                      <w:rFonts w:ascii="Arial" w:hAnsi="Arial"/>
                      <w:b/>
                      <w:sz w:val="20"/>
                      <w:szCs w:val="20"/>
                      <w:lang w:val="en-US"/>
                    </w:rPr>
                    <w:t>Final Mark</w:t>
                  </w:r>
                </w:p>
                <w:p w:rsidR="00543944" w:rsidRPr="00543944" w:rsidRDefault="00543944" w:rsidP="008B19EA">
                  <w:pPr>
                    <w:rPr>
                      <w:rFonts w:ascii="Arial" w:hAnsi="Arial"/>
                      <w:sz w:val="20"/>
                      <w:szCs w:val="20"/>
                      <w:lang w:val="en-US"/>
                    </w:rPr>
                  </w:pPr>
                </w:p>
              </w:tc>
              <w:tc>
                <w:tcPr>
                  <w:tcW w:w="1660" w:type="dxa"/>
                </w:tcPr>
                <w:p w:rsidR="00543944" w:rsidRPr="00543944" w:rsidRDefault="00543944" w:rsidP="008B19EA">
                  <w:pPr>
                    <w:rPr>
                      <w:rFonts w:ascii="Arial" w:hAnsi="Arial"/>
                      <w:sz w:val="20"/>
                      <w:szCs w:val="20"/>
                      <w:lang w:val="en-US"/>
                    </w:rPr>
                  </w:pPr>
                </w:p>
              </w:tc>
            </w:tr>
          </w:tbl>
          <w:p w:rsidR="00543944" w:rsidRDefault="00543944" w:rsidP="008B19EA">
            <w:pPr>
              <w:pStyle w:val="StandardWeb"/>
              <w:spacing w:before="0" w:beforeAutospacing="0" w:after="0" w:afterAutospacing="0"/>
              <w:ind w:left="142" w:right="34"/>
              <w:rPr>
                <w:rFonts w:ascii="Arial" w:hAnsi="Arial" w:cs="Arial"/>
                <w:b/>
                <w:sz w:val="22"/>
                <w:szCs w:val="22"/>
              </w:rPr>
            </w:pPr>
          </w:p>
          <w:p w:rsidR="00543944" w:rsidRPr="00230F35" w:rsidRDefault="00543944" w:rsidP="008B19EA">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43944" w:rsidRDefault="00543944" w:rsidP="008B19EA">
            <w:pPr>
              <w:pStyle w:val="StandardWeb"/>
              <w:spacing w:before="0" w:beforeAutospacing="0" w:after="0" w:afterAutospacing="0"/>
              <w:rPr>
                <w:rFonts w:ascii="Arial" w:hAnsi="Arial" w:cs="Arial"/>
                <w:b/>
                <w:sz w:val="22"/>
                <w:szCs w:val="22"/>
              </w:rPr>
            </w:pPr>
          </w:p>
          <w:p w:rsidR="00543944" w:rsidRDefault="00543944" w:rsidP="008B19EA">
            <w:pPr>
              <w:pStyle w:val="StandardWeb"/>
              <w:spacing w:before="0" w:beforeAutospacing="0" w:after="0" w:afterAutospacing="0"/>
              <w:rPr>
                <w:rFonts w:ascii="Arial" w:hAnsi="Arial" w:cs="Arial"/>
                <w:b/>
                <w:sz w:val="22"/>
                <w:szCs w:val="22"/>
              </w:rPr>
            </w:pPr>
          </w:p>
          <w:p w:rsidR="00543944" w:rsidRDefault="00543944" w:rsidP="008B19EA">
            <w:pPr>
              <w:pStyle w:val="StandardWeb"/>
              <w:spacing w:before="0" w:beforeAutospacing="0" w:after="0" w:afterAutospacing="0"/>
              <w:rPr>
                <w:rFonts w:ascii="Arial" w:hAnsi="Arial" w:cs="Arial"/>
                <w:b/>
                <w:sz w:val="22"/>
                <w:szCs w:val="22"/>
              </w:rPr>
            </w:pPr>
          </w:p>
          <w:p w:rsidR="00543944" w:rsidRDefault="00543944" w:rsidP="008B19EA">
            <w:pPr>
              <w:pStyle w:val="StandardWeb"/>
              <w:spacing w:before="0" w:beforeAutospacing="0" w:after="0" w:afterAutospacing="0"/>
              <w:rPr>
                <w:rFonts w:ascii="Arial" w:hAnsi="Arial" w:cs="Arial"/>
                <w:b/>
                <w:sz w:val="22"/>
                <w:szCs w:val="22"/>
              </w:rPr>
            </w:pPr>
          </w:p>
          <w:p w:rsidR="00543944" w:rsidRDefault="00543944" w:rsidP="008B19EA">
            <w:pPr>
              <w:pStyle w:val="StandardWeb"/>
              <w:spacing w:before="0" w:beforeAutospacing="0" w:after="0" w:afterAutospacing="0"/>
              <w:rPr>
                <w:rFonts w:ascii="Arial" w:hAnsi="Arial" w:cs="Arial"/>
                <w:b/>
                <w:sz w:val="22"/>
                <w:szCs w:val="22"/>
              </w:rPr>
            </w:pPr>
          </w:p>
          <w:p w:rsidR="00543944" w:rsidRPr="00230F35" w:rsidRDefault="00543944" w:rsidP="008B19EA">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543944" w:rsidRDefault="00543944" w:rsidP="008B19EA">
            <w:pPr>
              <w:pStyle w:val="Standard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43944" w:rsidRPr="00001C3B" w:rsidRDefault="00543944" w:rsidP="008B19EA">
            <w:pPr>
              <w:pStyle w:val="StandardWeb"/>
              <w:rPr>
                <w:rFonts w:ascii="Arial" w:hAnsi="Arial" w:cs="Arial"/>
                <w:sz w:val="22"/>
                <w:szCs w:val="22"/>
              </w:rPr>
            </w:pPr>
          </w:p>
        </w:tc>
      </w:tr>
      <w:tr w:rsidR="00543944" w:rsidRPr="00230F35" w:rsidTr="008B19EA">
        <w:trPr>
          <w:trHeight w:val="492"/>
        </w:trPr>
        <w:tc>
          <w:tcPr>
            <w:tcW w:w="6768" w:type="dxa"/>
            <w:gridSpan w:val="3"/>
          </w:tcPr>
          <w:p w:rsidR="00543944" w:rsidRPr="00230F35" w:rsidRDefault="00543944" w:rsidP="008B19EA">
            <w:pPr>
              <w:pStyle w:val="Standard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43944" w:rsidRPr="00230F35" w:rsidRDefault="00543944" w:rsidP="008B19EA">
            <w:pPr>
              <w:pStyle w:val="StandardWeb"/>
              <w:spacing w:after="0"/>
              <w:ind w:left="142" w:right="34"/>
              <w:rPr>
                <w:rFonts w:ascii="Arial" w:hAnsi="Arial" w:cs="Arial"/>
                <w:sz w:val="22"/>
                <w:szCs w:val="22"/>
              </w:rPr>
            </w:pPr>
            <w:r w:rsidRPr="00230F35">
              <w:rPr>
                <w:rFonts w:ascii="Arial" w:hAnsi="Arial" w:cs="Arial"/>
                <w:sz w:val="22"/>
                <w:szCs w:val="22"/>
              </w:rPr>
              <w:t>Date:</w:t>
            </w:r>
          </w:p>
        </w:tc>
      </w:tr>
      <w:tr w:rsidR="00543944" w:rsidRPr="002F467C" w:rsidTr="008B19EA">
        <w:tc>
          <w:tcPr>
            <w:tcW w:w="8856" w:type="dxa"/>
            <w:gridSpan w:val="5"/>
          </w:tcPr>
          <w:p w:rsidR="00543944" w:rsidRPr="00230F35" w:rsidRDefault="00543944" w:rsidP="008B19EA">
            <w:pPr>
              <w:pStyle w:val="StandardWeb"/>
              <w:spacing w:before="0" w:beforeAutospacing="0" w:after="0" w:afterAutospacing="0"/>
              <w:ind w:right="-334"/>
              <w:rPr>
                <w:rFonts w:ascii="Arial" w:hAnsi="Arial" w:cs="Arial"/>
                <w:bCs/>
                <w:i/>
                <w:sz w:val="22"/>
                <w:szCs w:val="22"/>
              </w:rPr>
            </w:pPr>
          </w:p>
          <w:p w:rsidR="00543944" w:rsidRPr="00230F35" w:rsidRDefault="00543944" w:rsidP="008B19EA">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43944" w:rsidRPr="00230F35" w:rsidRDefault="00543944" w:rsidP="008B19EA">
            <w:pPr>
              <w:pStyle w:val="StandardWeb"/>
              <w:spacing w:before="0" w:beforeAutospacing="0" w:after="0" w:afterAutospacing="0"/>
              <w:ind w:right="-334"/>
              <w:rPr>
                <w:rFonts w:ascii="Arial" w:hAnsi="Arial" w:cs="Arial"/>
                <w:b/>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tc>
      </w:tr>
      <w:tr w:rsidR="00543944" w:rsidRPr="002F467C" w:rsidTr="008B19EA">
        <w:trPr>
          <w:trHeight w:val="720"/>
        </w:trPr>
        <w:tc>
          <w:tcPr>
            <w:tcW w:w="5211" w:type="dxa"/>
            <w:gridSpan w:val="2"/>
          </w:tcPr>
          <w:p w:rsidR="00543944" w:rsidRPr="00230F35" w:rsidRDefault="00543944" w:rsidP="008B19EA">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43944" w:rsidRPr="00230F35" w:rsidRDefault="00543944" w:rsidP="008B19EA">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43944" w:rsidRPr="00543944" w:rsidTr="008B19EA">
        <w:trPr>
          <w:trHeight w:val="720"/>
        </w:trPr>
        <w:tc>
          <w:tcPr>
            <w:tcW w:w="8856" w:type="dxa"/>
            <w:gridSpan w:val="5"/>
          </w:tcPr>
          <w:p w:rsidR="00543944" w:rsidRPr="00543944" w:rsidRDefault="00543944" w:rsidP="008B19EA">
            <w:pPr>
              <w:rPr>
                <w:rFonts w:ascii="Arial" w:hAnsi="Arial" w:cs="Arial"/>
                <w:b/>
                <w:sz w:val="22"/>
                <w:szCs w:val="22"/>
                <w:lang w:val="en-US"/>
              </w:rPr>
            </w:pPr>
            <w:r w:rsidRPr="00543944">
              <w:rPr>
                <w:rFonts w:ascii="Arial" w:hAnsi="Arial" w:cs="Arial"/>
                <w:b/>
                <w:sz w:val="22"/>
                <w:szCs w:val="22"/>
                <w:lang w:val="en-US"/>
              </w:rPr>
              <w:t>External Examiner’s comments (if relevant)</w:t>
            </w: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p w:rsidR="00543944" w:rsidRPr="00230F35" w:rsidRDefault="00543944" w:rsidP="008B19EA">
            <w:pPr>
              <w:pStyle w:val="StandardWeb"/>
              <w:spacing w:before="0" w:beforeAutospacing="0" w:after="0" w:afterAutospacing="0"/>
              <w:ind w:right="-334"/>
              <w:rPr>
                <w:rFonts w:ascii="Arial" w:hAnsi="Arial" w:cs="Arial"/>
                <w:bCs/>
                <w:sz w:val="22"/>
                <w:szCs w:val="22"/>
              </w:rPr>
            </w:pPr>
          </w:p>
        </w:tc>
      </w:tr>
      <w:tr w:rsidR="00543944" w:rsidRPr="002F467C" w:rsidTr="008B19EA">
        <w:trPr>
          <w:trHeight w:val="720"/>
        </w:trPr>
        <w:tc>
          <w:tcPr>
            <w:tcW w:w="5211" w:type="dxa"/>
            <w:gridSpan w:val="2"/>
          </w:tcPr>
          <w:p w:rsidR="00543944" w:rsidRPr="00230F35" w:rsidRDefault="00543944" w:rsidP="008B19EA">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rsidR="00543944" w:rsidRPr="00230F35" w:rsidRDefault="00543944" w:rsidP="008B19EA">
            <w:pPr>
              <w:rPr>
                <w:rFonts w:ascii="Arial" w:hAnsi="Arial" w:cs="Arial"/>
                <w:sz w:val="22"/>
                <w:szCs w:val="22"/>
              </w:rPr>
            </w:pPr>
            <w:r w:rsidRPr="00230F35">
              <w:rPr>
                <w:rFonts w:ascii="Arial" w:hAnsi="Arial" w:cs="Arial"/>
                <w:sz w:val="22"/>
                <w:szCs w:val="22"/>
              </w:rPr>
              <w:t>Date:</w:t>
            </w:r>
          </w:p>
        </w:tc>
      </w:tr>
    </w:tbl>
    <w:p w:rsidR="004764DC" w:rsidRDefault="00E82CC4" w:rsidP="00543944">
      <w:pPr>
        <w:pStyle w:val="berschrift2"/>
        <w:jc w:val="center"/>
        <w:rPr>
          <w:lang w:val="en-US"/>
        </w:rPr>
      </w:pPr>
      <w:r w:rsidRPr="00E82CC4">
        <w:rPr>
          <w:lang w:val="en-US"/>
        </w:rPr>
        <w:lastRenderedPageBreak/>
        <w:t>A Critical Comparison of two Secondary</w:t>
      </w:r>
      <w:r>
        <w:rPr>
          <w:lang w:val="en-US"/>
        </w:rPr>
        <w:t xml:space="preserve"> Sources</w:t>
      </w:r>
    </w:p>
    <w:p w:rsidR="00E82CC4" w:rsidRDefault="00E82CC4" w:rsidP="00E82CC4">
      <w:pPr>
        <w:rPr>
          <w:lang w:val="en-US"/>
        </w:rPr>
      </w:pPr>
    </w:p>
    <w:p w:rsidR="00E82CC4" w:rsidRPr="003660A9" w:rsidRDefault="00301159" w:rsidP="00301159">
      <w:pPr>
        <w:pStyle w:val="berschrift3"/>
        <w:numPr>
          <w:ilvl w:val="0"/>
          <w:numId w:val="1"/>
        </w:numPr>
        <w:rPr>
          <w:lang w:val="en-GB"/>
        </w:rPr>
      </w:pPr>
      <w:r w:rsidRPr="003660A9">
        <w:rPr>
          <w:lang w:val="en-GB"/>
        </w:rPr>
        <w:t>Introduction</w:t>
      </w:r>
      <w:r w:rsidRPr="003660A9">
        <w:rPr>
          <w:lang w:val="en-GB"/>
        </w:rPr>
        <w:br/>
      </w:r>
    </w:p>
    <w:p w:rsidR="003F26A7" w:rsidRDefault="00301159" w:rsidP="00FE3E3D">
      <w:pPr>
        <w:ind w:firstLine="360"/>
        <w:rPr>
          <w:sz w:val="22"/>
          <w:szCs w:val="22"/>
          <w:lang w:val="en-GB"/>
        </w:rPr>
      </w:pPr>
      <w:r w:rsidRPr="003660A9">
        <w:rPr>
          <w:sz w:val="22"/>
          <w:szCs w:val="22"/>
          <w:lang w:val="en-GB"/>
        </w:rPr>
        <w:t xml:space="preserve">This essay compares and contrasts two papers: Tony Walter and Helen Waterhouse, ‘A Very Private Belief: Reincarnation in Contemporary England’ in </w:t>
      </w:r>
      <w:r w:rsidR="004E4121" w:rsidRPr="003660A9">
        <w:rPr>
          <w:i/>
          <w:sz w:val="22"/>
          <w:szCs w:val="22"/>
          <w:lang w:val="en-GB"/>
        </w:rPr>
        <w:t>Sociology of Religion</w:t>
      </w:r>
      <w:r w:rsidR="004E4121" w:rsidRPr="003660A9">
        <w:rPr>
          <w:sz w:val="22"/>
          <w:szCs w:val="22"/>
          <w:lang w:val="en-GB"/>
        </w:rPr>
        <w:t xml:space="preserve"> 60:2 (1999), 187-197 and </w:t>
      </w:r>
      <w:r w:rsidR="00704C80" w:rsidRPr="003660A9">
        <w:rPr>
          <w:sz w:val="22"/>
          <w:szCs w:val="22"/>
          <w:lang w:val="en-GB"/>
        </w:rPr>
        <w:t>T.L. Brink</w:t>
      </w:r>
      <w:r w:rsidR="00FE3E3D" w:rsidRPr="003660A9">
        <w:rPr>
          <w:sz w:val="22"/>
          <w:szCs w:val="22"/>
          <w:lang w:val="en-GB"/>
        </w:rPr>
        <w:t xml:space="preserve">, ‘Inconsistency of Belief Among Roman Catholic Girls: Concerning Religion, Astrology, Reincarnation’ in </w:t>
      </w:r>
      <w:r w:rsidR="00FE3E3D" w:rsidRPr="003660A9">
        <w:rPr>
          <w:i/>
          <w:sz w:val="22"/>
          <w:szCs w:val="22"/>
          <w:lang w:val="en-GB"/>
        </w:rPr>
        <w:t>Review of Religious Research</w:t>
      </w:r>
      <w:r w:rsidR="00FE3E3D" w:rsidRPr="003660A9">
        <w:rPr>
          <w:sz w:val="22"/>
          <w:szCs w:val="22"/>
          <w:lang w:val="en-GB"/>
        </w:rPr>
        <w:t xml:space="preserve"> 20:1 (1978), 82-85.</w:t>
      </w:r>
      <w:r w:rsidR="009A3383">
        <w:rPr>
          <w:sz w:val="22"/>
          <w:szCs w:val="22"/>
          <w:lang w:val="en-GB"/>
        </w:rPr>
        <w:t xml:space="preserve"> </w:t>
      </w:r>
    </w:p>
    <w:p w:rsidR="009A3383" w:rsidRDefault="009A3383" w:rsidP="00FE3E3D">
      <w:pPr>
        <w:ind w:firstLine="360"/>
        <w:rPr>
          <w:sz w:val="22"/>
          <w:szCs w:val="22"/>
          <w:lang w:val="en-GB"/>
        </w:rPr>
      </w:pPr>
    </w:p>
    <w:p w:rsidR="009A3383" w:rsidRPr="003660A9" w:rsidRDefault="009A3383" w:rsidP="00FE3E3D">
      <w:pPr>
        <w:ind w:firstLine="360"/>
        <w:rPr>
          <w:sz w:val="22"/>
          <w:szCs w:val="22"/>
          <w:lang w:val="en-GB"/>
        </w:rPr>
      </w:pPr>
      <w:r>
        <w:rPr>
          <w:sz w:val="22"/>
          <w:szCs w:val="22"/>
          <w:lang w:val="en-GB"/>
        </w:rPr>
        <w:t xml:space="preserve">After a brief summary of both papers I will analyse, compare and contrast them from different perspectives and conclude with </w:t>
      </w:r>
      <w:r w:rsidR="00D85CF7">
        <w:rPr>
          <w:sz w:val="22"/>
          <w:szCs w:val="22"/>
          <w:lang w:val="en-GB"/>
        </w:rPr>
        <w:t>a summary of the main points</w:t>
      </w:r>
      <w:r>
        <w:rPr>
          <w:sz w:val="22"/>
          <w:szCs w:val="22"/>
          <w:lang w:val="en-GB"/>
        </w:rPr>
        <w:t>.</w:t>
      </w:r>
    </w:p>
    <w:p w:rsidR="00301159" w:rsidRPr="003660A9" w:rsidRDefault="00301159" w:rsidP="00301159">
      <w:pPr>
        <w:rPr>
          <w:lang w:val="en-GB"/>
        </w:rPr>
      </w:pPr>
    </w:p>
    <w:p w:rsidR="00301159" w:rsidRPr="003660A9" w:rsidRDefault="00FE3E3D" w:rsidP="00301159">
      <w:pPr>
        <w:pStyle w:val="berschrift3"/>
        <w:numPr>
          <w:ilvl w:val="0"/>
          <w:numId w:val="1"/>
        </w:numPr>
        <w:rPr>
          <w:lang w:val="en-GB"/>
        </w:rPr>
      </w:pPr>
      <w:r w:rsidRPr="003660A9">
        <w:rPr>
          <w:lang w:val="en-GB"/>
        </w:rPr>
        <w:t>Summary of the Papers</w:t>
      </w:r>
    </w:p>
    <w:p w:rsidR="00E17382" w:rsidRPr="003660A9" w:rsidRDefault="00E17382" w:rsidP="00301159">
      <w:pPr>
        <w:rPr>
          <w:lang w:val="en-GB"/>
        </w:rPr>
      </w:pPr>
    </w:p>
    <w:p w:rsidR="0073659F" w:rsidRDefault="00FE3E3D" w:rsidP="00E826D2">
      <w:pPr>
        <w:ind w:firstLine="360"/>
        <w:rPr>
          <w:lang w:val="en-GB"/>
        </w:rPr>
      </w:pPr>
      <w:r w:rsidRPr="003660A9">
        <w:rPr>
          <w:lang w:val="en-GB"/>
        </w:rPr>
        <w:t xml:space="preserve">Both papers represent the findings of research conducted </w:t>
      </w:r>
      <w:r w:rsidR="003A5F5E" w:rsidRPr="003660A9">
        <w:rPr>
          <w:lang w:val="en-GB"/>
        </w:rPr>
        <w:t>to answer socio-religious questions</w:t>
      </w:r>
      <w:r w:rsidR="00FC6CBB">
        <w:rPr>
          <w:lang w:val="en-GB"/>
        </w:rPr>
        <w:t xml:space="preserve"> about belief in reincarnation</w:t>
      </w:r>
      <w:r w:rsidR="003A5F5E" w:rsidRPr="003660A9">
        <w:rPr>
          <w:lang w:val="en-GB"/>
        </w:rPr>
        <w:t xml:space="preserve">. </w:t>
      </w:r>
      <w:r w:rsidR="00E50232" w:rsidRPr="003660A9">
        <w:rPr>
          <w:lang w:val="en-GB"/>
        </w:rPr>
        <w:t xml:space="preserve"> </w:t>
      </w:r>
      <w:r w:rsidR="003A5F5E" w:rsidRPr="003660A9">
        <w:rPr>
          <w:lang w:val="en-GB"/>
        </w:rPr>
        <w:t>T.L. Brink</w:t>
      </w:r>
      <w:r w:rsidR="00221915" w:rsidRPr="003660A9">
        <w:rPr>
          <w:lang w:val="en-GB"/>
        </w:rPr>
        <w:t xml:space="preserve"> conducted a questionnaire survey at a Roman Catholic high school</w:t>
      </w:r>
      <w:r w:rsidR="00A22464">
        <w:rPr>
          <w:lang w:val="en-GB"/>
        </w:rPr>
        <w:t xml:space="preserve"> in 1976 with 227 adolescent girls</w:t>
      </w:r>
      <w:r w:rsidR="00221915" w:rsidRPr="003660A9">
        <w:rPr>
          <w:lang w:val="en-GB"/>
        </w:rPr>
        <w:t xml:space="preserve"> to </w:t>
      </w:r>
      <w:r w:rsidR="00A22464">
        <w:rPr>
          <w:lang w:val="en-GB"/>
        </w:rPr>
        <w:t>test</w:t>
      </w:r>
      <w:r w:rsidR="00221915" w:rsidRPr="003660A9">
        <w:rPr>
          <w:lang w:val="en-GB"/>
        </w:rPr>
        <w:t xml:space="preserve"> </w:t>
      </w:r>
      <w:r w:rsidR="00A22464">
        <w:rPr>
          <w:lang w:val="en-GB"/>
        </w:rPr>
        <w:t>his</w:t>
      </w:r>
      <w:r w:rsidR="00221915" w:rsidRPr="003660A9">
        <w:rPr>
          <w:lang w:val="en-GB"/>
        </w:rPr>
        <w:t xml:space="preserve"> hypothesis that </w:t>
      </w:r>
      <w:r w:rsidR="00A22464">
        <w:rPr>
          <w:lang w:val="en-GB"/>
        </w:rPr>
        <w:t xml:space="preserve">those girls who </w:t>
      </w:r>
      <w:r w:rsidR="00221915" w:rsidRPr="003660A9">
        <w:rPr>
          <w:lang w:val="en-GB"/>
        </w:rPr>
        <w:t>belie</w:t>
      </w:r>
      <w:r w:rsidR="00A22464">
        <w:rPr>
          <w:lang w:val="en-GB"/>
        </w:rPr>
        <w:t>ved</w:t>
      </w:r>
      <w:r w:rsidR="00221915" w:rsidRPr="003660A9">
        <w:rPr>
          <w:lang w:val="en-GB"/>
        </w:rPr>
        <w:t xml:space="preserve"> in Roman Catholic doctrine would </w:t>
      </w:r>
      <w:r w:rsidR="00A22464">
        <w:rPr>
          <w:lang w:val="en-GB"/>
        </w:rPr>
        <w:t xml:space="preserve">not </w:t>
      </w:r>
      <w:r w:rsidR="003C59C3">
        <w:rPr>
          <w:lang w:val="en-GB"/>
        </w:rPr>
        <w:t>express a belief in</w:t>
      </w:r>
      <w:r w:rsidR="00221915" w:rsidRPr="003660A9">
        <w:rPr>
          <w:lang w:val="en-GB"/>
        </w:rPr>
        <w:t xml:space="preserve"> astrology </w:t>
      </w:r>
      <w:r w:rsidR="00C44D35">
        <w:rPr>
          <w:lang w:val="en-GB"/>
        </w:rPr>
        <w:t>or</w:t>
      </w:r>
      <w:r w:rsidR="00221915" w:rsidRPr="003660A9">
        <w:rPr>
          <w:lang w:val="en-GB"/>
        </w:rPr>
        <w:t xml:space="preserve"> reincarnation</w:t>
      </w:r>
      <w:r w:rsidR="003C59C3">
        <w:rPr>
          <w:lang w:val="en-GB"/>
        </w:rPr>
        <w:t xml:space="preserve"> at the same time</w:t>
      </w:r>
      <w:r w:rsidR="00221915" w:rsidRPr="003660A9">
        <w:rPr>
          <w:lang w:val="en-GB"/>
        </w:rPr>
        <w:t xml:space="preserve">. </w:t>
      </w:r>
      <w:r w:rsidR="003A5F5E" w:rsidRPr="003660A9">
        <w:rPr>
          <w:lang w:val="en-GB"/>
        </w:rPr>
        <w:t xml:space="preserve"> </w:t>
      </w:r>
      <w:r w:rsidR="00A22464">
        <w:rPr>
          <w:lang w:val="en-GB"/>
        </w:rPr>
        <w:t xml:space="preserve">His academic rationale for this hypothesis </w:t>
      </w:r>
      <w:r w:rsidR="003C59C3">
        <w:rPr>
          <w:lang w:val="en-GB"/>
        </w:rPr>
        <w:t>wa</w:t>
      </w:r>
      <w:r w:rsidR="00A22464">
        <w:rPr>
          <w:lang w:val="en-GB"/>
        </w:rPr>
        <w:t xml:space="preserve">s based on various cognitive theories, among them a theory on belief congruence by </w:t>
      </w:r>
      <w:proofErr w:type="spellStart"/>
      <w:r w:rsidR="00A22464">
        <w:rPr>
          <w:lang w:val="en-GB"/>
        </w:rPr>
        <w:t>Rokeach</w:t>
      </w:r>
      <w:proofErr w:type="spellEnd"/>
      <w:r w:rsidR="00A22464">
        <w:rPr>
          <w:lang w:val="en-GB"/>
        </w:rPr>
        <w:t xml:space="preserve"> and Rothman from 1965. </w:t>
      </w:r>
      <w:r w:rsidR="00080BF4">
        <w:rPr>
          <w:lang w:val="en-GB"/>
        </w:rPr>
        <w:t xml:space="preserve"> </w:t>
      </w:r>
      <w:r w:rsidR="00A22464">
        <w:rPr>
          <w:lang w:val="en-GB"/>
        </w:rPr>
        <w:t>However</w:t>
      </w:r>
      <w:r w:rsidR="003C59C3">
        <w:rPr>
          <w:lang w:val="en-GB"/>
        </w:rPr>
        <w:t>,</w:t>
      </w:r>
      <w:r w:rsidR="00A22464">
        <w:rPr>
          <w:lang w:val="en-GB"/>
        </w:rPr>
        <w:t xml:space="preserve"> the result of his survey did not support these theories and instead found that t</w:t>
      </w:r>
      <w:r w:rsidR="003C59C3">
        <w:rPr>
          <w:lang w:val="en-GB"/>
        </w:rPr>
        <w:t>he religious attitudes of his sample showed little congruence regarding what he considered to be incompatible beliefs.</w:t>
      </w:r>
      <w:r w:rsidR="0073659F">
        <w:rPr>
          <w:lang w:val="en-GB"/>
        </w:rPr>
        <w:t xml:space="preserve"> </w:t>
      </w:r>
      <w:r w:rsidR="00080BF4">
        <w:rPr>
          <w:lang w:val="en-GB"/>
        </w:rPr>
        <w:t xml:space="preserve"> </w:t>
      </w:r>
      <w:r w:rsidR="001A1FB0">
        <w:rPr>
          <w:lang w:val="en-GB"/>
        </w:rPr>
        <w:t>He explained the results of his study with theories on the functional role of beliefs and conclude</w:t>
      </w:r>
      <w:r w:rsidR="000776FC">
        <w:rPr>
          <w:lang w:val="en-GB"/>
        </w:rPr>
        <w:t>d</w:t>
      </w:r>
      <w:r w:rsidR="001A1FB0">
        <w:rPr>
          <w:lang w:val="en-GB"/>
        </w:rPr>
        <w:t xml:space="preserve"> his article stating </w:t>
      </w:r>
      <w:r w:rsidR="0073659F">
        <w:rPr>
          <w:lang w:val="en-GB"/>
        </w:rPr>
        <w:t>th</w:t>
      </w:r>
      <w:r w:rsidR="001A1FB0">
        <w:rPr>
          <w:lang w:val="en-GB"/>
        </w:rPr>
        <w:t>e adoption of incongruent beliefs</w:t>
      </w:r>
      <w:r w:rsidR="0073659F">
        <w:rPr>
          <w:lang w:val="en-GB"/>
        </w:rPr>
        <w:t xml:space="preserve"> </w:t>
      </w:r>
      <w:r w:rsidR="00631236">
        <w:rPr>
          <w:lang w:val="en-GB"/>
        </w:rPr>
        <w:t>to be attributed</w:t>
      </w:r>
      <w:r w:rsidR="001A1FB0">
        <w:rPr>
          <w:lang w:val="en-GB"/>
        </w:rPr>
        <w:t xml:space="preserve"> </w:t>
      </w:r>
      <w:r w:rsidR="0073659F">
        <w:rPr>
          <w:lang w:val="en-GB"/>
        </w:rPr>
        <w:t xml:space="preserve">to </w:t>
      </w:r>
      <w:r w:rsidR="001A1FB0">
        <w:rPr>
          <w:lang w:val="en-GB"/>
        </w:rPr>
        <w:t xml:space="preserve">the </w:t>
      </w:r>
      <w:r w:rsidR="00631236">
        <w:rPr>
          <w:lang w:val="en-GB"/>
        </w:rPr>
        <w:t>‘</w:t>
      </w:r>
      <w:r w:rsidR="0073659F">
        <w:rPr>
          <w:lang w:val="en-GB"/>
        </w:rPr>
        <w:t>uncertainty and confusion</w:t>
      </w:r>
      <w:r w:rsidR="00631236">
        <w:rPr>
          <w:lang w:val="en-GB"/>
        </w:rPr>
        <w:t>’</w:t>
      </w:r>
      <w:r w:rsidR="0073659F">
        <w:rPr>
          <w:lang w:val="en-GB"/>
        </w:rPr>
        <w:t xml:space="preserve"> of</w:t>
      </w:r>
      <w:r w:rsidR="001A1FB0">
        <w:rPr>
          <w:lang w:val="en-GB"/>
        </w:rPr>
        <w:t xml:space="preserve"> adolescence.</w:t>
      </w:r>
    </w:p>
    <w:p w:rsidR="0004326B" w:rsidRDefault="0004326B" w:rsidP="00301159">
      <w:pPr>
        <w:rPr>
          <w:lang w:val="en-GB"/>
        </w:rPr>
      </w:pPr>
    </w:p>
    <w:p w:rsidR="0004326B" w:rsidRDefault="0004326B" w:rsidP="00E826D2">
      <w:pPr>
        <w:ind w:firstLine="360"/>
        <w:rPr>
          <w:lang w:val="en-GB"/>
        </w:rPr>
      </w:pPr>
      <w:r>
        <w:rPr>
          <w:lang w:val="en-GB"/>
        </w:rPr>
        <w:t xml:space="preserve">Walter and Waterhouse based their qualitative research on </w:t>
      </w:r>
      <w:r w:rsidR="005F0A08">
        <w:rPr>
          <w:lang w:val="en-GB"/>
        </w:rPr>
        <w:t xml:space="preserve">a wide range of </w:t>
      </w:r>
      <w:r>
        <w:rPr>
          <w:lang w:val="en-GB"/>
        </w:rPr>
        <w:t xml:space="preserve">surveys which indicated a substantial portion of westerners without attachment to Eastern or New Age religions believed in reincarnation. </w:t>
      </w:r>
      <w:r w:rsidR="00080BF4">
        <w:rPr>
          <w:lang w:val="en-GB"/>
        </w:rPr>
        <w:t xml:space="preserve"> </w:t>
      </w:r>
      <w:r>
        <w:rPr>
          <w:lang w:val="en-GB"/>
        </w:rPr>
        <w:t xml:space="preserve">The focus of their interview study was to learn what reincarnation meant to those people who believed in it, how it affected their conventional religious activities and how it related to other aspects of their lives. </w:t>
      </w:r>
      <w:r w:rsidR="00080BF4">
        <w:rPr>
          <w:lang w:val="en-GB"/>
        </w:rPr>
        <w:t xml:space="preserve"> </w:t>
      </w:r>
      <w:r w:rsidR="00B6277D">
        <w:rPr>
          <w:lang w:val="en-GB"/>
        </w:rPr>
        <w:t>The purpose of their article was to summarize their findings and discuss them with</w:t>
      </w:r>
      <w:r w:rsidR="00080BF4">
        <w:rPr>
          <w:lang w:val="en-GB"/>
        </w:rPr>
        <w:t>in</w:t>
      </w:r>
      <w:r w:rsidR="00B6277D">
        <w:rPr>
          <w:lang w:val="en-GB"/>
        </w:rPr>
        <w:t xml:space="preserve"> the context of </w:t>
      </w:r>
      <w:r w:rsidR="00631236">
        <w:rPr>
          <w:lang w:val="en-GB"/>
        </w:rPr>
        <w:t xml:space="preserve">the theory on the </w:t>
      </w:r>
      <w:r w:rsidR="00B6277D">
        <w:rPr>
          <w:lang w:val="en-GB"/>
        </w:rPr>
        <w:t xml:space="preserve">privatization </w:t>
      </w:r>
      <w:r w:rsidR="00631236">
        <w:rPr>
          <w:lang w:val="en-GB"/>
        </w:rPr>
        <w:t>of religion</w:t>
      </w:r>
      <w:r w:rsidR="00B6277D">
        <w:rPr>
          <w:lang w:val="en-GB"/>
        </w:rPr>
        <w:t xml:space="preserve"> for which the authors cited Berger (1969) and Davie (1990, 1994). </w:t>
      </w:r>
      <w:r w:rsidR="00080BF4">
        <w:rPr>
          <w:lang w:val="en-GB"/>
        </w:rPr>
        <w:t xml:space="preserve"> </w:t>
      </w:r>
      <w:r>
        <w:rPr>
          <w:lang w:val="en-GB"/>
        </w:rPr>
        <w:t xml:space="preserve">The conclusion they came to was that for those people interviewed, belief in reincarnation was </w:t>
      </w:r>
      <w:r w:rsidR="009E281D">
        <w:rPr>
          <w:lang w:val="en-GB"/>
        </w:rPr>
        <w:t>indeed very private, supporting the theory of belief privatization.</w:t>
      </w:r>
    </w:p>
    <w:p w:rsidR="00301159" w:rsidRPr="003660A9" w:rsidRDefault="00301159" w:rsidP="00301159">
      <w:pPr>
        <w:rPr>
          <w:lang w:val="en-GB"/>
        </w:rPr>
      </w:pPr>
    </w:p>
    <w:p w:rsidR="00AF5A6F" w:rsidRPr="00080BF4" w:rsidRDefault="00AF5A6F" w:rsidP="00AF5A6F">
      <w:pPr>
        <w:pStyle w:val="berschrift3"/>
        <w:numPr>
          <w:ilvl w:val="0"/>
          <w:numId w:val="1"/>
        </w:numPr>
        <w:rPr>
          <w:lang w:val="en-US"/>
        </w:rPr>
      </w:pPr>
      <w:r>
        <w:rPr>
          <w:lang w:val="en-US"/>
        </w:rPr>
        <w:t>Analysis</w:t>
      </w:r>
      <w:r w:rsidR="00F07AD5">
        <w:rPr>
          <w:lang w:val="en-US"/>
        </w:rPr>
        <w:br/>
      </w:r>
    </w:p>
    <w:p w:rsidR="00AF5A6F" w:rsidRPr="00AF5A6F" w:rsidRDefault="00AF5A6F" w:rsidP="00F07AD5">
      <w:pPr>
        <w:pStyle w:val="berschrift3"/>
        <w:ind w:firstLine="360"/>
        <w:rPr>
          <w:lang w:val="en-US"/>
        </w:rPr>
      </w:pPr>
      <w:r>
        <w:rPr>
          <w:lang w:val="en-US"/>
        </w:rPr>
        <w:t>3.1</w:t>
      </w:r>
      <w:r w:rsidR="00CB7854">
        <w:rPr>
          <w:lang w:val="en-US"/>
        </w:rPr>
        <w:t xml:space="preserve"> </w:t>
      </w:r>
      <w:r w:rsidR="009E778D">
        <w:rPr>
          <w:lang w:val="en-US"/>
        </w:rPr>
        <w:t xml:space="preserve">  </w:t>
      </w:r>
      <w:r w:rsidR="00CB7854">
        <w:rPr>
          <w:lang w:val="en-US"/>
        </w:rPr>
        <w:t>Context</w:t>
      </w:r>
      <w:r w:rsidR="00553446">
        <w:rPr>
          <w:lang w:val="en-US"/>
        </w:rPr>
        <w:t xml:space="preserve"> and Literary Style</w:t>
      </w:r>
    </w:p>
    <w:p w:rsidR="00301159" w:rsidRDefault="00301159" w:rsidP="00301159">
      <w:pPr>
        <w:rPr>
          <w:lang w:val="en-US"/>
        </w:rPr>
      </w:pPr>
    </w:p>
    <w:p w:rsidR="00420C3C" w:rsidRDefault="00420C3C" w:rsidP="00080C50">
      <w:pPr>
        <w:ind w:firstLine="360"/>
        <w:rPr>
          <w:lang w:val="en-GB"/>
        </w:rPr>
      </w:pPr>
      <w:r>
        <w:rPr>
          <w:lang w:val="en-GB"/>
        </w:rPr>
        <w:t>Walter and Waterhouse published the results of their research in the official journal of the Association for the Sociology of Religion, ‘Sociology and Religion’, in the summer of 1999. The first author, Tony Walters, holds a PhD in Sociology</w:t>
      </w:r>
      <w:r w:rsidR="00631236">
        <w:rPr>
          <w:lang w:val="en-GB"/>
        </w:rPr>
        <w:t>,</w:t>
      </w:r>
      <w:r>
        <w:rPr>
          <w:lang w:val="en-GB"/>
        </w:rPr>
        <w:t xml:space="preserve"> </w:t>
      </w:r>
      <w:r w:rsidR="00631236">
        <w:rPr>
          <w:lang w:val="en-GB"/>
        </w:rPr>
        <w:t>t</w:t>
      </w:r>
      <w:r>
        <w:rPr>
          <w:lang w:val="en-GB"/>
        </w:rPr>
        <w:t xml:space="preserve">he second author, Helen Waterhouse published her PhD dissertation on Buddhism in Bath at Bath Spa University in 1997 and is now Visiting Honorary Associate in Religious Studies at the Open University. </w:t>
      </w:r>
    </w:p>
    <w:p w:rsidR="00080C50" w:rsidRDefault="00080C50" w:rsidP="00420C3C">
      <w:pPr>
        <w:rPr>
          <w:lang w:val="en-GB"/>
        </w:rPr>
      </w:pPr>
    </w:p>
    <w:p w:rsidR="00080C50" w:rsidRDefault="00080C50" w:rsidP="0017200B">
      <w:pPr>
        <w:ind w:firstLine="360"/>
        <w:rPr>
          <w:lang w:val="en-GB"/>
        </w:rPr>
      </w:pPr>
      <w:r>
        <w:rPr>
          <w:lang w:val="en-GB"/>
        </w:rPr>
        <w:lastRenderedPageBreak/>
        <w:t xml:space="preserve">T.L. Brink had also just completed his PhD studies in Psychology at the time </w:t>
      </w:r>
      <w:r w:rsidR="009E66FA">
        <w:rPr>
          <w:lang w:val="en-GB"/>
        </w:rPr>
        <w:t>of</w:t>
      </w:r>
      <w:r>
        <w:rPr>
          <w:lang w:val="en-GB"/>
        </w:rPr>
        <w:t xml:space="preserve"> his survey in 1976</w:t>
      </w:r>
      <w:r w:rsidR="009E66FA">
        <w:rPr>
          <w:lang w:val="en-GB"/>
        </w:rPr>
        <w:t xml:space="preserve"> and </w:t>
      </w:r>
      <w:r w:rsidR="00B55D4D">
        <w:rPr>
          <w:lang w:val="en-GB"/>
        </w:rPr>
        <w:t>later bec</w:t>
      </w:r>
      <w:r w:rsidR="009E66FA">
        <w:rPr>
          <w:lang w:val="en-GB"/>
        </w:rPr>
        <w:t>a</w:t>
      </w:r>
      <w:r w:rsidR="00B55D4D">
        <w:rPr>
          <w:lang w:val="en-GB"/>
        </w:rPr>
        <w:t xml:space="preserve">me Professor for Psychology and Religious Studies at Crafton Hill College in San </w:t>
      </w:r>
      <w:proofErr w:type="spellStart"/>
      <w:r w:rsidR="00B55D4D">
        <w:rPr>
          <w:lang w:val="en-GB"/>
        </w:rPr>
        <w:t>Bernadino</w:t>
      </w:r>
      <w:proofErr w:type="spellEnd"/>
      <w:r w:rsidR="00B55D4D">
        <w:rPr>
          <w:lang w:val="en-GB"/>
        </w:rPr>
        <w:t xml:space="preserve">, USA. </w:t>
      </w:r>
    </w:p>
    <w:p w:rsidR="0086361B" w:rsidRDefault="0086361B" w:rsidP="00420C3C">
      <w:pPr>
        <w:rPr>
          <w:lang w:val="en-GB"/>
        </w:rPr>
      </w:pPr>
    </w:p>
    <w:p w:rsidR="00F21ADF" w:rsidRDefault="0086361B" w:rsidP="0017200B">
      <w:pPr>
        <w:autoSpaceDE w:val="0"/>
        <w:autoSpaceDN w:val="0"/>
        <w:adjustRightInd w:val="0"/>
        <w:ind w:firstLine="360"/>
        <w:rPr>
          <w:lang w:val="en-GB"/>
        </w:rPr>
      </w:pPr>
      <w:r>
        <w:rPr>
          <w:lang w:val="en-GB"/>
        </w:rPr>
        <w:t xml:space="preserve">Both studies were published in academic journals, </w:t>
      </w:r>
      <w:r w:rsidR="00087BFC">
        <w:rPr>
          <w:lang w:val="en-GB"/>
        </w:rPr>
        <w:t xml:space="preserve">almost 20 years apart. </w:t>
      </w:r>
      <w:r w:rsidR="00F21ADF">
        <w:rPr>
          <w:lang w:val="en-GB"/>
        </w:rPr>
        <w:t xml:space="preserve">This time gap represents a whole generation’s distance between </w:t>
      </w:r>
      <w:r w:rsidR="0017200B">
        <w:rPr>
          <w:lang w:val="en-GB"/>
        </w:rPr>
        <w:t>the</w:t>
      </w:r>
      <w:r w:rsidR="00F21ADF">
        <w:rPr>
          <w:lang w:val="en-GB"/>
        </w:rPr>
        <w:t xml:space="preserve"> papers and considered within the context of the history of social science might explain some of their differences in methodology and style which I will discuss in this essay. </w:t>
      </w:r>
    </w:p>
    <w:p w:rsidR="00F21ADF" w:rsidRDefault="00F21ADF" w:rsidP="00292B12">
      <w:pPr>
        <w:autoSpaceDE w:val="0"/>
        <w:autoSpaceDN w:val="0"/>
        <w:adjustRightInd w:val="0"/>
        <w:rPr>
          <w:lang w:val="en-GB"/>
        </w:rPr>
      </w:pPr>
    </w:p>
    <w:p w:rsidR="004764DC" w:rsidRDefault="0017200B" w:rsidP="004764DC">
      <w:pPr>
        <w:ind w:firstLine="360"/>
        <w:rPr>
          <w:lang w:val="en-US"/>
        </w:rPr>
      </w:pPr>
      <w:r>
        <w:rPr>
          <w:lang w:val="en-GB"/>
        </w:rPr>
        <w:t xml:space="preserve">According to Alan Bryman in ‘Quantity and Quality in Social Research’, quantitative research can be linked to </w:t>
      </w:r>
      <w:r w:rsidR="00E85587">
        <w:rPr>
          <w:lang w:val="en-GB"/>
        </w:rPr>
        <w:t>positivism and ‘partly to a diffuse and general commitment to the practices of the natural scientist’.</w:t>
      </w:r>
      <w:r w:rsidR="00E85587">
        <w:rPr>
          <w:rStyle w:val="Funotenzeichen"/>
          <w:lang w:val="en-GB"/>
        </w:rPr>
        <w:footnoteReference w:id="1"/>
      </w:r>
      <w:r>
        <w:rPr>
          <w:lang w:val="en-GB"/>
        </w:rPr>
        <w:t xml:space="preserve"> </w:t>
      </w:r>
      <w:r w:rsidR="00CA330F">
        <w:rPr>
          <w:lang w:val="en-GB"/>
        </w:rPr>
        <w:t>Dylan Riley</w:t>
      </w:r>
      <w:r w:rsidR="00351BDA">
        <w:rPr>
          <w:lang w:val="en-GB"/>
        </w:rPr>
        <w:t>,</w:t>
      </w:r>
      <w:r w:rsidR="00CA330F">
        <w:rPr>
          <w:lang w:val="en-GB"/>
        </w:rPr>
        <w:t xml:space="preserve"> </w:t>
      </w:r>
      <w:proofErr w:type="spellStart"/>
      <w:r w:rsidR="00CA330F">
        <w:rPr>
          <w:lang w:val="en-GB"/>
        </w:rPr>
        <w:t>i</w:t>
      </w:r>
      <w:r w:rsidR="00122EBF">
        <w:rPr>
          <w:lang w:val="en-US"/>
        </w:rPr>
        <w:t>n</w:t>
      </w:r>
      <w:proofErr w:type="spellEnd"/>
      <w:r w:rsidR="00122EBF">
        <w:rPr>
          <w:lang w:val="en-US"/>
        </w:rPr>
        <w:t xml:space="preserve"> his article “The Paradox of Positivism”, a discussion on the essays in ‘the Politics of Method in the Human Sciences’, refers to Steinmetz’s and Sewell’s articles claiming that positivism had a period of dominance from 1945 to the early 1970s and </w:t>
      </w:r>
      <w:r w:rsidR="00CA330F">
        <w:rPr>
          <w:lang w:val="en-US"/>
        </w:rPr>
        <w:t>goes on to</w:t>
      </w:r>
      <w:r w:rsidR="00122EBF">
        <w:rPr>
          <w:lang w:val="en-US"/>
        </w:rPr>
        <w:t xml:space="preserve"> describe methodological positivism as ‘</w:t>
      </w:r>
      <w:r w:rsidR="00122EBF" w:rsidRPr="00122EBF">
        <w:rPr>
          <w:lang w:val="en-US"/>
        </w:rPr>
        <w:t>a concept of knowledge, a concept of social reality, and a concept of science’</w:t>
      </w:r>
      <w:r w:rsidR="00122EBF">
        <w:rPr>
          <w:rStyle w:val="Funotenzeichen"/>
          <w:lang w:val="en-US"/>
        </w:rPr>
        <w:footnoteReference w:id="2"/>
      </w:r>
      <w:r w:rsidR="00122EBF">
        <w:rPr>
          <w:lang w:val="en-US"/>
        </w:rPr>
        <w:t>, leading to an understanding of scientific activity in which ‘</w:t>
      </w:r>
      <w:r w:rsidR="00122EBF" w:rsidRPr="00756B61">
        <w:rPr>
          <w:lang w:val="en-US"/>
        </w:rPr>
        <w:t>social science is independent of the reality it describes.’</w:t>
      </w:r>
      <w:r w:rsidR="00756B61">
        <w:rPr>
          <w:rStyle w:val="Funotenzeichen"/>
          <w:lang w:val="en-US"/>
        </w:rPr>
        <w:footnoteReference w:id="3"/>
      </w:r>
      <w:r w:rsidR="00122EBF" w:rsidRPr="00756B61">
        <w:rPr>
          <w:lang w:val="en-US"/>
        </w:rPr>
        <w:t xml:space="preserve">. </w:t>
      </w:r>
      <w:r w:rsidR="00E9498D">
        <w:rPr>
          <w:lang w:val="en-US"/>
        </w:rPr>
        <w:t xml:space="preserve">T.L. Brink’s choice of methodology, his matter-of-factly </w:t>
      </w:r>
      <w:r w:rsidR="009E281D">
        <w:rPr>
          <w:lang w:val="en-US"/>
        </w:rPr>
        <w:t xml:space="preserve">scientific </w:t>
      </w:r>
      <w:r w:rsidR="00E9498D">
        <w:rPr>
          <w:lang w:val="en-US"/>
        </w:rPr>
        <w:t xml:space="preserve">report style writing and his personal distance to his subjects may </w:t>
      </w:r>
      <w:r w:rsidR="009E66FA">
        <w:rPr>
          <w:lang w:val="en-US"/>
        </w:rPr>
        <w:t xml:space="preserve">be </w:t>
      </w:r>
      <w:r w:rsidR="00E9498D">
        <w:rPr>
          <w:lang w:val="en-US"/>
        </w:rPr>
        <w:t xml:space="preserve">attributed to </w:t>
      </w:r>
      <w:r w:rsidR="009E66FA">
        <w:rPr>
          <w:lang w:val="en-US"/>
        </w:rPr>
        <w:t>his own education</w:t>
      </w:r>
      <w:r w:rsidR="00CA330F">
        <w:rPr>
          <w:lang w:val="en-US"/>
        </w:rPr>
        <w:t xml:space="preserve"> </w:t>
      </w:r>
      <w:r w:rsidR="00E9498D">
        <w:rPr>
          <w:lang w:val="en-US"/>
        </w:rPr>
        <w:t>under the influence of the then dominant scientific paradigm in social research</w:t>
      </w:r>
      <w:r w:rsidR="004764DC">
        <w:rPr>
          <w:lang w:val="en-US"/>
        </w:rPr>
        <w:t>.</w:t>
      </w:r>
    </w:p>
    <w:p w:rsidR="004764DC" w:rsidRDefault="004764DC" w:rsidP="004764DC">
      <w:pPr>
        <w:ind w:firstLine="360"/>
        <w:rPr>
          <w:lang w:val="en-US"/>
        </w:rPr>
      </w:pPr>
    </w:p>
    <w:p w:rsidR="009E778D" w:rsidRDefault="00911E32" w:rsidP="00C85491">
      <w:pPr>
        <w:autoSpaceDE w:val="0"/>
        <w:autoSpaceDN w:val="0"/>
        <w:adjustRightInd w:val="0"/>
        <w:ind w:firstLine="360"/>
        <w:rPr>
          <w:lang w:val="en-US"/>
        </w:rPr>
      </w:pPr>
      <w:r>
        <w:rPr>
          <w:lang w:val="en-GB"/>
        </w:rPr>
        <w:t xml:space="preserve">In contrast, </w:t>
      </w:r>
      <w:r>
        <w:rPr>
          <w:lang w:val="en-GB"/>
        </w:rPr>
        <w:t>Waterhouse</w:t>
      </w:r>
      <w:r>
        <w:rPr>
          <w:lang w:val="en-GB"/>
        </w:rPr>
        <w:t xml:space="preserve"> and </w:t>
      </w:r>
      <w:r w:rsidR="00BA1353">
        <w:rPr>
          <w:lang w:val="en-GB"/>
        </w:rPr>
        <w:t>Walter</w:t>
      </w:r>
      <w:r>
        <w:rPr>
          <w:lang w:val="en-GB"/>
        </w:rPr>
        <w:t xml:space="preserve"> appear to be operating within an interpretivist framework </w:t>
      </w:r>
      <w:r w:rsidR="00C85491">
        <w:rPr>
          <w:lang w:val="en-GB"/>
        </w:rPr>
        <w:t xml:space="preserve">and </w:t>
      </w:r>
      <w:r>
        <w:rPr>
          <w:lang w:val="en-GB"/>
        </w:rPr>
        <w:t>a more anthropological paradigm.</w:t>
      </w:r>
      <w:r>
        <w:rPr>
          <w:lang w:val="en-GB"/>
        </w:rPr>
        <w:t xml:space="preserve"> </w:t>
      </w:r>
      <w:r w:rsidR="00577F5C">
        <w:rPr>
          <w:lang w:val="en-GB"/>
        </w:rPr>
        <w:t xml:space="preserve"> Alan Bryman attributes the rise of qualitative research in the late 1960s to a growing disillusionment with the results of quantitative research as well as a growing awareness of phenomenology.</w:t>
      </w:r>
      <w:r w:rsidR="00577F5C">
        <w:rPr>
          <w:rStyle w:val="Funotenzeichen"/>
          <w:lang w:val="en-GB"/>
        </w:rPr>
        <w:footnoteReference w:id="4"/>
      </w:r>
      <w:r w:rsidR="00577F5C">
        <w:rPr>
          <w:lang w:val="en-GB"/>
        </w:rPr>
        <w:t xml:space="preserve">  This</w:t>
      </w:r>
      <w:r>
        <w:rPr>
          <w:lang w:val="en-GB"/>
        </w:rPr>
        <w:t xml:space="preserve"> does not mean qualitative research was a “newer” method than quantitative research. </w:t>
      </w:r>
      <w:r w:rsidR="00577F5C">
        <w:rPr>
          <w:lang w:val="en-GB"/>
        </w:rPr>
        <w:t xml:space="preserve"> </w:t>
      </w:r>
      <w:r>
        <w:rPr>
          <w:lang w:val="en-US"/>
        </w:rPr>
        <w:t>Social scientists already made use of anthropology’s main method of participant observation in the 1940s, as Bryman points out</w:t>
      </w:r>
      <w:r w:rsidR="00577F5C">
        <w:rPr>
          <w:lang w:val="en-US"/>
        </w:rPr>
        <w:t>,</w:t>
      </w:r>
      <w:r>
        <w:rPr>
          <w:lang w:val="en-US"/>
        </w:rPr>
        <w:t xml:space="preserve"> </w:t>
      </w:r>
      <w:r>
        <w:rPr>
          <w:lang w:val="en-US"/>
        </w:rPr>
        <w:t xml:space="preserve">and </w:t>
      </w:r>
      <w:r>
        <w:rPr>
          <w:lang w:val="en-US"/>
        </w:rPr>
        <w:t>they also borrowed the method of unstructured interviews to understand the ‘natives’ on their own terms</w:t>
      </w:r>
      <w:r w:rsidR="0083620A">
        <w:rPr>
          <w:rStyle w:val="Funotenzeichen"/>
          <w:lang w:val="en-US"/>
        </w:rPr>
        <w:footnoteReference w:id="5"/>
      </w:r>
      <w:r>
        <w:rPr>
          <w:lang w:val="en-US"/>
        </w:rPr>
        <w:t xml:space="preserve">. </w:t>
      </w:r>
      <w:r>
        <w:rPr>
          <w:lang w:val="en-GB"/>
        </w:rPr>
        <w:t xml:space="preserve">Clearly, this is what Helen </w:t>
      </w:r>
      <w:r w:rsidR="004764DC">
        <w:rPr>
          <w:lang w:val="en-GB"/>
        </w:rPr>
        <w:t>Waterhouse</w:t>
      </w:r>
      <w:r>
        <w:rPr>
          <w:lang w:val="en-GB"/>
        </w:rPr>
        <w:t xml:space="preserve"> had in mind when she</w:t>
      </w:r>
      <w:r w:rsidR="004764DC">
        <w:rPr>
          <w:lang w:val="en-GB"/>
        </w:rPr>
        <w:t xml:space="preserve"> conducted</w:t>
      </w:r>
      <w:r>
        <w:rPr>
          <w:lang w:val="en-GB"/>
        </w:rPr>
        <w:t xml:space="preserve"> her interview study</w:t>
      </w:r>
      <w:r w:rsidR="00577F5C">
        <w:rPr>
          <w:lang w:val="en-GB"/>
        </w:rPr>
        <w:t xml:space="preserve"> to </w:t>
      </w:r>
      <w:r w:rsidR="00BA797D">
        <w:rPr>
          <w:lang w:val="en-GB"/>
        </w:rPr>
        <w:t>explore what reincarnation meant to those who believe</w:t>
      </w:r>
      <w:r w:rsidR="00BD67E5">
        <w:rPr>
          <w:lang w:val="en-GB"/>
        </w:rPr>
        <w:t>d</w:t>
      </w:r>
      <w:r w:rsidR="00BA797D">
        <w:rPr>
          <w:lang w:val="en-GB"/>
        </w:rPr>
        <w:t xml:space="preserve"> in it and </w:t>
      </w:r>
      <w:r w:rsidR="00577F5C">
        <w:rPr>
          <w:lang w:val="en-GB"/>
        </w:rPr>
        <w:t xml:space="preserve">her approach </w:t>
      </w:r>
      <w:r w:rsidR="00BA797D">
        <w:rPr>
          <w:lang w:val="en-GB"/>
        </w:rPr>
        <w:t>can be described as</w:t>
      </w:r>
      <w:r w:rsidR="004764DC">
        <w:rPr>
          <w:lang w:val="en-GB"/>
        </w:rPr>
        <w:t xml:space="preserve"> </w:t>
      </w:r>
      <w:r w:rsidR="004764DC" w:rsidRPr="004764DC">
        <w:rPr>
          <w:color w:val="000000" w:themeColor="text1"/>
          <w:lang w:val="en-GB"/>
        </w:rPr>
        <w:t>‘</w:t>
      </w:r>
      <w:r w:rsidR="004764DC" w:rsidRPr="004764DC">
        <w:rPr>
          <w:lang w:val="en-GB"/>
        </w:rPr>
        <w:t>the study of the social world which seeks to describe and analyse the culture and behaviour of humans and their groups from the point of view of those being studied’</w:t>
      </w:r>
      <w:r w:rsidR="00D34E9F">
        <w:rPr>
          <w:rStyle w:val="Funotenzeichen"/>
          <w:lang w:val="en-GB"/>
        </w:rPr>
        <w:footnoteReference w:id="6"/>
      </w:r>
      <w:r w:rsidR="004764DC">
        <w:rPr>
          <w:lang w:val="en-GB"/>
        </w:rPr>
        <w:t xml:space="preserve"> as </w:t>
      </w:r>
      <w:r w:rsidR="00577F5C">
        <w:rPr>
          <w:lang w:val="en-GB"/>
        </w:rPr>
        <w:t>defined by Bryman</w:t>
      </w:r>
      <w:r>
        <w:rPr>
          <w:lang w:val="en-GB"/>
        </w:rPr>
        <w:t>.</w:t>
      </w:r>
      <w:r w:rsidR="004764DC">
        <w:rPr>
          <w:lang w:val="en-GB"/>
        </w:rPr>
        <w:t xml:space="preserve"> </w:t>
      </w:r>
      <w:r w:rsidR="00BA1353">
        <w:rPr>
          <w:lang w:val="en-GB"/>
        </w:rPr>
        <w:t xml:space="preserve">This </w:t>
      </w:r>
      <w:r w:rsidR="00C85491">
        <w:rPr>
          <w:lang w:val="en-GB"/>
        </w:rPr>
        <w:t xml:space="preserve">may account for the length of the article, </w:t>
      </w:r>
      <w:r w:rsidR="004764DC">
        <w:rPr>
          <w:lang w:val="en-GB"/>
        </w:rPr>
        <w:t>the more journalistic and markedly less scientific style of writing</w:t>
      </w:r>
      <w:r w:rsidR="00BA1353">
        <w:rPr>
          <w:lang w:val="en-GB"/>
        </w:rPr>
        <w:t xml:space="preserve">. </w:t>
      </w:r>
      <w:r w:rsidR="004764DC">
        <w:rPr>
          <w:lang w:val="en-GB"/>
        </w:rPr>
        <w:t xml:space="preserve"> </w:t>
      </w:r>
      <w:r w:rsidR="000B667C">
        <w:rPr>
          <w:lang w:val="en-GB"/>
        </w:rPr>
        <w:t>The language they use is also vaguer and far less specific than T.L. Brink’s academic report style writing</w:t>
      </w:r>
      <w:r w:rsidR="006C34C5">
        <w:rPr>
          <w:lang w:val="en-GB"/>
        </w:rPr>
        <w:t>. He</w:t>
      </w:r>
      <w:r w:rsidR="00BA1353">
        <w:rPr>
          <w:lang w:val="en-GB"/>
        </w:rPr>
        <w:t xml:space="preserve"> includ</w:t>
      </w:r>
      <w:r w:rsidR="006C34C5">
        <w:rPr>
          <w:lang w:val="en-GB"/>
        </w:rPr>
        <w:t>es</w:t>
      </w:r>
      <w:r w:rsidR="00BA1353">
        <w:rPr>
          <w:lang w:val="en-GB"/>
        </w:rPr>
        <w:t xml:space="preserve"> a table with </w:t>
      </w:r>
      <w:r w:rsidR="00C85491">
        <w:rPr>
          <w:lang w:val="en-GB"/>
        </w:rPr>
        <w:t xml:space="preserve">his </w:t>
      </w:r>
      <w:r w:rsidR="00BA1353">
        <w:rPr>
          <w:lang w:val="en-GB"/>
        </w:rPr>
        <w:t>questions, answers and mathematical formulae</w:t>
      </w:r>
      <w:r w:rsidR="00FD7A47">
        <w:rPr>
          <w:lang w:val="en-GB"/>
        </w:rPr>
        <w:t>,</w:t>
      </w:r>
      <w:r w:rsidR="000B667C">
        <w:rPr>
          <w:lang w:val="en-GB"/>
        </w:rPr>
        <w:t xml:space="preserve"> </w:t>
      </w:r>
      <w:r w:rsidR="00BA1353">
        <w:rPr>
          <w:lang w:val="en-GB"/>
        </w:rPr>
        <w:t xml:space="preserve">Walter and Waterhouse, on the other hand, </w:t>
      </w:r>
      <w:r w:rsidR="000B667C">
        <w:rPr>
          <w:lang w:val="en-US"/>
        </w:rPr>
        <w:t>do</w:t>
      </w:r>
      <w:r w:rsidR="008302EC">
        <w:rPr>
          <w:lang w:val="en-US"/>
        </w:rPr>
        <w:t xml:space="preserve"> </w:t>
      </w:r>
      <w:r w:rsidR="00FD7A47">
        <w:rPr>
          <w:lang w:val="en-US"/>
        </w:rPr>
        <w:t xml:space="preserve">not </w:t>
      </w:r>
      <w:r w:rsidR="008302EC">
        <w:rPr>
          <w:lang w:val="en-US"/>
        </w:rPr>
        <w:t>quantify the responses to their interview questions but instead</w:t>
      </w:r>
      <w:r w:rsidR="000B667C" w:rsidRPr="00553446">
        <w:rPr>
          <w:color w:val="4472C4" w:themeColor="accent1"/>
          <w:lang w:val="en-US"/>
        </w:rPr>
        <w:t xml:space="preserve"> </w:t>
      </w:r>
      <w:r w:rsidR="000B667C">
        <w:rPr>
          <w:lang w:val="en-US"/>
        </w:rPr>
        <w:t>they use unspecific words such as “some”, “others”, “most”.</w:t>
      </w:r>
      <w:r w:rsidR="00553446">
        <w:rPr>
          <w:lang w:val="en-US"/>
        </w:rPr>
        <w:t xml:space="preserve">  On the other hand, their article is easy to read and well-structured with headings and sub-headings. </w:t>
      </w:r>
    </w:p>
    <w:p w:rsidR="00A65E1A" w:rsidRDefault="00A65E1A" w:rsidP="0075408A">
      <w:pPr>
        <w:autoSpaceDE w:val="0"/>
        <w:autoSpaceDN w:val="0"/>
        <w:adjustRightInd w:val="0"/>
        <w:rPr>
          <w:lang w:val="en-US"/>
        </w:rPr>
      </w:pPr>
    </w:p>
    <w:p w:rsidR="0075408A" w:rsidRDefault="0075408A" w:rsidP="0075408A">
      <w:pPr>
        <w:autoSpaceDE w:val="0"/>
        <w:autoSpaceDN w:val="0"/>
        <w:adjustRightInd w:val="0"/>
        <w:rPr>
          <w:lang w:val="en-US"/>
        </w:rPr>
      </w:pPr>
    </w:p>
    <w:p w:rsidR="00181B8B" w:rsidRDefault="009E778D" w:rsidP="009E778D">
      <w:pPr>
        <w:pStyle w:val="berschrift3"/>
        <w:tabs>
          <w:tab w:val="left" w:pos="2552"/>
        </w:tabs>
        <w:ind w:left="426"/>
        <w:rPr>
          <w:lang w:val="en-US"/>
        </w:rPr>
      </w:pPr>
      <w:r>
        <w:rPr>
          <w:lang w:val="en-US"/>
        </w:rPr>
        <w:lastRenderedPageBreak/>
        <w:t xml:space="preserve">3.2   </w:t>
      </w:r>
      <w:r w:rsidR="00181B8B">
        <w:rPr>
          <w:lang w:val="en-US"/>
        </w:rPr>
        <w:t>Literature Review</w:t>
      </w:r>
    </w:p>
    <w:p w:rsidR="00CA330F" w:rsidRDefault="00CA330F" w:rsidP="0011047B">
      <w:pPr>
        <w:autoSpaceDE w:val="0"/>
        <w:autoSpaceDN w:val="0"/>
        <w:adjustRightInd w:val="0"/>
        <w:rPr>
          <w:lang w:val="en-GB"/>
        </w:rPr>
      </w:pPr>
    </w:p>
    <w:p w:rsidR="00553446" w:rsidRDefault="00553446" w:rsidP="00553446">
      <w:pPr>
        <w:autoSpaceDE w:val="0"/>
        <w:autoSpaceDN w:val="0"/>
        <w:adjustRightInd w:val="0"/>
        <w:ind w:firstLine="360"/>
        <w:rPr>
          <w:lang w:val="en-GB"/>
        </w:rPr>
      </w:pPr>
      <w:r>
        <w:rPr>
          <w:lang w:val="en-GB"/>
        </w:rPr>
        <w:t xml:space="preserve">The differences in style and paradigmatic underpinnings </w:t>
      </w:r>
      <w:r w:rsidR="00080BF4">
        <w:rPr>
          <w:lang w:val="en-GB"/>
        </w:rPr>
        <w:t>are</w:t>
      </w:r>
      <w:r>
        <w:rPr>
          <w:lang w:val="en-GB"/>
        </w:rPr>
        <w:t xml:space="preserve"> also reflected in the ways the authors deal with their literature reviews and referencing</w:t>
      </w:r>
      <w:r w:rsidR="001760F8">
        <w:rPr>
          <w:lang w:val="en-GB"/>
        </w:rPr>
        <w:t xml:space="preserve">.  </w:t>
      </w:r>
      <w:r w:rsidR="001760F8">
        <w:rPr>
          <w:lang w:val="en-US"/>
        </w:rPr>
        <w:t>Both papers include extensive bibliograph</w:t>
      </w:r>
      <w:r w:rsidR="001760F8">
        <w:rPr>
          <w:lang w:val="en-US"/>
        </w:rPr>
        <w:t>ies</w:t>
      </w:r>
      <w:r w:rsidR="001760F8">
        <w:rPr>
          <w:lang w:val="en-US"/>
        </w:rPr>
        <w:t xml:space="preserve">. </w:t>
      </w:r>
      <w:r w:rsidR="001760F8">
        <w:rPr>
          <w:lang w:val="en-US"/>
        </w:rPr>
        <w:t xml:space="preserve"> </w:t>
      </w:r>
      <w:r w:rsidR="001760F8">
        <w:rPr>
          <w:lang w:val="en-US"/>
        </w:rPr>
        <w:t>T.L. Brink</w:t>
      </w:r>
      <w:r w:rsidR="00080BF4">
        <w:rPr>
          <w:lang w:val="en-US"/>
        </w:rPr>
        <w:t>,</w:t>
      </w:r>
      <w:r w:rsidR="001760F8">
        <w:rPr>
          <w:lang w:val="en-US"/>
        </w:rPr>
        <w:t xml:space="preserve"> however</w:t>
      </w:r>
      <w:r w:rsidR="00080BF4">
        <w:rPr>
          <w:lang w:val="en-US"/>
        </w:rPr>
        <w:t>,</w:t>
      </w:r>
      <w:r w:rsidR="001760F8">
        <w:rPr>
          <w:lang w:val="en-US"/>
        </w:rPr>
        <w:t xml:space="preserve"> integrates the relevant references more into his writing, being careful to back up his conclusion with other theories that seem to explain the unexpected result of his survey. Walter and Waterhouse </w:t>
      </w:r>
      <w:r w:rsidR="001760F8">
        <w:rPr>
          <w:lang w:val="en-US"/>
        </w:rPr>
        <w:t xml:space="preserve">on the other hand </w:t>
      </w:r>
      <w:r w:rsidR="001760F8">
        <w:rPr>
          <w:lang w:val="en-US"/>
        </w:rPr>
        <w:t xml:space="preserve">appear to be less rigorous in their referencing, introducing concepts such as “New Age Religion” and “privatization of belief” in their introduction without </w:t>
      </w:r>
      <w:r w:rsidR="00FD7A47">
        <w:rPr>
          <w:lang w:val="en-US"/>
        </w:rPr>
        <w:t xml:space="preserve">initial </w:t>
      </w:r>
      <w:r w:rsidR="001760F8">
        <w:rPr>
          <w:lang w:val="en-US"/>
        </w:rPr>
        <w:t xml:space="preserve">definition or references. In the later section they integrate references to the surveys that are the basis of their academic rationale, and </w:t>
      </w:r>
      <w:r w:rsidR="00C85491">
        <w:rPr>
          <w:lang w:val="en-US"/>
        </w:rPr>
        <w:t xml:space="preserve">theory on the </w:t>
      </w:r>
      <w:proofErr w:type="spellStart"/>
      <w:r w:rsidR="00C85491">
        <w:rPr>
          <w:lang w:val="en-US"/>
        </w:rPr>
        <w:t>privati</w:t>
      </w:r>
      <w:r w:rsidR="00A65E1A">
        <w:rPr>
          <w:lang w:val="en-US"/>
        </w:rPr>
        <w:t>s</w:t>
      </w:r>
      <w:r w:rsidR="00C85491">
        <w:rPr>
          <w:lang w:val="en-US"/>
        </w:rPr>
        <w:t>ation</w:t>
      </w:r>
      <w:proofErr w:type="spellEnd"/>
      <w:r w:rsidR="00C85491">
        <w:rPr>
          <w:lang w:val="en-US"/>
        </w:rPr>
        <w:t xml:space="preserve"> of</w:t>
      </w:r>
      <w:r w:rsidR="00A65E1A">
        <w:rPr>
          <w:lang w:val="en-US"/>
        </w:rPr>
        <w:t xml:space="preserve"> belief</w:t>
      </w:r>
      <w:r w:rsidR="00FD7A47">
        <w:rPr>
          <w:lang w:val="en-US"/>
        </w:rPr>
        <w:t xml:space="preserve">, </w:t>
      </w:r>
      <w:r w:rsidR="001760F8">
        <w:rPr>
          <w:lang w:val="en-US"/>
        </w:rPr>
        <w:t xml:space="preserve">apart from that, however, they use and discuss references rather sparingly. </w:t>
      </w:r>
      <w:r w:rsidR="003858CA">
        <w:rPr>
          <w:lang w:val="en-US"/>
        </w:rPr>
        <w:t xml:space="preserve"> They elegantly tie the article to Berger’s theory by referring to it both in their headline and their closing sentence. </w:t>
      </w:r>
      <w:r w:rsidR="001760F8">
        <w:rPr>
          <w:lang w:val="en-US"/>
        </w:rPr>
        <w:t xml:space="preserve">They also include a footnote to take reference to a </w:t>
      </w:r>
      <w:r w:rsidR="00C85491">
        <w:rPr>
          <w:lang w:val="en-US"/>
        </w:rPr>
        <w:t xml:space="preserve">more </w:t>
      </w:r>
      <w:r w:rsidR="001760F8">
        <w:rPr>
          <w:lang w:val="en-US"/>
        </w:rPr>
        <w:t xml:space="preserve">critical position towards Berger’s theory. Other theories they refer to include the </w:t>
      </w:r>
      <w:r w:rsidR="00972F72" w:rsidRPr="00972F72">
        <w:rPr>
          <w:lang w:val="en-GB"/>
        </w:rPr>
        <w:t>W</w:t>
      </w:r>
      <w:r w:rsidR="001760F8" w:rsidRPr="00972F72">
        <w:rPr>
          <w:lang w:val="en-GB"/>
        </w:rPr>
        <w:t xml:space="preserve">esternisation </w:t>
      </w:r>
      <w:r w:rsidR="00972F72">
        <w:rPr>
          <w:lang w:val="en-US"/>
        </w:rPr>
        <w:t>T</w:t>
      </w:r>
      <w:r w:rsidR="001760F8">
        <w:rPr>
          <w:lang w:val="en-US"/>
        </w:rPr>
        <w:t xml:space="preserve">heory of Eastern </w:t>
      </w:r>
      <w:r w:rsidR="00C85491">
        <w:rPr>
          <w:lang w:val="en-US"/>
        </w:rPr>
        <w:t>R</w:t>
      </w:r>
      <w:r w:rsidR="001760F8">
        <w:rPr>
          <w:lang w:val="en-US"/>
        </w:rPr>
        <w:t xml:space="preserve">eligion, for which Waterhouse references herself, indicating her personal perspective, Gidden’s theory on modern man’s identification with body </w:t>
      </w:r>
      <w:r w:rsidR="004A1FDE">
        <w:rPr>
          <w:lang w:val="en-US"/>
        </w:rPr>
        <w:t>and general postmodernist theory</w:t>
      </w:r>
      <w:r w:rsidR="00BA797D">
        <w:rPr>
          <w:lang w:val="en-US"/>
        </w:rPr>
        <w:t>.</w:t>
      </w:r>
      <w:r w:rsidR="003858CA">
        <w:rPr>
          <w:lang w:val="en-US"/>
        </w:rPr>
        <w:t xml:space="preserve"> Another noteworthy point with respect to referencing is that they refer to unpublished articles by themselves for a more detailed discussion of the interview results on their own terms. </w:t>
      </w:r>
      <w:r w:rsidR="004A1FDE">
        <w:rPr>
          <w:lang w:val="en-US"/>
        </w:rPr>
        <w:t xml:space="preserve"> </w:t>
      </w:r>
      <w:r w:rsidR="00A65E1A">
        <w:rPr>
          <w:lang w:val="en-US"/>
        </w:rPr>
        <w:t xml:space="preserve">The use of references in both papers reflect their relative position to scientific rigor, Walter and Waterhouse preferring a more journalistic style at the expense of rigorous referencing. </w:t>
      </w:r>
    </w:p>
    <w:p w:rsidR="00181B8B" w:rsidRDefault="00181B8B" w:rsidP="0011047B">
      <w:pPr>
        <w:autoSpaceDE w:val="0"/>
        <w:autoSpaceDN w:val="0"/>
        <w:adjustRightInd w:val="0"/>
        <w:rPr>
          <w:lang w:val="en-GB"/>
        </w:rPr>
      </w:pPr>
    </w:p>
    <w:p w:rsidR="00181B8B" w:rsidRDefault="00130751" w:rsidP="009E778D">
      <w:pPr>
        <w:pStyle w:val="berschrift3"/>
        <w:numPr>
          <w:ilvl w:val="1"/>
          <w:numId w:val="12"/>
        </w:numPr>
        <w:ind w:left="993" w:hanging="654"/>
        <w:rPr>
          <w:lang w:val="en-GB"/>
        </w:rPr>
      </w:pPr>
      <w:r>
        <w:rPr>
          <w:lang w:val="en-GB"/>
        </w:rPr>
        <w:t>Methodology</w:t>
      </w:r>
    </w:p>
    <w:p w:rsidR="00130751" w:rsidRDefault="00130751" w:rsidP="00130751">
      <w:pPr>
        <w:pStyle w:val="Listenabsatz"/>
        <w:ind w:left="360"/>
        <w:rPr>
          <w:lang w:val="en-GB"/>
        </w:rPr>
      </w:pPr>
    </w:p>
    <w:p w:rsidR="00BA797D" w:rsidRDefault="00BA797D" w:rsidP="00BA797D">
      <w:pPr>
        <w:autoSpaceDE w:val="0"/>
        <w:autoSpaceDN w:val="0"/>
        <w:adjustRightInd w:val="0"/>
        <w:ind w:firstLine="360"/>
        <w:rPr>
          <w:lang w:val="en-US"/>
        </w:rPr>
      </w:pPr>
      <w:r>
        <w:rPr>
          <w:lang w:val="en-US"/>
        </w:rPr>
        <w:t xml:space="preserve">When discussing their research methodology, Walter and Waterhouse focus on subject selection and </w:t>
      </w:r>
      <w:r w:rsidR="00C85491">
        <w:rPr>
          <w:lang w:val="en-US"/>
        </w:rPr>
        <w:t>distribution of</w:t>
      </w:r>
      <w:r>
        <w:rPr>
          <w:lang w:val="en-US"/>
        </w:rPr>
        <w:t xml:space="preserve"> gender, age, profession and religious background</w:t>
      </w:r>
      <w:r w:rsidR="006308B0">
        <w:rPr>
          <w:lang w:val="en-US"/>
        </w:rPr>
        <w:t>.</w:t>
      </w:r>
      <w:r w:rsidR="006308B0">
        <w:rPr>
          <w:rStyle w:val="Funotenzeichen"/>
          <w:lang w:val="en-US"/>
        </w:rPr>
        <w:footnoteReference w:id="7"/>
      </w:r>
      <w:r>
        <w:rPr>
          <w:lang w:val="en-US"/>
        </w:rPr>
        <w:t xml:space="preserve"> </w:t>
      </w:r>
      <w:r w:rsidR="006308B0">
        <w:rPr>
          <w:lang w:val="en-US"/>
        </w:rPr>
        <w:t xml:space="preserve"> They also discuss the criteria by which they excluded </w:t>
      </w:r>
      <w:r w:rsidR="00A055B3">
        <w:rPr>
          <w:lang w:val="en-US"/>
        </w:rPr>
        <w:t xml:space="preserve">potential </w:t>
      </w:r>
      <w:r w:rsidR="006308B0">
        <w:rPr>
          <w:lang w:val="en-US"/>
        </w:rPr>
        <w:t xml:space="preserve">subjects, namely people associated with Eastern or New Age religion, without, however, offering a clear definition of what exactly the term New Age means, leaving this open to the reader’s own interpretation or understanding. </w:t>
      </w:r>
      <w:r w:rsidR="00C85491">
        <w:rPr>
          <w:lang w:val="en-US"/>
        </w:rPr>
        <w:t xml:space="preserve"> </w:t>
      </w:r>
      <w:r w:rsidR="006308B0">
        <w:rPr>
          <w:lang w:val="en-US"/>
        </w:rPr>
        <w:t xml:space="preserve">They </w:t>
      </w:r>
      <w:r w:rsidR="006308B0" w:rsidRPr="006308B0">
        <w:rPr>
          <w:lang w:val="en-GB"/>
        </w:rPr>
        <w:t>emphasise</w:t>
      </w:r>
      <w:r w:rsidR="006308B0">
        <w:rPr>
          <w:lang w:val="en-US"/>
        </w:rPr>
        <w:t xml:space="preserve"> their avoidance of asking leading questions in their interviews, however, they give no reference to the questions </w:t>
      </w:r>
      <w:r w:rsidR="00A055B3">
        <w:rPr>
          <w:lang w:val="en-US"/>
        </w:rPr>
        <w:t xml:space="preserve">actually </w:t>
      </w:r>
      <w:r w:rsidR="006308B0">
        <w:rPr>
          <w:lang w:val="en-US"/>
        </w:rPr>
        <w:t xml:space="preserve">asked nor do they disclose information on the concepts and codes by which they may have </w:t>
      </w:r>
      <w:r w:rsidR="006308B0" w:rsidRPr="001E5C74">
        <w:rPr>
          <w:lang w:val="en-GB"/>
        </w:rPr>
        <w:t>analysed</w:t>
      </w:r>
      <w:r w:rsidR="006308B0">
        <w:rPr>
          <w:lang w:val="en-US"/>
        </w:rPr>
        <w:t xml:space="preserve"> </w:t>
      </w:r>
      <w:r w:rsidR="00A055B3">
        <w:rPr>
          <w:lang w:val="en-US"/>
        </w:rPr>
        <w:t xml:space="preserve">and structured </w:t>
      </w:r>
      <w:r w:rsidR="006308B0">
        <w:rPr>
          <w:lang w:val="en-US"/>
        </w:rPr>
        <w:t>their data</w:t>
      </w:r>
      <w:r w:rsidR="00C85491">
        <w:rPr>
          <w:lang w:val="en-US"/>
        </w:rPr>
        <w:t xml:space="preserve"> to arrive at their conclusions</w:t>
      </w:r>
      <w:r w:rsidR="001F58D3">
        <w:rPr>
          <w:lang w:val="en-US"/>
        </w:rPr>
        <w:t>.</w:t>
      </w:r>
      <w:r w:rsidR="00AE59B3">
        <w:rPr>
          <w:rStyle w:val="Funotenzeichen"/>
          <w:lang w:val="en-US"/>
        </w:rPr>
        <w:footnoteReference w:id="8"/>
      </w:r>
      <w:r w:rsidR="006308B0">
        <w:rPr>
          <w:lang w:val="en-US"/>
        </w:rPr>
        <w:t xml:space="preserve"> </w:t>
      </w:r>
      <w:r w:rsidR="00A65E1A">
        <w:rPr>
          <w:lang w:val="en-US"/>
        </w:rPr>
        <w:t xml:space="preserve">This, too, gives the impression of less scientific focus and </w:t>
      </w:r>
      <w:r w:rsidR="00267453">
        <w:rPr>
          <w:lang w:val="en-US"/>
        </w:rPr>
        <w:t xml:space="preserve">a </w:t>
      </w:r>
      <w:r w:rsidR="00A65E1A">
        <w:rPr>
          <w:lang w:val="en-US"/>
        </w:rPr>
        <w:t xml:space="preserve">more journalistic </w:t>
      </w:r>
      <w:r w:rsidR="00267453">
        <w:rPr>
          <w:lang w:val="en-US"/>
        </w:rPr>
        <w:t>style</w:t>
      </w:r>
      <w:r w:rsidR="00A65E1A">
        <w:rPr>
          <w:lang w:val="en-US"/>
        </w:rPr>
        <w:t xml:space="preserve">. </w:t>
      </w:r>
    </w:p>
    <w:p w:rsidR="001F58D3" w:rsidRDefault="001F58D3" w:rsidP="00BA797D">
      <w:pPr>
        <w:autoSpaceDE w:val="0"/>
        <w:autoSpaceDN w:val="0"/>
        <w:adjustRightInd w:val="0"/>
        <w:rPr>
          <w:lang w:val="en-US"/>
        </w:rPr>
      </w:pPr>
    </w:p>
    <w:p w:rsidR="00BA797D" w:rsidRDefault="001C4B5C" w:rsidP="001F58D3">
      <w:pPr>
        <w:autoSpaceDE w:val="0"/>
        <w:autoSpaceDN w:val="0"/>
        <w:adjustRightInd w:val="0"/>
        <w:ind w:firstLine="360"/>
        <w:rPr>
          <w:lang w:val="en-GB"/>
        </w:rPr>
      </w:pPr>
      <w:r>
        <w:rPr>
          <w:lang w:val="en-US"/>
        </w:rPr>
        <w:t xml:space="preserve">Brink also describes his subjects, their general social backgrounds and locations. His subject selection process was </w:t>
      </w:r>
      <w:r w:rsidR="009C5C9E">
        <w:rPr>
          <w:lang w:val="en-US"/>
        </w:rPr>
        <w:t>based entirely on the</w:t>
      </w:r>
      <w:r w:rsidR="001E5C74">
        <w:rPr>
          <w:lang w:val="en-US"/>
        </w:rPr>
        <w:t>ir</w:t>
      </w:r>
      <w:r w:rsidR="009C5C9E">
        <w:rPr>
          <w:lang w:val="en-US"/>
        </w:rPr>
        <w:t xml:space="preserve"> availability</w:t>
      </w:r>
      <w:r>
        <w:rPr>
          <w:lang w:val="en-US"/>
        </w:rPr>
        <w:t>: ‘Whoever was present in religion class (a required course) that day got a questionnaire”</w:t>
      </w:r>
      <w:r>
        <w:rPr>
          <w:rStyle w:val="Funotenzeichen"/>
          <w:lang w:val="en-US"/>
        </w:rPr>
        <w:footnoteReference w:id="9"/>
      </w:r>
      <w:r>
        <w:rPr>
          <w:lang w:val="en-US"/>
        </w:rPr>
        <w:t xml:space="preserve">. This </w:t>
      </w:r>
      <w:r w:rsidR="009C5C9E">
        <w:rPr>
          <w:lang w:val="en-US"/>
        </w:rPr>
        <w:t xml:space="preserve">procedure does not represent best practice in quantitative research where much care is </w:t>
      </w:r>
      <w:r w:rsidR="009C5C9E" w:rsidRPr="009C5C9E">
        <w:rPr>
          <w:lang w:val="en-GB"/>
        </w:rPr>
        <w:t>normal</w:t>
      </w:r>
      <w:r w:rsidR="009C5C9E">
        <w:rPr>
          <w:lang w:val="en-GB"/>
        </w:rPr>
        <w:t>l</w:t>
      </w:r>
      <w:r w:rsidR="009C5C9E" w:rsidRPr="009C5C9E">
        <w:rPr>
          <w:lang w:val="en-GB"/>
        </w:rPr>
        <w:t>y</w:t>
      </w:r>
      <w:r w:rsidR="009C5C9E">
        <w:rPr>
          <w:lang w:val="en-US"/>
        </w:rPr>
        <w:t xml:space="preserve"> taken to ensure a subject group’s representativeness by choosing participants randomly from heterogenous backgrounds, ages, gender and occupations</w:t>
      </w:r>
      <w:r w:rsidR="00267453">
        <w:rPr>
          <w:rStyle w:val="Funotenzeichen"/>
          <w:lang w:val="en-US"/>
        </w:rPr>
        <w:footnoteReference w:id="10"/>
      </w:r>
      <w:r w:rsidR="009C5C9E">
        <w:rPr>
          <w:lang w:val="en-US"/>
        </w:rPr>
        <w:t>.  Th</w:t>
      </w:r>
      <w:r w:rsidR="003858CA">
        <w:rPr>
          <w:lang w:val="en-US"/>
        </w:rPr>
        <w:t>is</w:t>
      </w:r>
      <w:r w:rsidR="009C5C9E">
        <w:rPr>
          <w:lang w:val="en-US"/>
        </w:rPr>
        <w:t xml:space="preserve"> particular subject group </w:t>
      </w:r>
      <w:r w:rsidR="003858CA">
        <w:rPr>
          <w:lang w:val="en-US"/>
        </w:rPr>
        <w:lastRenderedPageBreak/>
        <w:t xml:space="preserve">therefore </w:t>
      </w:r>
      <w:r w:rsidR="001E5C74">
        <w:rPr>
          <w:lang w:val="en-US"/>
        </w:rPr>
        <w:t xml:space="preserve">seems ill suited for testing a general cognitive theory as described in his introduction as his academic rationale.  Unsurprisingly, he </w:t>
      </w:r>
      <w:r w:rsidR="00BA797D">
        <w:rPr>
          <w:lang w:val="en-US"/>
        </w:rPr>
        <w:t>does not return to his original theory to explain the unexpected results of his study but refers to Freud</w:t>
      </w:r>
      <w:r w:rsidR="001E5C74">
        <w:rPr>
          <w:lang w:val="en-US"/>
        </w:rPr>
        <w:t xml:space="preserve"> on the function of belief</w:t>
      </w:r>
      <w:r w:rsidR="00BA797D">
        <w:rPr>
          <w:lang w:val="en-US"/>
        </w:rPr>
        <w:t xml:space="preserve"> and to Erickson’s theory regarding confusion and uncertainty of the developmental stage on which he bases his conclusion and explain</w:t>
      </w:r>
      <w:r w:rsidR="001F58D3">
        <w:rPr>
          <w:lang w:val="en-US"/>
        </w:rPr>
        <w:t>s</w:t>
      </w:r>
      <w:r w:rsidR="00BA797D">
        <w:rPr>
          <w:lang w:val="en-US"/>
        </w:rPr>
        <w:t xml:space="preserve"> the</w:t>
      </w:r>
      <w:r w:rsidR="00BA797D">
        <w:rPr>
          <w:lang w:val="en-GB"/>
        </w:rPr>
        <w:t xml:space="preserve"> </w:t>
      </w:r>
      <w:r w:rsidR="00BA797D">
        <w:rPr>
          <w:lang w:val="en-US"/>
        </w:rPr>
        <w:t xml:space="preserve">“irrational” behavior of his adolescent female subjects. </w:t>
      </w:r>
    </w:p>
    <w:p w:rsidR="00E40F15" w:rsidRPr="001E5C74" w:rsidRDefault="00E40F15" w:rsidP="00BA797D">
      <w:pPr>
        <w:autoSpaceDE w:val="0"/>
        <w:autoSpaceDN w:val="0"/>
        <w:adjustRightInd w:val="0"/>
        <w:rPr>
          <w:lang w:val="en-US"/>
        </w:rPr>
      </w:pPr>
    </w:p>
    <w:p w:rsidR="00E40F15" w:rsidRDefault="009375D7" w:rsidP="00E40F15">
      <w:pPr>
        <w:ind w:firstLine="708"/>
        <w:rPr>
          <w:lang w:val="en-US"/>
        </w:rPr>
      </w:pPr>
      <w:r>
        <w:rPr>
          <w:lang w:val="en-US"/>
        </w:rPr>
        <w:t>Walter and Waterhouse</w:t>
      </w:r>
      <w:r w:rsidR="003858CA">
        <w:rPr>
          <w:lang w:val="en-US"/>
        </w:rPr>
        <w:t xml:space="preserve">’s choice of </w:t>
      </w:r>
      <w:r w:rsidR="003938C8">
        <w:rPr>
          <w:lang w:val="en-US"/>
        </w:rPr>
        <w:t xml:space="preserve">unstructured interviews to find out what reincarnation means to those who believe in it seems a good fit. </w:t>
      </w:r>
      <w:r w:rsidR="003858CA">
        <w:rPr>
          <w:lang w:val="en-US"/>
        </w:rPr>
        <w:t xml:space="preserve"> </w:t>
      </w:r>
      <w:r w:rsidR="003938C8">
        <w:rPr>
          <w:lang w:val="en-US"/>
        </w:rPr>
        <w:t>They also informally talked to clergy and hospice nurses</w:t>
      </w:r>
      <w:r w:rsidR="00A65E1A">
        <w:rPr>
          <w:rStyle w:val="Funotenzeichen"/>
          <w:lang w:val="en-US"/>
        </w:rPr>
        <w:footnoteReference w:id="11"/>
      </w:r>
      <w:r w:rsidR="003938C8">
        <w:rPr>
          <w:lang w:val="en-US"/>
        </w:rPr>
        <w:t xml:space="preserve"> to get an outsider perspective on the phenomenon, however no explanation or specific details on those informal interviews is offered and the reader is left wondering if th</w:t>
      </w:r>
      <w:r w:rsidR="00267453">
        <w:rPr>
          <w:lang w:val="en-US"/>
        </w:rPr>
        <w:t>ey</w:t>
      </w:r>
      <w:r w:rsidR="003938C8">
        <w:rPr>
          <w:lang w:val="en-US"/>
        </w:rPr>
        <w:t xml:space="preserve"> belong to the research or not. </w:t>
      </w:r>
      <w:r w:rsidR="003858CA">
        <w:rPr>
          <w:lang w:val="en-US"/>
        </w:rPr>
        <w:t xml:space="preserve"> </w:t>
      </w:r>
      <w:r w:rsidR="003938C8">
        <w:rPr>
          <w:lang w:val="en-US"/>
        </w:rPr>
        <w:t xml:space="preserve">They also </w:t>
      </w:r>
      <w:r w:rsidR="002A5D69">
        <w:rPr>
          <w:lang w:val="en-US"/>
        </w:rPr>
        <w:t>t</w:t>
      </w:r>
      <w:r w:rsidR="003938C8">
        <w:rPr>
          <w:lang w:val="en-US"/>
        </w:rPr>
        <w:t xml:space="preserve">ake reference to three group interviews with </w:t>
      </w:r>
      <w:r w:rsidR="00D85CF7">
        <w:rPr>
          <w:lang w:val="en-US"/>
        </w:rPr>
        <w:t>children</w:t>
      </w:r>
      <w:r w:rsidR="003938C8">
        <w:rPr>
          <w:lang w:val="en-US"/>
        </w:rPr>
        <w:t xml:space="preserve"> of different ages without, however, giving any further details regarding purpose, content and outcome of these group interviews so that one wonders why they were mentioned at all. </w:t>
      </w:r>
      <w:r w:rsidR="00E40F15">
        <w:rPr>
          <w:lang w:val="en-US"/>
        </w:rPr>
        <w:t xml:space="preserve"> In their book ‘Qualitative Research Methods’, </w:t>
      </w:r>
      <w:proofErr w:type="spellStart"/>
      <w:r w:rsidR="00E40F15">
        <w:rPr>
          <w:lang w:val="en-US"/>
        </w:rPr>
        <w:t>Hennink</w:t>
      </w:r>
      <w:proofErr w:type="spellEnd"/>
      <w:r w:rsidR="00E40F15">
        <w:rPr>
          <w:lang w:val="en-US"/>
        </w:rPr>
        <w:t xml:space="preserve">, </w:t>
      </w:r>
      <w:proofErr w:type="spellStart"/>
      <w:r w:rsidR="00E40F15">
        <w:rPr>
          <w:lang w:val="en-US"/>
        </w:rPr>
        <w:t>Hutter</w:t>
      </w:r>
      <w:proofErr w:type="spellEnd"/>
      <w:r w:rsidR="00E40F15">
        <w:rPr>
          <w:lang w:val="en-US"/>
        </w:rPr>
        <w:t xml:space="preserve"> and Bailey refer to such group interviews as ‘focus groups’</w:t>
      </w:r>
      <w:r w:rsidR="00970FE9">
        <w:rPr>
          <w:lang w:val="en-US"/>
        </w:rPr>
        <w:t xml:space="preserve"> and describe the employment of this method to be particularly indicated to identify new issues and generate discussions which can provide new insights into the subject matter.</w:t>
      </w:r>
      <w:r w:rsidR="00970FE9">
        <w:rPr>
          <w:rStyle w:val="Funotenzeichen"/>
          <w:lang w:val="en-US"/>
        </w:rPr>
        <w:footnoteReference w:id="12"/>
      </w:r>
      <w:r w:rsidR="003858CA">
        <w:rPr>
          <w:lang w:val="en-US"/>
        </w:rPr>
        <w:t xml:space="preserve">  </w:t>
      </w:r>
      <w:r w:rsidR="00970FE9">
        <w:rPr>
          <w:lang w:val="en-US"/>
        </w:rPr>
        <w:t xml:space="preserve">Apart from ethical considerations, parents’ consent or involvement, it does not seem as though these group interviews were a good choice of methodology and subject group or indeed of any relevance to answering their research question. </w:t>
      </w:r>
    </w:p>
    <w:p w:rsidR="00E40F15" w:rsidRDefault="00E40F15" w:rsidP="00E40F15">
      <w:pPr>
        <w:ind w:firstLine="708"/>
        <w:rPr>
          <w:lang w:val="en-US"/>
        </w:rPr>
      </w:pPr>
    </w:p>
    <w:p w:rsidR="009375D7" w:rsidRDefault="002A5D69" w:rsidP="00E40F15">
      <w:pPr>
        <w:ind w:firstLine="708"/>
        <w:rPr>
          <w:lang w:val="en-US"/>
        </w:rPr>
      </w:pPr>
      <w:r>
        <w:rPr>
          <w:lang w:val="en-US"/>
        </w:rPr>
        <w:t xml:space="preserve">With T.L. Brink there is also an ethical question regarding his role and relationship with the students that participated in his study. Was the participation voluntary? Were they in any way dependent upon him because he had a teaching or assisting role in the course of their studies? He offers no details and from today’s perspective one would also </w:t>
      </w:r>
      <w:r w:rsidR="00203071">
        <w:rPr>
          <w:lang w:val="en-US"/>
        </w:rPr>
        <w:t xml:space="preserve">consider an all-female group of subjects with a male researcher worthy of discussion, at least. </w:t>
      </w:r>
      <w:r w:rsidR="001F58D3">
        <w:rPr>
          <w:lang w:val="en-US"/>
        </w:rPr>
        <w:t xml:space="preserve"> </w:t>
      </w:r>
      <w:r w:rsidR="00F57A81">
        <w:rPr>
          <w:lang w:val="en-US"/>
        </w:rPr>
        <w:t xml:space="preserve">As Judith Bell points out in chapter four of her book “Doing Your Research Project”, contracts </w:t>
      </w:r>
      <w:r w:rsidR="0084006A">
        <w:rPr>
          <w:lang w:val="en-US"/>
        </w:rPr>
        <w:t>and agreements with research participants need to be well prepared and not only assure anonymity but also explain the purpose and implications of the research as well as inform participants that they may withdraw from or end their participation at any time without any consequences of any kind</w:t>
      </w:r>
      <w:r w:rsidR="00A66187">
        <w:rPr>
          <w:lang w:val="en-US"/>
        </w:rPr>
        <w:t>.</w:t>
      </w:r>
      <w:r w:rsidR="00A66187">
        <w:rPr>
          <w:rStyle w:val="Funotenzeichen"/>
          <w:lang w:val="en-US"/>
        </w:rPr>
        <w:footnoteReference w:id="13"/>
      </w:r>
      <w:r w:rsidR="0085625D">
        <w:rPr>
          <w:lang w:val="en-US"/>
        </w:rPr>
        <w:t xml:space="preserve">  </w:t>
      </w:r>
      <w:r w:rsidR="009C6550">
        <w:rPr>
          <w:lang w:val="en-US"/>
        </w:rPr>
        <w:t xml:space="preserve">The conclusion he draws and the way he also considers marginality as an explanation for his findings due to the girls’ background may have appeared judgmental if not offensive to the subjects had they seen the article.  </w:t>
      </w:r>
      <w:r w:rsidR="004D3F6F">
        <w:rPr>
          <w:lang w:val="en-US"/>
        </w:rPr>
        <w:t>Confidentiality</w:t>
      </w:r>
      <w:r w:rsidR="009C6550">
        <w:rPr>
          <w:lang w:val="en-US"/>
        </w:rPr>
        <w:t xml:space="preserve">, on the other hand, </w:t>
      </w:r>
      <w:r w:rsidR="004D3F6F">
        <w:rPr>
          <w:lang w:val="en-US"/>
        </w:rPr>
        <w:t xml:space="preserve">seems well </w:t>
      </w:r>
      <w:r w:rsidR="00B1136A">
        <w:rPr>
          <w:lang w:val="en-US"/>
        </w:rPr>
        <w:t>looked after in both studies, but as for ethics, the authors do not discuss th</w:t>
      </w:r>
      <w:r w:rsidR="00267453">
        <w:rPr>
          <w:lang w:val="en-US"/>
        </w:rPr>
        <w:t>e</w:t>
      </w:r>
      <w:bookmarkStart w:id="6" w:name="_GoBack"/>
      <w:bookmarkEnd w:id="6"/>
      <w:r w:rsidR="00B1136A">
        <w:rPr>
          <w:lang w:val="en-US"/>
        </w:rPr>
        <w:t xml:space="preserve"> topic </w:t>
      </w:r>
      <w:r w:rsidR="00970FE9">
        <w:rPr>
          <w:lang w:val="en-US"/>
        </w:rPr>
        <w:t>which may suggest that they did not consider it important</w:t>
      </w:r>
      <w:r w:rsidR="00B1136A">
        <w:rPr>
          <w:lang w:val="en-US"/>
        </w:rPr>
        <w:t xml:space="preserve">. </w:t>
      </w:r>
    </w:p>
    <w:p w:rsidR="00203071" w:rsidRDefault="00203071" w:rsidP="00301159">
      <w:pPr>
        <w:rPr>
          <w:lang w:val="en-US"/>
        </w:rPr>
      </w:pPr>
    </w:p>
    <w:p w:rsidR="00A66187" w:rsidRDefault="00A66187" w:rsidP="009E778D">
      <w:pPr>
        <w:pStyle w:val="berschrift3"/>
        <w:ind w:firstLine="708"/>
        <w:rPr>
          <w:lang w:val="en-US"/>
        </w:rPr>
      </w:pPr>
      <w:r>
        <w:rPr>
          <w:lang w:val="en-US"/>
        </w:rPr>
        <w:t xml:space="preserve">3.4  </w:t>
      </w:r>
      <w:r w:rsidR="009E778D">
        <w:rPr>
          <w:lang w:val="en-US"/>
        </w:rPr>
        <w:t xml:space="preserve"> </w:t>
      </w:r>
      <w:r>
        <w:rPr>
          <w:lang w:val="en-US"/>
        </w:rPr>
        <w:t>Researcher Position</w:t>
      </w:r>
      <w:r>
        <w:rPr>
          <w:lang w:val="en-US"/>
        </w:rPr>
        <w:br/>
      </w:r>
    </w:p>
    <w:p w:rsidR="00523FB2" w:rsidRPr="00832E88" w:rsidRDefault="00203071" w:rsidP="00A66187">
      <w:pPr>
        <w:ind w:firstLine="708"/>
        <w:rPr>
          <w:rFonts w:ascii="Times New Roman" w:hAnsi="Times New Roman" w:cs="Times New Roman"/>
          <w:color w:val="4472C4" w:themeColor="accent1"/>
          <w:sz w:val="20"/>
          <w:szCs w:val="20"/>
          <w:lang w:val="en-US"/>
        </w:rPr>
      </w:pPr>
      <w:r>
        <w:rPr>
          <w:lang w:val="en-US"/>
        </w:rPr>
        <w:t>Both articles lack reflection on the authors’ roles within the research in general and in particular regarding their position</w:t>
      </w:r>
      <w:r w:rsidR="00523FB2">
        <w:rPr>
          <w:lang w:val="en-US"/>
        </w:rPr>
        <w:t>s</w:t>
      </w:r>
      <w:r>
        <w:rPr>
          <w:lang w:val="en-US"/>
        </w:rPr>
        <w:t xml:space="preserve"> on the insider-outsider continuum. They present themselves as outsiders and while T.L. Brink clearly </w:t>
      </w:r>
      <w:r w:rsidR="00523FB2">
        <w:rPr>
          <w:lang w:val="en-US"/>
        </w:rPr>
        <w:t xml:space="preserve">is, with Helen Waterhouse it is not so clear since she </w:t>
      </w:r>
      <w:r w:rsidR="001240F3">
        <w:rPr>
          <w:lang w:val="en-US"/>
        </w:rPr>
        <w:t>conducted</w:t>
      </w:r>
      <w:r w:rsidR="00523FB2">
        <w:rPr>
          <w:lang w:val="en-US"/>
        </w:rPr>
        <w:t xml:space="preserve"> the research in her wider home area and ha</w:t>
      </w:r>
      <w:r w:rsidR="009C6550">
        <w:rPr>
          <w:lang w:val="en-US"/>
        </w:rPr>
        <w:t>d</w:t>
      </w:r>
      <w:r w:rsidR="00523FB2">
        <w:rPr>
          <w:lang w:val="en-US"/>
        </w:rPr>
        <w:t xml:space="preserve"> previously researched on Buddhism within the same area for her PhD. </w:t>
      </w:r>
      <w:r w:rsidR="008267A6">
        <w:rPr>
          <w:lang w:val="en-US"/>
        </w:rPr>
        <w:t xml:space="preserve">There is also a lack of awareness </w:t>
      </w:r>
      <w:r w:rsidR="008267A6">
        <w:rPr>
          <w:lang w:val="en-US"/>
        </w:rPr>
        <w:lastRenderedPageBreak/>
        <w:t>demonstrated with regard to personal bias</w:t>
      </w:r>
      <w:r w:rsidR="00E02340">
        <w:rPr>
          <w:lang w:val="en-US"/>
        </w:rPr>
        <w:t xml:space="preserve">. </w:t>
      </w:r>
      <w:r w:rsidR="008267A6">
        <w:rPr>
          <w:lang w:val="en-US"/>
        </w:rPr>
        <w:t xml:space="preserve"> In the Walter and Waterhouse paper the first indication of personal bias appears in the discussion about New Age religion and why “obvious” New Agers were excluded from the study. </w:t>
      </w:r>
      <w:r w:rsidR="009C6550">
        <w:rPr>
          <w:lang w:val="en-US"/>
        </w:rPr>
        <w:t xml:space="preserve"> </w:t>
      </w:r>
      <w:r w:rsidR="00C5169E">
        <w:rPr>
          <w:lang w:val="en-US"/>
        </w:rPr>
        <w:t>They admit how difficult it is to define New Age and its adherents, but they do not disclose by which criteria exactly they defined who was an “obvious” New Ager and to be excluded from the study and who was not. “…on an intuitive level our respondents simply did not seem to us as New Agers.”</w:t>
      </w:r>
      <w:r w:rsidR="00C5169E">
        <w:rPr>
          <w:rStyle w:val="Funotenzeichen"/>
          <w:lang w:val="en-US"/>
        </w:rPr>
        <w:footnoteReference w:id="14"/>
      </w:r>
      <w:r w:rsidR="001F58D3">
        <w:rPr>
          <w:lang w:val="en-US"/>
        </w:rPr>
        <w:t xml:space="preserve">  </w:t>
      </w:r>
      <w:r w:rsidR="009C6550">
        <w:rPr>
          <w:lang w:val="en-US"/>
        </w:rPr>
        <w:t xml:space="preserve">This implies a highly subjective </w:t>
      </w:r>
      <w:r w:rsidR="00C5169E">
        <w:rPr>
          <w:lang w:val="en-US"/>
        </w:rPr>
        <w:t>and unprofessional perspective</w:t>
      </w:r>
      <w:r w:rsidR="00EA0A4F">
        <w:rPr>
          <w:lang w:val="en-US"/>
        </w:rPr>
        <w:t xml:space="preserve">.  </w:t>
      </w:r>
      <w:r w:rsidR="00832E88">
        <w:rPr>
          <w:lang w:val="en-US"/>
        </w:rPr>
        <w:t>Another point of personal bias comes up with their explanation of why they excluded members of eastern religions</w:t>
      </w:r>
      <w:r w:rsidR="00972F72">
        <w:rPr>
          <w:lang w:val="en-US"/>
        </w:rPr>
        <w:t xml:space="preserve"> stating they were not interested in what meaning people g</w:t>
      </w:r>
      <w:r w:rsidR="00EA0A4F">
        <w:rPr>
          <w:lang w:val="en-US"/>
        </w:rPr>
        <w:t>a</w:t>
      </w:r>
      <w:r w:rsidR="00972F72">
        <w:rPr>
          <w:lang w:val="en-US"/>
        </w:rPr>
        <w:t xml:space="preserve">ve to reincarnation when this belief </w:t>
      </w:r>
      <w:r w:rsidR="00EA0A4F">
        <w:rPr>
          <w:lang w:val="en-US"/>
        </w:rPr>
        <w:t>wa</w:t>
      </w:r>
      <w:r w:rsidR="00972F72">
        <w:rPr>
          <w:lang w:val="en-US"/>
        </w:rPr>
        <w:t>s part of their religion’s doctrine,</w:t>
      </w:r>
      <w:r w:rsidR="00832E88">
        <w:rPr>
          <w:lang w:val="en-US"/>
        </w:rPr>
        <w:t xml:space="preserve"> </w:t>
      </w:r>
      <w:r w:rsidR="00972F72">
        <w:rPr>
          <w:lang w:val="en-US"/>
        </w:rPr>
        <w:t>t</w:t>
      </w:r>
      <w:r w:rsidR="00832E88" w:rsidRPr="00832E88">
        <w:rPr>
          <w:lang w:val="en-US"/>
        </w:rPr>
        <w:t>he assumptio</w:t>
      </w:r>
      <w:r w:rsidR="00832E88">
        <w:rPr>
          <w:lang w:val="en-US"/>
        </w:rPr>
        <w:t xml:space="preserve">n here seems to be that people </w:t>
      </w:r>
      <w:r w:rsidR="00972F72">
        <w:rPr>
          <w:lang w:val="en-US"/>
        </w:rPr>
        <w:t>would or should only</w:t>
      </w:r>
      <w:r w:rsidR="00832E88">
        <w:rPr>
          <w:lang w:val="en-US"/>
        </w:rPr>
        <w:t xml:space="preserve"> believe what their religion “tells” them to, that their individual beliefs are </w:t>
      </w:r>
      <w:r w:rsidR="00EA0A4F" w:rsidRPr="00EA0A4F">
        <w:rPr>
          <w:lang w:val="en-GB"/>
        </w:rPr>
        <w:t>solely</w:t>
      </w:r>
      <w:r w:rsidR="00EA0A4F">
        <w:rPr>
          <w:lang w:val="en-US"/>
        </w:rPr>
        <w:t xml:space="preserve"> </w:t>
      </w:r>
      <w:r w:rsidR="00832E88">
        <w:rPr>
          <w:lang w:val="en-US"/>
        </w:rPr>
        <w:t xml:space="preserve">connected with the religion’s doctrines rather than individual reflection which is also mirrored by the authors’ choice of words in their introduction as reincarnation being a “deviant” belief that Christians ought to not hold. </w:t>
      </w:r>
      <w:r w:rsidR="001F58D3">
        <w:rPr>
          <w:lang w:val="en-US"/>
        </w:rPr>
        <w:t xml:space="preserve"> </w:t>
      </w:r>
      <w:r w:rsidR="00972F72">
        <w:rPr>
          <w:lang w:val="en-US"/>
        </w:rPr>
        <w:t>T.L. Brink shares the idea of “deviance”, being surprised by his subject group</w:t>
      </w:r>
      <w:r w:rsidR="007E2E70">
        <w:rPr>
          <w:lang w:val="en-US"/>
        </w:rPr>
        <w:t>’s willing adoption of beliefs</w:t>
      </w:r>
      <w:r w:rsidR="001F58D3">
        <w:rPr>
          <w:lang w:val="en-US"/>
        </w:rPr>
        <w:t xml:space="preserve"> such as reincarnation and astrology</w:t>
      </w:r>
      <w:r w:rsidR="007E2E70">
        <w:rPr>
          <w:lang w:val="en-US"/>
        </w:rPr>
        <w:t xml:space="preserve"> alongside Catholic Church doctrine.</w:t>
      </w:r>
      <w:r w:rsidR="00EA0A4F">
        <w:rPr>
          <w:lang w:val="en-US"/>
        </w:rPr>
        <w:t xml:space="preserve">  </w:t>
      </w:r>
      <w:r w:rsidR="007215B6">
        <w:rPr>
          <w:lang w:val="en-US"/>
        </w:rPr>
        <w:t xml:space="preserve">This, too, may reflect the predominant worldview at the time. </w:t>
      </w:r>
    </w:p>
    <w:p w:rsidR="005F56F0" w:rsidRDefault="005F56F0" w:rsidP="00301159">
      <w:pPr>
        <w:rPr>
          <w:lang w:val="en-US"/>
        </w:rPr>
      </w:pPr>
    </w:p>
    <w:p w:rsidR="00301159" w:rsidRPr="00301159" w:rsidRDefault="00301159" w:rsidP="009E778D">
      <w:pPr>
        <w:pStyle w:val="berschrift3"/>
        <w:numPr>
          <w:ilvl w:val="0"/>
          <w:numId w:val="11"/>
        </w:numPr>
        <w:rPr>
          <w:lang w:val="en-US"/>
        </w:rPr>
      </w:pPr>
      <w:r>
        <w:rPr>
          <w:lang w:val="en-US"/>
        </w:rPr>
        <w:t>Conclusion</w:t>
      </w:r>
    </w:p>
    <w:p w:rsidR="00301159" w:rsidRDefault="00301159" w:rsidP="00301159">
      <w:pPr>
        <w:rPr>
          <w:lang w:val="en-US"/>
        </w:rPr>
      </w:pPr>
    </w:p>
    <w:p w:rsidR="001356DF" w:rsidRDefault="008356D0" w:rsidP="001356DF">
      <w:pPr>
        <w:ind w:firstLine="360"/>
        <w:rPr>
          <w:lang w:val="en-US"/>
        </w:rPr>
      </w:pPr>
      <w:r>
        <w:rPr>
          <w:lang w:val="en-US"/>
        </w:rPr>
        <w:t>The two papers discussed in this essay represent different methodological</w:t>
      </w:r>
    </w:p>
    <w:p w:rsidR="00305881" w:rsidRDefault="008356D0" w:rsidP="001356DF">
      <w:pPr>
        <w:rPr>
          <w:lang w:val="en-US"/>
        </w:rPr>
      </w:pPr>
      <w:r>
        <w:rPr>
          <w:lang w:val="en-US"/>
        </w:rPr>
        <w:t xml:space="preserve">approaches in social research and with </w:t>
      </w:r>
      <w:r w:rsidR="00FD3582">
        <w:rPr>
          <w:lang w:val="en-US"/>
        </w:rPr>
        <w:t xml:space="preserve">more than twenty years’ time between them they reflect two different predominant paradigms in social science – positivism and interpretivism. I have argued that the historical context of these </w:t>
      </w:r>
      <w:proofErr w:type="gramStart"/>
      <w:r w:rsidR="00FD3582">
        <w:rPr>
          <w:lang w:val="en-US"/>
        </w:rPr>
        <w:t>papers</w:t>
      </w:r>
      <w:proofErr w:type="gramEnd"/>
      <w:r w:rsidR="00FD3582">
        <w:rPr>
          <w:lang w:val="en-US"/>
        </w:rPr>
        <w:t xml:space="preserve"> accounts for some of their differences discussed</w:t>
      </w:r>
      <w:r w:rsidR="00E02340">
        <w:rPr>
          <w:lang w:val="en-US"/>
        </w:rPr>
        <w:t xml:space="preserve">. </w:t>
      </w:r>
      <w:r w:rsidR="00FD3582">
        <w:rPr>
          <w:lang w:val="en-US"/>
        </w:rPr>
        <w:t xml:space="preserve"> </w:t>
      </w:r>
      <w:r w:rsidR="00E02340">
        <w:rPr>
          <w:lang w:val="en-US"/>
        </w:rPr>
        <w:t xml:space="preserve">T.L. Brink’s choice of methodology may be attributed to </w:t>
      </w:r>
      <w:r w:rsidR="00AE5860">
        <w:rPr>
          <w:lang w:val="en-US"/>
        </w:rPr>
        <w:t xml:space="preserve">the dominant positivist paradigm at the time but reveals itself to be a bad fit on the grounds of his subject group not being diverse enough to reliably test a theory on. Walter and Waterhouse chose a suitable research method with their unstructured interviews, however, the group interviews with children show no relevance to their research question and were not commented on. </w:t>
      </w:r>
      <w:r w:rsidR="007215B6">
        <w:rPr>
          <w:lang w:val="en-US"/>
        </w:rPr>
        <w:t xml:space="preserve">This causes some confusion and disturbs the reading experience of an otherwise well written article. </w:t>
      </w:r>
    </w:p>
    <w:p w:rsidR="00305881" w:rsidRDefault="00305881" w:rsidP="001356DF">
      <w:pPr>
        <w:rPr>
          <w:lang w:val="en-US"/>
        </w:rPr>
      </w:pPr>
    </w:p>
    <w:p w:rsidR="00305881" w:rsidRDefault="00866FC4" w:rsidP="00866FC4">
      <w:pPr>
        <w:pStyle w:val="berschrift3"/>
        <w:numPr>
          <w:ilvl w:val="0"/>
          <w:numId w:val="1"/>
        </w:numPr>
        <w:rPr>
          <w:lang w:val="en-US"/>
        </w:rPr>
      </w:pPr>
      <w:r>
        <w:rPr>
          <w:lang w:val="en-US"/>
        </w:rPr>
        <w:t>Reference List</w:t>
      </w:r>
    </w:p>
    <w:p w:rsidR="00866FC4" w:rsidRDefault="00866FC4" w:rsidP="00866FC4">
      <w:pPr>
        <w:rPr>
          <w:lang w:val="en-US"/>
        </w:rPr>
      </w:pPr>
    </w:p>
    <w:p w:rsidR="00866FC4" w:rsidRDefault="00866FC4" w:rsidP="00866FC4">
      <w:pPr>
        <w:pStyle w:val="Listenabsatz"/>
        <w:numPr>
          <w:ilvl w:val="0"/>
          <w:numId w:val="13"/>
        </w:numPr>
        <w:rPr>
          <w:lang w:val="en-US"/>
        </w:rPr>
      </w:pPr>
      <w:r w:rsidRPr="00866FC4">
        <w:rPr>
          <w:lang w:val="en-US"/>
        </w:rPr>
        <w:t xml:space="preserve">Judith Bell, </w:t>
      </w:r>
      <w:r w:rsidRPr="00866FC4">
        <w:rPr>
          <w:i/>
          <w:lang w:val="en-US"/>
        </w:rPr>
        <w:t>Doing Your Research Project</w:t>
      </w:r>
      <w:r w:rsidRPr="00866FC4">
        <w:rPr>
          <w:lang w:val="en-US"/>
        </w:rPr>
        <w:t xml:space="preserve"> (Maidenhead: Open University Press, 2010)</w:t>
      </w:r>
    </w:p>
    <w:p w:rsidR="00866FC4" w:rsidRPr="009C487C" w:rsidRDefault="009C487C" w:rsidP="00866FC4">
      <w:pPr>
        <w:pStyle w:val="Listenabsatz"/>
        <w:numPr>
          <w:ilvl w:val="0"/>
          <w:numId w:val="13"/>
        </w:numPr>
        <w:rPr>
          <w:lang w:val="en-US"/>
        </w:rPr>
      </w:pPr>
      <w:r w:rsidRPr="001C4B5C">
        <w:rPr>
          <w:lang w:val="en-GB"/>
        </w:rPr>
        <w:t xml:space="preserve">T.L. Brink, ‘Inconsistency of Belief Among Roman Catholic Girls: Concerning Religion, Astrology, Reincarnation’ in </w:t>
      </w:r>
      <w:r w:rsidRPr="001C4B5C">
        <w:rPr>
          <w:i/>
          <w:lang w:val="en-GB"/>
        </w:rPr>
        <w:t>Review of Religious Research</w:t>
      </w:r>
      <w:r w:rsidRPr="001C4B5C">
        <w:rPr>
          <w:lang w:val="en-GB"/>
        </w:rPr>
        <w:t xml:space="preserve"> 20:1 (1978)</w:t>
      </w:r>
      <w:r>
        <w:rPr>
          <w:lang w:val="en-GB"/>
        </w:rPr>
        <w:t>,</w:t>
      </w:r>
      <w:r w:rsidRPr="009C487C">
        <w:rPr>
          <w:lang w:val="en-GB"/>
        </w:rPr>
        <w:t xml:space="preserve"> </w:t>
      </w:r>
      <w:r>
        <w:rPr>
          <w:lang w:val="en-GB"/>
        </w:rPr>
        <w:t xml:space="preserve">pp. </w:t>
      </w:r>
      <w:r w:rsidRPr="001C4B5C">
        <w:rPr>
          <w:lang w:val="en-GB"/>
        </w:rPr>
        <w:t>82-85</w:t>
      </w:r>
    </w:p>
    <w:p w:rsidR="009C487C" w:rsidRPr="009C487C" w:rsidRDefault="009C487C" w:rsidP="00866FC4">
      <w:pPr>
        <w:pStyle w:val="Listenabsatz"/>
        <w:numPr>
          <w:ilvl w:val="0"/>
          <w:numId w:val="13"/>
        </w:numPr>
        <w:rPr>
          <w:lang w:val="en-US"/>
        </w:rPr>
      </w:pPr>
      <w:r w:rsidRPr="00E85587">
        <w:rPr>
          <w:lang w:val="en-US"/>
        </w:rPr>
        <w:t xml:space="preserve">Alan Bryman, </w:t>
      </w:r>
      <w:r w:rsidRPr="004C4446">
        <w:rPr>
          <w:i/>
          <w:lang w:val="en-GB"/>
        </w:rPr>
        <w:t>Quantity and Quality in Social Research</w:t>
      </w:r>
      <w:r>
        <w:rPr>
          <w:lang w:val="en-GB"/>
        </w:rPr>
        <w:t xml:space="preserve"> (New York: Routledge, 1988)</w:t>
      </w:r>
    </w:p>
    <w:p w:rsidR="009C487C" w:rsidRDefault="009C487C" w:rsidP="00866FC4">
      <w:pPr>
        <w:pStyle w:val="Listenabsatz"/>
        <w:numPr>
          <w:ilvl w:val="0"/>
          <w:numId w:val="13"/>
        </w:numPr>
        <w:rPr>
          <w:lang w:val="en-US"/>
        </w:rPr>
      </w:pPr>
      <w:r>
        <w:rPr>
          <w:lang w:val="en-US"/>
        </w:rPr>
        <w:t xml:space="preserve">Jack Hunter, </w:t>
      </w:r>
      <w:hyperlink r:id="rId10" w:history="1">
        <w:r w:rsidRPr="00833DCE">
          <w:rPr>
            <w:rStyle w:val="Hyperlink"/>
            <w:lang w:val="en-US"/>
          </w:rPr>
          <w:t>https://moodle.uwtsd.ac.uk/pluginfile.php/474492/mod_resource/content/1/Planning%20Research%20Project%20Slides.pdf</w:t>
        </w:r>
      </w:hyperlink>
    </w:p>
    <w:p w:rsidR="009C487C" w:rsidRDefault="009C487C" w:rsidP="00866FC4">
      <w:pPr>
        <w:pStyle w:val="Listenabsatz"/>
        <w:numPr>
          <w:ilvl w:val="0"/>
          <w:numId w:val="13"/>
        </w:numPr>
        <w:rPr>
          <w:lang w:val="en-US"/>
        </w:rPr>
      </w:pPr>
      <w:proofErr w:type="spellStart"/>
      <w:r w:rsidRPr="00AE59B3">
        <w:rPr>
          <w:lang w:val="en-US"/>
        </w:rPr>
        <w:t>Hennink</w:t>
      </w:r>
      <w:proofErr w:type="spellEnd"/>
      <w:r w:rsidRPr="00AE59B3">
        <w:rPr>
          <w:lang w:val="en-US"/>
        </w:rPr>
        <w:t xml:space="preserve">, </w:t>
      </w:r>
      <w:proofErr w:type="spellStart"/>
      <w:r w:rsidRPr="00AE59B3">
        <w:rPr>
          <w:lang w:val="en-US"/>
        </w:rPr>
        <w:t>Hutter</w:t>
      </w:r>
      <w:proofErr w:type="spellEnd"/>
      <w:r w:rsidRPr="00AE59B3">
        <w:rPr>
          <w:lang w:val="en-US"/>
        </w:rPr>
        <w:t xml:space="preserve">, Bailey, </w:t>
      </w:r>
      <w:r w:rsidRPr="00036F35">
        <w:rPr>
          <w:i/>
          <w:lang w:val="en-US"/>
        </w:rPr>
        <w:t>Qualitative Research Methods</w:t>
      </w:r>
      <w:r>
        <w:rPr>
          <w:lang w:val="en-US"/>
        </w:rPr>
        <w:t xml:space="preserve"> (London: SAGE Publications Ltd, 2020)</w:t>
      </w:r>
    </w:p>
    <w:p w:rsidR="009C487C" w:rsidRPr="009C487C" w:rsidRDefault="009C487C" w:rsidP="00866FC4">
      <w:pPr>
        <w:pStyle w:val="Listenabsatz"/>
        <w:numPr>
          <w:ilvl w:val="0"/>
          <w:numId w:val="13"/>
        </w:numPr>
        <w:rPr>
          <w:lang w:val="en-US"/>
        </w:rPr>
      </w:pPr>
      <w:r w:rsidRPr="00756B61">
        <w:rPr>
          <w:lang w:val="en-US"/>
        </w:rPr>
        <w:t xml:space="preserve">Dylan Riley, </w:t>
      </w:r>
      <w:r>
        <w:rPr>
          <w:lang w:val="en-GB"/>
        </w:rPr>
        <w:t>‘</w:t>
      </w:r>
      <w:r w:rsidRPr="00756B61">
        <w:rPr>
          <w:lang w:val="en-GB"/>
        </w:rPr>
        <w:t>The Paradox of Positivism’</w:t>
      </w:r>
      <w:r>
        <w:rPr>
          <w:lang w:val="en-GB"/>
        </w:rPr>
        <w:t xml:space="preserve"> in </w:t>
      </w:r>
      <w:r w:rsidRPr="00756B61">
        <w:rPr>
          <w:i/>
          <w:lang w:val="en-GB"/>
        </w:rPr>
        <w:t>Social Science History</w:t>
      </w:r>
      <w:r>
        <w:rPr>
          <w:lang w:val="en-GB"/>
        </w:rPr>
        <w:t xml:space="preserve"> 31:1 (2007), pp. 115-126</w:t>
      </w:r>
    </w:p>
    <w:p w:rsidR="00866FC4" w:rsidRPr="009C487C" w:rsidRDefault="009C487C" w:rsidP="00866FC4">
      <w:pPr>
        <w:pStyle w:val="Listenabsatz"/>
        <w:numPr>
          <w:ilvl w:val="0"/>
          <w:numId w:val="13"/>
        </w:numPr>
        <w:rPr>
          <w:lang w:val="en-US"/>
        </w:rPr>
      </w:pPr>
      <w:r w:rsidRPr="009C487C">
        <w:rPr>
          <w:lang w:val="en-GB"/>
        </w:rPr>
        <w:t xml:space="preserve">Tony Walter and Helen Waterhouse, ‘A Very Private Belief: Reincarnation in Contemporary England’ in </w:t>
      </w:r>
      <w:r w:rsidRPr="009C487C">
        <w:rPr>
          <w:i/>
          <w:lang w:val="en-GB"/>
        </w:rPr>
        <w:t>Sociology of Religion</w:t>
      </w:r>
      <w:r w:rsidRPr="009C487C">
        <w:rPr>
          <w:lang w:val="en-GB"/>
        </w:rPr>
        <w:t xml:space="preserve"> 60:2 (1999), </w:t>
      </w:r>
      <w:r>
        <w:rPr>
          <w:lang w:val="en-GB"/>
        </w:rPr>
        <w:t xml:space="preserve">pp. </w:t>
      </w:r>
      <w:r w:rsidRPr="009C487C">
        <w:rPr>
          <w:lang w:val="en-GB"/>
        </w:rPr>
        <w:t>187-19</w:t>
      </w:r>
      <w:r>
        <w:rPr>
          <w:lang w:val="en-GB"/>
        </w:rPr>
        <w:t>7</w:t>
      </w:r>
    </w:p>
    <w:sectPr w:rsidR="00866FC4" w:rsidRPr="009C487C" w:rsidSect="00236AC5">
      <w:headerReference w:type="even" r:id="rId11"/>
      <w:headerReference w:type="default" r:id="rId12"/>
      <w:pgSz w:w="11900" w:h="16840"/>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4B3" w:rsidRDefault="00BE34B3" w:rsidP="00E85587">
      <w:r>
        <w:separator/>
      </w:r>
    </w:p>
  </w:endnote>
  <w:endnote w:type="continuationSeparator" w:id="0">
    <w:p w:rsidR="00BE34B3" w:rsidRDefault="00BE34B3" w:rsidP="00E85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4B3" w:rsidRDefault="00BE34B3" w:rsidP="00E85587">
      <w:r>
        <w:separator/>
      </w:r>
    </w:p>
  </w:footnote>
  <w:footnote w:type="continuationSeparator" w:id="0">
    <w:p w:rsidR="00BE34B3" w:rsidRDefault="00BE34B3" w:rsidP="00E85587">
      <w:r>
        <w:continuationSeparator/>
      </w:r>
    </w:p>
  </w:footnote>
  <w:footnote w:id="1">
    <w:p w:rsidR="004764DC" w:rsidRPr="00E85587" w:rsidRDefault="004764DC">
      <w:pPr>
        <w:pStyle w:val="Funotentext"/>
        <w:rPr>
          <w:lang w:val="en-GB"/>
        </w:rPr>
      </w:pPr>
      <w:r>
        <w:rPr>
          <w:rStyle w:val="Funotenzeichen"/>
        </w:rPr>
        <w:footnoteRef/>
      </w:r>
      <w:r w:rsidRPr="00E85587">
        <w:rPr>
          <w:lang w:val="en-US"/>
        </w:rPr>
        <w:t xml:space="preserve"> Alan Bryman, </w:t>
      </w:r>
      <w:r w:rsidRPr="004C4446">
        <w:rPr>
          <w:i/>
          <w:lang w:val="en-GB"/>
        </w:rPr>
        <w:t>Quantity and Quality in Social Research</w:t>
      </w:r>
      <w:r>
        <w:rPr>
          <w:lang w:val="en-GB"/>
        </w:rPr>
        <w:t xml:space="preserve"> (</w:t>
      </w:r>
      <w:r w:rsidR="0075408A">
        <w:rPr>
          <w:lang w:val="en-GB"/>
        </w:rPr>
        <w:t xml:space="preserve">New York: Routledge, </w:t>
      </w:r>
      <w:r>
        <w:rPr>
          <w:lang w:val="en-GB"/>
        </w:rPr>
        <w:t>1988)</w:t>
      </w:r>
      <w:r w:rsidR="0075408A">
        <w:rPr>
          <w:lang w:val="en-GB"/>
        </w:rPr>
        <w:t xml:space="preserve"> [hereafter Bryman, </w:t>
      </w:r>
      <w:r w:rsidR="0075408A" w:rsidRPr="0075408A">
        <w:rPr>
          <w:i/>
          <w:lang w:val="en-GB"/>
        </w:rPr>
        <w:t>Social Research</w:t>
      </w:r>
      <w:r w:rsidR="0075408A">
        <w:rPr>
          <w:lang w:val="en-GB"/>
        </w:rPr>
        <w:t xml:space="preserve">], </w:t>
      </w:r>
      <w:r>
        <w:rPr>
          <w:lang w:val="en-GB"/>
        </w:rPr>
        <w:t>p.42</w:t>
      </w:r>
      <w:r w:rsidR="001D23B5">
        <w:rPr>
          <w:lang w:val="en-GB"/>
        </w:rPr>
        <w:t>.</w:t>
      </w:r>
    </w:p>
  </w:footnote>
  <w:footnote w:id="2">
    <w:p w:rsidR="004764DC" w:rsidRPr="00756B61" w:rsidRDefault="004764DC">
      <w:pPr>
        <w:pStyle w:val="Funotentext"/>
        <w:rPr>
          <w:lang w:val="en-US"/>
        </w:rPr>
      </w:pPr>
      <w:r>
        <w:rPr>
          <w:rStyle w:val="Funotenzeichen"/>
        </w:rPr>
        <w:footnoteRef/>
      </w:r>
      <w:r w:rsidRPr="00756B61">
        <w:rPr>
          <w:lang w:val="en-US"/>
        </w:rPr>
        <w:t xml:space="preserve"> Dylan Riley, </w:t>
      </w:r>
      <w:r>
        <w:rPr>
          <w:lang w:val="en-GB"/>
        </w:rPr>
        <w:t>‘</w:t>
      </w:r>
      <w:r w:rsidRPr="00756B61">
        <w:rPr>
          <w:lang w:val="en-GB"/>
        </w:rPr>
        <w:t>The Paradox of Positivism’</w:t>
      </w:r>
      <w:r>
        <w:rPr>
          <w:lang w:val="en-GB"/>
        </w:rPr>
        <w:t xml:space="preserve"> in </w:t>
      </w:r>
      <w:r w:rsidRPr="00756B61">
        <w:rPr>
          <w:i/>
          <w:lang w:val="en-GB"/>
        </w:rPr>
        <w:t>Social Science History</w:t>
      </w:r>
      <w:r>
        <w:rPr>
          <w:lang w:val="en-GB"/>
        </w:rPr>
        <w:t xml:space="preserve"> 31:1 (2007), pp. 115-126</w:t>
      </w:r>
      <w:r w:rsidR="001D23B5">
        <w:rPr>
          <w:lang w:val="en-GB"/>
        </w:rPr>
        <w:t>.</w:t>
      </w:r>
      <w:r>
        <w:rPr>
          <w:lang w:val="en-GB"/>
        </w:rPr>
        <w:t xml:space="preserve"> </w:t>
      </w:r>
    </w:p>
  </w:footnote>
  <w:footnote w:id="3">
    <w:p w:rsidR="004764DC" w:rsidRPr="00756B61" w:rsidRDefault="004764DC">
      <w:pPr>
        <w:pStyle w:val="Funotentext"/>
        <w:rPr>
          <w:lang w:val="en-US"/>
        </w:rPr>
      </w:pPr>
      <w:r>
        <w:rPr>
          <w:rStyle w:val="Funotenzeichen"/>
        </w:rPr>
        <w:footnoteRef/>
      </w:r>
      <w:r w:rsidRPr="00756B61">
        <w:rPr>
          <w:lang w:val="en-US"/>
        </w:rPr>
        <w:t xml:space="preserve"> Dylan Riley, </w:t>
      </w:r>
      <w:r>
        <w:rPr>
          <w:lang w:val="en-GB"/>
        </w:rPr>
        <w:t>‘</w:t>
      </w:r>
      <w:r w:rsidRPr="00756B61">
        <w:rPr>
          <w:lang w:val="en-GB"/>
        </w:rPr>
        <w:t>The Paradox of Positivism’</w:t>
      </w:r>
      <w:r>
        <w:rPr>
          <w:lang w:val="en-GB"/>
        </w:rPr>
        <w:t xml:space="preserve"> in </w:t>
      </w:r>
      <w:r w:rsidRPr="00756B61">
        <w:rPr>
          <w:i/>
          <w:lang w:val="en-GB"/>
        </w:rPr>
        <w:t>Social Science History</w:t>
      </w:r>
      <w:r>
        <w:rPr>
          <w:lang w:val="en-GB"/>
        </w:rPr>
        <w:t xml:space="preserve"> 31:1 (2007), pp. 115-126</w:t>
      </w:r>
      <w:r w:rsidR="001D23B5">
        <w:rPr>
          <w:lang w:val="en-GB"/>
        </w:rPr>
        <w:t>.</w:t>
      </w:r>
    </w:p>
  </w:footnote>
  <w:footnote w:id="4">
    <w:p w:rsidR="00577F5C" w:rsidRPr="00577F5C" w:rsidRDefault="00577F5C">
      <w:pPr>
        <w:pStyle w:val="Funotentext"/>
        <w:rPr>
          <w:lang w:val="en-US"/>
        </w:rPr>
      </w:pPr>
      <w:r>
        <w:rPr>
          <w:rStyle w:val="Funotenzeichen"/>
        </w:rPr>
        <w:footnoteRef/>
      </w:r>
      <w:r w:rsidRPr="00577F5C">
        <w:rPr>
          <w:lang w:val="en-US"/>
        </w:rPr>
        <w:t xml:space="preserve"> </w:t>
      </w:r>
      <w:r w:rsidR="0075408A">
        <w:rPr>
          <w:lang w:val="en-GB"/>
        </w:rPr>
        <w:t xml:space="preserve">Bryman, </w:t>
      </w:r>
      <w:r w:rsidR="0075408A" w:rsidRPr="0075408A">
        <w:rPr>
          <w:i/>
          <w:lang w:val="en-GB"/>
        </w:rPr>
        <w:t>Social Research</w:t>
      </w:r>
      <w:r w:rsidR="0075408A">
        <w:rPr>
          <w:lang w:val="en-GB"/>
        </w:rPr>
        <w:t xml:space="preserve">, </w:t>
      </w:r>
      <w:r>
        <w:rPr>
          <w:lang w:val="en-GB"/>
        </w:rPr>
        <w:t>p. 6</w:t>
      </w:r>
      <w:r>
        <w:rPr>
          <w:lang w:val="en-GB"/>
        </w:rPr>
        <w:t>9</w:t>
      </w:r>
      <w:r w:rsidR="001D23B5">
        <w:rPr>
          <w:lang w:val="en-GB"/>
        </w:rPr>
        <w:t>.</w:t>
      </w:r>
    </w:p>
  </w:footnote>
  <w:footnote w:id="5">
    <w:p w:rsidR="0083620A" w:rsidRPr="0083620A" w:rsidRDefault="0083620A">
      <w:pPr>
        <w:pStyle w:val="Funotentext"/>
        <w:rPr>
          <w:lang w:val="en-GB"/>
        </w:rPr>
      </w:pPr>
      <w:r>
        <w:rPr>
          <w:rStyle w:val="Funotenzeichen"/>
        </w:rPr>
        <w:footnoteRef/>
      </w:r>
      <w:r w:rsidRPr="0083620A">
        <w:rPr>
          <w:lang w:val="en-US"/>
        </w:rPr>
        <w:t xml:space="preserve"> </w:t>
      </w:r>
      <w:r w:rsidR="0075408A">
        <w:rPr>
          <w:lang w:val="en-GB"/>
        </w:rPr>
        <w:t xml:space="preserve">Bryman, </w:t>
      </w:r>
      <w:r w:rsidR="0075408A" w:rsidRPr="0075408A">
        <w:rPr>
          <w:i/>
          <w:lang w:val="en-GB"/>
        </w:rPr>
        <w:t>Social Research</w:t>
      </w:r>
      <w:r>
        <w:rPr>
          <w:lang w:val="en-GB"/>
        </w:rPr>
        <w:t xml:space="preserve">, p. </w:t>
      </w:r>
      <w:r>
        <w:rPr>
          <w:lang w:val="en-GB"/>
        </w:rPr>
        <w:t>60</w:t>
      </w:r>
      <w:r w:rsidR="001D23B5">
        <w:rPr>
          <w:lang w:val="en-GB"/>
        </w:rPr>
        <w:t>.</w:t>
      </w:r>
    </w:p>
  </w:footnote>
  <w:footnote w:id="6">
    <w:p w:rsidR="00D34E9F" w:rsidRPr="00D34E9F" w:rsidRDefault="00D34E9F">
      <w:pPr>
        <w:pStyle w:val="Funotentext"/>
        <w:rPr>
          <w:lang w:val="en-US"/>
        </w:rPr>
      </w:pPr>
      <w:r>
        <w:rPr>
          <w:rStyle w:val="Funotenzeichen"/>
        </w:rPr>
        <w:footnoteRef/>
      </w:r>
      <w:r w:rsidRPr="00D34E9F">
        <w:rPr>
          <w:lang w:val="en-US"/>
        </w:rPr>
        <w:t xml:space="preserve"> </w:t>
      </w:r>
      <w:r w:rsidR="0075408A">
        <w:rPr>
          <w:lang w:val="en-GB"/>
        </w:rPr>
        <w:t xml:space="preserve">Bryman, </w:t>
      </w:r>
      <w:r w:rsidR="0075408A" w:rsidRPr="0075408A">
        <w:rPr>
          <w:i/>
          <w:lang w:val="en-GB"/>
        </w:rPr>
        <w:t>Social Research</w:t>
      </w:r>
      <w:r w:rsidR="0075408A">
        <w:rPr>
          <w:lang w:val="en-GB"/>
        </w:rPr>
        <w:t xml:space="preserve">, </w:t>
      </w:r>
      <w:r>
        <w:rPr>
          <w:lang w:val="en-GB"/>
        </w:rPr>
        <w:t>p. 60</w:t>
      </w:r>
      <w:r w:rsidR="001D23B5">
        <w:rPr>
          <w:lang w:val="en-GB"/>
        </w:rPr>
        <w:t>.</w:t>
      </w:r>
    </w:p>
  </w:footnote>
  <w:footnote w:id="7">
    <w:p w:rsidR="006308B0" w:rsidRPr="006308B0" w:rsidRDefault="006308B0">
      <w:pPr>
        <w:pStyle w:val="Funotentext"/>
        <w:rPr>
          <w:lang w:val="en-US"/>
        </w:rPr>
      </w:pPr>
      <w:r>
        <w:rPr>
          <w:rStyle w:val="Funotenzeichen"/>
        </w:rPr>
        <w:footnoteRef/>
      </w:r>
      <w:r w:rsidRPr="006308B0">
        <w:rPr>
          <w:lang w:val="en-US"/>
        </w:rPr>
        <w:t xml:space="preserve"> </w:t>
      </w:r>
      <w:r w:rsidRPr="00AE59B3">
        <w:rPr>
          <w:lang w:val="en-US"/>
        </w:rPr>
        <w:t xml:space="preserve">Tony Walter and Helen Waterhouse, ‘A Very Private Belief: Reincarnation in Contemporary England’ in </w:t>
      </w:r>
      <w:r w:rsidR="00F74B93">
        <w:rPr>
          <w:lang w:val="en-US"/>
        </w:rPr>
        <w:t xml:space="preserve">  </w:t>
      </w:r>
      <w:r w:rsidRPr="00AE59B3">
        <w:rPr>
          <w:i/>
          <w:lang w:val="en-US"/>
        </w:rPr>
        <w:t>Sociology of Religion</w:t>
      </w:r>
      <w:r w:rsidRPr="00AE59B3">
        <w:rPr>
          <w:lang w:val="en-US"/>
        </w:rPr>
        <w:t xml:space="preserve"> 60:2 (1999)</w:t>
      </w:r>
      <w:r w:rsidR="00036F35">
        <w:rPr>
          <w:lang w:val="en-US"/>
        </w:rPr>
        <w:t xml:space="preserve"> </w:t>
      </w:r>
      <w:r w:rsidR="00894876">
        <w:rPr>
          <w:lang w:val="en-US"/>
        </w:rPr>
        <w:t>[hereafter Walter and Waterhouse, ‘Private Belief’]</w:t>
      </w:r>
      <w:r w:rsidRPr="00AE59B3">
        <w:rPr>
          <w:lang w:val="en-US"/>
        </w:rPr>
        <w:t>, p. 1</w:t>
      </w:r>
      <w:r w:rsidRPr="00AE59B3">
        <w:rPr>
          <w:lang w:val="en-US"/>
        </w:rPr>
        <w:t>89</w:t>
      </w:r>
      <w:r w:rsidR="001D23B5">
        <w:rPr>
          <w:lang w:val="en-US"/>
        </w:rPr>
        <w:t>.</w:t>
      </w:r>
    </w:p>
  </w:footnote>
  <w:footnote w:id="8">
    <w:p w:rsidR="00AE59B3" w:rsidRPr="00AE59B3" w:rsidRDefault="00AE59B3">
      <w:pPr>
        <w:pStyle w:val="Funotentext"/>
        <w:rPr>
          <w:lang w:val="en-US"/>
        </w:rPr>
      </w:pPr>
      <w:r>
        <w:rPr>
          <w:rStyle w:val="Funotenzeichen"/>
        </w:rPr>
        <w:footnoteRef/>
      </w:r>
      <w:r w:rsidRPr="00AE59B3">
        <w:rPr>
          <w:lang w:val="en-US"/>
        </w:rPr>
        <w:t xml:space="preserve"> </w:t>
      </w:r>
      <w:proofErr w:type="spellStart"/>
      <w:r w:rsidRPr="00AE59B3">
        <w:rPr>
          <w:lang w:val="en-US"/>
        </w:rPr>
        <w:t>Hennink</w:t>
      </w:r>
      <w:proofErr w:type="spellEnd"/>
      <w:r w:rsidRPr="00AE59B3">
        <w:rPr>
          <w:lang w:val="en-US"/>
        </w:rPr>
        <w:t xml:space="preserve">, </w:t>
      </w:r>
      <w:proofErr w:type="spellStart"/>
      <w:r w:rsidRPr="00AE59B3">
        <w:rPr>
          <w:lang w:val="en-US"/>
        </w:rPr>
        <w:t>Hutter</w:t>
      </w:r>
      <w:proofErr w:type="spellEnd"/>
      <w:r w:rsidRPr="00AE59B3">
        <w:rPr>
          <w:lang w:val="en-US"/>
        </w:rPr>
        <w:t xml:space="preserve">, Bailey, </w:t>
      </w:r>
      <w:r w:rsidRPr="00036F35">
        <w:rPr>
          <w:i/>
          <w:lang w:val="en-US"/>
        </w:rPr>
        <w:t>Qualitative Research Methods</w:t>
      </w:r>
      <w:r>
        <w:rPr>
          <w:lang w:val="en-US"/>
        </w:rPr>
        <w:t xml:space="preserve"> (</w:t>
      </w:r>
      <w:r w:rsidR="00036F35">
        <w:rPr>
          <w:lang w:val="en-US"/>
        </w:rPr>
        <w:t xml:space="preserve">London: SAGE Publications Ltd, </w:t>
      </w:r>
      <w:r>
        <w:rPr>
          <w:lang w:val="en-US"/>
        </w:rPr>
        <w:t>2020)</w:t>
      </w:r>
      <w:r w:rsidR="00894876">
        <w:rPr>
          <w:lang w:val="en-US"/>
        </w:rPr>
        <w:t xml:space="preserve"> [hereafter </w:t>
      </w:r>
      <w:proofErr w:type="spellStart"/>
      <w:r w:rsidR="00894876">
        <w:rPr>
          <w:lang w:val="en-US"/>
        </w:rPr>
        <w:t>Hennink</w:t>
      </w:r>
      <w:proofErr w:type="spellEnd"/>
      <w:r w:rsidR="00894876">
        <w:rPr>
          <w:lang w:val="en-US"/>
        </w:rPr>
        <w:t xml:space="preserve">, </w:t>
      </w:r>
      <w:r w:rsidR="00894876" w:rsidRPr="00894876">
        <w:rPr>
          <w:i/>
          <w:lang w:val="en-US"/>
        </w:rPr>
        <w:t>Qualitative Research</w:t>
      </w:r>
      <w:r w:rsidR="00894876">
        <w:rPr>
          <w:lang w:val="en-US"/>
        </w:rPr>
        <w:t>]</w:t>
      </w:r>
      <w:r>
        <w:rPr>
          <w:lang w:val="en-US"/>
        </w:rPr>
        <w:t>, p</w:t>
      </w:r>
      <w:r w:rsidR="00036F35">
        <w:rPr>
          <w:lang w:val="en-US"/>
        </w:rPr>
        <w:t>p</w:t>
      </w:r>
      <w:r>
        <w:rPr>
          <w:lang w:val="en-US"/>
        </w:rPr>
        <w:t>.218-219</w:t>
      </w:r>
      <w:r w:rsidR="001D23B5">
        <w:rPr>
          <w:lang w:val="en-US"/>
        </w:rPr>
        <w:t>.</w:t>
      </w:r>
    </w:p>
  </w:footnote>
  <w:footnote w:id="9">
    <w:p w:rsidR="001C4B5C" w:rsidRPr="001C4B5C" w:rsidRDefault="001C4B5C">
      <w:pPr>
        <w:pStyle w:val="Funotentext"/>
        <w:rPr>
          <w:lang w:val="en-US"/>
        </w:rPr>
      </w:pPr>
      <w:r>
        <w:rPr>
          <w:rStyle w:val="Funotenzeichen"/>
        </w:rPr>
        <w:footnoteRef/>
      </w:r>
      <w:r w:rsidRPr="001C4B5C">
        <w:rPr>
          <w:lang w:val="en-US"/>
        </w:rPr>
        <w:t xml:space="preserve"> </w:t>
      </w:r>
      <w:r w:rsidRPr="001C4B5C">
        <w:rPr>
          <w:lang w:val="en-GB"/>
        </w:rPr>
        <w:t xml:space="preserve">T.L. Brink, ‘Inconsistency of Belief Among Roman Catholic Girls: Concerning Religion, Astrology, Reincarnation’ in </w:t>
      </w:r>
      <w:r w:rsidRPr="001C4B5C">
        <w:rPr>
          <w:i/>
          <w:lang w:val="en-GB"/>
        </w:rPr>
        <w:t>Review of Religious Research</w:t>
      </w:r>
      <w:r w:rsidRPr="001C4B5C">
        <w:rPr>
          <w:lang w:val="en-GB"/>
        </w:rPr>
        <w:t xml:space="preserve"> 20:1 (1978), </w:t>
      </w:r>
      <w:r w:rsidR="00267453">
        <w:rPr>
          <w:lang w:val="en-GB"/>
        </w:rPr>
        <w:t>p 83</w:t>
      </w:r>
      <w:r w:rsidR="001D23B5">
        <w:rPr>
          <w:lang w:val="en-GB"/>
        </w:rPr>
        <w:t>.</w:t>
      </w:r>
    </w:p>
  </w:footnote>
  <w:footnote w:id="10">
    <w:p w:rsidR="00267453" w:rsidRPr="00267453" w:rsidRDefault="00267453">
      <w:pPr>
        <w:pStyle w:val="Funotentext"/>
        <w:rPr>
          <w:lang w:val="en-US"/>
        </w:rPr>
      </w:pPr>
      <w:r>
        <w:rPr>
          <w:rStyle w:val="Funotenzeichen"/>
        </w:rPr>
        <w:footnoteRef/>
      </w:r>
      <w:r w:rsidRPr="00267453">
        <w:rPr>
          <w:lang w:val="en-US"/>
        </w:rPr>
        <w:t xml:space="preserve"> </w:t>
      </w:r>
      <w:r>
        <w:rPr>
          <w:lang w:val="en-GB"/>
        </w:rPr>
        <w:t xml:space="preserve">Bryman, </w:t>
      </w:r>
      <w:r w:rsidRPr="0075408A">
        <w:rPr>
          <w:i/>
          <w:lang w:val="en-GB"/>
        </w:rPr>
        <w:t>Social Research</w:t>
      </w:r>
      <w:r>
        <w:rPr>
          <w:lang w:val="en-GB"/>
        </w:rPr>
        <w:t>, p. 35.</w:t>
      </w:r>
    </w:p>
  </w:footnote>
  <w:footnote w:id="11">
    <w:p w:rsidR="00A65E1A" w:rsidRPr="00A65E1A" w:rsidRDefault="00A65E1A">
      <w:pPr>
        <w:pStyle w:val="Funotentext"/>
        <w:rPr>
          <w:lang w:val="en-US"/>
        </w:rPr>
      </w:pPr>
      <w:r>
        <w:rPr>
          <w:rStyle w:val="Funotenzeichen"/>
        </w:rPr>
        <w:footnoteRef/>
      </w:r>
      <w:r w:rsidRPr="00A65E1A">
        <w:rPr>
          <w:lang w:val="en-US"/>
        </w:rPr>
        <w:t xml:space="preserve"> </w:t>
      </w:r>
      <w:r w:rsidR="00894876">
        <w:rPr>
          <w:lang w:val="en-US"/>
        </w:rPr>
        <w:t>Walter and Waterhouse, ‘Private Belief</w:t>
      </w:r>
      <w:r w:rsidR="00894876">
        <w:rPr>
          <w:lang w:val="en-US"/>
        </w:rPr>
        <w:t xml:space="preserve">’, </w:t>
      </w:r>
      <w:r w:rsidRPr="00AE59B3">
        <w:rPr>
          <w:lang w:val="en-US"/>
        </w:rPr>
        <w:t>p. 1</w:t>
      </w:r>
      <w:r w:rsidR="00E02340">
        <w:rPr>
          <w:lang w:val="en-US"/>
        </w:rPr>
        <w:t>90</w:t>
      </w:r>
      <w:r w:rsidR="001D23B5">
        <w:rPr>
          <w:lang w:val="en-US"/>
        </w:rPr>
        <w:t>.</w:t>
      </w:r>
    </w:p>
  </w:footnote>
  <w:footnote w:id="12">
    <w:p w:rsidR="00970FE9" w:rsidRPr="00970FE9" w:rsidRDefault="00970FE9">
      <w:pPr>
        <w:pStyle w:val="Funotentext"/>
        <w:rPr>
          <w:lang w:val="en-US"/>
        </w:rPr>
      </w:pPr>
      <w:r>
        <w:rPr>
          <w:rStyle w:val="Funotenzeichen"/>
        </w:rPr>
        <w:footnoteRef/>
      </w:r>
      <w:r w:rsidRPr="00970FE9">
        <w:rPr>
          <w:lang w:val="en-US"/>
        </w:rPr>
        <w:t xml:space="preserve"> </w:t>
      </w:r>
      <w:proofErr w:type="spellStart"/>
      <w:r w:rsidR="00894876">
        <w:rPr>
          <w:lang w:val="en-US"/>
        </w:rPr>
        <w:t>Hennink</w:t>
      </w:r>
      <w:proofErr w:type="spellEnd"/>
      <w:r w:rsidR="00894876">
        <w:rPr>
          <w:lang w:val="en-US"/>
        </w:rPr>
        <w:t xml:space="preserve">, </w:t>
      </w:r>
      <w:r w:rsidR="00894876" w:rsidRPr="00894876">
        <w:rPr>
          <w:i/>
          <w:lang w:val="en-US"/>
        </w:rPr>
        <w:t>Qualitative Research</w:t>
      </w:r>
      <w:r>
        <w:rPr>
          <w:lang w:val="en-US"/>
        </w:rPr>
        <w:t>, p</w:t>
      </w:r>
      <w:r w:rsidR="00A66187">
        <w:rPr>
          <w:lang w:val="en-US"/>
        </w:rPr>
        <w:t>p</w:t>
      </w:r>
      <w:r>
        <w:rPr>
          <w:lang w:val="en-US"/>
        </w:rPr>
        <w:t>.</w:t>
      </w:r>
      <w:r>
        <w:rPr>
          <w:lang w:val="en-US"/>
        </w:rPr>
        <w:t>138-139</w:t>
      </w:r>
      <w:r w:rsidR="001D23B5">
        <w:rPr>
          <w:lang w:val="en-US"/>
        </w:rPr>
        <w:t>.</w:t>
      </w:r>
    </w:p>
  </w:footnote>
  <w:footnote w:id="13">
    <w:p w:rsidR="00A66187" w:rsidRPr="00A66187" w:rsidRDefault="00A66187">
      <w:pPr>
        <w:pStyle w:val="Funotentext"/>
        <w:rPr>
          <w:lang w:val="en-US"/>
        </w:rPr>
      </w:pPr>
      <w:r>
        <w:rPr>
          <w:rStyle w:val="Funotenzeichen"/>
        </w:rPr>
        <w:footnoteRef/>
      </w:r>
      <w:r w:rsidRPr="00A66187">
        <w:rPr>
          <w:lang w:val="en-US"/>
        </w:rPr>
        <w:t xml:space="preserve"> Judith Bell, </w:t>
      </w:r>
      <w:r w:rsidRPr="00F74B93">
        <w:rPr>
          <w:i/>
          <w:lang w:val="en-US"/>
        </w:rPr>
        <w:t>Doing Your Research Project</w:t>
      </w:r>
      <w:r>
        <w:rPr>
          <w:lang w:val="en-US"/>
        </w:rPr>
        <w:t xml:space="preserve"> (</w:t>
      </w:r>
      <w:r w:rsidR="00F74B93">
        <w:rPr>
          <w:lang w:val="en-US"/>
        </w:rPr>
        <w:t xml:space="preserve">Maidenhead: Open University Press, </w:t>
      </w:r>
      <w:r>
        <w:rPr>
          <w:lang w:val="en-US"/>
        </w:rPr>
        <w:t>2010), p. 46</w:t>
      </w:r>
      <w:r w:rsidR="001D23B5">
        <w:rPr>
          <w:lang w:val="en-US"/>
        </w:rPr>
        <w:t>.</w:t>
      </w:r>
    </w:p>
  </w:footnote>
  <w:footnote w:id="14">
    <w:p w:rsidR="00C5169E" w:rsidRPr="00C5169E" w:rsidRDefault="00C5169E">
      <w:pPr>
        <w:pStyle w:val="Funotentext"/>
        <w:rPr>
          <w:lang w:val="en-US"/>
        </w:rPr>
      </w:pPr>
      <w:r>
        <w:rPr>
          <w:rStyle w:val="Funotenzeichen"/>
        </w:rPr>
        <w:footnoteRef/>
      </w:r>
      <w:r w:rsidRPr="00C5169E">
        <w:rPr>
          <w:lang w:val="en-US"/>
        </w:rPr>
        <w:t xml:space="preserve"> </w:t>
      </w:r>
      <w:r w:rsidR="001D23B5">
        <w:rPr>
          <w:lang w:val="en-US"/>
        </w:rPr>
        <w:t>Walter and Waterhouse, ‘Private Belief</w:t>
      </w:r>
      <w:r w:rsidR="00866FC4">
        <w:rPr>
          <w:lang w:val="en-US"/>
        </w:rPr>
        <w:t xml:space="preserve">, </w:t>
      </w:r>
      <w:r w:rsidRPr="003377C0">
        <w:rPr>
          <w:lang w:val="en-US"/>
        </w:rPr>
        <w:t xml:space="preserve">p. </w:t>
      </w:r>
      <w:r>
        <w:rPr>
          <w:lang w:val="en-US"/>
        </w:rPr>
        <w:t>1</w:t>
      </w:r>
      <w:r>
        <w:rPr>
          <w:lang w:val="en-US"/>
        </w:rPr>
        <w:t>91</w:t>
      </w:r>
      <w:r w:rsidR="00866FC4">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2098699550"/>
      <w:docPartObj>
        <w:docPartGallery w:val="Page Numbers (Top of Page)"/>
        <w:docPartUnique/>
      </w:docPartObj>
    </w:sdtPr>
    <w:sdtContent>
      <w:p w:rsidR="00F74B93" w:rsidRDefault="00F74B93" w:rsidP="00833DCE">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F74B93" w:rsidRDefault="00F74B93" w:rsidP="00F74B93">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556548247"/>
      <w:docPartObj>
        <w:docPartGallery w:val="Page Numbers (Top of Page)"/>
        <w:docPartUnique/>
      </w:docPartObj>
    </w:sdtPr>
    <w:sdtContent>
      <w:p w:rsidR="00F74B93" w:rsidRDefault="00F74B93" w:rsidP="00833DCE">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F74B93" w:rsidRDefault="00F74B93" w:rsidP="00F74B93">
    <w:pPr>
      <w:pStyle w:val="Kopfzeile"/>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2219"/>
    <w:multiLevelType w:val="multilevel"/>
    <w:tmpl w:val="BDCE3F9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66B03AC"/>
    <w:multiLevelType w:val="hybridMultilevel"/>
    <w:tmpl w:val="F654A33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2F4935B2"/>
    <w:multiLevelType w:val="multilevel"/>
    <w:tmpl w:val="9AD20B7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14D0185"/>
    <w:multiLevelType w:val="multilevel"/>
    <w:tmpl w:val="D56AF7B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43B6C05"/>
    <w:multiLevelType w:val="hybridMultilevel"/>
    <w:tmpl w:val="9E92D64E"/>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349211CA"/>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6" w15:restartNumberingAfterBreak="0">
    <w:nsid w:val="3C43242D"/>
    <w:multiLevelType w:val="multilevel"/>
    <w:tmpl w:val="32FEA72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44037C49"/>
    <w:multiLevelType w:val="multilevel"/>
    <w:tmpl w:val="B5EA8AC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B042F38"/>
    <w:multiLevelType w:val="multilevel"/>
    <w:tmpl w:val="FCF4D97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6A33FC"/>
    <w:multiLevelType w:val="multilevel"/>
    <w:tmpl w:val="3A100AB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B251FAE"/>
    <w:multiLevelType w:val="multilevel"/>
    <w:tmpl w:val="0520E4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C872041"/>
    <w:multiLevelType w:val="multilevel"/>
    <w:tmpl w:val="3B8241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F9016F4"/>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2"/>
  </w:num>
  <w:num w:numId="2">
    <w:abstractNumId w:val="6"/>
  </w:num>
  <w:num w:numId="3">
    <w:abstractNumId w:val="11"/>
  </w:num>
  <w:num w:numId="4">
    <w:abstractNumId w:val="9"/>
  </w:num>
  <w:num w:numId="5">
    <w:abstractNumId w:val="4"/>
  </w:num>
  <w:num w:numId="6">
    <w:abstractNumId w:val="12"/>
  </w:num>
  <w:num w:numId="7">
    <w:abstractNumId w:val="5"/>
  </w:num>
  <w:num w:numId="8">
    <w:abstractNumId w:val="7"/>
  </w:num>
  <w:num w:numId="9">
    <w:abstractNumId w:val="8"/>
  </w:num>
  <w:num w:numId="10">
    <w:abstractNumId w:val="10"/>
  </w:num>
  <w:num w:numId="11">
    <w:abstractNumId w:val="0"/>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C4"/>
    <w:rsid w:val="00012331"/>
    <w:rsid w:val="00033476"/>
    <w:rsid w:val="00036F35"/>
    <w:rsid w:val="0004326B"/>
    <w:rsid w:val="00047F39"/>
    <w:rsid w:val="000776FC"/>
    <w:rsid w:val="00080BF4"/>
    <w:rsid w:val="00080C50"/>
    <w:rsid w:val="00087BFC"/>
    <w:rsid w:val="000962BA"/>
    <w:rsid w:val="000B6270"/>
    <w:rsid w:val="000B667C"/>
    <w:rsid w:val="000C7018"/>
    <w:rsid w:val="000E24B0"/>
    <w:rsid w:val="000F2131"/>
    <w:rsid w:val="0011047B"/>
    <w:rsid w:val="001148C6"/>
    <w:rsid w:val="00122EBF"/>
    <w:rsid w:val="001240F3"/>
    <w:rsid w:val="00130751"/>
    <w:rsid w:val="001356DF"/>
    <w:rsid w:val="0015249E"/>
    <w:rsid w:val="0017200B"/>
    <w:rsid w:val="001760F8"/>
    <w:rsid w:val="00181B8B"/>
    <w:rsid w:val="00192D54"/>
    <w:rsid w:val="00195422"/>
    <w:rsid w:val="001A1FB0"/>
    <w:rsid w:val="001A6C53"/>
    <w:rsid w:val="001C4B5C"/>
    <w:rsid w:val="001D23B5"/>
    <w:rsid w:val="001D6481"/>
    <w:rsid w:val="001E5C74"/>
    <w:rsid w:val="001F58D3"/>
    <w:rsid w:val="00203071"/>
    <w:rsid w:val="002062E8"/>
    <w:rsid w:val="00221915"/>
    <w:rsid w:val="00236AC5"/>
    <w:rsid w:val="00267453"/>
    <w:rsid w:val="00292B12"/>
    <w:rsid w:val="002A350F"/>
    <w:rsid w:val="002A5D69"/>
    <w:rsid w:val="002F5F50"/>
    <w:rsid w:val="00301159"/>
    <w:rsid w:val="00305881"/>
    <w:rsid w:val="00305C56"/>
    <w:rsid w:val="00313C9E"/>
    <w:rsid w:val="0032461F"/>
    <w:rsid w:val="003377C0"/>
    <w:rsid w:val="00351BDA"/>
    <w:rsid w:val="00356EB9"/>
    <w:rsid w:val="003660A9"/>
    <w:rsid w:val="00385184"/>
    <w:rsid w:val="003858CA"/>
    <w:rsid w:val="003938C8"/>
    <w:rsid w:val="003A5F5E"/>
    <w:rsid w:val="003C59C3"/>
    <w:rsid w:val="003F26A7"/>
    <w:rsid w:val="003F6DB8"/>
    <w:rsid w:val="00404CB5"/>
    <w:rsid w:val="00420C3C"/>
    <w:rsid w:val="0043655C"/>
    <w:rsid w:val="004764DC"/>
    <w:rsid w:val="004A1FDE"/>
    <w:rsid w:val="004B0DFA"/>
    <w:rsid w:val="004C4446"/>
    <w:rsid w:val="004D3F6F"/>
    <w:rsid w:val="004E4121"/>
    <w:rsid w:val="00523FB2"/>
    <w:rsid w:val="00543944"/>
    <w:rsid w:val="00553446"/>
    <w:rsid w:val="0056718D"/>
    <w:rsid w:val="00577F5C"/>
    <w:rsid w:val="005D62C5"/>
    <w:rsid w:val="005F0A08"/>
    <w:rsid w:val="005F56F0"/>
    <w:rsid w:val="006308B0"/>
    <w:rsid w:val="00631236"/>
    <w:rsid w:val="0066389D"/>
    <w:rsid w:val="006C34C5"/>
    <w:rsid w:val="00704C80"/>
    <w:rsid w:val="007215B6"/>
    <w:rsid w:val="00723063"/>
    <w:rsid w:val="0073659F"/>
    <w:rsid w:val="0075408A"/>
    <w:rsid w:val="00756B61"/>
    <w:rsid w:val="007841C2"/>
    <w:rsid w:val="00792EF4"/>
    <w:rsid w:val="007E2E70"/>
    <w:rsid w:val="008267A6"/>
    <w:rsid w:val="008302EC"/>
    <w:rsid w:val="00832E88"/>
    <w:rsid w:val="008356D0"/>
    <w:rsid w:val="0083620A"/>
    <w:rsid w:val="0084006A"/>
    <w:rsid w:val="0085625D"/>
    <w:rsid w:val="0086361B"/>
    <w:rsid w:val="00866FC4"/>
    <w:rsid w:val="00872C76"/>
    <w:rsid w:val="00884AAE"/>
    <w:rsid w:val="00894876"/>
    <w:rsid w:val="008A4875"/>
    <w:rsid w:val="008C2ABB"/>
    <w:rsid w:val="00911E32"/>
    <w:rsid w:val="00932D3B"/>
    <w:rsid w:val="009375D7"/>
    <w:rsid w:val="00960C07"/>
    <w:rsid w:val="00970FE9"/>
    <w:rsid w:val="00972F72"/>
    <w:rsid w:val="00976A02"/>
    <w:rsid w:val="009A3383"/>
    <w:rsid w:val="009C243A"/>
    <w:rsid w:val="009C487C"/>
    <w:rsid w:val="009C5C9E"/>
    <w:rsid w:val="009C6550"/>
    <w:rsid w:val="009D63B9"/>
    <w:rsid w:val="009E281D"/>
    <w:rsid w:val="009E66FA"/>
    <w:rsid w:val="009E778D"/>
    <w:rsid w:val="009F36F0"/>
    <w:rsid w:val="00A055B3"/>
    <w:rsid w:val="00A22464"/>
    <w:rsid w:val="00A34741"/>
    <w:rsid w:val="00A65E1A"/>
    <w:rsid w:val="00A66187"/>
    <w:rsid w:val="00A87C62"/>
    <w:rsid w:val="00A97978"/>
    <w:rsid w:val="00AA43AC"/>
    <w:rsid w:val="00AE5860"/>
    <w:rsid w:val="00AE59B3"/>
    <w:rsid w:val="00AF5A6F"/>
    <w:rsid w:val="00AF7F05"/>
    <w:rsid w:val="00B1136A"/>
    <w:rsid w:val="00B32947"/>
    <w:rsid w:val="00B3406F"/>
    <w:rsid w:val="00B55D4D"/>
    <w:rsid w:val="00B6277D"/>
    <w:rsid w:val="00BA1353"/>
    <w:rsid w:val="00BA797D"/>
    <w:rsid w:val="00BB2139"/>
    <w:rsid w:val="00BB48EF"/>
    <w:rsid w:val="00BC416C"/>
    <w:rsid w:val="00BD67E5"/>
    <w:rsid w:val="00BE34B3"/>
    <w:rsid w:val="00C00C58"/>
    <w:rsid w:val="00C204BD"/>
    <w:rsid w:val="00C27229"/>
    <w:rsid w:val="00C44D35"/>
    <w:rsid w:val="00C5169E"/>
    <w:rsid w:val="00C7563B"/>
    <w:rsid w:val="00C85491"/>
    <w:rsid w:val="00C91E12"/>
    <w:rsid w:val="00CA330F"/>
    <w:rsid w:val="00CB5A67"/>
    <w:rsid w:val="00CB7854"/>
    <w:rsid w:val="00D34E9F"/>
    <w:rsid w:val="00D5386B"/>
    <w:rsid w:val="00D85CF7"/>
    <w:rsid w:val="00D9223D"/>
    <w:rsid w:val="00DC4535"/>
    <w:rsid w:val="00DF62E6"/>
    <w:rsid w:val="00E02340"/>
    <w:rsid w:val="00E17382"/>
    <w:rsid w:val="00E40F15"/>
    <w:rsid w:val="00E50232"/>
    <w:rsid w:val="00E826D2"/>
    <w:rsid w:val="00E82CC4"/>
    <w:rsid w:val="00E85587"/>
    <w:rsid w:val="00E9498D"/>
    <w:rsid w:val="00EA0A4F"/>
    <w:rsid w:val="00F07AD5"/>
    <w:rsid w:val="00F21ADF"/>
    <w:rsid w:val="00F57A81"/>
    <w:rsid w:val="00F74B93"/>
    <w:rsid w:val="00FC6CBB"/>
    <w:rsid w:val="00FD3582"/>
    <w:rsid w:val="00FD7A47"/>
    <w:rsid w:val="00FE3E3D"/>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E574C"/>
  <w14:defaultImageDpi w14:val="32767"/>
  <w15:chartTrackingRefBased/>
  <w15:docId w15:val="{4A1CB90B-4296-0944-AFCC-B2F99878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style>
  <w:style w:type="paragraph" w:styleId="berschrift1">
    <w:name w:val="heading 1"/>
    <w:basedOn w:val="Standard"/>
    <w:next w:val="Standard"/>
    <w:link w:val="berschrift1Zchn"/>
    <w:uiPriority w:val="9"/>
    <w:qFormat/>
    <w:rsid w:val="009E28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de-DE"/>
    </w:rPr>
  </w:style>
  <w:style w:type="paragraph" w:styleId="berschrift2">
    <w:name w:val="heading 2"/>
    <w:basedOn w:val="Standard"/>
    <w:next w:val="Standard"/>
    <w:link w:val="berschrift2Zchn"/>
    <w:uiPriority w:val="9"/>
    <w:semiHidden/>
    <w:unhideWhenUsed/>
    <w:qFormat/>
    <w:rsid w:val="00E82CC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next w:val="Standard"/>
    <w:link w:val="berschrift3Zchn"/>
    <w:uiPriority w:val="9"/>
    <w:unhideWhenUsed/>
    <w:qFormat/>
    <w:rsid w:val="00E82CC4"/>
    <w:pPr>
      <w:keepNext/>
      <w:keepLines/>
      <w:spacing w:before="40"/>
      <w:outlineLvl w:val="2"/>
    </w:pPr>
    <w:rPr>
      <w:rFonts w:asciiTheme="majorHAnsi" w:eastAsiaTheme="majorEastAsia" w:hAnsiTheme="majorHAnsi" w:cstheme="majorBidi"/>
      <w:color w:val="1F3763" w:themeColor="accent1" w:themeShade="7F"/>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2Zchn">
    <w:name w:val="Überschrift 2 Zchn"/>
    <w:basedOn w:val="Absatz-Standardschriftart"/>
    <w:link w:val="berschrift2"/>
    <w:uiPriority w:val="9"/>
    <w:semiHidden/>
    <w:rsid w:val="00E82CC4"/>
    <w:rPr>
      <w:rFonts w:asciiTheme="majorHAnsi" w:eastAsiaTheme="majorEastAsia" w:hAnsiTheme="majorHAnsi" w:cstheme="majorBidi"/>
      <w:color w:val="2F5496" w:themeColor="accent1" w:themeShade="BF"/>
      <w:sz w:val="26"/>
      <w:szCs w:val="26"/>
    </w:rPr>
  </w:style>
  <w:style w:type="character" w:customStyle="1" w:styleId="berschrift3Zchn">
    <w:name w:val="Überschrift 3 Zchn"/>
    <w:basedOn w:val="Absatz-Standardschriftart"/>
    <w:link w:val="berschrift3"/>
    <w:uiPriority w:val="9"/>
    <w:rsid w:val="00E82CC4"/>
    <w:rPr>
      <w:rFonts w:asciiTheme="majorHAnsi" w:eastAsiaTheme="majorEastAsia" w:hAnsiTheme="majorHAnsi" w:cstheme="majorBidi"/>
      <w:color w:val="1F3763" w:themeColor="accent1" w:themeShade="7F"/>
    </w:rPr>
  </w:style>
  <w:style w:type="paragraph" w:styleId="Funotentext">
    <w:name w:val="footnote text"/>
    <w:basedOn w:val="Standard"/>
    <w:link w:val="FunotentextZchn"/>
    <w:uiPriority w:val="99"/>
    <w:semiHidden/>
    <w:unhideWhenUsed/>
    <w:rsid w:val="00E85587"/>
    <w:rPr>
      <w:sz w:val="20"/>
      <w:szCs w:val="20"/>
    </w:rPr>
  </w:style>
  <w:style w:type="character" w:customStyle="1" w:styleId="FunotentextZchn">
    <w:name w:val="Fußnotentext Zchn"/>
    <w:basedOn w:val="Absatz-Standardschriftart"/>
    <w:link w:val="Funotentext"/>
    <w:uiPriority w:val="99"/>
    <w:semiHidden/>
    <w:rsid w:val="00E85587"/>
    <w:rPr>
      <w:sz w:val="20"/>
      <w:szCs w:val="20"/>
    </w:rPr>
  </w:style>
  <w:style w:type="character" w:styleId="Funotenzeichen">
    <w:name w:val="footnote reference"/>
    <w:basedOn w:val="Absatz-Standardschriftart"/>
    <w:uiPriority w:val="99"/>
    <w:semiHidden/>
    <w:unhideWhenUsed/>
    <w:rsid w:val="00E85587"/>
    <w:rPr>
      <w:vertAlign w:val="superscript"/>
    </w:rPr>
  </w:style>
  <w:style w:type="paragraph" w:styleId="Listenabsatz">
    <w:name w:val="List Paragraph"/>
    <w:basedOn w:val="Standard"/>
    <w:uiPriority w:val="34"/>
    <w:qFormat/>
    <w:rsid w:val="00130751"/>
    <w:pPr>
      <w:ind w:left="720"/>
      <w:contextualSpacing/>
    </w:pPr>
  </w:style>
  <w:style w:type="character" w:customStyle="1" w:styleId="berschrift1Zchn">
    <w:name w:val="Überschrift 1 Zchn"/>
    <w:basedOn w:val="Absatz-Standardschriftart"/>
    <w:link w:val="berschrift1"/>
    <w:uiPriority w:val="9"/>
    <w:rsid w:val="009E281D"/>
    <w:rPr>
      <w:rFonts w:asciiTheme="majorHAnsi" w:eastAsiaTheme="majorEastAsia" w:hAnsiTheme="majorHAnsi" w:cstheme="majorBidi"/>
      <w:b/>
      <w:bCs/>
      <w:color w:val="2F5496" w:themeColor="accent1" w:themeShade="BF"/>
      <w:sz w:val="28"/>
      <w:szCs w:val="28"/>
      <w:lang w:eastAsia="de-DE"/>
    </w:rPr>
  </w:style>
  <w:style w:type="paragraph" w:styleId="Kopfzeile">
    <w:name w:val="header"/>
    <w:basedOn w:val="Standard"/>
    <w:link w:val="KopfzeileZchn"/>
    <w:uiPriority w:val="99"/>
    <w:unhideWhenUsed/>
    <w:rsid w:val="00F74B93"/>
    <w:pPr>
      <w:tabs>
        <w:tab w:val="center" w:pos="4536"/>
        <w:tab w:val="right" w:pos="9072"/>
      </w:tabs>
    </w:pPr>
  </w:style>
  <w:style w:type="character" w:customStyle="1" w:styleId="KopfzeileZchn">
    <w:name w:val="Kopfzeile Zchn"/>
    <w:basedOn w:val="Absatz-Standardschriftart"/>
    <w:link w:val="Kopfzeile"/>
    <w:uiPriority w:val="99"/>
    <w:rsid w:val="00F74B93"/>
  </w:style>
  <w:style w:type="paragraph" w:styleId="Fuzeile">
    <w:name w:val="footer"/>
    <w:basedOn w:val="Standard"/>
    <w:link w:val="FuzeileZchn"/>
    <w:uiPriority w:val="99"/>
    <w:unhideWhenUsed/>
    <w:rsid w:val="00F74B93"/>
    <w:pPr>
      <w:tabs>
        <w:tab w:val="center" w:pos="4536"/>
        <w:tab w:val="right" w:pos="9072"/>
      </w:tabs>
    </w:pPr>
  </w:style>
  <w:style w:type="character" w:customStyle="1" w:styleId="FuzeileZchn">
    <w:name w:val="Fußzeile Zchn"/>
    <w:basedOn w:val="Absatz-Standardschriftart"/>
    <w:link w:val="Fuzeile"/>
    <w:uiPriority w:val="99"/>
    <w:rsid w:val="00F74B93"/>
  </w:style>
  <w:style w:type="character" w:styleId="Seitenzahl">
    <w:name w:val="page number"/>
    <w:basedOn w:val="Absatz-Standardschriftart"/>
    <w:uiPriority w:val="99"/>
    <w:semiHidden/>
    <w:unhideWhenUsed/>
    <w:rsid w:val="00F74B93"/>
  </w:style>
  <w:style w:type="paragraph" w:styleId="StandardWeb">
    <w:name w:val="Normal (Web)"/>
    <w:basedOn w:val="Standard"/>
    <w:rsid w:val="00543944"/>
    <w:pPr>
      <w:spacing w:before="100" w:beforeAutospacing="1" w:after="100" w:afterAutospacing="1"/>
    </w:pPr>
    <w:rPr>
      <w:rFonts w:ascii="Georgia" w:eastAsia="SimSun" w:hAnsi="Georgia" w:cs="Times New Roman"/>
      <w:color w:val="000000"/>
      <w:sz w:val="21"/>
      <w:szCs w:val="21"/>
      <w:lang w:val="en-GB" w:eastAsia="zh-CN"/>
    </w:rPr>
  </w:style>
  <w:style w:type="character" w:styleId="Hyperlink">
    <w:name w:val="Hyperlink"/>
    <w:basedOn w:val="Absatz-Standardschriftart"/>
    <w:uiPriority w:val="99"/>
    <w:unhideWhenUsed/>
    <w:rsid w:val="009C487C"/>
    <w:rPr>
      <w:color w:val="0563C1" w:themeColor="hyperlink"/>
      <w:u w:val="single"/>
    </w:rPr>
  </w:style>
  <w:style w:type="character" w:styleId="NichtaufgelsteErwhnung">
    <w:name w:val="Unresolved Mention"/>
    <w:basedOn w:val="Absatz-Standardschriftart"/>
    <w:uiPriority w:val="99"/>
    <w:rsid w:val="009C48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moodle.uwtsd.ac.uk/pluginfile.php/474492/mod_resource/content/1/Planning%20Research%20Project%20Slides.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8F262-646F-BA44-9AE9-7214C488E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2740</Words>
  <Characters>14635</Characters>
  <Application>Microsoft Office Word</Application>
  <DocSecurity>0</DocSecurity>
  <Lines>292</Lines>
  <Paragraphs>140</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Antje Klaehn</dc:creator>
  <cp:keywords/>
  <dc:description/>
  <cp:lastModifiedBy>Antje Klaehn</cp:lastModifiedBy>
  <cp:revision>5</cp:revision>
  <cp:lastPrinted>2021-03-31T07:52:00Z</cp:lastPrinted>
  <dcterms:created xsi:type="dcterms:W3CDTF">2021-03-31T07:05:00Z</dcterms:created>
  <dcterms:modified xsi:type="dcterms:W3CDTF">2021-03-31T08:19:00Z</dcterms:modified>
</cp:coreProperties>
</file>