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19E95" w14:textId="623B3003" w:rsidR="00263C70" w:rsidRDefault="00263C70" w:rsidP="00F92A8D">
      <w:pPr>
        <w:spacing w:line="360" w:lineRule="auto"/>
        <w:rPr>
          <w:rFonts w:ascii="Arial" w:hAnsi="Arial" w:cs="Arial"/>
          <w:b/>
          <w:bCs/>
          <w:sz w:val="24"/>
          <w:szCs w:val="24"/>
        </w:rPr>
      </w:pPr>
      <w:r>
        <w:rPr>
          <w:rFonts w:ascii="Arial" w:hAnsi="Arial" w:cs="Arial"/>
          <w:b/>
          <w:bCs/>
          <w:sz w:val="24"/>
          <w:szCs w:val="24"/>
        </w:rPr>
        <w:t xml:space="preserve">** NB** its unfinished uploading for initial discussion, areas marked with * are still be to </w:t>
      </w:r>
      <w:proofErr w:type="gramStart"/>
      <w:r>
        <w:rPr>
          <w:rFonts w:ascii="Arial" w:hAnsi="Arial" w:cs="Arial"/>
          <w:b/>
          <w:bCs/>
          <w:sz w:val="24"/>
          <w:szCs w:val="24"/>
        </w:rPr>
        <w:t>composed</w:t>
      </w:r>
      <w:proofErr w:type="gramEnd"/>
      <w:r>
        <w:rPr>
          <w:rFonts w:ascii="Arial" w:hAnsi="Arial" w:cs="Arial"/>
          <w:b/>
          <w:bCs/>
          <w:sz w:val="24"/>
          <w:szCs w:val="24"/>
        </w:rPr>
        <w:t>.</w:t>
      </w:r>
    </w:p>
    <w:p w14:paraId="6FB46C47" w14:textId="46BBF638" w:rsidR="00F92A8D" w:rsidRPr="00F92A8D" w:rsidRDefault="00F92A8D" w:rsidP="00F92A8D">
      <w:pPr>
        <w:spacing w:line="360" w:lineRule="auto"/>
        <w:rPr>
          <w:rFonts w:ascii="Arial" w:hAnsi="Arial" w:cs="Arial"/>
          <w:b/>
          <w:bCs/>
          <w:sz w:val="24"/>
          <w:szCs w:val="24"/>
        </w:rPr>
      </w:pPr>
      <w:r w:rsidRPr="00F92A8D">
        <w:rPr>
          <w:rFonts w:ascii="Arial" w:hAnsi="Arial" w:cs="Arial"/>
          <w:b/>
          <w:bCs/>
          <w:sz w:val="24"/>
          <w:szCs w:val="24"/>
        </w:rPr>
        <w:t>A New Dawn for Heritage? Are ‘we’ humanity arriving at ‘our’ evolutionary reflection of past, present, futures through heritage discourse?</w:t>
      </w:r>
    </w:p>
    <w:p w14:paraId="77AACAB6"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This discussion paper aims to give a ‘clunky’ snapshot over the past millennia, identifying critical moments (in time) of the origins of heritage discourse creating the timeline of heritage (and its purposeful) progression to arrive us at today’s (proposed) ethnic-onto-epistemological awakening of heritage? This awakening of a new dawn of heritage, drives the paper to create discussion on the present triggers of the hopeful, progressive new dawn for the sustainability of heritage and its regenerative future, built on past onto-epistemological analysis.</w:t>
      </w:r>
    </w:p>
    <w:p w14:paraId="6E2FB01C"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t>9th Century</w:t>
      </w:r>
      <w:r w:rsidRPr="00F92A8D">
        <w:rPr>
          <w:rFonts w:ascii="Arial" w:hAnsi="Arial" w:cs="Arial"/>
          <w:sz w:val="24"/>
          <w:szCs w:val="24"/>
        </w:rPr>
        <w:t xml:space="preserve"> - The only sensible place to begin this papers millennia snapshot would be the Anglo-Saxon Chronicles as this was the ‘first continuous national history of any western people’ (Swanton, M. 2000). Written over several centuries by church educated Anglo-Saxon individuals. Here the paper dissects the authors of the chronicles as agents of the origin of heritage, as Stanley (1996) identifies the purpose of the texts are ‘revival of learning’ and ‘revival of English-National awareness’. Bell (1960) proclaims that the chronicler </w:t>
      </w:r>
      <w:proofErr w:type="spellStart"/>
      <w:r w:rsidRPr="00F92A8D">
        <w:rPr>
          <w:rFonts w:ascii="Arial" w:hAnsi="Arial" w:cs="Arial"/>
          <w:sz w:val="24"/>
          <w:szCs w:val="24"/>
        </w:rPr>
        <w:t>Gaimer</w:t>
      </w:r>
      <w:proofErr w:type="spellEnd"/>
      <w:r w:rsidRPr="00F92A8D">
        <w:rPr>
          <w:rFonts w:ascii="Arial" w:hAnsi="Arial" w:cs="Arial"/>
          <w:sz w:val="24"/>
          <w:szCs w:val="24"/>
        </w:rPr>
        <w:t xml:space="preserve"> that King Alfred ‘caused a book to be written in English about the events and law made by </w:t>
      </w:r>
      <w:proofErr w:type="gramStart"/>
      <w:r w:rsidRPr="00F92A8D">
        <w:rPr>
          <w:rFonts w:ascii="Arial" w:hAnsi="Arial" w:cs="Arial"/>
          <w:sz w:val="24"/>
          <w:szCs w:val="24"/>
        </w:rPr>
        <w:t>kings’</w:t>
      </w:r>
      <w:proofErr w:type="gramEnd"/>
      <w:r w:rsidRPr="00F92A8D">
        <w:rPr>
          <w:rFonts w:ascii="Arial" w:hAnsi="Arial" w:cs="Arial"/>
          <w:sz w:val="24"/>
          <w:szCs w:val="24"/>
        </w:rPr>
        <w:t>. This 9th Century snapshot can identify the origins of heritage, this paper presents these historical agents as architects of the origin of heritage as we define it today ‘embodies acts of remembrance and commemoration while negotiating and constructing a sense of place, belonging and understanding in the present’ (Smith, 2006). The identification here also how heritage is used as political tool indicated by Harrison (2010) ‘Heritage can act as a symbol of political struggle…ownership considered to give their possessors political power’. It is also important to mention here that Swanton points out that certain additions to the chronicles, added ‘Saga’ to have effect of poetic transmission, identifying these agents recognizes the value of performance in their heritage compositions. Which leads to Huntingdon.</w:t>
      </w:r>
    </w:p>
    <w:p w14:paraId="36841616"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lastRenderedPageBreak/>
        <w:t>11th &amp; 12th Century</w:t>
      </w:r>
      <w:r w:rsidRPr="00F92A8D">
        <w:rPr>
          <w:rFonts w:ascii="Arial" w:hAnsi="Arial" w:cs="Arial"/>
          <w:sz w:val="24"/>
          <w:szCs w:val="24"/>
        </w:rPr>
        <w:t xml:space="preserve"> - The history of The English People 1000-1154. Henry Huntingdon. This chronicle can be said to be the most prolific texts to be survive, giving in-depth reflection of the time importantly through the lens of an Archdeacon and canonry of Lincoln, and was part of the king’s (Henry II) entourage, well informed on the current political realm. The instruction for Henry to write a ‘Narrative’ of the histories of the (then) perceived Kingdom of England and the ‘Origins’ of its people. (Greenway, 2002). Poignantly the text was formed in units, that were manageable to be read aloud on a certain occasion. </w:t>
      </w:r>
      <w:proofErr w:type="spellStart"/>
      <w:r w:rsidRPr="00F92A8D">
        <w:rPr>
          <w:rFonts w:ascii="Arial" w:hAnsi="Arial" w:cs="Arial"/>
          <w:sz w:val="24"/>
          <w:szCs w:val="24"/>
        </w:rPr>
        <w:t>Its</w:t>
      </w:r>
      <w:proofErr w:type="spellEnd"/>
      <w:r w:rsidRPr="00F92A8D">
        <w:rPr>
          <w:rFonts w:ascii="Arial" w:hAnsi="Arial" w:cs="Arial"/>
          <w:sz w:val="24"/>
          <w:szCs w:val="24"/>
        </w:rPr>
        <w:t xml:space="preserve"> also worth noting very few lay men were not educated to read (especially Latin) in ‘the most celebrated of islands’, therefore the obvious purpose was to relay the narrative of history and origins of its people for mass consumption in a performance manner. Orientating the narrative of formation of ‘Nationhood’. As </w:t>
      </w:r>
      <w:proofErr w:type="spellStart"/>
      <w:r w:rsidRPr="00F92A8D">
        <w:rPr>
          <w:rFonts w:ascii="Arial" w:hAnsi="Arial" w:cs="Arial"/>
          <w:sz w:val="24"/>
          <w:szCs w:val="24"/>
        </w:rPr>
        <w:t>Coser</w:t>
      </w:r>
      <w:proofErr w:type="spellEnd"/>
      <w:r w:rsidRPr="00F92A8D">
        <w:rPr>
          <w:rFonts w:ascii="Arial" w:hAnsi="Arial" w:cs="Arial"/>
          <w:sz w:val="24"/>
          <w:szCs w:val="24"/>
        </w:rPr>
        <w:t xml:space="preserve"> (1992) who, citing </w:t>
      </w:r>
      <w:proofErr w:type="spellStart"/>
      <w:r w:rsidRPr="00F92A8D">
        <w:rPr>
          <w:rFonts w:ascii="Arial" w:hAnsi="Arial" w:cs="Arial"/>
          <w:sz w:val="24"/>
          <w:szCs w:val="24"/>
        </w:rPr>
        <w:t>Halbwachs</w:t>
      </w:r>
      <w:proofErr w:type="spellEnd"/>
      <w:r w:rsidRPr="00F92A8D">
        <w:rPr>
          <w:rFonts w:ascii="Arial" w:hAnsi="Arial" w:cs="Arial"/>
          <w:sz w:val="24"/>
          <w:szCs w:val="24"/>
        </w:rPr>
        <w:t xml:space="preserve"> (1992) argues that these key ‘Medieval authors intentions, their bias shapes the origin of our heritage as a form of collective memory, a social construct shaped by the political, </w:t>
      </w:r>
      <w:proofErr w:type="gramStart"/>
      <w:r w:rsidRPr="00F92A8D">
        <w:rPr>
          <w:rFonts w:ascii="Arial" w:hAnsi="Arial" w:cs="Arial"/>
          <w:sz w:val="24"/>
          <w:szCs w:val="24"/>
        </w:rPr>
        <w:t>economic</w:t>
      </w:r>
      <w:proofErr w:type="gramEnd"/>
      <w:r w:rsidRPr="00F92A8D">
        <w:rPr>
          <w:rFonts w:ascii="Arial" w:hAnsi="Arial" w:cs="Arial"/>
          <w:sz w:val="24"/>
          <w:szCs w:val="24"/>
        </w:rPr>
        <w:t xml:space="preserve"> and social concerns’. This paper’s obvious use of </w:t>
      </w:r>
      <w:proofErr w:type="spellStart"/>
      <w:r w:rsidRPr="00F92A8D">
        <w:rPr>
          <w:rFonts w:ascii="Arial" w:hAnsi="Arial" w:cs="Arial"/>
          <w:sz w:val="24"/>
          <w:szCs w:val="24"/>
        </w:rPr>
        <w:t>Halbwachs</w:t>
      </w:r>
      <w:proofErr w:type="spellEnd"/>
      <w:r w:rsidRPr="00F92A8D">
        <w:rPr>
          <w:rFonts w:ascii="Arial" w:hAnsi="Arial" w:cs="Arial"/>
          <w:sz w:val="24"/>
          <w:szCs w:val="24"/>
        </w:rPr>
        <w:t xml:space="preserve"> theory draw the discussion of the origin formulations of heritage, using the field of collective memory, the social construct by performance of the (mentioned) agents through (our now recognized) heritage discourse, for the use as political tool. It is pertinent to add the religious agenda of medieval writing, which did see liberalization of this agenda with independence of the creation of universities.</w:t>
      </w:r>
    </w:p>
    <w:p w14:paraId="045023D6"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t>13th Century</w:t>
      </w:r>
      <w:r w:rsidRPr="00F92A8D">
        <w:rPr>
          <w:rFonts w:ascii="Arial" w:hAnsi="Arial" w:cs="Arial"/>
          <w:sz w:val="24"/>
          <w:szCs w:val="24"/>
        </w:rPr>
        <w:t xml:space="preserve"> - The Birth of Universities. King Phillip of France gave powers to students and masters- protecting rights of members of Universitas, in the end the union of was established giving powers of the right to debate, establish curriculum, autonomy to </w:t>
      </w:r>
      <w:proofErr w:type="spellStart"/>
      <w:r w:rsidRPr="00F92A8D">
        <w:rPr>
          <w:rFonts w:ascii="Arial" w:hAnsi="Arial" w:cs="Arial"/>
          <w:sz w:val="24"/>
          <w:szCs w:val="24"/>
        </w:rPr>
        <w:t>chose</w:t>
      </w:r>
      <w:proofErr w:type="spellEnd"/>
      <w:r w:rsidRPr="00F92A8D">
        <w:rPr>
          <w:rFonts w:ascii="Arial" w:hAnsi="Arial" w:cs="Arial"/>
          <w:sz w:val="24"/>
          <w:szCs w:val="24"/>
        </w:rPr>
        <w:t xml:space="preserve"> members, protection form persecution. (www.vlib, 2020). This pioneered academia throughout the (we now see as) Central Europe. **Expand**</w:t>
      </w:r>
    </w:p>
    <w:p w14:paraId="117B740E"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The timeline takes a leap to the time revered as the age of Enlightenment.</w:t>
      </w:r>
    </w:p>
    <w:p w14:paraId="481FF01D"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t>17th -18th Century</w:t>
      </w:r>
      <w:r w:rsidRPr="00F92A8D">
        <w:rPr>
          <w:rFonts w:ascii="Arial" w:hAnsi="Arial" w:cs="Arial"/>
          <w:sz w:val="24"/>
          <w:szCs w:val="24"/>
        </w:rPr>
        <w:t xml:space="preserve"> – Era of Radical Enlightenment. Israel (2001) assertively claims this had the most ‘shift’ of knowledge and the correlating ideas. The Scientific Revolution, coupled with the Industrial Revolution Israel argues ‘In this revolutionary process, which effectively overthrew all justification for monarchy, aristocracy, and ecclesiastical power, </w:t>
      </w:r>
      <w:r w:rsidRPr="00F92A8D">
        <w:rPr>
          <w:rFonts w:ascii="Arial" w:hAnsi="Arial" w:cs="Arial"/>
          <w:sz w:val="24"/>
          <w:szCs w:val="24"/>
        </w:rPr>
        <w:lastRenderedPageBreak/>
        <w:t xml:space="preserve">as well as man's dominance over woman, theological dominance of education, and slavery, substituting the modern principles of equality, democracy, and universality’. </w:t>
      </w:r>
    </w:p>
    <w:p w14:paraId="0C4B56C4"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 xml:space="preserve">This era is relatively obscured from national histories and nation’s heritage discourse, as the Enlightenment was in-fact the evolution across the (now considered) western world confirms Israel. Author of ‘Narratives of Enlightenment’ </w:t>
      </w:r>
      <w:proofErr w:type="spellStart"/>
      <w:r w:rsidRPr="00F92A8D">
        <w:rPr>
          <w:rFonts w:ascii="Arial" w:hAnsi="Arial" w:cs="Arial"/>
          <w:sz w:val="24"/>
          <w:szCs w:val="24"/>
        </w:rPr>
        <w:t>O’Brain</w:t>
      </w:r>
      <w:proofErr w:type="spellEnd"/>
      <w:r w:rsidRPr="00F92A8D">
        <w:rPr>
          <w:rFonts w:ascii="Arial" w:hAnsi="Arial" w:cs="Arial"/>
          <w:sz w:val="24"/>
          <w:szCs w:val="24"/>
        </w:rPr>
        <w:t xml:space="preserve"> (1997) pins key historians/agents of the era Hume, Voltaire and Gibbon as the approach to ‘transform their readers sense of national awareness through the re-writing of their narrative of history’ these instigators of a meta-narrative ‘Historicist’ outlook (Iggers,1995) culminating in the narrative of an European collective sense of heritage, derived through the nuance of their cosmopolitan neo-classical values of superior taste, bourgeois political aspirations, aristocratic consumer taste (Newman 1987). The era demonstrates how our comprehension of heritage, the constructs for dissemination of it, are recycled ‘there is no past out there or back there. There is only the present, in the context of which the past is being continually re-created’ </w:t>
      </w:r>
      <w:proofErr w:type="spellStart"/>
      <w:r w:rsidRPr="00F92A8D">
        <w:rPr>
          <w:rFonts w:ascii="Arial" w:hAnsi="Arial" w:cs="Arial"/>
          <w:sz w:val="24"/>
          <w:szCs w:val="24"/>
        </w:rPr>
        <w:t>Urry</w:t>
      </w:r>
      <w:proofErr w:type="spellEnd"/>
      <w:r w:rsidRPr="00F92A8D">
        <w:rPr>
          <w:rFonts w:ascii="Arial" w:hAnsi="Arial" w:cs="Arial"/>
          <w:sz w:val="24"/>
          <w:szCs w:val="24"/>
        </w:rPr>
        <w:t xml:space="preserve"> (1990) simplifies. </w:t>
      </w:r>
    </w:p>
    <w:p w14:paraId="414C4298"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 xml:space="preserve">During these centuries witnessed the rampage of the claiming of the new world, with colonization, imperialism deemed as an acceptable, powerful right by the ruling elite. Smith (2006) captures this distinct sense of rights, as parts of society, individuals, groups, communities possess the ‘ability to have their values and meanings taken up and legitimized than others, and power both </w:t>
      </w:r>
      <w:proofErr w:type="spellStart"/>
      <w:r w:rsidRPr="00F92A8D">
        <w:rPr>
          <w:rFonts w:ascii="Arial" w:hAnsi="Arial" w:cs="Arial"/>
          <w:sz w:val="24"/>
          <w:szCs w:val="24"/>
        </w:rPr>
        <w:t>moulds</w:t>
      </w:r>
      <w:proofErr w:type="spellEnd"/>
      <w:r w:rsidRPr="00F92A8D">
        <w:rPr>
          <w:rFonts w:ascii="Arial" w:hAnsi="Arial" w:cs="Arial"/>
          <w:sz w:val="24"/>
          <w:szCs w:val="24"/>
        </w:rPr>
        <w:t xml:space="preserve"> and is </w:t>
      </w:r>
      <w:proofErr w:type="spellStart"/>
      <w:r w:rsidRPr="00F92A8D">
        <w:rPr>
          <w:rFonts w:ascii="Arial" w:hAnsi="Arial" w:cs="Arial"/>
          <w:sz w:val="24"/>
          <w:szCs w:val="24"/>
        </w:rPr>
        <w:t>moulded</w:t>
      </w:r>
      <w:proofErr w:type="spellEnd"/>
      <w:r w:rsidRPr="00F92A8D">
        <w:rPr>
          <w:rFonts w:ascii="Arial" w:hAnsi="Arial" w:cs="Arial"/>
          <w:sz w:val="24"/>
          <w:szCs w:val="24"/>
        </w:rPr>
        <w:t xml:space="preserve">’. This draws the </w:t>
      </w:r>
      <w:proofErr w:type="spellStart"/>
      <w:r w:rsidRPr="00F92A8D">
        <w:rPr>
          <w:rFonts w:ascii="Arial" w:hAnsi="Arial" w:cs="Arial"/>
          <w:sz w:val="24"/>
          <w:szCs w:val="24"/>
        </w:rPr>
        <w:t>Urry’s</w:t>
      </w:r>
      <w:proofErr w:type="spellEnd"/>
      <w:r w:rsidRPr="00F92A8D">
        <w:rPr>
          <w:rFonts w:ascii="Arial" w:hAnsi="Arial" w:cs="Arial"/>
          <w:sz w:val="24"/>
          <w:szCs w:val="24"/>
        </w:rPr>
        <w:t xml:space="preserve"> previous quote the re-creation by and for those in power to </w:t>
      </w:r>
      <w:proofErr w:type="spellStart"/>
      <w:r w:rsidRPr="00F92A8D">
        <w:rPr>
          <w:rFonts w:ascii="Arial" w:hAnsi="Arial" w:cs="Arial"/>
          <w:sz w:val="24"/>
          <w:szCs w:val="24"/>
        </w:rPr>
        <w:t>mould</w:t>
      </w:r>
      <w:proofErr w:type="spellEnd"/>
      <w:r w:rsidRPr="00F92A8D">
        <w:rPr>
          <w:rFonts w:ascii="Arial" w:hAnsi="Arial" w:cs="Arial"/>
          <w:sz w:val="24"/>
          <w:szCs w:val="24"/>
        </w:rPr>
        <w:t xml:space="preserve">, reconceptualize their heritage discourse. This is perfectly summarized by Graham et al. ‘the view of heritage in any given society will inevitably reflect that of the dominant social, religious or ethnic groups…reflection not only of the political, economic and social power of these groups but also, in some measure, of the power of heritage itself as a legitimizing discourse to not only validate but also reproduce certain social and cultural values, experiences and </w:t>
      </w:r>
      <w:proofErr w:type="gramStart"/>
      <w:r w:rsidRPr="00F92A8D">
        <w:rPr>
          <w:rFonts w:ascii="Arial" w:hAnsi="Arial" w:cs="Arial"/>
          <w:sz w:val="24"/>
          <w:szCs w:val="24"/>
        </w:rPr>
        <w:t>memories’</w:t>
      </w:r>
      <w:proofErr w:type="gramEnd"/>
      <w:r w:rsidRPr="00F92A8D">
        <w:rPr>
          <w:rFonts w:ascii="Arial" w:hAnsi="Arial" w:cs="Arial"/>
          <w:sz w:val="24"/>
          <w:szCs w:val="24"/>
        </w:rPr>
        <w:t xml:space="preserve">. The undoubted evidence relays the case that heritage discourse is that of a ruling/influential hegemonic elite. This leads to modern academia. Which aligns with Smiths ‘Uses of Heritage’ which is termed a ‘Modern Classic’ by </w:t>
      </w:r>
      <w:proofErr w:type="spellStart"/>
      <w:r w:rsidRPr="00F92A8D">
        <w:rPr>
          <w:rFonts w:ascii="Arial" w:hAnsi="Arial" w:cs="Arial"/>
          <w:sz w:val="24"/>
          <w:szCs w:val="24"/>
        </w:rPr>
        <w:t>Joar</w:t>
      </w:r>
      <w:proofErr w:type="spellEnd"/>
      <w:r w:rsidRPr="00F92A8D">
        <w:rPr>
          <w:rFonts w:ascii="Arial" w:hAnsi="Arial" w:cs="Arial"/>
          <w:sz w:val="24"/>
          <w:szCs w:val="24"/>
        </w:rPr>
        <w:t xml:space="preserve"> &amp; </w:t>
      </w:r>
      <w:proofErr w:type="spellStart"/>
      <w:r w:rsidRPr="00F92A8D">
        <w:rPr>
          <w:rFonts w:ascii="Arial" w:hAnsi="Arial" w:cs="Arial"/>
          <w:sz w:val="24"/>
          <w:szCs w:val="24"/>
        </w:rPr>
        <w:t>Holleland</w:t>
      </w:r>
      <w:proofErr w:type="spellEnd"/>
      <w:r w:rsidRPr="00F92A8D">
        <w:rPr>
          <w:rFonts w:ascii="Arial" w:hAnsi="Arial" w:cs="Arial"/>
          <w:sz w:val="24"/>
          <w:szCs w:val="24"/>
        </w:rPr>
        <w:t xml:space="preserve"> (2018) is accountable for shaping modern heritage </w:t>
      </w:r>
      <w:r w:rsidRPr="00F92A8D">
        <w:rPr>
          <w:rFonts w:ascii="Arial" w:hAnsi="Arial" w:cs="Arial"/>
          <w:sz w:val="24"/>
          <w:szCs w:val="24"/>
        </w:rPr>
        <w:lastRenderedPageBreak/>
        <w:t xml:space="preserve">studies, within this book Smith really scrutinizes this hegemonic characterization of heritage as </w:t>
      </w:r>
      <w:proofErr w:type="spellStart"/>
      <w:r w:rsidRPr="00F92A8D">
        <w:rPr>
          <w:rFonts w:ascii="Arial" w:hAnsi="Arial" w:cs="Arial"/>
          <w:sz w:val="24"/>
          <w:szCs w:val="24"/>
        </w:rPr>
        <w:t>Authorised</w:t>
      </w:r>
      <w:proofErr w:type="spellEnd"/>
      <w:r w:rsidRPr="00F92A8D">
        <w:rPr>
          <w:rFonts w:ascii="Arial" w:hAnsi="Arial" w:cs="Arial"/>
          <w:sz w:val="24"/>
          <w:szCs w:val="24"/>
        </w:rPr>
        <w:t xml:space="preserve"> Heritage Discourse.</w:t>
      </w:r>
    </w:p>
    <w:p w14:paraId="25A38D33"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t>20th – 21st Century</w:t>
      </w:r>
      <w:r w:rsidRPr="00F92A8D">
        <w:rPr>
          <w:rFonts w:ascii="Arial" w:hAnsi="Arial" w:cs="Arial"/>
          <w:sz w:val="24"/>
          <w:szCs w:val="24"/>
        </w:rPr>
        <w:t xml:space="preserve"> – </w:t>
      </w:r>
      <w:proofErr w:type="spellStart"/>
      <w:r w:rsidRPr="00F92A8D">
        <w:rPr>
          <w:rFonts w:ascii="Arial" w:hAnsi="Arial" w:cs="Arial"/>
          <w:sz w:val="24"/>
          <w:szCs w:val="24"/>
        </w:rPr>
        <w:t>Authorised</w:t>
      </w:r>
      <w:proofErr w:type="spellEnd"/>
      <w:r w:rsidRPr="00F92A8D">
        <w:rPr>
          <w:rFonts w:ascii="Arial" w:hAnsi="Arial" w:cs="Arial"/>
          <w:sz w:val="24"/>
          <w:szCs w:val="24"/>
        </w:rPr>
        <w:t xml:space="preserve"> Heritage Discourse. The field of heritage studies is asserted by Smith that it is a hegemonic ‘authorized heritage discourse’, which is reliant on the power/ knowledge claims of technical and aesthetic </w:t>
      </w:r>
      <w:proofErr w:type="gramStart"/>
      <w:r w:rsidRPr="00F92A8D">
        <w:rPr>
          <w:rFonts w:ascii="Arial" w:hAnsi="Arial" w:cs="Arial"/>
          <w:sz w:val="24"/>
          <w:szCs w:val="24"/>
        </w:rPr>
        <w:t>experts, and</w:t>
      </w:r>
      <w:proofErr w:type="gramEnd"/>
      <w:r w:rsidRPr="00F92A8D">
        <w:rPr>
          <w:rFonts w:ascii="Arial" w:hAnsi="Arial" w:cs="Arial"/>
          <w:sz w:val="24"/>
          <w:szCs w:val="24"/>
        </w:rPr>
        <w:t xml:space="preserve"> institutionalized in state cultural agencies and amenity societies. This discourse takes its cue from the grand narratives of nation and class on the one hand, and technical expertise and aesthetic judgement on the other’.</w:t>
      </w:r>
    </w:p>
    <w:p w14:paraId="0E6C980D"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 xml:space="preserve">** Universality – </w:t>
      </w:r>
      <w:proofErr w:type="spellStart"/>
      <w:r w:rsidRPr="00F92A8D">
        <w:rPr>
          <w:rFonts w:ascii="Arial" w:hAnsi="Arial" w:cs="Arial"/>
          <w:sz w:val="24"/>
          <w:szCs w:val="24"/>
        </w:rPr>
        <w:t>globalisation</w:t>
      </w:r>
      <w:proofErr w:type="spellEnd"/>
    </w:p>
    <w:p w14:paraId="7711D8E0" w14:textId="77777777" w:rsidR="00F92A8D" w:rsidRPr="00F92A8D" w:rsidRDefault="00F92A8D" w:rsidP="00F92A8D">
      <w:pPr>
        <w:spacing w:line="360" w:lineRule="auto"/>
        <w:rPr>
          <w:rFonts w:ascii="Arial" w:hAnsi="Arial" w:cs="Arial"/>
          <w:sz w:val="24"/>
          <w:szCs w:val="24"/>
        </w:rPr>
      </w:pPr>
    </w:p>
    <w:p w14:paraId="02BA0563" w14:textId="77777777" w:rsidR="00F92A8D" w:rsidRPr="00F92A8D" w:rsidRDefault="00F92A8D" w:rsidP="00F92A8D">
      <w:pPr>
        <w:spacing w:line="360" w:lineRule="auto"/>
        <w:rPr>
          <w:rFonts w:ascii="Arial" w:hAnsi="Arial" w:cs="Arial"/>
          <w:sz w:val="24"/>
          <w:szCs w:val="24"/>
        </w:rPr>
      </w:pPr>
    </w:p>
    <w:p w14:paraId="356D4BC1" w14:textId="77777777" w:rsidR="00F92A8D" w:rsidRPr="00F92A8D" w:rsidRDefault="00F92A8D" w:rsidP="00F92A8D">
      <w:pPr>
        <w:spacing w:line="360" w:lineRule="auto"/>
        <w:rPr>
          <w:rFonts w:ascii="Arial" w:hAnsi="Arial" w:cs="Arial"/>
          <w:sz w:val="24"/>
          <w:szCs w:val="24"/>
        </w:rPr>
      </w:pPr>
      <w:r w:rsidRPr="00F92A8D">
        <w:rPr>
          <w:rFonts w:ascii="Arial" w:hAnsi="Arial" w:cs="Arial"/>
          <w:b/>
          <w:bCs/>
          <w:sz w:val="24"/>
          <w:szCs w:val="24"/>
        </w:rPr>
        <w:t>Present triggers – Ethnical - Future awakening</w:t>
      </w:r>
      <w:r w:rsidRPr="00F92A8D">
        <w:rPr>
          <w:rFonts w:ascii="Arial" w:hAnsi="Arial" w:cs="Arial"/>
          <w:sz w:val="24"/>
          <w:szCs w:val="24"/>
        </w:rPr>
        <w:t>:</w:t>
      </w:r>
    </w:p>
    <w:p w14:paraId="3D000C13"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**Anthropocene,</w:t>
      </w:r>
    </w:p>
    <w:p w14:paraId="45DC0108"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**Climate,</w:t>
      </w:r>
    </w:p>
    <w:p w14:paraId="2420585D" w14:textId="7777777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**BLM,</w:t>
      </w:r>
    </w:p>
    <w:p w14:paraId="1DB037D6" w14:textId="41B805A7" w:rsidR="00F92A8D" w:rsidRPr="00F92A8D" w:rsidRDefault="00F92A8D" w:rsidP="00F92A8D">
      <w:pPr>
        <w:spacing w:line="360" w:lineRule="auto"/>
        <w:rPr>
          <w:rFonts w:ascii="Arial" w:hAnsi="Arial" w:cs="Arial"/>
          <w:sz w:val="24"/>
          <w:szCs w:val="24"/>
        </w:rPr>
      </w:pPr>
      <w:r w:rsidRPr="00F92A8D">
        <w:rPr>
          <w:rFonts w:ascii="Arial" w:hAnsi="Arial" w:cs="Arial"/>
          <w:sz w:val="24"/>
          <w:szCs w:val="24"/>
        </w:rPr>
        <w:t>**</w:t>
      </w:r>
      <w:proofErr w:type="spellStart"/>
      <w:r w:rsidRPr="00F92A8D">
        <w:rPr>
          <w:rFonts w:ascii="Arial" w:hAnsi="Arial" w:cs="Arial"/>
          <w:sz w:val="24"/>
          <w:szCs w:val="24"/>
        </w:rPr>
        <w:t>Covid</w:t>
      </w:r>
      <w:proofErr w:type="spellEnd"/>
      <w:r w:rsidRPr="00F92A8D">
        <w:rPr>
          <w:rFonts w:ascii="Arial" w:hAnsi="Arial" w:cs="Arial"/>
          <w:sz w:val="24"/>
          <w:szCs w:val="24"/>
        </w:rPr>
        <w:t xml:space="preserve"> -19</w:t>
      </w:r>
    </w:p>
    <w:p w14:paraId="042CC8FB" w14:textId="77777777" w:rsidR="00F92A8D" w:rsidRDefault="00F92A8D" w:rsidP="00F92A8D">
      <w:pPr>
        <w:shd w:val="clear" w:color="auto" w:fill="FFFFFF"/>
        <w:spacing w:line="360" w:lineRule="auto"/>
        <w:rPr>
          <w:rFonts w:ascii="Arial" w:hAnsi="Arial" w:cs="Arial"/>
          <w:sz w:val="24"/>
          <w:szCs w:val="24"/>
        </w:rPr>
      </w:pPr>
    </w:p>
    <w:p w14:paraId="5CB2F0D5" w14:textId="460C013C" w:rsidR="00F92A8D" w:rsidRPr="00F92A8D" w:rsidRDefault="00F92A8D" w:rsidP="00F92A8D">
      <w:pPr>
        <w:shd w:val="clear" w:color="auto" w:fill="FFFFFF"/>
        <w:spacing w:line="360" w:lineRule="auto"/>
        <w:rPr>
          <w:rFonts w:ascii="Arial" w:hAnsi="Arial" w:cs="Arial"/>
          <w:sz w:val="24"/>
          <w:szCs w:val="24"/>
        </w:rPr>
      </w:pPr>
      <w:r w:rsidRPr="00F92A8D">
        <w:rPr>
          <w:rFonts w:ascii="Arial" w:hAnsi="Arial" w:cs="Arial"/>
          <w:sz w:val="24"/>
          <w:szCs w:val="24"/>
        </w:rPr>
        <w:t>The clunky timeline arrives the discussion to our knowledge and understanding of being – Onto-epistemological reflection of humanity defined through heritage discourse, however now the discussion paper urges the concept of an awakening triggered by our ethnical fabric within societies and for all of humanity</w:t>
      </w:r>
      <w:r w:rsidR="00B213E9">
        <w:rPr>
          <w:rFonts w:ascii="Arial" w:hAnsi="Arial" w:cs="Arial"/>
          <w:sz w:val="24"/>
          <w:szCs w:val="24"/>
        </w:rPr>
        <w:t xml:space="preserve">, </w:t>
      </w:r>
      <w:r w:rsidR="00B213E9" w:rsidRPr="00F92A8D">
        <w:rPr>
          <w:rFonts w:ascii="Arial" w:hAnsi="Arial" w:cs="Arial"/>
          <w:sz w:val="24"/>
          <w:szCs w:val="24"/>
        </w:rPr>
        <w:t>ethnic-onto-epistemological</w:t>
      </w:r>
      <w:r w:rsidR="00B213E9">
        <w:rPr>
          <w:rFonts w:ascii="Arial" w:hAnsi="Arial" w:cs="Arial"/>
          <w:sz w:val="24"/>
          <w:szCs w:val="24"/>
        </w:rPr>
        <w:t xml:space="preserve"> response to our present global issues/crisis</w:t>
      </w:r>
      <w:r w:rsidRPr="00F92A8D">
        <w:rPr>
          <w:rFonts w:ascii="Arial" w:hAnsi="Arial" w:cs="Arial"/>
          <w:sz w:val="24"/>
          <w:szCs w:val="24"/>
        </w:rPr>
        <w:t>. Our current heritage discourse can construct the profound societal values for its sustainability of the future, and its generations.</w:t>
      </w:r>
    </w:p>
    <w:p w14:paraId="57CE0879" w14:textId="77777777" w:rsidR="00F92A8D" w:rsidRPr="00F92A8D" w:rsidRDefault="00F92A8D" w:rsidP="00F92A8D">
      <w:pPr>
        <w:shd w:val="clear" w:color="auto" w:fill="FFFFFF"/>
        <w:spacing w:line="360" w:lineRule="auto"/>
        <w:rPr>
          <w:rFonts w:ascii="Arial" w:hAnsi="Arial" w:cs="Arial"/>
          <w:color w:val="000000"/>
          <w:sz w:val="24"/>
          <w:szCs w:val="24"/>
        </w:rPr>
      </w:pPr>
      <w:r w:rsidRPr="00F92A8D">
        <w:rPr>
          <w:rFonts w:ascii="Arial" w:hAnsi="Arial" w:cs="Arial"/>
          <w:color w:val="000000"/>
          <w:sz w:val="24"/>
          <w:szCs w:val="24"/>
        </w:rPr>
        <w:t xml:space="preserve">****conclusion, awareness that his paper is of western discourse bias, however the said new dawn is less discriminate ‘Dissonance’ expansive application of a global </w:t>
      </w:r>
      <w:proofErr w:type="gramStart"/>
      <w:r w:rsidRPr="00F92A8D">
        <w:rPr>
          <w:rFonts w:ascii="Arial" w:hAnsi="Arial" w:cs="Arial"/>
          <w:color w:val="000000"/>
          <w:sz w:val="24"/>
          <w:szCs w:val="24"/>
        </w:rPr>
        <w:t>audience</w:t>
      </w:r>
      <w:proofErr w:type="gramEnd"/>
    </w:p>
    <w:p w14:paraId="568E4E91" w14:textId="45270313" w:rsidR="00F92A8D" w:rsidRPr="00FD0328" w:rsidRDefault="00F92A8D" w:rsidP="00F92A8D">
      <w:pPr>
        <w:spacing w:line="360" w:lineRule="auto"/>
        <w:rPr>
          <w:rFonts w:ascii="Arial" w:hAnsi="Arial" w:cs="Arial"/>
          <w:b/>
          <w:bCs/>
          <w:sz w:val="24"/>
          <w:szCs w:val="24"/>
        </w:rPr>
      </w:pPr>
      <w:r w:rsidRPr="00FD0328">
        <w:rPr>
          <w:rFonts w:ascii="Arial" w:hAnsi="Arial" w:cs="Arial"/>
          <w:b/>
          <w:bCs/>
          <w:sz w:val="24"/>
          <w:szCs w:val="24"/>
        </w:rPr>
        <w:lastRenderedPageBreak/>
        <w:t>References:</w:t>
      </w:r>
    </w:p>
    <w:p w14:paraId="2C6906B0" w14:textId="77777777" w:rsidR="00F92A8D" w:rsidRPr="005C4EB4" w:rsidRDefault="00F92A8D" w:rsidP="00F92A8D">
      <w:pPr>
        <w:spacing w:line="360" w:lineRule="auto"/>
        <w:rPr>
          <w:rFonts w:ascii="Arial" w:hAnsi="Arial" w:cs="Arial"/>
          <w:sz w:val="24"/>
          <w:szCs w:val="24"/>
        </w:rPr>
      </w:pPr>
      <w:r w:rsidRPr="005C4EB4">
        <w:rPr>
          <w:rFonts w:ascii="Arial" w:hAnsi="Arial" w:cs="Arial"/>
          <w:sz w:val="24"/>
          <w:szCs w:val="24"/>
        </w:rPr>
        <w:t xml:space="preserve">Bell, A. (1960) </w:t>
      </w:r>
      <w:proofErr w:type="spellStart"/>
      <w:r w:rsidRPr="005C4EB4">
        <w:rPr>
          <w:rFonts w:ascii="Arial" w:hAnsi="Arial" w:cs="Arial"/>
          <w:sz w:val="24"/>
          <w:szCs w:val="24"/>
        </w:rPr>
        <w:t>L’Estoire</w:t>
      </w:r>
      <w:proofErr w:type="spellEnd"/>
      <w:r w:rsidRPr="005C4EB4">
        <w:rPr>
          <w:rFonts w:ascii="Arial" w:hAnsi="Arial" w:cs="Arial"/>
          <w:sz w:val="24"/>
          <w:szCs w:val="24"/>
        </w:rPr>
        <w:t xml:space="preserve"> Des </w:t>
      </w:r>
      <w:proofErr w:type="spellStart"/>
      <w:r w:rsidRPr="005C4EB4">
        <w:rPr>
          <w:rFonts w:ascii="Arial" w:hAnsi="Arial" w:cs="Arial"/>
          <w:sz w:val="24"/>
          <w:szCs w:val="24"/>
        </w:rPr>
        <w:t>Engleis</w:t>
      </w:r>
      <w:proofErr w:type="spellEnd"/>
      <w:r w:rsidRPr="005C4EB4">
        <w:rPr>
          <w:rFonts w:ascii="Arial" w:hAnsi="Arial" w:cs="Arial"/>
          <w:sz w:val="24"/>
          <w:szCs w:val="24"/>
        </w:rPr>
        <w:t>. Anglo-Norman Text Society.</w:t>
      </w:r>
    </w:p>
    <w:p w14:paraId="54326AFF" w14:textId="77777777" w:rsidR="00F92A8D" w:rsidRPr="005C4EB4" w:rsidRDefault="00F92A8D" w:rsidP="00F92A8D">
      <w:pPr>
        <w:spacing w:line="360" w:lineRule="auto"/>
        <w:rPr>
          <w:rFonts w:ascii="Arial" w:hAnsi="Arial" w:cs="Arial"/>
          <w:sz w:val="24"/>
          <w:szCs w:val="24"/>
        </w:rPr>
      </w:pPr>
      <w:proofErr w:type="spellStart"/>
      <w:r w:rsidRPr="005C4EB4">
        <w:rPr>
          <w:rFonts w:ascii="Arial" w:hAnsi="Arial" w:cs="Arial"/>
          <w:sz w:val="24"/>
          <w:szCs w:val="24"/>
        </w:rPr>
        <w:t>Coser</w:t>
      </w:r>
      <w:proofErr w:type="spellEnd"/>
      <w:r w:rsidRPr="005C4EB4">
        <w:rPr>
          <w:rFonts w:ascii="Arial" w:hAnsi="Arial" w:cs="Arial"/>
          <w:sz w:val="24"/>
          <w:szCs w:val="24"/>
        </w:rPr>
        <w:t xml:space="preserve"> </w:t>
      </w:r>
      <w:r w:rsidRPr="005C4EB4">
        <w:rPr>
          <w:rFonts w:ascii="Arial" w:hAnsi="Arial" w:cs="Arial"/>
          <w:sz w:val="24"/>
          <w:szCs w:val="24"/>
          <w:shd w:val="clear" w:color="auto" w:fill="FFFFFF"/>
        </w:rPr>
        <w:t>On Collective Memory (Heritage of Sociology Series) Paperback – 1 Sept. </w:t>
      </w:r>
      <w:r w:rsidRPr="005C4EB4">
        <w:rPr>
          <w:rStyle w:val="Strong"/>
          <w:rFonts w:ascii="Arial" w:hAnsi="Arial" w:cs="Arial"/>
          <w:b w:val="0"/>
          <w:bCs w:val="0"/>
          <w:sz w:val="24"/>
          <w:szCs w:val="24"/>
          <w:shd w:val="clear" w:color="auto" w:fill="FFFFFF"/>
        </w:rPr>
        <w:t>1992</w:t>
      </w:r>
      <w:r w:rsidRPr="005C4EB4">
        <w:rPr>
          <w:rFonts w:ascii="Arial" w:hAnsi="Arial" w:cs="Arial"/>
          <w:sz w:val="24"/>
          <w:szCs w:val="24"/>
          <w:shd w:val="clear" w:color="auto" w:fill="FFFFFF"/>
        </w:rPr>
        <w:t> by Maurice </w:t>
      </w:r>
      <w:proofErr w:type="spellStart"/>
      <w:r w:rsidRPr="005C4EB4">
        <w:rPr>
          <w:rStyle w:val="Strong"/>
          <w:rFonts w:ascii="Arial" w:hAnsi="Arial" w:cs="Arial"/>
          <w:b w:val="0"/>
          <w:bCs w:val="0"/>
          <w:sz w:val="24"/>
          <w:szCs w:val="24"/>
          <w:shd w:val="clear" w:color="auto" w:fill="FFFFFF"/>
        </w:rPr>
        <w:t>Halbwachs</w:t>
      </w:r>
      <w:proofErr w:type="spellEnd"/>
      <w:r w:rsidRPr="005C4EB4">
        <w:rPr>
          <w:rFonts w:ascii="Arial" w:hAnsi="Arial" w:cs="Arial"/>
          <w:sz w:val="24"/>
          <w:szCs w:val="24"/>
          <w:shd w:val="clear" w:color="auto" w:fill="FFFFFF"/>
        </w:rPr>
        <w:t xml:space="preserve"> (Author), Lewis A. </w:t>
      </w:r>
      <w:proofErr w:type="spellStart"/>
      <w:r w:rsidRPr="005C4EB4">
        <w:rPr>
          <w:rFonts w:ascii="Arial" w:hAnsi="Arial" w:cs="Arial"/>
          <w:sz w:val="24"/>
          <w:szCs w:val="24"/>
          <w:shd w:val="clear" w:color="auto" w:fill="FFFFFF"/>
        </w:rPr>
        <w:t>Coser</w:t>
      </w:r>
      <w:proofErr w:type="spellEnd"/>
      <w:r w:rsidRPr="005C4EB4">
        <w:rPr>
          <w:rFonts w:ascii="Arial" w:hAnsi="Arial" w:cs="Arial"/>
          <w:sz w:val="24"/>
          <w:szCs w:val="24"/>
          <w:shd w:val="clear" w:color="auto" w:fill="FFFFFF"/>
        </w:rPr>
        <w:t xml:space="preserve"> (Translator) </w:t>
      </w:r>
      <w:r w:rsidRPr="005C4EB4">
        <w:rPr>
          <w:rFonts w:ascii="Arial" w:hAnsi="Arial" w:cs="Arial"/>
          <w:sz w:val="24"/>
          <w:szCs w:val="24"/>
          <w:bdr w:val="none" w:sz="0" w:space="0" w:color="auto" w:frame="1"/>
          <w:shd w:val="clear" w:color="auto" w:fill="FFFFFF"/>
        </w:rPr>
        <w:t>University of Chicago Press, 1992</w:t>
      </w:r>
    </w:p>
    <w:p w14:paraId="2D3FA968"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r w:rsidRPr="005C4EB4">
        <w:rPr>
          <w:rFonts w:ascii="Arial" w:hAnsi="Arial" w:cs="Arial"/>
          <w:sz w:val="24"/>
          <w:szCs w:val="24"/>
        </w:rPr>
        <w:t xml:space="preserve">Greenway, D (2002) Henry of </w:t>
      </w:r>
      <w:proofErr w:type="spellStart"/>
      <w:r w:rsidRPr="005C4EB4">
        <w:rPr>
          <w:rFonts w:ascii="Arial" w:hAnsi="Arial" w:cs="Arial"/>
          <w:sz w:val="24"/>
          <w:szCs w:val="24"/>
        </w:rPr>
        <w:t>Hintindon</w:t>
      </w:r>
      <w:proofErr w:type="spellEnd"/>
      <w:r w:rsidRPr="005C4EB4">
        <w:rPr>
          <w:rFonts w:ascii="Arial" w:hAnsi="Arial" w:cs="Arial"/>
          <w:sz w:val="24"/>
          <w:szCs w:val="24"/>
        </w:rPr>
        <w:t xml:space="preserve">: The </w:t>
      </w:r>
      <w:proofErr w:type="spellStart"/>
      <w:r w:rsidRPr="005C4EB4">
        <w:rPr>
          <w:rFonts w:ascii="Arial" w:hAnsi="Arial" w:cs="Arial"/>
          <w:sz w:val="24"/>
          <w:szCs w:val="24"/>
        </w:rPr>
        <w:t>Hostory</w:t>
      </w:r>
      <w:proofErr w:type="spellEnd"/>
      <w:r w:rsidRPr="005C4EB4">
        <w:rPr>
          <w:rFonts w:ascii="Arial" w:hAnsi="Arial" w:cs="Arial"/>
          <w:sz w:val="24"/>
          <w:szCs w:val="24"/>
        </w:rPr>
        <w:t xml:space="preserve"> of \the English People 1000-1154. </w:t>
      </w:r>
    </w:p>
    <w:p w14:paraId="7E52BC6A"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r w:rsidRPr="005C4EB4">
        <w:rPr>
          <w:rFonts w:ascii="Arial" w:hAnsi="Arial" w:cs="Arial"/>
          <w:sz w:val="24"/>
          <w:szCs w:val="24"/>
        </w:rPr>
        <w:t>Oxford University Press.</w:t>
      </w:r>
    </w:p>
    <w:p w14:paraId="47133335"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46A0461B" w14:textId="77777777" w:rsidR="00F92A8D" w:rsidRPr="005C4EB4" w:rsidRDefault="00F92A8D" w:rsidP="00F92A8D">
      <w:pPr>
        <w:shd w:val="clear" w:color="auto" w:fill="FFFFFF"/>
        <w:spacing w:after="0" w:line="240" w:lineRule="auto"/>
        <w:textAlignment w:val="baseline"/>
        <w:rPr>
          <w:rFonts w:ascii="Arial" w:eastAsia="Times New Roman" w:hAnsi="Arial" w:cs="Arial"/>
          <w:spacing w:val="-5"/>
          <w:sz w:val="24"/>
          <w:szCs w:val="24"/>
        </w:rPr>
      </w:pPr>
      <w:r w:rsidRPr="005C4EB4">
        <w:rPr>
          <w:rFonts w:ascii="Arial" w:eastAsia="Times New Roman" w:hAnsi="Arial" w:cs="Arial"/>
          <w:spacing w:val="-5"/>
          <w:sz w:val="24"/>
          <w:szCs w:val="24"/>
        </w:rPr>
        <w:t xml:space="preserve">Georg G. </w:t>
      </w:r>
      <w:proofErr w:type="spellStart"/>
      <w:r w:rsidRPr="005C4EB4">
        <w:rPr>
          <w:rFonts w:ascii="Arial" w:eastAsia="Times New Roman" w:hAnsi="Arial" w:cs="Arial"/>
          <w:spacing w:val="-5"/>
          <w:sz w:val="24"/>
          <w:szCs w:val="24"/>
        </w:rPr>
        <w:t>Iggers</w:t>
      </w:r>
      <w:proofErr w:type="spellEnd"/>
    </w:p>
    <w:p w14:paraId="0DAE4916" w14:textId="77777777" w:rsidR="00F92A8D" w:rsidRPr="005C4EB4" w:rsidRDefault="00F92A8D" w:rsidP="00F92A8D">
      <w:pPr>
        <w:shd w:val="clear" w:color="auto" w:fill="FFFFFF"/>
        <w:spacing w:after="0" w:line="240" w:lineRule="auto"/>
        <w:textAlignment w:val="baseline"/>
        <w:rPr>
          <w:rFonts w:ascii="Arial" w:eastAsia="Times New Roman" w:hAnsi="Arial" w:cs="Arial"/>
          <w:spacing w:val="-5"/>
          <w:sz w:val="24"/>
          <w:szCs w:val="24"/>
        </w:rPr>
      </w:pPr>
      <w:r w:rsidRPr="005C4EB4">
        <w:rPr>
          <w:rFonts w:ascii="Arial" w:eastAsia="Times New Roman" w:hAnsi="Arial" w:cs="Arial"/>
          <w:spacing w:val="-5"/>
          <w:sz w:val="24"/>
          <w:szCs w:val="24"/>
        </w:rPr>
        <w:t>Journal of the History of Ideas</w:t>
      </w:r>
    </w:p>
    <w:p w14:paraId="72368B35" w14:textId="77777777" w:rsidR="00F92A8D" w:rsidRPr="005C4EB4" w:rsidRDefault="00F92A8D" w:rsidP="00F92A8D">
      <w:pPr>
        <w:shd w:val="clear" w:color="auto" w:fill="FFFFFF"/>
        <w:spacing w:after="0" w:line="240" w:lineRule="auto"/>
        <w:textAlignment w:val="baseline"/>
        <w:rPr>
          <w:rFonts w:ascii="Arial" w:eastAsia="Times New Roman" w:hAnsi="Arial" w:cs="Arial"/>
          <w:spacing w:val="-5"/>
          <w:sz w:val="24"/>
          <w:szCs w:val="24"/>
        </w:rPr>
      </w:pPr>
      <w:hyperlink r:id="rId4" w:tgtFrame="_blank" w:tooltip="Original URL: https://www.jstor.org/stable/i327319. Click or tap if you trust this link." w:history="1">
        <w:r w:rsidRPr="005C4EB4">
          <w:rPr>
            <w:rFonts w:ascii="Arial" w:eastAsia="Times New Roman" w:hAnsi="Arial" w:cs="Arial"/>
            <w:spacing w:val="-5"/>
            <w:sz w:val="24"/>
            <w:szCs w:val="24"/>
            <w:bdr w:val="none" w:sz="0" w:space="0" w:color="auto" w:frame="1"/>
          </w:rPr>
          <w:t>Vol. 56, No. 1 (</w:t>
        </w:r>
        <w:proofErr w:type="gramStart"/>
        <w:r w:rsidRPr="005C4EB4">
          <w:rPr>
            <w:rFonts w:ascii="Arial" w:eastAsia="Times New Roman" w:hAnsi="Arial" w:cs="Arial"/>
            <w:spacing w:val="-5"/>
            <w:sz w:val="24"/>
            <w:szCs w:val="24"/>
            <w:bdr w:val="none" w:sz="0" w:space="0" w:color="auto" w:frame="1"/>
          </w:rPr>
          <w:t>Jan.,</w:t>
        </w:r>
        <w:proofErr w:type="gramEnd"/>
        <w:r w:rsidRPr="005C4EB4">
          <w:rPr>
            <w:rFonts w:ascii="Arial" w:eastAsia="Times New Roman" w:hAnsi="Arial" w:cs="Arial"/>
            <w:spacing w:val="-5"/>
            <w:sz w:val="24"/>
            <w:szCs w:val="24"/>
            <w:bdr w:val="none" w:sz="0" w:space="0" w:color="auto" w:frame="1"/>
          </w:rPr>
          <w:t xml:space="preserve"> 1995)</w:t>
        </w:r>
      </w:hyperlink>
      <w:r w:rsidRPr="005C4EB4">
        <w:rPr>
          <w:rFonts w:ascii="Arial" w:eastAsia="Times New Roman" w:hAnsi="Arial" w:cs="Arial"/>
          <w:spacing w:val="-5"/>
          <w:sz w:val="24"/>
          <w:szCs w:val="24"/>
        </w:rPr>
        <w:t>, pp. 129-152 (24 pages)</w:t>
      </w:r>
    </w:p>
    <w:p w14:paraId="318775A1" w14:textId="77777777" w:rsidR="00F92A8D" w:rsidRPr="005C4EB4" w:rsidRDefault="00F92A8D" w:rsidP="00F92A8D">
      <w:pPr>
        <w:shd w:val="clear" w:color="auto" w:fill="FFFFFF"/>
        <w:spacing w:after="0" w:line="240" w:lineRule="auto"/>
        <w:textAlignment w:val="baseline"/>
        <w:rPr>
          <w:rFonts w:ascii="Arial" w:eastAsia="Times New Roman" w:hAnsi="Arial" w:cs="Arial"/>
          <w:spacing w:val="-5"/>
          <w:sz w:val="24"/>
          <w:szCs w:val="24"/>
        </w:rPr>
      </w:pPr>
      <w:r w:rsidRPr="005C4EB4">
        <w:rPr>
          <w:rFonts w:ascii="Arial" w:eastAsia="Times New Roman" w:hAnsi="Arial" w:cs="Arial"/>
          <w:spacing w:val="-5"/>
          <w:sz w:val="24"/>
          <w:szCs w:val="24"/>
        </w:rPr>
        <w:t>Published By: University of Pennsylvania Press</w:t>
      </w:r>
    </w:p>
    <w:p w14:paraId="34B86141"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2077C432"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2DAE73E1" w14:textId="77777777" w:rsidR="00F92A8D" w:rsidRPr="005C4EB4" w:rsidRDefault="00F92A8D" w:rsidP="00F92A8D">
      <w:pPr>
        <w:pStyle w:val="Heading3"/>
        <w:shd w:val="clear" w:color="auto" w:fill="F3F3F3"/>
        <w:spacing w:before="0" w:beforeAutospacing="0" w:after="0" w:afterAutospacing="0"/>
        <w:rPr>
          <w:rFonts w:ascii="Arial" w:hAnsi="Arial" w:cs="Arial"/>
          <w:b w:val="0"/>
          <w:bCs w:val="0"/>
          <w:sz w:val="24"/>
          <w:szCs w:val="24"/>
        </w:rPr>
      </w:pPr>
      <w:proofErr w:type="spellStart"/>
      <w:r w:rsidRPr="005C4EB4">
        <w:rPr>
          <w:rFonts w:ascii="Arial" w:hAnsi="Arial" w:cs="Arial"/>
          <w:b w:val="0"/>
          <w:bCs w:val="0"/>
          <w:sz w:val="24"/>
          <w:szCs w:val="24"/>
        </w:rPr>
        <w:t>Isreal</w:t>
      </w:r>
      <w:proofErr w:type="spellEnd"/>
      <w:r w:rsidRPr="005C4EB4">
        <w:rPr>
          <w:rFonts w:ascii="Arial" w:hAnsi="Arial" w:cs="Arial"/>
          <w:b w:val="0"/>
          <w:bCs w:val="0"/>
          <w:sz w:val="24"/>
          <w:szCs w:val="24"/>
        </w:rPr>
        <w:t xml:space="preserve">, J. </w:t>
      </w:r>
      <w:hyperlink r:id="rId5" w:history="1">
        <w:r w:rsidRPr="005C4EB4">
          <w:rPr>
            <w:rFonts w:ascii="Arial" w:hAnsi="Arial" w:cs="Arial"/>
            <w:b w:val="0"/>
            <w:bCs w:val="0"/>
            <w:sz w:val="24"/>
            <w:szCs w:val="24"/>
          </w:rPr>
          <w:t>Radical enlightenment : philosophy and the making of modernity, 1650-1750</w:t>
        </w:r>
      </w:hyperlink>
    </w:p>
    <w:p w14:paraId="18A03DAE" w14:textId="77777777" w:rsidR="00F92A8D" w:rsidRPr="005C4EB4" w:rsidRDefault="00F92A8D" w:rsidP="00F92A8D">
      <w:pPr>
        <w:shd w:val="clear" w:color="auto" w:fill="F3F3F3"/>
        <w:spacing w:after="0" w:line="336" w:lineRule="atLeast"/>
        <w:rPr>
          <w:rFonts w:ascii="Arial" w:eastAsia="Times New Roman" w:hAnsi="Arial" w:cs="Arial"/>
          <w:sz w:val="24"/>
          <w:szCs w:val="24"/>
        </w:rPr>
      </w:pPr>
      <w:r w:rsidRPr="005C4EB4">
        <w:rPr>
          <w:rFonts w:ascii="Arial" w:eastAsia="Times New Roman" w:hAnsi="Arial" w:cs="Arial"/>
          <w:sz w:val="24"/>
          <w:szCs w:val="24"/>
        </w:rPr>
        <w:t>Israel, Jonathan I</w:t>
      </w:r>
    </w:p>
    <w:p w14:paraId="566B05DD" w14:textId="77777777" w:rsidR="00F92A8D" w:rsidRPr="005C4EB4" w:rsidRDefault="00F92A8D" w:rsidP="00F92A8D">
      <w:pPr>
        <w:shd w:val="clear" w:color="auto" w:fill="F3F3F3"/>
        <w:spacing w:after="0" w:line="336" w:lineRule="atLeast"/>
        <w:rPr>
          <w:rFonts w:ascii="Arial" w:eastAsia="Times New Roman" w:hAnsi="Arial" w:cs="Arial"/>
          <w:sz w:val="24"/>
          <w:szCs w:val="24"/>
        </w:rPr>
      </w:pPr>
      <w:r w:rsidRPr="005C4EB4">
        <w:rPr>
          <w:rFonts w:ascii="Arial" w:eastAsia="Times New Roman" w:hAnsi="Arial" w:cs="Arial"/>
          <w:sz w:val="24"/>
          <w:szCs w:val="24"/>
        </w:rPr>
        <w:t>Oxford: Oxford University Press 2001</w:t>
      </w:r>
    </w:p>
    <w:p w14:paraId="62CCDE54"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687A1DB2" w14:textId="77777777" w:rsidR="00F92A8D" w:rsidRPr="005C4EB4" w:rsidRDefault="00F92A8D" w:rsidP="00F92A8D">
      <w:pPr>
        <w:pStyle w:val="Heading1"/>
        <w:shd w:val="clear" w:color="auto" w:fill="FFFFFF"/>
        <w:spacing w:before="0" w:line="540" w:lineRule="atLeast"/>
        <w:rPr>
          <w:rFonts w:ascii="Arial" w:hAnsi="Arial" w:cs="Arial"/>
          <w:color w:val="auto"/>
          <w:sz w:val="24"/>
          <w:szCs w:val="24"/>
        </w:rPr>
      </w:pPr>
      <w:r w:rsidRPr="005C4EB4">
        <w:rPr>
          <w:rStyle w:val="a-size-extra-large"/>
          <w:rFonts w:ascii="Arial" w:hAnsi="Arial" w:cs="Arial"/>
          <w:color w:val="auto"/>
          <w:sz w:val="24"/>
          <w:szCs w:val="24"/>
        </w:rPr>
        <w:t>The Rise of English Nationalism </w:t>
      </w:r>
      <w:r w:rsidRPr="005C4EB4">
        <w:rPr>
          <w:rStyle w:val="a-size-large"/>
          <w:rFonts w:ascii="Arial" w:hAnsi="Arial" w:cs="Arial"/>
          <w:color w:val="auto"/>
          <w:sz w:val="24"/>
          <w:szCs w:val="24"/>
        </w:rPr>
        <w:t>Hardcover 1987</w:t>
      </w:r>
    </w:p>
    <w:p w14:paraId="2FD2260F" w14:textId="77777777" w:rsidR="00F92A8D" w:rsidRPr="005C4EB4" w:rsidRDefault="00F92A8D" w:rsidP="00F92A8D">
      <w:pPr>
        <w:shd w:val="clear" w:color="auto" w:fill="FFFFFF"/>
        <w:rPr>
          <w:rFonts w:ascii="Arial" w:hAnsi="Arial" w:cs="Arial"/>
          <w:sz w:val="24"/>
          <w:szCs w:val="24"/>
          <w:shd w:val="clear" w:color="auto" w:fill="FFFFFF"/>
        </w:rPr>
      </w:pPr>
      <w:r w:rsidRPr="005C4EB4">
        <w:rPr>
          <w:rFonts w:ascii="Arial" w:hAnsi="Arial" w:cs="Arial"/>
          <w:sz w:val="24"/>
          <w:szCs w:val="24"/>
        </w:rPr>
        <w:t>by </w:t>
      </w:r>
      <w:hyperlink r:id="rId6" w:history="1">
        <w:r w:rsidRPr="005C4EB4">
          <w:rPr>
            <w:rStyle w:val="Hyperlink"/>
            <w:rFonts w:ascii="Arial" w:hAnsi="Arial" w:cs="Arial"/>
            <w:color w:val="auto"/>
            <w:sz w:val="24"/>
            <w:szCs w:val="24"/>
            <w:u w:val="none"/>
          </w:rPr>
          <w:t>Gerald Newman</w:t>
        </w:r>
      </w:hyperlink>
      <w:r w:rsidRPr="005C4EB4">
        <w:rPr>
          <w:rStyle w:val="author"/>
          <w:rFonts w:ascii="Arial" w:hAnsi="Arial" w:cs="Arial"/>
          <w:sz w:val="24"/>
          <w:szCs w:val="24"/>
        </w:rPr>
        <w:t xml:space="preserve"> </w:t>
      </w:r>
      <w:r w:rsidRPr="005C4EB4">
        <w:rPr>
          <w:rFonts w:ascii="Arial" w:hAnsi="Arial" w:cs="Arial"/>
          <w:sz w:val="24"/>
          <w:szCs w:val="24"/>
          <w:shd w:val="clear" w:color="auto" w:fill="FFFFFF"/>
        </w:rPr>
        <w:t>Weidenfeld &amp; Nicolson</w:t>
      </w:r>
    </w:p>
    <w:p w14:paraId="2C0AD29C" w14:textId="77777777" w:rsidR="00F92A8D" w:rsidRPr="005C4EB4" w:rsidRDefault="00F92A8D" w:rsidP="00F92A8D">
      <w:pPr>
        <w:shd w:val="clear" w:color="auto" w:fill="FFFFFF"/>
        <w:rPr>
          <w:rFonts w:ascii="Arial" w:hAnsi="Arial" w:cs="Arial"/>
          <w:sz w:val="24"/>
          <w:szCs w:val="24"/>
          <w:shd w:val="clear" w:color="auto" w:fill="FFFFFF"/>
        </w:rPr>
      </w:pPr>
    </w:p>
    <w:p w14:paraId="363E7740" w14:textId="77777777" w:rsidR="00F92A8D" w:rsidRPr="005C4EB4" w:rsidRDefault="00F92A8D" w:rsidP="00F92A8D">
      <w:pPr>
        <w:shd w:val="clear" w:color="auto" w:fill="FFFFFF"/>
        <w:rPr>
          <w:rFonts w:ascii="Arial" w:hAnsi="Arial" w:cs="Arial"/>
          <w:sz w:val="24"/>
          <w:szCs w:val="24"/>
        </w:rPr>
      </w:pPr>
      <w:r w:rsidRPr="005C4EB4">
        <w:rPr>
          <w:rFonts w:ascii="Arial" w:hAnsi="Arial" w:cs="Arial"/>
          <w:sz w:val="24"/>
          <w:szCs w:val="24"/>
          <w:shd w:val="clear" w:color="auto" w:fill="FFFFFF"/>
        </w:rPr>
        <w:t>O’ Brain, K. (1997) The Narratives of Enlightenment. Cambridge University Press.</w:t>
      </w:r>
    </w:p>
    <w:p w14:paraId="15719E28"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42CD1815" w14:textId="77777777" w:rsidR="00F92A8D" w:rsidRPr="005C4EB4" w:rsidRDefault="00F92A8D" w:rsidP="00F92A8D">
      <w:pPr>
        <w:shd w:val="clear" w:color="auto" w:fill="FFFFFF"/>
        <w:spacing w:after="0" w:line="240" w:lineRule="auto"/>
        <w:textAlignment w:val="baseline"/>
        <w:rPr>
          <w:rFonts w:ascii="Arial" w:hAnsi="Arial" w:cs="Arial"/>
          <w:sz w:val="24"/>
          <w:szCs w:val="24"/>
        </w:rPr>
      </w:pPr>
    </w:p>
    <w:p w14:paraId="5121B645" w14:textId="77777777" w:rsidR="00F92A8D" w:rsidRPr="005C4EB4" w:rsidRDefault="00F92A8D" w:rsidP="00F92A8D">
      <w:pPr>
        <w:shd w:val="clear" w:color="auto" w:fill="FFFFFF"/>
        <w:spacing w:after="0" w:line="240" w:lineRule="auto"/>
        <w:textAlignment w:val="baseline"/>
        <w:rPr>
          <w:rFonts w:ascii="Arial" w:eastAsia="Times New Roman" w:hAnsi="Arial" w:cs="Arial"/>
          <w:sz w:val="24"/>
          <w:szCs w:val="24"/>
        </w:rPr>
      </w:pPr>
      <w:r w:rsidRPr="005C4EB4">
        <w:rPr>
          <w:rFonts w:ascii="Arial" w:eastAsia="Times New Roman" w:hAnsi="Arial" w:cs="Arial"/>
          <w:sz w:val="24"/>
          <w:szCs w:val="24"/>
        </w:rPr>
        <w:t>Rodney, H. (2010) Understanding the Politics of Heritage, United </w:t>
      </w:r>
    </w:p>
    <w:p w14:paraId="155A4A56" w14:textId="77777777" w:rsidR="00F92A8D" w:rsidRPr="005C4EB4" w:rsidRDefault="00F92A8D" w:rsidP="00F92A8D">
      <w:pPr>
        <w:shd w:val="clear" w:color="auto" w:fill="FFFFFF"/>
        <w:spacing w:after="0" w:line="240" w:lineRule="auto"/>
        <w:textAlignment w:val="baseline"/>
        <w:rPr>
          <w:rFonts w:ascii="Arial" w:eastAsia="Times New Roman" w:hAnsi="Arial" w:cs="Arial"/>
          <w:sz w:val="24"/>
          <w:szCs w:val="24"/>
        </w:rPr>
      </w:pPr>
      <w:r w:rsidRPr="005C4EB4">
        <w:rPr>
          <w:rFonts w:ascii="Arial" w:eastAsia="Times New Roman" w:hAnsi="Arial" w:cs="Arial"/>
          <w:sz w:val="24"/>
          <w:szCs w:val="24"/>
        </w:rPr>
        <w:t>Kingdom: The Open University.</w:t>
      </w:r>
    </w:p>
    <w:p w14:paraId="43E293D8" w14:textId="77777777" w:rsidR="00F92A8D" w:rsidRPr="005C4EB4" w:rsidRDefault="00F92A8D" w:rsidP="00F92A8D">
      <w:pPr>
        <w:spacing w:line="360" w:lineRule="auto"/>
        <w:rPr>
          <w:rFonts w:ascii="Arial" w:hAnsi="Arial" w:cs="Arial"/>
          <w:sz w:val="24"/>
          <w:szCs w:val="24"/>
        </w:rPr>
      </w:pPr>
    </w:p>
    <w:p w14:paraId="664E8DB3" w14:textId="77777777" w:rsidR="00F92A8D" w:rsidRPr="005C4EB4" w:rsidRDefault="00F92A8D" w:rsidP="00F92A8D">
      <w:pPr>
        <w:spacing w:line="360" w:lineRule="auto"/>
        <w:rPr>
          <w:rFonts w:ascii="Arial" w:hAnsi="Arial" w:cs="Arial"/>
          <w:sz w:val="24"/>
          <w:szCs w:val="24"/>
        </w:rPr>
      </w:pPr>
      <w:r w:rsidRPr="005C4EB4">
        <w:rPr>
          <w:rFonts w:ascii="Arial" w:hAnsi="Arial" w:cs="Arial"/>
          <w:sz w:val="24"/>
          <w:szCs w:val="24"/>
        </w:rPr>
        <w:t xml:space="preserve">Smith, l. (2006) Uses of Heritage. </w:t>
      </w:r>
      <w:proofErr w:type="spellStart"/>
      <w:r w:rsidRPr="005C4EB4">
        <w:rPr>
          <w:rFonts w:ascii="Arial" w:hAnsi="Arial" w:cs="Arial"/>
          <w:sz w:val="24"/>
          <w:szCs w:val="24"/>
        </w:rPr>
        <w:t>Routlege</w:t>
      </w:r>
      <w:proofErr w:type="spellEnd"/>
      <w:r w:rsidRPr="005C4EB4">
        <w:rPr>
          <w:rFonts w:ascii="Arial" w:hAnsi="Arial" w:cs="Arial"/>
          <w:sz w:val="24"/>
          <w:szCs w:val="24"/>
        </w:rPr>
        <w:t>.</w:t>
      </w:r>
    </w:p>
    <w:p w14:paraId="6E9EE9C3" w14:textId="77777777" w:rsidR="00F92A8D" w:rsidRPr="005C4EB4" w:rsidRDefault="00F92A8D" w:rsidP="00F92A8D">
      <w:pPr>
        <w:spacing w:line="360" w:lineRule="auto"/>
        <w:rPr>
          <w:rFonts w:ascii="Arial" w:hAnsi="Arial" w:cs="Arial"/>
          <w:sz w:val="24"/>
          <w:szCs w:val="24"/>
        </w:rPr>
      </w:pPr>
      <w:r w:rsidRPr="005C4EB4">
        <w:rPr>
          <w:rFonts w:ascii="Arial" w:hAnsi="Arial" w:cs="Arial"/>
          <w:sz w:val="24"/>
          <w:szCs w:val="24"/>
        </w:rPr>
        <w:t>Stanley, E. G. (1996) Continuations and Beginnings. Nelson.</w:t>
      </w:r>
    </w:p>
    <w:p w14:paraId="617AC098" w14:textId="77777777" w:rsidR="00F92A8D" w:rsidRPr="005C4EB4" w:rsidRDefault="00F92A8D" w:rsidP="00F92A8D">
      <w:pPr>
        <w:spacing w:line="360" w:lineRule="auto"/>
        <w:rPr>
          <w:rFonts w:ascii="Arial" w:hAnsi="Arial" w:cs="Arial"/>
          <w:sz w:val="24"/>
          <w:szCs w:val="24"/>
        </w:rPr>
      </w:pPr>
      <w:r w:rsidRPr="005C4EB4">
        <w:rPr>
          <w:rFonts w:ascii="Arial" w:hAnsi="Arial" w:cs="Arial"/>
          <w:sz w:val="24"/>
          <w:szCs w:val="24"/>
        </w:rPr>
        <w:t xml:space="preserve">Swanton, M. (2000) The </w:t>
      </w:r>
      <w:proofErr w:type="gramStart"/>
      <w:r w:rsidRPr="005C4EB4">
        <w:rPr>
          <w:rFonts w:ascii="Arial" w:hAnsi="Arial" w:cs="Arial"/>
          <w:sz w:val="24"/>
          <w:szCs w:val="24"/>
        </w:rPr>
        <w:t>Anglo Saxon</w:t>
      </w:r>
      <w:proofErr w:type="gramEnd"/>
      <w:r w:rsidRPr="005C4EB4">
        <w:rPr>
          <w:rFonts w:ascii="Arial" w:hAnsi="Arial" w:cs="Arial"/>
          <w:sz w:val="24"/>
          <w:szCs w:val="24"/>
        </w:rPr>
        <w:t xml:space="preserve"> Chronicles, New edition. Phoenix Press. </w:t>
      </w:r>
    </w:p>
    <w:p w14:paraId="3D3B70A5" w14:textId="77777777" w:rsidR="00F92A8D" w:rsidRPr="005C4EB4" w:rsidRDefault="00F92A8D" w:rsidP="00F92A8D">
      <w:pPr>
        <w:spacing w:line="360" w:lineRule="auto"/>
        <w:rPr>
          <w:rFonts w:ascii="Arial" w:hAnsi="Arial" w:cs="Arial"/>
          <w:sz w:val="24"/>
          <w:szCs w:val="24"/>
        </w:rPr>
      </w:pPr>
      <w:proofErr w:type="spellStart"/>
      <w:r w:rsidRPr="005C4EB4">
        <w:rPr>
          <w:rFonts w:ascii="Arial" w:hAnsi="Arial" w:cs="Arial"/>
          <w:sz w:val="24"/>
          <w:szCs w:val="24"/>
        </w:rPr>
        <w:t>Urry</w:t>
      </w:r>
      <w:proofErr w:type="spellEnd"/>
      <w:r w:rsidRPr="005C4EB4">
        <w:rPr>
          <w:rFonts w:ascii="Arial" w:hAnsi="Arial" w:cs="Arial"/>
          <w:sz w:val="24"/>
          <w:szCs w:val="24"/>
        </w:rPr>
        <w:t>, J. (1990) The Tourist Gaze, London: Sage.</w:t>
      </w:r>
    </w:p>
    <w:p w14:paraId="2C5D3339" w14:textId="77777777" w:rsidR="00F92A8D" w:rsidRDefault="00F92A8D" w:rsidP="00F92A8D">
      <w:pPr>
        <w:spacing w:line="360" w:lineRule="auto"/>
        <w:rPr>
          <w:rFonts w:ascii="Helvetica" w:hAnsi="Helvetica" w:cs="Helvetica"/>
          <w:color w:val="666666"/>
          <w:sz w:val="20"/>
          <w:szCs w:val="20"/>
          <w:shd w:val="clear" w:color="auto" w:fill="FFFFFF"/>
        </w:rPr>
      </w:pPr>
      <w:proofErr w:type="spellStart"/>
      <w:r w:rsidRPr="005C4EB4">
        <w:rPr>
          <w:rFonts w:ascii="Arial" w:hAnsi="Arial" w:cs="Arial"/>
          <w:sz w:val="24"/>
          <w:szCs w:val="24"/>
          <w:bdr w:val="none" w:sz="0" w:space="0" w:color="auto" w:frame="1"/>
          <w:shd w:val="clear" w:color="auto" w:fill="FFFFFF"/>
        </w:rPr>
        <w:t>Vlib</w:t>
      </w:r>
      <w:proofErr w:type="spellEnd"/>
      <w:r w:rsidRPr="005C4EB4">
        <w:rPr>
          <w:rFonts w:ascii="Arial" w:hAnsi="Arial" w:cs="Arial"/>
          <w:sz w:val="24"/>
          <w:szCs w:val="24"/>
          <w:bdr w:val="none" w:sz="0" w:space="0" w:color="auto" w:frame="1"/>
          <w:shd w:val="clear" w:color="auto" w:fill="FFFFFF"/>
        </w:rPr>
        <w:t xml:space="preserve"> (2020) Accessed online 7.12.20 http://www.vlib.us/medieval/lectures/universities.html</w:t>
      </w:r>
    </w:p>
    <w:p w14:paraId="7244DAE4" w14:textId="77777777" w:rsidR="00F92A8D" w:rsidRDefault="00F92A8D" w:rsidP="00F92A8D"/>
    <w:sectPr w:rsidR="00F92A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A8D"/>
    <w:rsid w:val="00263C70"/>
    <w:rsid w:val="0053443D"/>
    <w:rsid w:val="00B213E9"/>
    <w:rsid w:val="00F9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82961"/>
  <w15:chartTrackingRefBased/>
  <w15:docId w15:val="{AF986EAC-6C6A-450A-807A-04A0B65B3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A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92A8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A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92A8D"/>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F92A8D"/>
    <w:rPr>
      <w:color w:val="0000FF"/>
      <w:u w:val="single"/>
    </w:rPr>
  </w:style>
  <w:style w:type="character" w:styleId="Strong">
    <w:name w:val="Strong"/>
    <w:basedOn w:val="DefaultParagraphFont"/>
    <w:uiPriority w:val="22"/>
    <w:qFormat/>
    <w:rsid w:val="00F92A8D"/>
    <w:rPr>
      <w:b/>
      <w:bCs/>
    </w:rPr>
  </w:style>
  <w:style w:type="character" w:customStyle="1" w:styleId="a-size-extra-large">
    <w:name w:val="a-size-extra-large"/>
    <w:basedOn w:val="DefaultParagraphFont"/>
    <w:rsid w:val="00F92A8D"/>
  </w:style>
  <w:style w:type="character" w:customStyle="1" w:styleId="a-size-large">
    <w:name w:val="a-size-large"/>
    <w:basedOn w:val="DefaultParagraphFont"/>
    <w:rsid w:val="00F92A8D"/>
  </w:style>
  <w:style w:type="character" w:customStyle="1" w:styleId="author">
    <w:name w:val="author"/>
    <w:basedOn w:val="DefaultParagraphFont"/>
    <w:rsid w:val="00F9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mazon.co.uk/s/ref=dp_byline_sr_book_1?ie=UTF8&amp;field-author=Gerald+Newman&amp;text=Gerald+Newman&amp;sort=relevancerank&amp;search-alias=books-uk" TargetMode="External"/><Relationship Id="rId5" Type="http://schemas.openxmlformats.org/officeDocument/2006/relationships/hyperlink" Target="https://whel-primo.hosted.exlibrisgroup.com/primo-explore/fulldisplay?docid=TN_cdi_chadwyckhealey_abell_R04151254&amp;context=PC&amp;vid=44WHELF_UWTSD_VU1&amp;lang=en_US&amp;search_scope=CSCOP_EVERYTHING&amp;adaptor=primo_central_multiple_fe&amp;tab=tab1&amp;query=any,contains,the%20philosophy%20of%20enlightenment&amp;offset=0" TargetMode="External"/><Relationship Id="rId4" Type="http://schemas.openxmlformats.org/officeDocument/2006/relationships/hyperlink" Target="https://eur01.safelinks.protection.outlook.com/?url=https%3A%2F%2Fwww.jstor.org%2Fstable%2Fi327319&amp;data=04%7C01%7C%7Cf5d415671345473b4cd408d89ae9f974%7C4e0f11f9046e45059cb8db2152311e21%7C0%7C0%7C637429676984436687%7CUnknown%7CTWFpbGZsb3d8eyJWIjoiMC4wLjAwMDAiLCJQIjoiV2luMzIiLCJBTiI6Ik1haWwiLCJXVCI6Mn0%3D%7C1000&amp;sdata=dS0BxilSOiu5TT68iLkDedVpnRvSAMXwoxVUz1rWgW4%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1617</Words>
  <Characters>9222</Characters>
  <Application>Microsoft Office Word</Application>
  <DocSecurity>0</DocSecurity>
  <Lines>76</Lines>
  <Paragraphs>21</Paragraphs>
  <ScaleCrop>false</ScaleCrop>
  <Company/>
  <LinksUpToDate>false</LinksUpToDate>
  <CharactersWithSpaces>10818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Angharad Craig (P148404)</dc:creator>
  <cp:keywords/>
  <dc:description/>
  <cp:lastModifiedBy>Nerys Angharad Craig (P148404)</cp:lastModifiedBy>
  <cp:revision>4</cp:revision>
  <dcterms:created xsi:type="dcterms:W3CDTF">2020-12-08T08:39:00Z</dcterms:created>
  <dcterms:modified xsi:type="dcterms:W3CDTF">2020-12-08T08:50:00Z</dcterms:modified>
</cp:coreProperties>
</file>