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00C5D638" w14:textId="0368D155" w:rsidR="009E2166" w:rsidRDefault="009E2166" w:rsidP="009E2166">
      <w:pPr>
        <w:jc w:val="center"/>
        <w:rPr>
          <w:color w:val="FF0000"/>
        </w:rPr>
      </w:pPr>
      <w:r>
        <w:rPr>
          <w:color w:val="FF0000"/>
          <w:sz w:val="52"/>
          <w:szCs w:val="52"/>
        </w:rPr>
        <w:t>Davlatsho &amp; Co Demolitions Limited</w:t>
      </w:r>
    </w:p>
    <w:p w14:paraId="67334E11" w14:textId="3646D81D" w:rsidR="009E2166" w:rsidRDefault="009E2166">
      <w:pPr>
        <w:rPr>
          <w:color w:val="FF0000"/>
        </w:rPr>
      </w:pPr>
    </w:p>
    <w:p w14:paraId="43F75AF2" w14:textId="77777777" w:rsidR="00255882" w:rsidRPr="009E2166" w:rsidRDefault="00255882" w:rsidP="009E2166">
      <w:pPr>
        <w:jc w:val="center"/>
        <w:rPr>
          <w:color w:val="FF0000"/>
        </w:rPr>
      </w:pPr>
    </w:p>
    <w:p w14:paraId="0DEB7E49" w14:textId="77777777" w:rsidR="009E2166" w:rsidRDefault="009E2166">
      <w:pPr>
        <w:rPr>
          <w:b/>
          <w:bCs/>
          <w:sz w:val="24"/>
          <w:szCs w:val="24"/>
        </w:rPr>
      </w:pPr>
    </w:p>
    <w:p w14:paraId="4034F554" w14:textId="77777777" w:rsidR="009E2166" w:rsidRDefault="009E2166">
      <w:pPr>
        <w:rPr>
          <w:b/>
          <w:bCs/>
          <w:sz w:val="24"/>
          <w:szCs w:val="24"/>
        </w:rPr>
      </w:pPr>
    </w:p>
    <w:p w14:paraId="05681903" w14:textId="77777777" w:rsidR="009E2166" w:rsidRDefault="009E2166">
      <w:pPr>
        <w:rPr>
          <w:b/>
          <w:bCs/>
          <w:sz w:val="24"/>
          <w:szCs w:val="24"/>
        </w:rPr>
      </w:pPr>
    </w:p>
    <w:p w14:paraId="249B25E2" w14:textId="77777777" w:rsidR="009E2166" w:rsidRDefault="009E2166">
      <w:pPr>
        <w:rPr>
          <w:b/>
          <w:bCs/>
          <w:sz w:val="24"/>
          <w:szCs w:val="24"/>
        </w:rPr>
      </w:pPr>
    </w:p>
    <w:p w14:paraId="489AAF17" w14:textId="77777777" w:rsidR="009E2166" w:rsidRDefault="009E2166">
      <w:pPr>
        <w:rPr>
          <w:b/>
          <w:bCs/>
          <w:sz w:val="24"/>
          <w:szCs w:val="24"/>
        </w:rPr>
      </w:pPr>
    </w:p>
    <w:p w14:paraId="2338B875" w14:textId="77777777" w:rsidR="009E2166" w:rsidRDefault="009E2166">
      <w:pPr>
        <w:rPr>
          <w:b/>
          <w:bCs/>
          <w:sz w:val="24"/>
          <w:szCs w:val="24"/>
        </w:rPr>
      </w:pPr>
    </w:p>
    <w:p w14:paraId="41C350AF" w14:textId="77777777" w:rsidR="009E2166" w:rsidRDefault="009E2166">
      <w:pPr>
        <w:rPr>
          <w:b/>
          <w:bCs/>
          <w:sz w:val="24"/>
          <w:szCs w:val="24"/>
        </w:rPr>
      </w:pPr>
    </w:p>
    <w:p w14:paraId="47C43F9D" w14:textId="77777777" w:rsidR="009E2166" w:rsidRDefault="009E2166">
      <w:pPr>
        <w:rPr>
          <w:b/>
          <w:bCs/>
          <w:sz w:val="24"/>
          <w:szCs w:val="24"/>
        </w:rPr>
      </w:pPr>
    </w:p>
    <w:p w14:paraId="1A043CA3" w14:textId="77777777" w:rsidR="009E2166" w:rsidRDefault="009E2166">
      <w:pPr>
        <w:rPr>
          <w:b/>
          <w:bCs/>
          <w:sz w:val="24"/>
          <w:szCs w:val="24"/>
        </w:rPr>
      </w:pPr>
    </w:p>
    <w:p w14:paraId="4CCC4AEB" w14:textId="77777777" w:rsidR="009E2166" w:rsidRDefault="009E2166">
      <w:pPr>
        <w:rPr>
          <w:b/>
          <w:bCs/>
          <w:sz w:val="24"/>
          <w:szCs w:val="24"/>
        </w:rPr>
      </w:pPr>
    </w:p>
    <w:p w14:paraId="75CB113F" w14:textId="77777777" w:rsidR="009E2166" w:rsidRDefault="009E2166">
      <w:pPr>
        <w:rPr>
          <w:b/>
          <w:bCs/>
          <w:sz w:val="24"/>
          <w:szCs w:val="24"/>
        </w:rPr>
      </w:pPr>
    </w:p>
    <w:p w14:paraId="685BE1E8" w14:textId="0A61A609" w:rsidR="00255882" w:rsidRPr="009C3866" w:rsidRDefault="006F113F">
      <w:pPr>
        <w:rPr>
          <w:b/>
          <w:bCs/>
          <w:sz w:val="24"/>
          <w:szCs w:val="24"/>
        </w:rPr>
      </w:pPr>
      <w:r>
        <w:rPr>
          <w:b/>
          <w:bCs/>
          <w:sz w:val="24"/>
          <w:szCs w:val="24"/>
        </w:rPr>
        <w:t>Submission Date:</w:t>
      </w:r>
    </w:p>
    <w:p w14:paraId="47F61311" w14:textId="0C1140C5" w:rsidR="00524D77" w:rsidRDefault="009C3866">
      <w:pPr>
        <w:rPr>
          <w:sz w:val="40"/>
          <w:szCs w:val="40"/>
        </w:rPr>
      </w:pPr>
      <w:r>
        <w:rPr>
          <w:b/>
          <w:bCs/>
          <w:sz w:val="24"/>
          <w:szCs w:val="24"/>
        </w:rPr>
        <w:t>Lecturer:</w:t>
      </w: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4E2614F7" w14:textId="6CDDEDAD" w:rsidR="001C2708" w:rsidRPr="002E3CCA" w:rsidRDefault="004B3A79">
          <w:pPr>
            <w:pStyle w:val="TOC1"/>
            <w:tabs>
              <w:tab w:val="right" w:leader="dot" w:pos="9016"/>
            </w:tabs>
            <w:rPr>
              <w:rFonts w:asciiTheme="minorHAnsi" w:hAnsiTheme="minorHAnsi"/>
              <w:noProof/>
            </w:rPr>
          </w:pPr>
          <w:r>
            <w:fldChar w:fldCharType="begin"/>
            <w:instrText xml:space="preserve"> TOC \o "1-3" \h \z \u </w:instrText>
            <w:fldChar w:fldCharType="separate"/>
          </w:r>
          <w:hyperlink w:anchor="_Toc120719590" w:history="1">
            <w:r>
              <w:rPr>
                <w:rStyle w:val="Hyperlink"/>
                <w:noProof/>
              </w:rPr>
              <w:t>Group Information</w:t>
            </w:r>
            <w:r>
              <w:rPr>
                <w:noProof/>
                <w:webHidden/>
              </w:rPr>
              <w:tab/>
              <w:fldChar w:fldCharType="begin"/>
              <w:instrText xml:space="preserve"> PAGEREF _Toc120719590 \h </w:instrText>
              <w:fldChar w:fldCharType="separate"/>
              <w:t>2</w:t>
              <w:fldChar w:fldCharType="end"/>
            </w:r>
          </w:hyperlink>
        </w:p>
        <w:p w14:paraId="25FF3820" w14:textId="63700BA5" w:rsidR="001C2708" w:rsidRPr="002E3CCA" w:rsidRDefault="001C2708">
          <w:pPr>
            <w:pStyle w:val="TOC1"/>
            <w:tabs>
              <w:tab w:val="right" w:leader="dot" w:pos="9016"/>
            </w:tabs>
            <w:rPr>
              <w:rFonts w:asciiTheme="minorHAnsi" w:hAnsiTheme="minorHAnsi"/>
              <w:noProof/>
            </w:rPr>
          </w:pPr>
          <w:hyperlink w:anchor="_Toc120719591" w:history="1">
            <w:r>
              <w:rPr>
                <w:rStyle w:val="Hyperlink"/>
                <w:noProof/>
              </w:rPr>
              <w:t>Executive Summary</w:t>
            </w:r>
            <w:r>
              <w:rPr>
                <w:noProof/>
                <w:webHidden/>
              </w:rPr>
              <w:tab/>
              <w:fldChar w:fldCharType="begin"/>
              <w:instrText xml:space="preserve"> PAGEREF _Toc120719591 \h </w:instrText>
              <w:fldChar w:fldCharType="separate"/>
              <w:t>4</w:t>
              <w:fldChar w:fldCharType="end"/>
            </w:r>
          </w:hyperlink>
        </w:p>
        <w:p w14:paraId="4B18E8C9" w14:textId="6888E97F" w:rsidR="001C2708" w:rsidRPr="002E3CCA" w:rsidRDefault="001C2708">
          <w:pPr>
            <w:pStyle w:val="TOC1"/>
            <w:tabs>
              <w:tab w:val="right" w:leader="dot" w:pos="9016"/>
            </w:tabs>
            <w:rPr>
              <w:rFonts w:asciiTheme="minorHAnsi" w:hAnsiTheme="minorHAnsi"/>
              <w:noProof/>
            </w:rPr>
          </w:pPr>
          <w:hyperlink w:anchor="_Toc120719592" w:history="1">
            <w:r>
              <w:rPr>
                <w:rStyle w:val="Hyperlink"/>
                <w:noProof/>
              </w:rPr>
              <w:t>Business Concept</w:t>
            </w:r>
            <w:r>
              <w:rPr>
                <w:noProof/>
                <w:webHidden/>
              </w:rPr>
              <w:tab/>
              <w:fldChar w:fldCharType="begin"/>
              <w:instrText xml:space="preserve"> PAGEREF _Toc120719592 \h </w:instrText>
              <w:fldChar w:fldCharType="separate"/>
              <w:t>5</w:t>
              <w:fldChar w:fldCharType="end"/>
            </w:r>
          </w:hyperlink>
        </w:p>
        <w:p w14:paraId="15A73399" w14:textId="56E3A670" w:rsidR="001C2708" w:rsidRPr="002E3CCA" w:rsidRDefault="001C2708">
          <w:pPr>
            <w:pStyle w:val="TOC2"/>
            <w:tabs>
              <w:tab w:val="right" w:leader="dot" w:pos="9016"/>
            </w:tabs>
            <w:rPr>
              <w:noProof/>
            </w:rPr>
          </w:pPr>
          <w:hyperlink w:anchor="_Toc120719593" w:history="1">
            <w:r>
              <w:rPr>
                <w:rStyle w:val="Hyperlink"/>
                <w:noProof/>
              </w:rPr>
              <w:t>Business Description</w:t>
            </w:r>
            <w:r>
              <w:rPr>
                <w:noProof/>
                <w:webHidden/>
              </w:rPr>
              <w:tab/>
              <w:fldChar w:fldCharType="begin"/>
              <w:instrText xml:space="preserve"> PAGEREF _Toc120719593 \h </w:instrText>
              <w:fldChar w:fldCharType="separate"/>
              <w:t>5</w:t>
              <w:fldChar w:fldCharType="end"/>
            </w:r>
          </w:hyperlink>
        </w:p>
        <w:p w14:paraId="4A73407C" w14:textId="2598679D" w:rsidR="001C2708" w:rsidRPr="002E3CCA" w:rsidRDefault="001C2708">
          <w:pPr>
            <w:pStyle w:val="TOC2"/>
            <w:tabs>
              <w:tab w:val="right" w:leader="dot" w:pos="9016"/>
            </w:tabs>
            <w:rPr>
              <w:noProof/>
            </w:rPr>
          </w:pPr>
          <w:hyperlink w:anchor="_Toc120719594" w:history="1">
            <w:r>
              <w:rPr>
                <w:rStyle w:val="Hyperlink"/>
                <w:noProof/>
              </w:rPr>
              <w:t>Product Description</w:t>
            </w:r>
            <w:r>
              <w:rPr>
                <w:noProof/>
                <w:webHidden/>
              </w:rPr>
              <w:tab/>
              <w:fldChar w:fldCharType="begin"/>
              <w:instrText xml:space="preserve"> PAGEREF _Toc120719594 \h </w:instrText>
              <w:fldChar w:fldCharType="separate"/>
              <w:t>5</w:t>
              <w:fldChar w:fldCharType="end"/>
            </w:r>
          </w:hyperlink>
        </w:p>
        <w:p w14:paraId="427DAEF6" w14:textId="5A2F8A95" w:rsidR="001C2708" w:rsidRPr="002E3CCA" w:rsidRDefault="001C2708">
          <w:pPr>
            <w:pStyle w:val="TOC2"/>
            <w:tabs>
              <w:tab w:val="right" w:leader="dot" w:pos="9016"/>
            </w:tabs>
            <w:rPr>
              <w:noProof/>
            </w:rPr>
          </w:pPr>
          <w:hyperlink w:anchor="_Toc120719595" w:history="1">
            <w:r>
              <w:rPr>
                <w:rStyle w:val="Hyperlink"/>
                <w:noProof/>
              </w:rPr>
              <w:t>Business Objectives (SMART Objectives)</w:t>
            </w:r>
            <w:r>
              <w:rPr>
                <w:noProof/>
                <w:webHidden/>
              </w:rPr>
              <w:tab/>
              <w:fldChar w:fldCharType="begin"/>
              <w:instrText xml:space="preserve"> PAGEREF _Toc120719595 \h </w:instrText>
              <w:fldChar w:fldCharType="separate"/>
              <w:t>5</w:t>
              <w:fldChar w:fldCharType="end"/>
            </w:r>
          </w:hyperlink>
        </w:p>
        <w:p w14:paraId="6AADEC01" w14:textId="5D561B12" w:rsidR="001C2708" w:rsidRPr="002E3CCA" w:rsidRDefault="001C2708">
          <w:pPr>
            <w:pStyle w:val="TOC3"/>
            <w:tabs>
              <w:tab w:val="right" w:leader="dot" w:pos="9016"/>
            </w:tabs>
            <w:rPr>
              <w:noProof/>
            </w:rPr>
          </w:pPr>
          <w:hyperlink w:anchor="_Toc120719596" w:history="1">
            <w:r>
              <w:rPr>
                <w:rStyle w:val="Hyperlink"/>
                <w:noProof/>
              </w:rPr>
              <w:t>Short-Term Objectives (less than a year)</w:t>
            </w:r>
            <w:r>
              <w:rPr>
                <w:noProof/>
                <w:webHidden/>
              </w:rPr>
              <w:tab/>
              <w:fldChar w:fldCharType="begin"/>
              <w:instrText xml:space="preserve"> PAGEREF _Toc120719596 \h </w:instrText>
              <w:fldChar w:fldCharType="separate"/>
              <w:t>5</w:t>
              <w:fldChar w:fldCharType="end"/>
            </w:r>
          </w:hyperlink>
        </w:p>
        <w:p w14:paraId="2D43DDFF" w14:textId="3AFD62CB" w:rsidR="001C2708" w:rsidRPr="002E3CCA" w:rsidRDefault="001C2708">
          <w:pPr>
            <w:pStyle w:val="TOC3"/>
            <w:tabs>
              <w:tab w:val="right" w:leader="dot" w:pos="9016"/>
            </w:tabs>
            <w:rPr>
              <w:noProof/>
            </w:rPr>
          </w:pPr>
          <w:hyperlink w:anchor="_Toc120719597" w:history="1">
            <w:r>
              <w:rPr>
                <w:rStyle w:val="Hyperlink"/>
                <w:noProof/>
              </w:rPr>
              <w:t>Long-Term Objectives (less than a year)</w:t>
            </w:r>
            <w:r>
              <w:rPr>
                <w:noProof/>
                <w:webHidden/>
              </w:rPr>
              <w:tab/>
              <w:fldChar w:fldCharType="begin"/>
              <w:instrText xml:space="preserve"> PAGEREF _Toc120719597 \h </w:instrText>
              <w:fldChar w:fldCharType="separate"/>
              <w:t>5</w:t>
              <w:fldChar w:fldCharType="end"/>
            </w:r>
          </w:hyperlink>
        </w:p>
        <w:p w14:paraId="1FA84E3D" w14:textId="4956C7A2" w:rsidR="001C2708" w:rsidRPr="002E3CCA" w:rsidRDefault="001C2708">
          <w:pPr>
            <w:pStyle w:val="TOC1"/>
            <w:tabs>
              <w:tab w:val="right" w:leader="dot" w:pos="9016"/>
            </w:tabs>
            <w:rPr>
              <w:rFonts w:asciiTheme="minorHAnsi" w:hAnsiTheme="minorHAnsi"/>
              <w:noProof/>
            </w:rPr>
          </w:pPr>
          <w:hyperlink w:anchor="_Toc120719598" w:history="1">
            <w:r>
              <w:rPr>
                <w:rStyle w:val="Hyperlink"/>
                <w:noProof/>
              </w:rPr>
              <w:t>Market Analysis and Marketing Plan</w:t>
            </w:r>
            <w:r>
              <w:rPr>
                <w:noProof/>
                <w:webHidden/>
              </w:rPr>
              <w:tab/>
              <w:fldChar w:fldCharType="begin"/>
              <w:instrText xml:space="preserve"> PAGEREF _Toc120719598 \h </w:instrText>
              <w:fldChar w:fldCharType="separate"/>
              <w:t>6</w:t>
              <w:fldChar w:fldCharType="end"/>
            </w:r>
          </w:hyperlink>
        </w:p>
        <w:p w14:paraId="16CE4265" w14:textId="7B4ED22C" w:rsidR="001C2708" w:rsidRPr="002E3CCA" w:rsidRDefault="001C2708">
          <w:pPr>
            <w:pStyle w:val="TOC2"/>
            <w:tabs>
              <w:tab w:val="right" w:leader="dot" w:pos="9016"/>
            </w:tabs>
            <w:rPr>
              <w:noProof/>
            </w:rPr>
          </w:pPr>
          <w:hyperlink w:anchor="_Toc120719599" w:history="1">
            <w:r>
              <w:rPr>
                <w:rStyle w:val="Hyperlink"/>
                <w:noProof/>
              </w:rPr>
              <w:t>Market Analysis (Competitors, Customers, Target Groups)</w:t>
            </w:r>
            <w:r>
              <w:rPr>
                <w:noProof/>
                <w:webHidden/>
              </w:rPr>
              <w:tab/>
              <w:fldChar w:fldCharType="begin"/>
              <w:instrText xml:space="preserve"> PAGEREF _Toc120719599 \h </w:instrText>
              <w:fldChar w:fldCharType="separate"/>
              <w:t>6</w:t>
              <w:fldChar w:fldCharType="end"/>
            </w:r>
          </w:hyperlink>
        </w:p>
        <w:p w14:paraId="01D5D411" w14:textId="3BFE6203" w:rsidR="001C2708" w:rsidRPr="002E3CCA" w:rsidRDefault="001C2708">
          <w:pPr>
            <w:pStyle w:val="TOC2"/>
            <w:tabs>
              <w:tab w:val="right" w:leader="dot" w:pos="9016"/>
            </w:tabs>
            <w:rPr>
              <w:noProof/>
            </w:rPr>
          </w:pPr>
          <w:hyperlink w:anchor="_Toc120719600" w:history="1">
            <w:r>
              <w:rPr>
                <w:rStyle w:val="Hyperlink"/>
                <w:noProof/>
              </w:rPr>
              <w:t>PESTEL Analysis</w:t>
            </w:r>
            <w:r>
              <w:rPr>
                <w:noProof/>
                <w:webHidden/>
              </w:rPr>
              <w:tab/>
              <w:fldChar w:fldCharType="begin"/>
              <w:instrText xml:space="preserve"> PAGEREF _Toc120719600 \h </w:instrText>
              <w:fldChar w:fldCharType="separate"/>
              <w:t>6</w:t>
              <w:fldChar w:fldCharType="end"/>
            </w:r>
          </w:hyperlink>
        </w:p>
        <w:p w14:paraId="03354C92" w14:textId="416673A7" w:rsidR="001C2708" w:rsidRPr="002E3CCA" w:rsidRDefault="001C2708">
          <w:pPr>
            <w:pStyle w:val="TOC2"/>
            <w:tabs>
              <w:tab w:val="right" w:leader="dot" w:pos="9016"/>
            </w:tabs>
            <w:rPr>
              <w:noProof/>
            </w:rPr>
          </w:pPr>
          <w:hyperlink w:anchor="_Toc120719601" w:history="1">
            <w:r>
              <w:rPr>
                <w:rStyle w:val="Hyperlink"/>
                <w:noProof/>
              </w:rPr>
              <w:t>SWOT Analysis</w:t>
            </w:r>
            <w:r>
              <w:rPr>
                <w:noProof/>
                <w:webHidden/>
              </w:rPr>
              <w:tab/>
              <w:fldChar w:fldCharType="begin"/>
              <w:instrText xml:space="preserve"> PAGEREF _Toc120719601 \h </w:instrText>
              <w:fldChar w:fldCharType="separate"/>
              <w:t>6</w:t>
              <w:fldChar w:fldCharType="end"/>
            </w:r>
          </w:hyperlink>
        </w:p>
        <w:p w14:paraId="2EC73FF4" w14:textId="0F50BA53" w:rsidR="001C2708" w:rsidRPr="002E3CCA" w:rsidRDefault="001C2708">
          <w:pPr>
            <w:pStyle w:val="TOC2"/>
            <w:tabs>
              <w:tab w:val="right" w:leader="dot" w:pos="9016"/>
            </w:tabs>
            <w:rPr>
              <w:noProof/>
            </w:rPr>
          </w:pPr>
          <w:hyperlink w:anchor="_Toc120719602" w:history="1">
            <w:r>
              <w:rPr>
                <w:rStyle w:val="Hyperlink"/>
                <w:noProof/>
              </w:rPr>
              <w:t>Marketing Mix (4Ps)</w:t>
            </w:r>
            <w:r>
              <w:rPr>
                <w:noProof/>
                <w:webHidden/>
              </w:rPr>
              <w:tab/>
              <w:fldChar w:fldCharType="begin"/>
              <w:instrText xml:space="preserve"> PAGEREF _Toc120719602 \h </w:instrText>
              <w:fldChar w:fldCharType="separate"/>
              <w:t>6</w:t>
              <w:fldChar w:fldCharType="end"/>
            </w:r>
          </w:hyperlink>
        </w:p>
        <w:p w14:paraId="2CED45FC" w14:textId="03403941" w:rsidR="001C2708" w:rsidRPr="002E3CCA" w:rsidRDefault="001C2708">
          <w:pPr>
            <w:pStyle w:val="TOC1"/>
            <w:tabs>
              <w:tab w:val="right" w:leader="dot" w:pos="9016"/>
            </w:tabs>
            <w:rPr>
              <w:rFonts w:asciiTheme="minorHAnsi" w:hAnsiTheme="minorHAnsi"/>
              <w:noProof/>
            </w:rPr>
          </w:pPr>
          <w:hyperlink w:anchor="_Toc120719603" w:history="1">
            <w:r>
              <w:rPr>
                <w:rStyle w:val="Hyperlink"/>
                <w:noProof/>
              </w:rPr>
              <w:t>Management Team</w:t>
            </w:r>
            <w:r>
              <w:rPr>
                <w:noProof/>
                <w:webHidden/>
              </w:rPr>
              <w:tab/>
              <w:fldChar w:fldCharType="begin"/>
              <w:instrText xml:space="preserve"> PAGEREF _Toc120719603 \h </w:instrText>
              <w:fldChar w:fldCharType="separate"/>
              <w:t>6</w:t>
              <w:fldChar w:fldCharType="end"/>
            </w:r>
          </w:hyperlink>
        </w:p>
        <w:p w14:paraId="25A29849" w14:textId="2EC6E637" w:rsidR="001C2708" w:rsidRPr="002E3CCA" w:rsidRDefault="001C2708">
          <w:pPr>
            <w:pStyle w:val="TOC2"/>
            <w:tabs>
              <w:tab w:val="right" w:leader="dot" w:pos="9016"/>
            </w:tabs>
            <w:rPr>
              <w:noProof/>
            </w:rPr>
          </w:pPr>
          <w:hyperlink w:anchor="_Toc120719604" w:history="1">
            <w:r>
              <w:rPr>
                <w:rStyle w:val="Hyperlink"/>
                <w:noProof/>
              </w:rPr>
              <w:t>Management Team and Their Background</w:t>
            </w:r>
            <w:r>
              <w:rPr>
                <w:noProof/>
                <w:webHidden/>
              </w:rPr>
              <w:tab/>
              <w:fldChar w:fldCharType="begin"/>
              <w:instrText xml:space="preserve"> PAGEREF _Toc120719604 \h </w:instrText>
              <w:fldChar w:fldCharType="separate"/>
              <w:t>7</w:t>
              <w:fldChar w:fldCharType="end"/>
            </w:r>
          </w:hyperlink>
        </w:p>
        <w:p w14:paraId="69B8E3C9" w14:textId="0C3E107C" w:rsidR="001C2708" w:rsidRPr="002E3CCA" w:rsidRDefault="001C2708">
          <w:pPr>
            <w:pStyle w:val="TOC2"/>
            <w:tabs>
              <w:tab w:val="right" w:leader="dot" w:pos="9016"/>
            </w:tabs>
            <w:rPr>
              <w:noProof/>
            </w:rPr>
          </w:pPr>
          <w:hyperlink w:anchor="_Toc120719605" w:history="1">
            <w:r>
              <w:rPr>
                <w:rStyle w:val="Hyperlink"/>
                <w:noProof/>
              </w:rPr>
              <w:t>Organisational Chart</w:t>
            </w:r>
            <w:r>
              <w:rPr>
                <w:noProof/>
                <w:webHidden/>
              </w:rPr>
              <w:tab/>
              <w:fldChar w:fldCharType="begin"/>
              <w:instrText xml:space="preserve"> PAGEREF _Toc120719605 \h </w:instrText>
              <w:fldChar w:fldCharType="separate"/>
              <w:t>7</w:t>
              <w:fldChar w:fldCharType="end"/>
            </w:r>
          </w:hyperlink>
        </w:p>
        <w:p w14:paraId="750789DB" w14:textId="46E74198" w:rsidR="001C2708" w:rsidRPr="002E3CCA" w:rsidRDefault="001C2708">
          <w:pPr>
            <w:pStyle w:val="TOC2"/>
            <w:tabs>
              <w:tab w:val="right" w:leader="dot" w:pos="9016"/>
            </w:tabs>
            <w:rPr>
              <w:noProof/>
            </w:rPr>
          </w:pPr>
          <w:hyperlink w:anchor="_Toc120719606" w:history="1">
            <w:r>
              <w:rPr>
                <w:rStyle w:val="Hyperlink"/>
                <w:noProof/>
              </w:rPr>
              <w:t>Key Milestones</w:t>
            </w:r>
            <w:r>
              <w:rPr>
                <w:noProof/>
                <w:webHidden/>
              </w:rPr>
              <w:tab/>
              <w:fldChar w:fldCharType="begin"/>
              <w:instrText xml:space="preserve"> PAGEREF _Toc120719606 \h </w:instrText>
              <w:fldChar w:fldCharType="separate"/>
              <w:t>7</w:t>
              <w:fldChar w:fldCharType="end"/>
            </w:r>
          </w:hyperlink>
        </w:p>
        <w:p w14:paraId="3D408FB8" w14:textId="041DBBEA" w:rsidR="001C2708" w:rsidRPr="002E3CCA" w:rsidRDefault="001C2708">
          <w:pPr>
            <w:pStyle w:val="TOC1"/>
            <w:tabs>
              <w:tab w:val="right" w:leader="dot" w:pos="9016"/>
            </w:tabs>
            <w:rPr>
              <w:rFonts w:asciiTheme="minorHAnsi" w:hAnsiTheme="minorHAnsi"/>
              <w:noProof/>
            </w:rPr>
          </w:pPr>
          <w:hyperlink w:anchor="_Toc120719607" w:history="1">
            <w:r>
              <w:rPr>
                <w:rStyle w:val="Hyperlink"/>
                <w:noProof/>
              </w:rPr>
              <w:t>Financial Plan (One Year)</w:t>
            </w:r>
            <w:r>
              <w:rPr>
                <w:noProof/>
                <w:webHidden/>
              </w:rPr>
              <w:tab/>
              <w:fldChar w:fldCharType="begin"/>
              <w:instrText xml:space="preserve"> PAGEREF _Toc120719607 \h </w:instrText>
              <w:fldChar w:fldCharType="separate"/>
              <w:t>7</w:t>
              <w:fldChar w:fldCharType="end"/>
            </w:r>
          </w:hyperlink>
        </w:p>
        <w:p w14:paraId="70D654BE" w14:textId="2617A600" w:rsidR="001C2708" w:rsidRPr="002E3CCA" w:rsidRDefault="001C2708">
          <w:pPr>
            <w:pStyle w:val="TOC2"/>
            <w:tabs>
              <w:tab w:val="right" w:leader="dot" w:pos="9016"/>
            </w:tabs>
            <w:rPr>
              <w:noProof/>
            </w:rPr>
          </w:pPr>
          <w:hyperlink w:anchor="_Toc120719608" w:history="1">
            <w:r>
              <w:rPr>
                <w:rStyle w:val="Hyperlink"/>
                <w:noProof/>
              </w:rPr>
              <w:t>Sources of Finance</w:t>
            </w:r>
            <w:r>
              <w:rPr>
                <w:noProof/>
                <w:webHidden/>
              </w:rPr>
              <w:tab/>
              <w:fldChar w:fldCharType="begin"/>
              <w:instrText xml:space="preserve"> PAGEREF _Toc120719608 \h </w:instrText>
              <w:fldChar w:fldCharType="separate"/>
              <w:t>7</w:t>
              <w:fldChar w:fldCharType="end"/>
            </w:r>
          </w:hyperlink>
        </w:p>
        <w:p w14:paraId="697DE120" w14:textId="2E553196" w:rsidR="001C2708" w:rsidRPr="002E3CCA" w:rsidRDefault="001C2708">
          <w:pPr>
            <w:pStyle w:val="TOC2"/>
            <w:tabs>
              <w:tab w:val="right" w:leader="dot" w:pos="9016"/>
            </w:tabs>
            <w:rPr>
              <w:noProof/>
            </w:rPr>
          </w:pPr>
          <w:hyperlink w:anchor="_Toc120719609" w:history="1">
            <w:r>
              <w:rPr>
                <w:rStyle w:val="Hyperlink"/>
                <w:noProof/>
              </w:rPr>
              <w:t>Cash Flow Forecast</w:t>
            </w:r>
            <w:r>
              <w:rPr>
                <w:noProof/>
                <w:webHidden/>
              </w:rPr>
              <w:tab/>
              <w:fldChar w:fldCharType="begin"/>
              <w:instrText xml:space="preserve"> PAGEREF _Toc120719609 \h </w:instrText>
              <w:fldChar w:fldCharType="separate"/>
              <w:t>7</w:t>
              <w:fldChar w:fldCharType="end"/>
            </w:r>
          </w:hyperlink>
        </w:p>
        <w:p w14:paraId="1D327C3E" w14:textId="3E0A1019" w:rsidR="001C2708" w:rsidRPr="002E3CCA" w:rsidRDefault="001C2708">
          <w:pPr>
            <w:pStyle w:val="TOC2"/>
            <w:tabs>
              <w:tab w:val="right" w:leader="dot" w:pos="9016"/>
            </w:tabs>
            <w:rPr>
              <w:noProof/>
            </w:rPr>
          </w:pPr>
          <w:hyperlink w:anchor="_Toc120719610" w:history="1">
            <w:r>
              <w:rPr>
                <w:rStyle w:val="Hyperlink"/>
                <w:noProof/>
              </w:rPr>
              <w:t>Sales Forecast</w:t>
            </w:r>
            <w:r>
              <w:rPr>
                <w:noProof/>
                <w:webHidden/>
              </w:rPr>
              <w:tab/>
              <w:fldChar w:fldCharType="begin"/>
              <w:instrText xml:space="preserve"> PAGEREF _Toc120719610 \h </w:instrText>
              <w:fldChar w:fldCharType="separate"/>
              <w:t>7</w:t>
              <w:fldChar w:fldCharType="end"/>
            </w:r>
          </w:hyperlink>
        </w:p>
        <w:p w14:paraId="34D5146A" w14:textId="71826647" w:rsidR="001C2708" w:rsidRPr="002E3CCA" w:rsidRDefault="001C2708">
          <w:pPr>
            <w:pStyle w:val="TOC2"/>
            <w:tabs>
              <w:tab w:val="right" w:leader="dot" w:pos="9016"/>
            </w:tabs>
            <w:rPr>
              <w:noProof/>
            </w:rPr>
          </w:pPr>
          <w:hyperlink w:anchor="_Toc120719611" w:history="1">
            <w:r>
              <w:rPr>
                <w:rStyle w:val="Hyperlink"/>
                <w:noProof/>
              </w:rPr>
              <w:t>Cost of Production Forecast</w:t>
            </w:r>
            <w:r>
              <w:rPr>
                <w:noProof/>
                <w:webHidden/>
              </w:rPr>
              <w:tab/>
              <w:fldChar w:fldCharType="begin"/>
              <w:instrText xml:space="preserve"> PAGEREF _Toc120719611 \h </w:instrText>
              <w:fldChar w:fldCharType="separate"/>
              <w:t>7</w:t>
              <w:fldChar w:fldCharType="end"/>
            </w:r>
          </w:hyperlink>
        </w:p>
        <w:p w14:paraId="6D7D01B1" w14:textId="76404C25" w:rsidR="001C2708" w:rsidRPr="002E3CCA" w:rsidRDefault="001C2708">
          <w:pPr>
            <w:pStyle w:val="TOC2"/>
            <w:tabs>
              <w:tab w:val="right" w:leader="dot" w:pos="9016"/>
            </w:tabs>
            <w:rPr>
              <w:noProof/>
            </w:rPr>
          </w:pPr>
          <w:hyperlink w:anchor="_Toc120719612" w:history="1">
            <w:r>
              <w:rPr>
                <w:rStyle w:val="Hyperlink"/>
                <w:noProof/>
              </w:rPr>
              <w:t>Break Even Analysis</w:t>
            </w:r>
            <w:r>
              <w:rPr>
                <w:noProof/>
                <w:webHidden/>
              </w:rPr>
              <w:tab/>
              <w:fldChar w:fldCharType="begin"/>
              <w:instrText xml:space="preserve"> PAGEREF _Toc120719612 \h </w:instrText>
              <w:fldChar w:fldCharType="separate"/>
              <w:t>7</w:t>
              <w:fldChar w:fldCharType="end"/>
            </w:r>
          </w:hyperlink>
        </w:p>
        <w:p w14:paraId="6FB6E5AC" w14:textId="647ACCB8" w:rsidR="001C2708" w:rsidRPr="002E3CCA" w:rsidRDefault="001C2708">
          <w:pPr>
            <w:pStyle w:val="TOC1"/>
            <w:tabs>
              <w:tab w:val="right" w:leader="dot" w:pos="9016"/>
            </w:tabs>
            <w:rPr>
              <w:rFonts w:asciiTheme="minorHAnsi" w:hAnsiTheme="minorHAnsi"/>
              <w:noProof/>
            </w:rPr>
          </w:pPr>
          <w:hyperlink w:anchor="_Toc120719613" w:history="1">
            <w:r>
              <w:rPr>
                <w:rStyle w:val="Hyperlink"/>
                <w:noProof/>
              </w:rPr>
              <w:t>Operations and Management Plan</w:t>
            </w:r>
            <w:r>
              <w:rPr>
                <w:noProof/>
                <w:webHidden/>
              </w:rPr>
              <w:tab/>
              <w:fldChar w:fldCharType="begin"/>
              <w:instrText xml:space="preserve"> PAGEREF _Toc120719613 \h </w:instrText>
              <w:fldChar w:fldCharType="separate"/>
              <w:t>7</w:t>
              <w:fldChar w:fldCharType="end"/>
            </w:r>
          </w:hyperlink>
        </w:p>
        <w:p w14:paraId="5695F9C9" w14:textId="66568069" w:rsidR="001C2708" w:rsidRPr="002E3CCA" w:rsidRDefault="001C2708">
          <w:pPr>
            <w:pStyle w:val="TOC2"/>
            <w:tabs>
              <w:tab w:val="right" w:leader="dot" w:pos="9016"/>
            </w:tabs>
            <w:rPr>
              <w:noProof/>
            </w:rPr>
          </w:pPr>
          <w:hyperlink w:anchor="_Toc120719614" w:history="1">
            <w:r>
              <w:rPr>
                <w:rStyle w:val="Hyperlink"/>
                <w:noProof/>
              </w:rPr>
              <w:t>Production of Good and Service</w:t>
            </w:r>
            <w:r>
              <w:rPr>
                <w:noProof/>
                <w:webHidden/>
              </w:rPr>
              <w:tab/>
              <w:fldChar w:fldCharType="begin"/>
              <w:instrText xml:space="preserve"> PAGEREF _Toc120719614 \h </w:instrText>
              <w:fldChar w:fldCharType="separate"/>
              <w:t>7</w:t>
              <w:fldChar w:fldCharType="end"/>
            </w:r>
          </w:hyperlink>
        </w:p>
        <w:p w14:paraId="529C6910" w14:textId="26226D57" w:rsidR="001C2708" w:rsidRPr="002E3CCA" w:rsidRDefault="001C2708">
          <w:pPr>
            <w:pStyle w:val="TOC2"/>
            <w:tabs>
              <w:tab w:val="right" w:leader="dot" w:pos="9016"/>
            </w:tabs>
            <w:rPr>
              <w:noProof/>
            </w:rPr>
          </w:pPr>
          <w:hyperlink w:anchor="_Toc120719615" w:history="1">
            <w:r>
              <w:rPr>
                <w:rStyle w:val="Hyperlink"/>
                <w:noProof/>
              </w:rPr>
              <w:t>Technology Plan</w:t>
            </w:r>
            <w:r>
              <w:rPr>
                <w:noProof/>
                <w:webHidden/>
              </w:rPr>
              <w:tab/>
              <w:fldChar w:fldCharType="begin"/>
              <w:instrText xml:space="preserve"> PAGEREF _Toc120719615 \h </w:instrText>
              <w:fldChar w:fldCharType="separate"/>
              <w:t>7</w:t>
              <w:fldChar w:fldCharType="end"/>
            </w:r>
          </w:hyperlink>
        </w:p>
        <w:p w14:paraId="55776ADF" w14:textId="733DB519" w:rsidR="001C2708" w:rsidRPr="002E3CCA" w:rsidRDefault="001C2708">
          <w:pPr>
            <w:pStyle w:val="TOC2"/>
            <w:tabs>
              <w:tab w:val="right" w:leader="dot" w:pos="9016"/>
            </w:tabs>
            <w:rPr>
              <w:noProof/>
            </w:rPr>
          </w:pPr>
          <w:hyperlink w:anchor="_Toc120719616" w:history="1">
            <w:r>
              <w:rPr>
                <w:rStyle w:val="Hyperlink"/>
                <w:noProof/>
              </w:rPr>
              <w:t>Human Resource Plan</w:t>
            </w:r>
            <w:r>
              <w:rPr>
                <w:noProof/>
                <w:webHidden/>
              </w:rPr>
              <w:tab/>
              <w:fldChar w:fldCharType="begin"/>
              <w:instrText xml:space="preserve"> PAGEREF _Toc120719616 \h </w:instrText>
              <w:fldChar w:fldCharType="separate"/>
              <w:t>7</w:t>
              <w:fldChar w:fldCharType="end"/>
            </w:r>
          </w:hyperlink>
        </w:p>
        <w:p w14:paraId="614BC19B" w14:textId="42BB97AB" w:rsidR="001C2708" w:rsidRPr="002E3CCA" w:rsidRDefault="001C2708">
          <w:pPr>
            <w:pStyle w:val="TOC2"/>
            <w:tabs>
              <w:tab w:val="right" w:leader="dot" w:pos="9016"/>
            </w:tabs>
            <w:rPr>
              <w:noProof/>
            </w:rPr>
          </w:pPr>
          <w:hyperlink w:anchor="_Toc120719617" w:history="1">
            <w:r>
              <w:rPr>
                <w:rStyle w:val="Hyperlink"/>
                <w:noProof/>
              </w:rPr>
              <w:t>Expansion Plan</w:t>
            </w:r>
            <w:r>
              <w:rPr>
                <w:noProof/>
                <w:webHidden/>
              </w:rPr>
              <w:tab/>
              <w:fldChar w:fldCharType="begin"/>
              <w:instrText xml:space="preserve"> PAGEREF _Toc120719617 \h </w:instrText>
              <w:fldChar w:fldCharType="separate"/>
              <w:t>8</w:t>
              <w:fldChar w:fldCharType="end"/>
            </w:r>
          </w:hyperlink>
        </w:p>
        <w:p w14:paraId="324F33EC" w14:textId="76E4A10C" w:rsidR="001C2708" w:rsidRPr="002E3CCA" w:rsidRDefault="001C2708">
          <w:pPr>
            <w:pStyle w:val="TOC1"/>
            <w:tabs>
              <w:tab w:val="right" w:leader="dot" w:pos="9016"/>
            </w:tabs>
            <w:rPr>
              <w:rFonts w:asciiTheme="minorHAnsi" w:hAnsiTheme="minorHAnsi"/>
              <w:noProof/>
            </w:rPr>
          </w:pPr>
          <w:hyperlink w:anchor="_Toc120719618" w:history="1">
            <w:r>
              <w:rPr>
                <w:rStyle w:val="Hyperlink"/>
                <w:noProof/>
              </w:rPr>
              <w:t>Reference List</w:t>
            </w:r>
            <w:r>
              <w:rPr>
                <w:noProof/>
                <w:webHidden/>
              </w:rPr>
              <w:tab/>
              <w:fldChar w:fldCharType="begin"/>
              <w:instrText xml:space="preserve"> PAGEREF _Toc120719618 \h </w:instrText>
              <w:fldChar w:fldCharType="separate"/>
              <w:t>8</w:t>
              <w:fldChar w:fldCharType="end"/>
            </w:r>
          </w:hyperlink>
        </w:p>
        <w:p w14:paraId="2387ABB2" w14:textId="6217BA20" w:rsidR="001C2708" w:rsidRPr="002E3CCA" w:rsidRDefault="001C2708">
          <w:pPr>
            <w:pStyle w:val="TOC1"/>
            <w:tabs>
              <w:tab w:val="right" w:leader="dot" w:pos="9016"/>
            </w:tabs>
            <w:rPr>
              <w:rFonts w:asciiTheme="minorHAnsi" w:hAnsiTheme="minorHAnsi"/>
              <w:noProof/>
            </w:rPr>
          </w:pPr>
          <w:hyperlink w:anchor="_Toc120719619" w:history="1">
            <w:r>
              <w:rPr>
                <w:rStyle w:val="Hyperlink"/>
                <w:noProof/>
              </w:rPr>
              <w:t>Appendices:</w:t>
            </w:r>
            <w:r>
              <w:rPr>
                <w:noProof/>
                <w:webHidden/>
              </w:rPr>
              <w:tab/>
              <w:fldChar w:fldCharType="begin"/>
              <w:instrText xml:space="preserve"> PAGEREF _Toc120719619 \h </w:instrText>
              <w:fldChar w:fldCharType="separate"/>
              <w:t>9</w:t>
              <w:fldChar w:fldCharType="end"/>
            </w:r>
          </w:hyperlink>
        </w:p>
        <w:p w14:paraId="73B34476" w14:textId="5647042E" w:rsidR="004B3A79" w:rsidRDefault="004B3A79">
          <w:r>
            <w:rPr>
              <w:b/>
              <w:bCs/>
              <w:noProof/>
            </w:rPr>
            <w:fldChar w:fldCharType="end"/>
          </w:r>
        </w:p>
      </w:sdtContent>
    </w:sdt>
    <w:p w14:paraId="70D53F8B" w14:textId="77777777" w:rsidR="009E2166" w:rsidRDefault="009E2166">
      <w:pPr>
        <w:rPr>
          <w:rFonts w:eastAsiaTheme="majorEastAsia" w:cstheme="majorBidi"/>
          <w:b/>
          <w:color w:val="2F5496" w:themeColor="accent1" w:themeShade="BF"/>
          <w:sz w:val="28"/>
          <w:szCs w:val="32"/>
        </w:rPr>
      </w:pPr>
      <w:bookmarkStart w:id="0" w:name="_Toc120719591"/>
      <w:r>
        <w:br w:type="page"/>
      </w:r>
    </w:p>
    <w:p w14:paraId="2D8188D3" w14:textId="3BC04EFF" w:rsidR="009E2166" w:rsidRDefault="00747FD5" w:rsidP="009E2166">
      <w:pPr>
        <w:pStyle w:val="Heading1"/>
      </w:pPr>
      <w:r>
        <w:lastRenderedPageBreak/>
        <w:t>Executive Summary</w:t>
      </w:r>
      <w:bookmarkEnd w:id="0"/>
    </w:p>
    <w:p w14:paraId="2B04C8A8" w14:textId="77777777" w:rsidR="007D654A" w:rsidRPr="00985D86" w:rsidRDefault="007D654A" w:rsidP="007D654A">
      <w:pPr>
        <w:jc w:val="both"/>
      </w:pPr>
    </w:p>
    <w:p w14:paraId="2988D580" w14:textId="02867EE6" w:rsidR="007D654A" w:rsidRDefault="007D654A" w:rsidP="007D654A">
      <w:pPr>
        <w:jc w:val="both"/>
      </w:pPr>
      <w:r>
        <w:rPr>
          <w:b/>
          <w:bCs/>
        </w:rPr>
        <w:t>Davlatsho &amp; Co Demolitions Limited</w:t>
      </w:r>
      <w:r>
        <w:t xml:space="preserve"> is a London-based company that provides demolition services for both residential and commercial buildings. The company specializes in building demolition projects, with project values ranging from £5,000 to £100,000.</w:t>
      </w:r>
    </w:p>
    <w:p w14:paraId="4201F2C5" w14:textId="5F0331B9" w:rsidR="007D654A" w:rsidRDefault="007D654A" w:rsidP="007D654A">
      <w:pPr>
        <w:jc w:val="both"/>
      </w:pPr>
      <w:r>
        <w:t>The company offers 5 core services: full structural demolition, soft strip and interior clearance, selective/partial demolition, concrete crushing and aggregate recycling, licensed site clearance and waste management.</w:t>
      </w:r>
    </w:p>
    <w:p w14:paraId="25E17088" w14:textId="695B6361" w:rsidR="009E2166" w:rsidRPr="007D654A" w:rsidRDefault="007D654A" w:rsidP="007D654A">
      <w:pPr>
        <w:jc w:val="both"/>
      </w:pPr>
      <w:r>
        <w:t xml:space="preserve">The company aims to generate £100,000 to £350,000 in revenue during its first year of operations from the initial investment, with the goal of building the business to £1.5 million in annual revenue by its third year of operation.</w:t>
      </w:r>
    </w:p>
    <w:p w14:paraId="6BAA4206" w14:textId="77777777" w:rsidR="007D654A" w:rsidRPr="007D654A" w:rsidRDefault="007D654A" w:rsidP="007D654A">
      <w:pPr>
        <w:jc w:val="both"/>
      </w:pPr>
    </w:p>
    <w:p w14:paraId="79949756" w14:textId="652AFCF3" w:rsidR="007D654A" w:rsidRPr="00985D86" w:rsidRDefault="007D654A" w:rsidP="007D654A">
      <w:pPr>
        <w:pStyle w:val="Heading1"/>
      </w:pPr>
      <w:bookmarkStart w:id="1" w:name="_Toc120719592"/>
      <w:r>
        <w:t>Business Concept</w:t>
      </w:r>
    </w:p>
    <w:bookmarkEnd w:id="1"/>
    <w:p w14:paraId="50A8667E" w14:textId="72DE5546" w:rsidR="00747FD5" w:rsidRDefault="007D654A" w:rsidP="007D654A">
      <w:pPr>
        <w:jc w:val="both"/>
      </w:pPr>
      <w:r>
        <w:t>This section sets out Davlatsho &amp; Co Demolitions Limited</w:t>
      </w:r>
      <w:r>
        <w:rPr>
          <w:lang w:val="en-US"/>
        </w:rPr>
        <w:t xml:space="preserve">’s </w:t>
      </w:r>
      <w:r>
        <w:t>business description, product/service offer and SMART objectives for its first year of trading and beyond.</w:t>
      </w:r>
    </w:p>
    <w:p w14:paraId="57867FEF" w14:textId="743BE858" w:rsidR="007D654A" w:rsidRDefault="0096798A" w:rsidP="007D654A">
      <w:pPr>
        <w:pStyle w:val="Heading2"/>
      </w:pPr>
      <w:bookmarkStart w:id="2" w:name="_Toc120719593"/>
      <w:r>
        <w:t>Business Description</w:t>
      </w:r>
      <w:bookmarkEnd w:id="2"/>
      <w:r>
        <w:t xml:space="preserve"> </w:t>
      </w:r>
      <w:bookmarkStart w:id="3" w:name="_Toc120719594"/>
    </w:p>
    <w:p w14:paraId="6CEDF762" w14:textId="77777777" w:rsidR="007D654A" w:rsidRDefault="007D654A" w:rsidP="007D654A"/>
    <w:p w14:paraId="0CF66EBA" w14:textId="55020626" w:rsidR="007D654A" w:rsidRDefault="007D654A" w:rsidP="007D654A">
      <w:pPr>
        <w:jc w:val="both"/>
      </w:pPr>
      <w:r>
        <w:t xml:space="preserve">Davlatsho &amp; Co Demolitions Limited will be incorporated in the UK as a private limited company, with its registered office and operational depot located in Park Royal, London, a well-established industrial and logistics hub with easy access to the A40, the North Circular (A406) and the wider M25 motorway network. The company will operate as a licensed demolition and site-clearance contractor, registered with the Environment Agency as a waste carrier, broker and dealer, and holding CHAS, SafeContractor and Constructionline accreditation (see GOV.UK )</w:t>
      </w:r>
    </w:p>
    <w:p w14:paraId="2DAE4293" w14:textId="0A887773" w:rsidR="007D654A" w:rsidRDefault="007D654A" w:rsidP="007D654A">
      <w:pPr>
        <w:jc w:val="both"/>
      </w:pPr>
      <w:r>
        <w:t>Mission: To deliver safe, compliant and environmentally responsible demolition and site-clearance services that support the redevelopment of London.</w:t>
      </w:r>
    </w:p>
    <w:p w14:paraId="5AD7909B" w14:textId="3511CA0B" w:rsidR="007D654A" w:rsidRPr="007D654A" w:rsidRDefault="007D654A" w:rsidP="007D654A">
      <w:pPr>
        <w:jc w:val="both"/>
      </w:pPr>
      <w:r>
        <w:t>Vision: To become the leading independent demolition contractor for small-to-mid-sized projects across Greater London within five years, recognised for safety performance and recycling rates that exceed industry norms.</w:t>
      </w:r>
    </w:p>
    <w:p w14:paraId="7A24E7A9" w14:textId="77777777" w:rsidR="007D654A" w:rsidRPr="007D654A" w:rsidRDefault="007D654A" w:rsidP="007D654A"/>
    <w:p w14:paraId="1908E407" w14:textId="129F88AD" w:rsidR="007D654A" w:rsidRDefault="0096798A" w:rsidP="00AD04A3">
      <w:pPr>
        <w:pStyle w:val="Heading2"/>
      </w:pPr>
      <w:r>
        <w:t>Product Description</w:t>
      </w:r>
      <w:bookmarkStart w:id="4" w:name="_Toc120719595"/>
      <w:bookmarkEnd w:id="3"/>
    </w:p>
    <w:p w14:paraId="7DFC32C3" w14:textId="24EF9736" w:rsidR="001D3664" w:rsidRDefault="007D654A" w:rsidP="007D654A">
      <w:pPr>
        <w:jc w:val="both"/>
      </w:pPr>
      <w:r>
        <w:t>The company will deliver 5 core, closely related services covering the full lifecycle of a demolition project:</w:t>
      </w:r>
    </w:p>
    <w:p w14:paraId="6A0F49EC" w14:textId="5E517EFB" w:rsidR="007D654A" w:rsidRDefault="007D654A" w:rsidP="007D654A">
      <w:pPr>
        <w:jc w:val="both"/>
      </w:pPr>
      <w:r>
        <w:rPr>
          <w:b/>
          <w:bCs/>
        </w:rPr>
        <w:t>Full Structural Demolition:</w:t>
      </w:r>
      <w:r>
        <w:t xml:space="preserve"> Complete demolition of residential, commercial and light-industrial buildings using mechanical high-reach and long-reach excavators fitted with hydraulic pulverisers, shears and crushers,</w:t>
      </w:r>
    </w:p>
    <w:p w14:paraId="6793E495" w14:textId="09B90A27" w:rsidR="007D654A" w:rsidRDefault="007D654A" w:rsidP="007D654A">
      <w:pPr>
        <w:jc w:val="both"/>
      </w:pPr>
      <w:r>
        <w:rPr>
          <w:b/>
          <w:bCs/>
        </w:rPr>
        <w:t xml:space="preserve">Soft-Strip &amp; Interior Clearance</w:t>
      </w:r>
      <w:r>
        <w:t xml:space="preserve">;Removal of fixtures, fittings, partitions, services and non-structural elements ahead of refurbishment, retrofit or full demolition.</w:t>
      </w:r>
    </w:p>
    <w:p w14:paraId="2FB52004" w14:textId="6F071C7E" w:rsidR="007D654A" w:rsidRDefault="007D654A" w:rsidP="007D654A">
      <w:pPr>
        <w:jc w:val="both"/>
      </w:pPr>
      <w:r>
        <w:rPr>
          <w:b/>
          <w:bCs/>
        </w:rPr>
        <w:t xml:space="preserve">Selective &amp; Partial Demolition: </w:t>
      </w:r>
      <w:r>
        <w:t>Careful, controlled removal of specific structural elements where party walls, retained structures or heritage features must be protected.</w:t>
      </w:r>
    </w:p>
    <w:p w14:paraId="529A04E8" w14:textId="1482AD2D" w:rsidR="007D654A" w:rsidRDefault="007D654A" w:rsidP="007D654A">
      <w:pPr>
        <w:jc w:val="both"/>
      </w:pPr>
      <w:r>
        <w:rPr>
          <w:b/>
          <w:bCs/>
        </w:rPr>
        <w:lastRenderedPageBreak/>
        <w:t>Concrete Crushing &amp; Aggregate Recycling</w:t>
      </w:r>
      <w:r>
        <w:t xml:space="preserve"> — On-site crushing and screening of concrete and masonry rubble into recycled aggregate, reducing haulage costs and landfill volumes.</w:t>
      </w:r>
    </w:p>
    <w:p w14:paraId="4D3A012A" w14:textId="7EDD0967" w:rsidR="007D654A" w:rsidRPr="007D654A" w:rsidRDefault="007D654A" w:rsidP="00C27B4E">
      <w:pPr>
        <w:jc w:val="both"/>
      </w:pPr>
      <w:r>
        <w:rPr>
          <w:b/>
          <w:bCs/>
        </w:rPr>
        <w:t>Site Clearance &amp; Licensed Waste Management</w:t>
      </w:r>
      <w:r>
        <w:t xml:space="preserve"> — Segregation, removal and licensed disposal or recycling of construction and demolition waste, supported by full digital waste-transfer documentation.</w:t>
      </w:r>
    </w:p>
    <w:p w14:paraId="6EAB67E7" w14:textId="77777777" w:rsidR="00C27B4E" w:rsidRDefault="00C27B4E" w:rsidP="007D654A">
      <w:pPr>
        <w:pStyle w:val="Heading2"/>
      </w:pPr>
    </w:p>
    <w:p w14:paraId="76873FC5" w14:textId="585276FB" w:rsidR="00F53214" w:rsidRDefault="0096798A" w:rsidP="007D654A">
      <w:pPr>
        <w:pStyle w:val="Heading2"/>
      </w:pPr>
      <w:r>
        <w:t>Business Objectives (SMART Objectives)</w:t>
      </w:r>
      <w:bookmarkEnd w:id="4"/>
    </w:p>
    <w:p w14:paraId="63DAA3BA" w14:textId="77E64783" w:rsidR="007D654A" w:rsidRPr="007D654A" w:rsidRDefault="00C27B4E" w:rsidP="00C27B4E">
      <w:pPr>
        <w:jc w:val="both"/>
      </w:pPr>
      <w:r>
        <w:t>Objectives are set using the SMART framework (Specific, Measurable, Achievable, Relevant, Time-bound) and are split between short-term (Year 1) and long-term (Years 2–4) horizons.</w:t>
      </w:r>
    </w:p>
    <w:p w14:paraId="3DA30312" w14:textId="7B639048" w:rsidR="0096798A" w:rsidRDefault="0096798A" w:rsidP="00AD04A3">
      <w:pPr>
        <w:pStyle w:val="Heading3"/>
      </w:pPr>
      <w:bookmarkStart w:id="5" w:name="_Toc120719596"/>
      <w:r>
        <w:t>Short-Term Objectives (less than a year)</w:t>
      </w:r>
      <w:bookmarkEnd w:id="5"/>
    </w:p>
    <w:p w14:paraId="71C8F1DB" w14:textId="77777777" w:rsidR="00C27B4E" w:rsidRDefault="00C27B4E" w:rsidP="00C27B4E">
      <w:pPr>
        <w:pStyle w:val="ListParagraph"/>
        <w:numPr>
          <w:ilvl w:val="0"/>
          <w:numId w:val="1"/>
        </w:numPr>
      </w:pPr>
      <w:r>
        <w:t>Obtain CHAS, SafeContractor and Constructionline Gold accreditation within the first three months of trading, to qualify for principal-contractor frameworks.</w:t>
      </w:r>
    </w:p>
    <w:p w14:paraId="501FE5C9" w14:textId="77777777" w:rsidR="00C27B4E" w:rsidRDefault="00C27B4E" w:rsidP="00C27B4E">
      <w:pPr>
        <w:pStyle w:val="ListParagraph"/>
      </w:pPr>
    </w:p>
    <w:p w14:paraId="1AB53BF2" w14:textId="77777777" w:rsidR="00C27B4E" w:rsidRDefault="00C27B4E" w:rsidP="00C27B4E">
      <w:pPr>
        <w:pStyle w:val="ListParagraph"/>
        <w:numPr>
          <w:ilvl w:val="0"/>
          <w:numId w:val="1"/>
        </w:numPr>
      </w:pPr>
      <w:r>
        <w:t>Register with the Environment Agency as a licensed waste carrier and secure a compliant depot in Park Royal, London by month 2.</w:t>
      </w:r>
    </w:p>
    <w:p w14:paraId="35C965DE" w14:textId="77777777" w:rsidR="00C27B4E" w:rsidRDefault="00C27B4E" w:rsidP="00C27B4E">
      <w:pPr>
        <w:pStyle w:val="ListParagraph"/>
      </w:pPr>
    </w:p>
    <w:p w14:paraId="6A8B5427" w14:textId="041E0E11" w:rsidR="00F53214" w:rsidRDefault="00C27B4E" w:rsidP="00F53214">
      <w:pPr>
        <w:pStyle w:val="ListParagraph"/>
        <w:numPr>
          <w:ilvl w:val="0"/>
          <w:numId w:val="1"/>
        </w:numPr>
      </w:pPr>
      <w:r>
        <w:t>Secure at least 15 demolition, soft-strip or site-clearance contracts and generate £350,000 in revenue by the end of Year 1.</w:t>
      </w:r>
    </w:p>
    <w:p w14:paraId="6FAAFE68" w14:textId="56357A18" w:rsidR="00747FD5" w:rsidRDefault="00AD04A3" w:rsidP="00C27B4E">
      <w:pPr>
        <w:pStyle w:val="Heading3"/>
      </w:pPr>
      <w:bookmarkStart w:id="6" w:name="_Toc120719597"/>
      <w:r>
        <w:t xml:space="preserve">Long-Term Objectives (More than a year)</w:t>
      </w:r>
      <w:bookmarkEnd w:id="6"/>
    </w:p>
    <w:p w14:paraId="3829788A" w14:textId="77777777" w:rsidR="00C27B4E" w:rsidRDefault="00C27B4E" w:rsidP="00C27B4E"/>
    <w:p w14:paraId="3CC35C7E" w14:textId="105FC16A" w:rsidR="00C27B4E" w:rsidRDefault="00C27B4E" w:rsidP="00C27B4E">
      <w:pPr>
        <w:pStyle w:val="ListParagraph"/>
        <w:numPr>
          <w:ilvl w:val="0"/>
          <w:numId w:val="1"/>
        </w:numPr>
      </w:pPr>
      <w:r>
        <w:t>Grow the plant fleet from 2 to 5 excavators, including a robotic demolition unit, and increase annual turnover to £0.8–£1.5 million by the end of Year 3.</w:t>
      </w:r>
    </w:p>
    <w:p w14:paraId="3CFF2343" w14:textId="77777777" w:rsidR="00C27B4E" w:rsidRDefault="00C27B4E" w:rsidP="00C27B4E">
      <w:pPr>
        <w:pStyle w:val="ListParagraph"/>
      </w:pPr>
    </w:p>
    <w:p w14:paraId="3CCEB132" w14:textId="764296F9" w:rsidR="00C27B4E" w:rsidRDefault="00C27B4E" w:rsidP="00C27B4E">
      <w:pPr>
        <w:pStyle w:val="ListParagraph"/>
        <w:numPr>
          <w:ilvl w:val="0"/>
          <w:numId w:val="1"/>
        </w:numPr>
      </w:pPr>
      <w:r>
        <w:t>Achieve ISO 9001 (Quality Management) and ISO 14001 (Environmental Management) certification by the end of Year 2.</w:t>
      </w:r>
    </w:p>
    <w:p w14:paraId="535F4152" w14:textId="77777777" w:rsidR="00C27B4E" w:rsidRDefault="00C27B4E" w:rsidP="00C27B4E">
      <w:pPr>
        <w:pStyle w:val="ListParagraph"/>
      </w:pPr>
    </w:p>
    <w:p w14:paraId="60D480D4" w14:textId="77777777" w:rsidR="00C27B4E" w:rsidRDefault="00C27B4E" w:rsidP="00C27B4E">
      <w:pPr>
        <w:pStyle w:val="ListParagraph"/>
        <w:numPr>
          <w:ilvl w:val="0"/>
          <w:numId w:val="1"/>
        </w:numPr>
      </w:pPr>
    </w:p>
    <w:p w14:paraId="79704637" w14:textId="2A4CE70C" w:rsidR="00C27B4E" w:rsidRDefault="00C27B4E" w:rsidP="00C27B4E">
      <w:pPr>
        <w:pStyle w:val="ListParagraph"/>
        <w:numPr>
          <w:ilvl w:val="0"/>
          <w:numId w:val="1"/>
        </w:numPr>
      </w:pPr>
      <w:r>
        <w:t>Open a new depot to broaden geographic reach.</w:t>
      </w:r>
    </w:p>
    <w:p w14:paraId="0BFD450E" w14:textId="77777777" w:rsidR="00C27B4E" w:rsidRDefault="00C27B4E" w:rsidP="00C27B4E">
      <w:pPr>
        <w:pStyle w:val="ListParagraph"/>
      </w:pPr>
    </w:p>
    <w:p w14:paraId="59867C54" w14:textId="38A8F4FD" w:rsidR="00C27B4E" w:rsidRDefault="00C27B4E" w:rsidP="00C27B4E">
      <w:pPr>
        <w:pStyle w:val="ListParagraph"/>
        <w:numPr>
          <w:ilvl w:val="0"/>
          <w:numId w:val="1"/>
        </w:numPr>
      </w:pPr>
      <w:r>
        <w:t>Build direct-tender relationships with three local authorities or housing associations by Year 3.</w:t>
      </w:r>
    </w:p>
    <w:p w14:paraId="1F6EA4D0" w14:textId="77777777" w:rsidR="00747FD5" w:rsidRDefault="00747FD5" w:rsidP="00747FD5">
      <w:pPr>
        <w:rPr>
          <w:sz w:val="40"/>
          <w:szCs w:val="40"/>
        </w:rPr>
      </w:pPr>
    </w:p>
    <w:p w14:paraId="397D909A" w14:textId="2D6A0664" w:rsidR="00747FD5" w:rsidRDefault="00747FD5" w:rsidP="00747FD5">
      <w:pPr>
        <w:rPr>
          <w:sz w:val="40"/>
          <w:szCs w:val="40"/>
        </w:rPr>
      </w:pPr>
    </w:p>
    <w:p w14:paraId="5783F9D3" w14:textId="5B50AC88" w:rsidR="00F114BD" w:rsidRDefault="00F114BD" w:rsidP="00747FD5">
      <w:pPr>
        <w:rPr>
          <w:sz w:val="40"/>
          <w:szCs w:val="40"/>
        </w:rPr>
      </w:pPr>
    </w:p>
    <w:p w14:paraId="40F7C9C1" w14:textId="4DBB69EA" w:rsidR="00F114BD" w:rsidRDefault="00F114BD" w:rsidP="00747FD5">
      <w:pPr>
        <w:rPr>
          <w:sz w:val="40"/>
          <w:szCs w:val="40"/>
        </w:rPr>
      </w:pPr>
    </w:p>
    <w:p w14:paraId="5EBE6218" w14:textId="77777777" w:rsidR="00F114BD" w:rsidRDefault="00F114BD" w:rsidP="00747FD5">
      <w:pPr>
        <w:rPr>
          <w:sz w:val="40"/>
          <w:szCs w:val="40"/>
        </w:rPr>
      </w:pPr>
    </w:p>
    <w:p w14:paraId="36F6D775" w14:textId="72B58A0A" w:rsidR="00747FD5" w:rsidRDefault="00747FD5" w:rsidP="00070E9B">
      <w:pPr>
        <w:pStyle w:val="Heading1"/>
      </w:pPr>
      <w:bookmarkStart w:id="7" w:name="_Toc120719598"/>
      <w:r>
        <w:t>Market Analysis and Marketing Plan</w:t>
      </w:r>
      <w:bookmarkEnd w:id="7"/>
    </w:p>
    <w:p w14:paraId="1812ABA6" w14:textId="77777777" w:rsidR="00C27B4E" w:rsidRDefault="00C27B4E" w:rsidP="00C27B4E"/>
    <w:p w14:paraId="540B2078" w14:textId="3EFE4E4F" w:rsidR="00C27B4E" w:rsidRDefault="00C27B4E" w:rsidP="00C27B4E">
      <w:r>
        <w:lastRenderedPageBreak/>
        <w:t xml:space="preserve">This section analyses the market the Company will operate in, the competitive and regulatory environment, and the marketing approach used to win and retain clients.</w:t>
      </w:r>
    </w:p>
    <w:p w14:paraId="3BBF40F4" w14:textId="77777777" w:rsidR="00C27B4E" w:rsidRPr="00C27B4E" w:rsidRDefault="00C27B4E" w:rsidP="00C27B4E"/>
    <w:p w14:paraId="608D59BE" w14:textId="0DE33ABE" w:rsidR="00747FD5" w:rsidRDefault="00F114BD" w:rsidP="00F114BD">
      <w:pPr>
        <w:pStyle w:val="Heading2"/>
      </w:pPr>
      <w:bookmarkStart w:id="8" w:name="_Toc120719599"/>
      <w:r>
        <w:t>Market Analysis (Competitors, Customers, Target Groups)</w:t>
      </w:r>
      <w:bookmarkEnd w:id="8"/>
    </w:p>
    <w:p w14:paraId="61514F6E" w14:textId="6B7396F0" w:rsidR="00F114BD" w:rsidRDefault="00F114BD" w:rsidP="00F114BD"/>
    <w:p w14:paraId="33953602" w14:textId="4DA43CAE" w:rsidR="00C27B4E" w:rsidRDefault="00C27B4E" w:rsidP="00C27B4E">
      <w:r>
        <w:t>The UK demolition industry generated an estimated £1.3 billion in revenue in 2025</w:t>
      </w:r>
      <w:r>
        <w:rPr>
          <w:rStyle w:val="FootnoteReference"/>
        </w:rPr>
        <w:footnoteReference w:id="1"/>
      </w:r>
    </w:p>
    <w:p w14:paraId="7E45CB75" w14:textId="4720DF7E" w:rsidR="00C27B4E" w:rsidRDefault="00C27B4E" w:rsidP="00C27B4E">
      <w:r>
        <w:t>Competitors: The market is characterised by a small number of large national contractors that dominate major infrastructure and high-rise demolition projects, alongside a very large number of small, often informal, local operators. Davlatsho &amp; Co Demolitions Limited will position itself in the underserved middle tier: regional contracts of £5000–£100,000 that are too small to interest national players but require the accreditation, insurance and health &amp; safety systems that informal operators typically lack.</w:t>
      </w:r>
    </w:p>
    <w:p w14:paraId="569B3473" w14:textId="1F4729D7" w:rsidR="00C27B4E" w:rsidRDefault="00C27B4E" w:rsidP="00C27B4E">
      <w:r>
        <w:t>Customers: Principal contractors requiring demolition or strip-out subcontractors; property developers undertaking site assembly ahead of redevelopment; local authorities and housing associations clearing sites for regeneration schemes; and private commercial landlords undertaking refurbishment or change-of-use projects.</w:t>
      </w:r>
    </w:p>
    <w:p w14:paraId="4C7252FF" w14:textId="730BAC5B" w:rsidR="00F53214" w:rsidRDefault="00C27B4E" w:rsidP="00C27B4E">
      <w:r>
        <w:t xml:space="preserve">Target groups: Initially, the Company will target subcontract soft-strip and partial-demolition packages (£5000–£100,000) from principal contractors operating in Greater London, before building direct-tender relationships with local authorities and housing associations for larger structural demolition and site-clearance contracts from Year 2 onward.</w:t>
      </w:r>
    </w:p>
    <w:p w14:paraId="2DB9B094" w14:textId="77777777" w:rsidR="00F53214" w:rsidRDefault="00F53214" w:rsidP="00F114BD"/>
    <w:p w14:paraId="356C9AAA" w14:textId="0AEBDD93" w:rsidR="00F114BD" w:rsidRDefault="00F114BD" w:rsidP="00D82F48">
      <w:pPr>
        <w:pStyle w:val="Heading2"/>
      </w:pPr>
      <w:bookmarkStart w:id="9" w:name="_Toc120719600"/>
      <w:r>
        <w:t>PESTEL Analysis</w:t>
      </w:r>
      <w:bookmarkEnd w:id="9"/>
      <w:r>
        <w:t xml:space="preserve"> </w:t>
      </w:r>
    </w:p>
    <w:p w14:paraId="2425211A" w14:textId="77777777" w:rsidR="00C27B4E" w:rsidRDefault="00C27B4E" w:rsidP="00C27B4E"/>
    <w:p w14:paraId="4C5CDC2F" w14:textId="77777777" w:rsidR="00C27B4E" w:rsidRDefault="00C27B4E" w:rsidP="00C27B4E">
      <w:pPr>
        <w:pStyle w:val="Heading2"/>
      </w:pPr>
      <w:bookmarkStart w:id="10" w:name="_Toc120719601"/>
      <w:r>
        <w:t>SWOT Analysis</w:t>
      </w:r>
      <w:bookmarkEnd w:id="10"/>
    </w:p>
    <w:p w14:paraId="15A00A7A" w14:textId="10261C88" w:rsidR="00F114BD" w:rsidRDefault="00F114BD" w:rsidP="00F114BD"/>
    <w:tbl>
      <w:tblPr>
        <w:tblStyle w:val="TableGrid"/>
        <w:tblW w:w="9000" w:type="dxa"/>
        <w:tblLook w:val="04A0" w:firstRow="1" w:lastRow="0" w:firstColumn="1" w:lastColumn="0" w:noHBand="0" w:noVBand="1"/>
      </w:tblPr>
      <w:tblGrid>
        <w:gridCol w:w="4500"/>
        <w:gridCol w:w="4500"/>
      </w:tblGrid>
      <w:tr w:rsidR="00C27B4E" w:rsidRPr="00C27B4E" w14:paraId="2B6842DE" w14:textId="77777777">
        <w:tc>
          <w:tcPr>
            <w:tcW w:w="4500" w:type="dxa"/>
            <w:tcBorders>
              <w:top w:val="single" w:sz="4" w:space="0" w:color="auto"/>
              <w:left w:val="single" w:sz="4" w:space="0" w:color="auto"/>
              <w:bottom w:val="single" w:sz="4" w:space="0" w:color="auto"/>
              <w:right w:val="single" w:sz="4" w:space="0" w:color="auto"/>
            </w:tcBorders>
            <w:shd w:val="clear" w:color="auto" w:fill="D9D9D9"/>
            <w:hideMark/>
          </w:tcPr>
          <w:p w14:paraId="66E38604" w14:textId="77777777" w:rsidR="00C27B4E" w:rsidRPr="00C27B4E" w:rsidRDefault="00C27B4E" w:rsidP="00C27B4E">
            <w:pPr>
              <w:spacing w:after="160" w:line="259" w:lineRule="auto"/>
            </w:pPr>
            <w:r>
              <w:rPr>
                <w:b/>
                <w:bCs/>
              </w:rPr>
              <w:t>Strengths</w:t>
            </w:r>
          </w:p>
        </w:tc>
        <w:tc>
          <w:tcPr>
            <w:tcW w:w="4500" w:type="dxa"/>
            <w:tcBorders>
              <w:top w:val="single" w:sz="4" w:space="0" w:color="auto"/>
              <w:left w:val="single" w:sz="4" w:space="0" w:color="auto"/>
              <w:bottom w:val="single" w:sz="4" w:space="0" w:color="auto"/>
              <w:right w:val="single" w:sz="4" w:space="0" w:color="auto"/>
            </w:tcBorders>
            <w:shd w:val="clear" w:color="auto" w:fill="D9D9D9"/>
            <w:hideMark/>
          </w:tcPr>
          <w:p w14:paraId="4199268A" w14:textId="77777777" w:rsidR="00C27B4E" w:rsidRPr="00C27B4E" w:rsidRDefault="00C27B4E" w:rsidP="00C27B4E">
            <w:pPr>
              <w:spacing w:after="160" w:line="259" w:lineRule="auto"/>
            </w:pPr>
            <w:r>
              <w:rPr>
                <w:b/>
                <w:bCs/>
              </w:rPr>
              <w:t>Weaknesses</w:t>
            </w:r>
          </w:p>
        </w:tc>
      </w:tr>
      <w:tr w:rsidR="00C27B4E" w:rsidRPr="00C27B4E" w14:paraId="093B0794" w14:textId="77777777">
        <w:tc>
          <w:tcPr>
            <w:tcW w:w="4500" w:type="dxa"/>
            <w:tcBorders>
              <w:top w:val="single" w:sz="4" w:space="0" w:color="auto"/>
              <w:left w:val="single" w:sz="4" w:space="0" w:color="auto"/>
              <w:bottom w:val="single" w:sz="4" w:space="0" w:color="auto"/>
              <w:right w:val="single" w:sz="4" w:space="0" w:color="auto"/>
            </w:tcBorders>
            <w:hideMark/>
          </w:tcPr>
          <w:p w14:paraId="59DA041B" w14:textId="77777777" w:rsidR="00C27B4E" w:rsidRPr="00C27B4E" w:rsidRDefault="00C27B4E" w:rsidP="00C27B4E">
            <w:pPr>
              <w:numPr>
                <w:ilvl w:val="0"/>
                <w:numId w:val="2"/>
              </w:numPr>
              <w:spacing w:after="160" w:line="259" w:lineRule="auto"/>
            </w:pPr>
            <w:r>
              <w:t>Experienced management team with backgrounds in principal contracting, CDM compliance and plant operations</w:t>
            </w:r>
          </w:p>
          <w:p w14:paraId="1BDC6843" w14:textId="77777777" w:rsidR="00C27B4E" w:rsidRPr="00C27B4E" w:rsidRDefault="00C27B4E" w:rsidP="00C27B4E">
            <w:pPr>
              <w:numPr>
                <w:ilvl w:val="0"/>
                <w:numId w:val="2"/>
              </w:numPr>
              <w:spacing w:after="160" w:line="259" w:lineRule="auto"/>
            </w:pPr>
            <w:r>
              <w:t>Modern, well-maintained plant fleet with attachments suited to both structural and selective demolition</w:t>
            </w:r>
          </w:p>
          <w:p w14:paraId="71988DC1" w14:textId="21E00FE7" w:rsidR="00C27B4E" w:rsidRPr="00C27B4E" w:rsidRDefault="00C27B4E" w:rsidP="00C27B4E">
            <w:pPr>
              <w:numPr>
                <w:ilvl w:val="0"/>
                <w:numId w:val="2"/>
              </w:numPr>
              <w:spacing w:after="160" w:line="259" w:lineRule="auto"/>
            </w:pPr>
            <w:r>
              <w:t>Strong safety culture</w:t>
            </w:r>
          </w:p>
          <w:p w14:paraId="048326E5" w14:textId="77777777" w:rsidR="00C27B4E" w:rsidRPr="00C27B4E" w:rsidRDefault="00C27B4E" w:rsidP="00C27B4E">
            <w:pPr>
              <w:numPr>
                <w:ilvl w:val="0"/>
                <w:numId w:val="2"/>
              </w:numPr>
              <w:spacing w:after="160" w:line="259" w:lineRule="auto"/>
            </w:pPr>
            <w:r>
              <w:t>High materials-recycling capability supporting client sustainability commitments</w:t>
            </w:r>
          </w:p>
        </w:tc>
        <w:tc>
          <w:tcPr>
            <w:tcW w:w="4500" w:type="dxa"/>
            <w:tcBorders>
              <w:top w:val="single" w:sz="4" w:space="0" w:color="auto"/>
              <w:left w:val="single" w:sz="4" w:space="0" w:color="auto"/>
              <w:bottom w:val="single" w:sz="4" w:space="0" w:color="auto"/>
              <w:right w:val="single" w:sz="4" w:space="0" w:color="auto"/>
            </w:tcBorders>
            <w:hideMark/>
          </w:tcPr>
          <w:p w14:paraId="3677C362" w14:textId="77777777" w:rsidR="00C27B4E" w:rsidRPr="00C27B4E" w:rsidRDefault="00C27B4E" w:rsidP="00C27B4E">
            <w:pPr>
              <w:numPr>
                <w:ilvl w:val="0"/>
                <w:numId w:val="2"/>
              </w:numPr>
              <w:spacing w:after="160" w:line="259" w:lineRule="auto"/>
            </w:pPr>
            <w:r>
              <w:t>New entrant without an established track record or brand recognition</w:t>
            </w:r>
          </w:p>
          <w:p w14:paraId="2B8F562D" w14:textId="77777777" w:rsidR="00C27B4E" w:rsidRPr="00C27B4E" w:rsidRDefault="00C27B4E" w:rsidP="00C27B4E">
            <w:pPr>
              <w:numPr>
                <w:ilvl w:val="0"/>
                <w:numId w:val="2"/>
              </w:numPr>
              <w:spacing w:after="160" w:line="259" w:lineRule="auto"/>
            </w:pPr>
            <w:r>
              <w:t>Limited fleet size and capital base compared with national competitors in Year 1</w:t>
            </w:r>
          </w:p>
          <w:p w14:paraId="34E9D271" w14:textId="77777777" w:rsidR="00C27B4E" w:rsidRPr="00C27B4E" w:rsidRDefault="00C27B4E" w:rsidP="00C27B4E">
            <w:pPr>
              <w:numPr>
                <w:ilvl w:val="0"/>
                <w:numId w:val="2"/>
              </w:numPr>
              <w:spacing w:after="160" w:line="259" w:lineRule="auto"/>
            </w:pPr>
            <w:r>
              <w:t>Reliance on subcontracted licensed asbestos removal rather than in-house capability</w:t>
            </w:r>
          </w:p>
        </w:tc>
      </w:tr>
    </w:tbl>
    <w:p w14:paraId="547B4F0D" w14:textId="51D887DD" w:rsidR="00F114BD" w:rsidRDefault="00F114BD" w:rsidP="00F114BD"/>
    <w:tbl>
      <w:tblPr>
        <w:tblStyle w:val="TableGrid"/>
        <w:tblW w:w="9000" w:type="dxa"/>
        <w:tblLook w:val="04A0" w:firstRow="1" w:lastRow="0" w:firstColumn="1" w:lastColumn="0" w:noHBand="0" w:noVBand="1"/>
      </w:tblPr>
      <w:tblGrid>
        <w:gridCol w:w="4500"/>
        <w:gridCol w:w="4500"/>
      </w:tblGrid>
      <w:tr w:rsidR="006F73A5" w:rsidRPr="006F73A5" w14:paraId="2F18E150" w14:textId="77777777">
        <w:tc>
          <w:tcPr>
            <w:tcW w:w="4500" w:type="dxa"/>
            <w:tcBorders>
              <w:top w:val="single" w:sz="4" w:space="0" w:color="auto"/>
              <w:left w:val="single" w:sz="4" w:space="0" w:color="auto"/>
              <w:bottom w:val="single" w:sz="4" w:space="0" w:color="auto"/>
              <w:right w:val="single" w:sz="4" w:space="0" w:color="auto"/>
            </w:tcBorders>
            <w:shd w:val="clear" w:color="auto" w:fill="D9D9D9"/>
            <w:hideMark/>
          </w:tcPr>
          <w:p w14:paraId="3F58D2AC" w14:textId="77777777" w:rsidR="006F73A5" w:rsidRPr="006F73A5" w:rsidRDefault="006F73A5" w:rsidP="006F73A5">
            <w:pPr>
              <w:spacing w:after="160" w:line="259" w:lineRule="auto"/>
            </w:pPr>
            <w:r>
              <w:rPr>
                <w:b/>
                <w:bCs/>
              </w:rPr>
              <w:t>Opportunities</w:t>
            </w:r>
          </w:p>
        </w:tc>
        <w:tc>
          <w:tcPr>
            <w:tcW w:w="4500" w:type="dxa"/>
            <w:tcBorders>
              <w:top w:val="single" w:sz="4" w:space="0" w:color="auto"/>
              <w:left w:val="single" w:sz="4" w:space="0" w:color="auto"/>
              <w:bottom w:val="single" w:sz="4" w:space="0" w:color="auto"/>
              <w:right w:val="single" w:sz="4" w:space="0" w:color="auto"/>
            </w:tcBorders>
            <w:shd w:val="clear" w:color="auto" w:fill="D9D9D9"/>
            <w:hideMark/>
          </w:tcPr>
          <w:p w14:paraId="4D96D93D" w14:textId="77777777" w:rsidR="006F73A5" w:rsidRPr="006F73A5" w:rsidRDefault="006F73A5" w:rsidP="006F73A5">
            <w:pPr>
              <w:spacing w:after="160" w:line="259" w:lineRule="auto"/>
            </w:pPr>
            <w:r>
              <w:rPr>
                <w:b/>
                <w:bCs/>
              </w:rPr>
              <w:t>Threats</w:t>
            </w:r>
          </w:p>
        </w:tc>
      </w:tr>
      <w:tr w:rsidR="006F73A5" w:rsidRPr="006F73A5" w14:paraId="7C82EA7A" w14:textId="77777777">
        <w:tc>
          <w:tcPr>
            <w:tcW w:w="4500" w:type="dxa"/>
            <w:tcBorders>
              <w:top w:val="single" w:sz="4" w:space="0" w:color="auto"/>
              <w:left w:val="single" w:sz="4" w:space="0" w:color="auto"/>
              <w:bottom w:val="single" w:sz="4" w:space="0" w:color="auto"/>
              <w:right w:val="single" w:sz="4" w:space="0" w:color="auto"/>
            </w:tcBorders>
            <w:hideMark/>
          </w:tcPr>
          <w:p w14:paraId="68887FF8" w14:textId="77777777" w:rsidR="006F73A5" w:rsidRPr="006F73A5" w:rsidRDefault="006F73A5" w:rsidP="006F73A5">
            <w:pPr>
              <w:numPr>
                <w:ilvl w:val="0"/>
                <w:numId w:val="2"/>
              </w:numPr>
              <w:spacing w:after="160" w:line="259" w:lineRule="auto"/>
            </w:pPr>
            <w:r>
              <w:t>Continued government housing and infrastructure investment driving demand for enabling and clearance works</w:t>
            </w:r>
          </w:p>
          <w:p w14:paraId="57A238FD" w14:textId="77777777" w:rsidR="006F73A5" w:rsidRPr="006F73A5" w:rsidRDefault="006F73A5" w:rsidP="006F73A5">
            <w:pPr>
              <w:numPr>
                <w:ilvl w:val="0"/>
                <w:numId w:val="2"/>
              </w:numPr>
              <w:spacing w:after="160" w:line="259" w:lineRule="auto"/>
            </w:pPr>
            <w:r>
              <w:t>Growing client demand for high-recycling, low-carbon demolition methods</w:t>
            </w:r>
          </w:p>
          <w:p w14:paraId="05713155" w14:textId="77777777" w:rsidR="006F73A5" w:rsidRPr="006F73A5" w:rsidRDefault="006F73A5" w:rsidP="006F73A5">
            <w:pPr>
              <w:numPr>
                <w:ilvl w:val="0"/>
                <w:numId w:val="2"/>
              </w:numPr>
              <w:spacing w:after="160" w:line="259" w:lineRule="auto"/>
            </w:pPr>
            <w:r>
              <w:t>Underserved £50,000–£2m contract segment between informal local operators and national contractors</w:t>
            </w:r>
          </w:p>
          <w:p w14:paraId="627E412D" w14:textId="77777777" w:rsidR="006F73A5" w:rsidRPr="006F73A5" w:rsidRDefault="006F73A5" w:rsidP="006F73A5">
            <w:pPr>
              <w:numPr>
                <w:ilvl w:val="0"/>
                <w:numId w:val="2"/>
              </w:numPr>
              <w:spacing w:after="160" w:line="259" w:lineRule="auto"/>
            </w:pPr>
            <w:r>
              <w:t>Potential to diversify into materials reclamation/resale as a circular-economy revenue stream</w:t>
            </w:r>
          </w:p>
        </w:tc>
        <w:tc>
          <w:tcPr>
            <w:tcW w:w="4500" w:type="dxa"/>
            <w:tcBorders>
              <w:top w:val="single" w:sz="4" w:space="0" w:color="auto"/>
              <w:left w:val="single" w:sz="4" w:space="0" w:color="auto"/>
              <w:bottom w:val="single" w:sz="4" w:space="0" w:color="auto"/>
              <w:right w:val="single" w:sz="4" w:space="0" w:color="auto"/>
            </w:tcBorders>
            <w:hideMark/>
          </w:tcPr>
          <w:p w14:paraId="20973723" w14:textId="77777777" w:rsidR="006F73A5" w:rsidRPr="006F73A5" w:rsidRDefault="006F73A5" w:rsidP="006F73A5">
            <w:pPr>
              <w:numPr>
                <w:ilvl w:val="0"/>
                <w:numId w:val="2"/>
              </w:numPr>
              <w:spacing w:after="160" w:line="259" w:lineRule="auto"/>
            </w:pPr>
            <w:r>
              <w:t>Established national and regional competitors with greater capital, accreditation history and client relationships</w:t>
            </w:r>
          </w:p>
          <w:p w14:paraId="642B00BF" w14:textId="77777777" w:rsidR="006F73A5" w:rsidRPr="006F73A5" w:rsidRDefault="006F73A5" w:rsidP="006F73A5">
            <w:pPr>
              <w:numPr>
                <w:ilvl w:val="0"/>
                <w:numId w:val="2"/>
              </w:numPr>
              <w:spacing w:after="160" w:line="259" w:lineRule="auto"/>
            </w:pPr>
            <w:r>
              <w:t>Rising fuel, plant-hire, insurance and waste-disposal costs compressing margins</w:t>
            </w:r>
          </w:p>
          <w:p w14:paraId="60C880B8" w14:textId="371A2C03" w:rsidR="006F73A5" w:rsidRPr="006F73A5" w:rsidRDefault="006F73A5" w:rsidP="006F73A5">
            <w:pPr>
              <w:numPr>
                <w:ilvl w:val="0"/>
                <w:numId w:val="2"/>
              </w:numPr>
              <w:spacing w:after="160" w:line="259" w:lineRule="auto"/>
            </w:pPr>
            <w:r>
              <w:t>Skills shortage among plant operators and site supervisors</w:t>
            </w:r>
          </w:p>
          <w:p w14:paraId="06FEEAD0" w14:textId="26B634F4" w:rsidR="006F73A5" w:rsidRPr="006F73A5" w:rsidRDefault="006F73A5" w:rsidP="006F73A5">
            <w:pPr>
              <w:numPr>
                <w:ilvl w:val="0"/>
                <w:numId w:val="2"/>
              </w:numPr>
              <w:spacing w:after="160" w:line="259" w:lineRule="auto"/>
            </w:pPr>
            <w:r>
              <w:t>Wider construction-sector volatility, with 2026 output forecast to contract</w:t>
            </w:r>
          </w:p>
        </w:tc>
      </w:tr>
    </w:tbl>
    <w:p w14:paraId="6BBE0214" w14:textId="77777777" w:rsidR="00F53214" w:rsidRDefault="00F53214" w:rsidP="00F114BD"/>
    <w:p w14:paraId="1A173AF3" w14:textId="083D43FD" w:rsidR="00F114BD" w:rsidRDefault="00F114BD" w:rsidP="00F114BD"/>
    <w:p w14:paraId="2C8B1545" w14:textId="75DD7C92" w:rsidR="00747FD5" w:rsidRDefault="00D82F48" w:rsidP="00D82F48">
      <w:pPr>
        <w:pStyle w:val="Heading2"/>
        <w:rPr>
          <w:sz w:val="40"/>
          <w:szCs w:val="40"/>
        </w:rPr>
      </w:pPr>
      <w:bookmarkStart w:id="11" w:name="_Toc120719602"/>
      <w:r>
        <w:t>Marketing Mix (4Ps)</w:t>
      </w:r>
      <w:bookmarkEnd w:id="11"/>
    </w:p>
    <w:p w14:paraId="3231F3D7" w14:textId="7362ADA0" w:rsidR="00747FD5" w:rsidRDefault="00747FD5" w:rsidP="00F53214"/>
    <w:tbl>
      <w:tblPr>
        <w:tblStyle w:val="TableGrid"/>
        <w:tblW w:w="9000" w:type="dxa"/>
        <w:tblLook w:val="04A0" w:firstRow="1" w:lastRow="0" w:firstColumn="1" w:lastColumn="0" w:noHBand="0" w:noVBand="1"/>
      </w:tblPr>
      <w:tblGrid>
        <w:gridCol w:w="1800"/>
        <w:gridCol w:w="7200"/>
      </w:tblGrid>
      <w:tr w:rsidR="006F73A5" w:rsidRPr="006F73A5" w14:paraId="6A596D41" w14:textId="77777777">
        <w:tc>
          <w:tcPr>
            <w:tcW w:w="1800" w:type="dxa"/>
            <w:tcBorders>
              <w:top w:val="single" w:sz="4" w:space="0" w:color="auto"/>
              <w:left w:val="single" w:sz="4" w:space="0" w:color="auto"/>
              <w:bottom w:val="single" w:sz="4" w:space="0" w:color="auto"/>
              <w:right w:val="single" w:sz="4" w:space="0" w:color="auto"/>
            </w:tcBorders>
            <w:shd w:val="clear" w:color="auto" w:fill="D9D9D9"/>
            <w:hideMark/>
          </w:tcPr>
          <w:p w14:paraId="11B8A8F5" w14:textId="77777777" w:rsidR="006F73A5" w:rsidRPr="006F73A5" w:rsidRDefault="006F73A5" w:rsidP="006F73A5">
            <w:pPr>
              <w:spacing w:after="160" w:line="259" w:lineRule="auto"/>
            </w:pPr>
            <w:r>
              <w:rPr>
                <w:b/>
                <w:bCs/>
              </w:rPr>
              <w:t>Element</w:t>
            </w:r>
          </w:p>
        </w:tc>
        <w:tc>
          <w:tcPr>
            <w:tcW w:w="7200" w:type="dxa"/>
            <w:tcBorders>
              <w:top w:val="single" w:sz="4" w:space="0" w:color="auto"/>
              <w:left w:val="single" w:sz="4" w:space="0" w:color="auto"/>
              <w:bottom w:val="single" w:sz="4" w:space="0" w:color="auto"/>
              <w:right w:val="single" w:sz="4" w:space="0" w:color="auto"/>
            </w:tcBorders>
            <w:shd w:val="clear" w:color="auto" w:fill="D9D9D9"/>
            <w:hideMark/>
          </w:tcPr>
          <w:p w14:paraId="74368356" w14:textId="77777777" w:rsidR="006F73A5" w:rsidRPr="006F73A5" w:rsidRDefault="006F73A5" w:rsidP="006F73A5">
            <w:pPr>
              <w:spacing w:after="160" w:line="259" w:lineRule="auto"/>
            </w:pPr>
            <w:r>
              <w:rPr>
                <w:b/>
                <w:bCs/>
              </w:rPr>
              <w:t>Approach</w:t>
            </w:r>
          </w:p>
        </w:tc>
      </w:tr>
      <w:tr w:rsidR="006F73A5" w:rsidRPr="006F73A5" w14:paraId="3F5AF608" w14:textId="77777777">
        <w:tc>
          <w:tcPr>
            <w:tcW w:w="1800" w:type="dxa"/>
            <w:tcBorders>
              <w:top w:val="single" w:sz="4" w:space="0" w:color="auto"/>
              <w:left w:val="single" w:sz="4" w:space="0" w:color="auto"/>
              <w:bottom w:val="single" w:sz="4" w:space="0" w:color="auto"/>
              <w:right w:val="single" w:sz="4" w:space="0" w:color="auto"/>
            </w:tcBorders>
            <w:hideMark/>
          </w:tcPr>
          <w:p w14:paraId="03C14FED" w14:textId="77777777" w:rsidR="006F73A5" w:rsidRPr="006F73A5" w:rsidRDefault="006F73A5" w:rsidP="006F73A5">
            <w:pPr>
              <w:spacing w:after="160" w:line="259" w:lineRule="auto"/>
            </w:pPr>
            <w:r>
              <w:t>Product</w:t>
            </w:r>
          </w:p>
        </w:tc>
        <w:tc>
          <w:tcPr>
            <w:tcW w:w="7200" w:type="dxa"/>
            <w:tcBorders>
              <w:top w:val="single" w:sz="4" w:space="0" w:color="auto"/>
              <w:left w:val="single" w:sz="4" w:space="0" w:color="auto"/>
              <w:bottom w:val="single" w:sz="4" w:space="0" w:color="auto"/>
              <w:right w:val="single" w:sz="4" w:space="0" w:color="auto"/>
            </w:tcBorders>
            <w:hideMark/>
          </w:tcPr>
          <w:p w14:paraId="2A23ED7F" w14:textId="71802DDE" w:rsidR="006F73A5" w:rsidRPr="006F73A5" w:rsidRDefault="006F73A5" w:rsidP="006F73A5">
            <w:pPr>
              <w:spacing w:after="160" w:line="259" w:lineRule="auto"/>
            </w:pPr>
            <w:r>
              <w:t>Safety-accredited, licensed demolition, soft-strip, selective deconstruction and site-clearance services with a strong recycling/waste-diversion offer</w:t>
            </w:r>
          </w:p>
        </w:tc>
      </w:tr>
      <w:tr w:rsidR="006F73A5" w:rsidRPr="006F73A5" w14:paraId="6168C519" w14:textId="77777777">
        <w:tc>
          <w:tcPr>
            <w:tcW w:w="1800" w:type="dxa"/>
            <w:tcBorders>
              <w:top w:val="single" w:sz="4" w:space="0" w:color="auto"/>
              <w:left w:val="single" w:sz="4" w:space="0" w:color="auto"/>
              <w:bottom w:val="single" w:sz="4" w:space="0" w:color="auto"/>
              <w:right w:val="single" w:sz="4" w:space="0" w:color="auto"/>
            </w:tcBorders>
            <w:hideMark/>
          </w:tcPr>
          <w:p w14:paraId="1F9D6308" w14:textId="77777777" w:rsidR="006F73A5" w:rsidRPr="006F73A5" w:rsidRDefault="006F73A5" w:rsidP="006F73A5">
            <w:pPr>
              <w:spacing w:after="160" w:line="259" w:lineRule="auto"/>
            </w:pPr>
            <w:r>
              <w:t>Price</w:t>
            </w:r>
          </w:p>
        </w:tc>
        <w:tc>
          <w:tcPr>
            <w:tcW w:w="7200" w:type="dxa"/>
            <w:tcBorders>
              <w:top w:val="single" w:sz="4" w:space="0" w:color="auto"/>
              <w:left w:val="single" w:sz="4" w:space="0" w:color="auto"/>
              <w:bottom w:val="single" w:sz="4" w:space="0" w:color="auto"/>
              <w:right w:val="single" w:sz="4" w:space="0" w:color="auto"/>
            </w:tcBorders>
            <w:hideMark/>
          </w:tcPr>
          <w:p w14:paraId="73ECE060" w14:textId="77777777" w:rsidR="006F73A5" w:rsidRPr="006F73A5" w:rsidRDefault="006F73A5" w:rsidP="006F73A5">
            <w:pPr>
              <w:spacing w:after="160" w:line="259" w:lineRule="auto"/>
            </w:pPr>
            <w:r>
              <w:t>Competitive fixed-price quotations for defined-scope packages and schedule-of-rates pricing for larger or phased contracts; pricing reflects value delivered through speed, safety record and reduced client risk rather than being the lowest-cost bidder.</w:t>
            </w:r>
          </w:p>
        </w:tc>
      </w:tr>
      <w:tr w:rsidR="006F73A5" w:rsidRPr="006F73A5" w14:paraId="04B5F440" w14:textId="77777777">
        <w:tc>
          <w:tcPr>
            <w:tcW w:w="1800" w:type="dxa"/>
            <w:tcBorders>
              <w:top w:val="single" w:sz="4" w:space="0" w:color="auto"/>
              <w:left w:val="single" w:sz="4" w:space="0" w:color="auto"/>
              <w:bottom w:val="single" w:sz="4" w:space="0" w:color="auto"/>
              <w:right w:val="single" w:sz="4" w:space="0" w:color="auto"/>
            </w:tcBorders>
            <w:hideMark/>
          </w:tcPr>
          <w:p w14:paraId="0B5E4499" w14:textId="77777777" w:rsidR="006F73A5" w:rsidRPr="006F73A5" w:rsidRDefault="006F73A5" w:rsidP="006F73A5">
            <w:pPr>
              <w:spacing w:after="160" w:line="259" w:lineRule="auto"/>
            </w:pPr>
            <w:r>
              <w:t>Place</w:t>
            </w:r>
          </w:p>
        </w:tc>
        <w:tc>
          <w:tcPr>
            <w:tcW w:w="7200" w:type="dxa"/>
            <w:tcBorders>
              <w:top w:val="single" w:sz="4" w:space="0" w:color="auto"/>
              <w:left w:val="single" w:sz="4" w:space="0" w:color="auto"/>
              <w:bottom w:val="single" w:sz="4" w:space="0" w:color="auto"/>
              <w:right w:val="single" w:sz="4" w:space="0" w:color="auto"/>
            </w:tcBorders>
            <w:hideMark/>
          </w:tcPr>
          <w:p w14:paraId="3A7A665E" w14:textId="77777777" w:rsidR="006F73A5" w:rsidRPr="006F73A5" w:rsidRDefault="006F73A5" w:rsidP="006F73A5">
            <w:pPr>
              <w:spacing w:after="160" w:line="259" w:lineRule="auto"/>
            </w:pPr>
            <w:r>
              <w:t xml:space="preserve">Operating from a single depot in Park Royal, London, with mobile plant and crews serving Greater London and the wider South East; tenders sourced through contractor frameworks, Constructionline, Find a Tender and direct relationships.</w:t>
            </w:r>
          </w:p>
        </w:tc>
      </w:tr>
      <w:tr w:rsidR="006F73A5" w:rsidRPr="006F73A5" w14:paraId="22EF1F2F" w14:textId="77777777">
        <w:tc>
          <w:tcPr>
            <w:tcW w:w="1800" w:type="dxa"/>
            <w:tcBorders>
              <w:top w:val="single" w:sz="4" w:space="0" w:color="auto"/>
              <w:left w:val="single" w:sz="4" w:space="0" w:color="auto"/>
              <w:bottom w:val="single" w:sz="4" w:space="0" w:color="auto"/>
              <w:right w:val="single" w:sz="4" w:space="0" w:color="auto"/>
            </w:tcBorders>
            <w:hideMark/>
          </w:tcPr>
          <w:p w14:paraId="5367F565" w14:textId="77777777" w:rsidR="006F73A5" w:rsidRPr="006F73A5" w:rsidRDefault="006F73A5" w:rsidP="006F73A5">
            <w:pPr>
              <w:spacing w:after="160" w:line="259" w:lineRule="auto"/>
            </w:pPr>
            <w:r>
              <w:t>Promotion</w:t>
            </w:r>
          </w:p>
        </w:tc>
        <w:tc>
          <w:tcPr>
            <w:tcW w:w="7200" w:type="dxa"/>
            <w:tcBorders>
              <w:top w:val="single" w:sz="4" w:space="0" w:color="auto"/>
              <w:left w:val="single" w:sz="4" w:space="0" w:color="auto"/>
              <w:bottom w:val="single" w:sz="4" w:space="0" w:color="auto"/>
              <w:right w:val="single" w:sz="4" w:space="0" w:color="auto"/>
            </w:tcBorders>
            <w:hideMark/>
          </w:tcPr>
          <w:p w14:paraId="563DFBBB" w14:textId="10BA72B1" w:rsidR="006F73A5" w:rsidRPr="006F73A5" w:rsidRDefault="006F73A5" w:rsidP="006F73A5">
            <w:pPr>
              <w:spacing w:after="160" w:line="259" w:lineRule="auto"/>
            </w:pPr>
            <w:r>
              <w:t>Building credibility through CHAS/SafeContractor/Constructionline accreditation, referrals from principal contractors, a project case-study website and LinkedIn presence, National Federation of Demolition Contractors (NFDC)</w:t>
            </w:r>
            <w:r>
              <w:rPr>
                <w:rStyle w:val="FootnoteReference"/>
              </w:rPr>
              <w:footnoteReference w:id="2"/>
            </w:r>
            <w:r>
              <w:t xml:space="preserve"> membership, and attendance at industry networking events.</w:t>
            </w:r>
          </w:p>
        </w:tc>
      </w:tr>
    </w:tbl>
    <w:p w14:paraId="36B47C4B" w14:textId="6EBBB594" w:rsidR="00747FD5" w:rsidRPr="00747FD5" w:rsidRDefault="00747FD5" w:rsidP="00070E9B">
      <w:pPr>
        <w:pStyle w:val="Heading1"/>
      </w:pPr>
      <w:bookmarkStart w:id="12" w:name="_Toc120719603"/>
      <w:r>
        <w:t>Management Team</w:t>
      </w:r>
      <w:bookmarkEnd w:id="12"/>
      <w:r>
        <w:t xml:space="preserve"> </w:t>
      </w:r>
    </w:p>
    <w:p w14:paraId="3F5F287C" w14:textId="2EEB0041" w:rsidR="00747FD5" w:rsidRDefault="00747FD5" w:rsidP="00F53214"/>
    <w:p w14:paraId="08757D3B" w14:textId="2EE79913" w:rsidR="00F53214" w:rsidRDefault="006F73A5" w:rsidP="00F53214">
      <w:r>
        <w:lastRenderedPageBreak/>
        <w:t>Davlatsho &amp; Co Demolitions Limited will be led by a small management team combining hands-on demolition and plant experience with health &amp; safety and financial management expertise, supported in the early stages by external accountancy and health &amp; safety consultancy support</w:t>
      </w:r>
    </w:p>
    <w:p w14:paraId="6873CF61" w14:textId="77777777" w:rsidR="006F73A5" w:rsidRDefault="006F73A5" w:rsidP="00F53214"/>
    <w:tbl>
      <w:tblPr>
        <w:tblStyle w:val="TableGrid"/>
        <w:tblW w:w="9000" w:type="dxa"/>
        <w:tblLook w:val="04A0" w:firstRow="1" w:lastRow="0" w:firstColumn="1" w:lastColumn="0" w:noHBand="0" w:noVBand="1"/>
      </w:tblPr>
      <w:tblGrid>
        <w:gridCol w:w="2600"/>
        <w:gridCol w:w="6400"/>
      </w:tblGrid>
      <w:tr w:rsidR="006F73A5" w:rsidRPr="006F73A5" w14:paraId="4A1EC09B" w14:textId="77777777">
        <w:tc>
          <w:tcPr>
            <w:tcW w:w="2600" w:type="dxa"/>
            <w:tcBorders>
              <w:top w:val="single" w:sz="4" w:space="0" w:color="auto"/>
              <w:left w:val="single" w:sz="4" w:space="0" w:color="auto"/>
              <w:bottom w:val="single" w:sz="4" w:space="0" w:color="auto"/>
              <w:right w:val="single" w:sz="4" w:space="0" w:color="auto"/>
            </w:tcBorders>
            <w:shd w:val="clear" w:color="auto" w:fill="D9D9D9"/>
            <w:hideMark/>
          </w:tcPr>
          <w:p w14:paraId="2DDD27B6" w14:textId="77777777" w:rsidR="006F73A5" w:rsidRPr="006F73A5" w:rsidRDefault="006F73A5" w:rsidP="006F73A5">
            <w:pPr>
              <w:spacing w:after="160" w:line="259" w:lineRule="auto"/>
            </w:pPr>
            <w:r>
              <w:rPr>
                <w:b/>
                <w:bCs/>
              </w:rPr>
              <w:t>Role</w:t>
            </w:r>
          </w:p>
        </w:tc>
        <w:tc>
          <w:tcPr>
            <w:tcW w:w="6400" w:type="dxa"/>
            <w:tcBorders>
              <w:top w:val="single" w:sz="4" w:space="0" w:color="auto"/>
              <w:left w:val="single" w:sz="4" w:space="0" w:color="auto"/>
              <w:bottom w:val="single" w:sz="4" w:space="0" w:color="auto"/>
              <w:right w:val="single" w:sz="4" w:space="0" w:color="auto"/>
            </w:tcBorders>
            <w:shd w:val="clear" w:color="auto" w:fill="D9D9D9"/>
            <w:hideMark/>
          </w:tcPr>
          <w:p w14:paraId="18492BB7" w14:textId="77777777" w:rsidR="006F73A5" w:rsidRPr="006F73A5" w:rsidRDefault="006F73A5" w:rsidP="006F73A5">
            <w:pPr>
              <w:spacing w:after="160" w:line="259" w:lineRule="auto"/>
            </w:pPr>
            <w:r>
              <w:rPr>
                <w:b/>
                <w:bCs/>
              </w:rPr>
              <w:t>Background &amp; Responsibilities</w:t>
            </w:r>
          </w:p>
        </w:tc>
      </w:tr>
      <w:tr w:rsidR="006F73A5" w:rsidRPr="006F73A5" w14:paraId="767442D8" w14:textId="77777777">
        <w:tc>
          <w:tcPr>
            <w:tcW w:w="2600" w:type="dxa"/>
            <w:tcBorders>
              <w:top w:val="single" w:sz="4" w:space="0" w:color="auto"/>
              <w:left w:val="single" w:sz="4" w:space="0" w:color="auto"/>
              <w:bottom w:val="single" w:sz="4" w:space="0" w:color="auto"/>
              <w:right w:val="single" w:sz="4" w:space="0" w:color="auto"/>
            </w:tcBorders>
            <w:hideMark/>
          </w:tcPr>
          <w:p w14:paraId="51E87B60" w14:textId="77777777" w:rsidR="006F73A5" w:rsidRDefault="006F73A5" w:rsidP="006F73A5">
            <w:pPr>
              <w:spacing w:after="160" w:line="259" w:lineRule="auto"/>
            </w:pPr>
            <w:r>
              <w:t>Managing Director/CEO</w:t>
            </w:r>
          </w:p>
          <w:p w14:paraId="18CFCBD5" w14:textId="1E86D7C5" w:rsidR="006F73A5" w:rsidRPr="006F73A5" w:rsidRDefault="006F73A5" w:rsidP="006F73A5">
            <w:pPr>
              <w:spacing w:after="160" w:line="259" w:lineRule="auto"/>
            </w:pPr>
            <w:r>
              <w:t>Davlatsho Davlatshoev</w:t>
            </w:r>
          </w:p>
        </w:tc>
        <w:tc>
          <w:tcPr>
            <w:tcW w:w="6400" w:type="dxa"/>
            <w:tcBorders>
              <w:top w:val="single" w:sz="4" w:space="0" w:color="auto"/>
              <w:left w:val="single" w:sz="4" w:space="0" w:color="auto"/>
              <w:bottom w:val="single" w:sz="4" w:space="0" w:color="auto"/>
              <w:right w:val="single" w:sz="4" w:space="0" w:color="auto"/>
            </w:tcBorders>
            <w:hideMark/>
          </w:tcPr>
          <w:p w14:paraId="76CB75D4" w14:textId="6A73EF62" w:rsidR="006F73A5" w:rsidRPr="006F73A5" w:rsidRDefault="006F73A5" w:rsidP="006F73A5">
            <w:pPr>
              <w:spacing w:after="160" w:line="259" w:lineRule="auto"/>
            </w:pPr>
            <w:r>
              <w:t>Overall strategic direction, business development and client relationships</w:t>
            </w:r>
          </w:p>
        </w:tc>
      </w:tr>
      <w:tr w:rsidR="006F73A5" w:rsidRPr="006F73A5" w14:paraId="459BF539" w14:textId="77777777">
        <w:tc>
          <w:tcPr>
            <w:tcW w:w="2600" w:type="dxa"/>
            <w:tcBorders>
              <w:top w:val="single" w:sz="4" w:space="0" w:color="auto"/>
              <w:left w:val="single" w:sz="4" w:space="0" w:color="auto"/>
              <w:bottom w:val="single" w:sz="4" w:space="0" w:color="auto"/>
              <w:right w:val="single" w:sz="4" w:space="0" w:color="auto"/>
            </w:tcBorders>
            <w:hideMark/>
          </w:tcPr>
          <w:p w14:paraId="0D23F0B8" w14:textId="77777777" w:rsidR="006F73A5" w:rsidRDefault="006F73A5" w:rsidP="006F73A5">
            <w:pPr>
              <w:spacing w:after="160" w:line="259" w:lineRule="auto"/>
            </w:pPr>
            <w:r>
              <w:t>Operations / Contracts Manager</w:t>
            </w:r>
          </w:p>
          <w:p w14:paraId="653549FC" w14:textId="332D76E2" w:rsidR="006F73A5" w:rsidRPr="006F73A5" w:rsidRDefault="006F73A5" w:rsidP="006F73A5">
            <w:pPr>
              <w:spacing w:after="160" w:line="259" w:lineRule="auto"/>
            </w:pPr>
            <w:r>
              <w:t>Ahmad Bodurov</w:t>
            </w:r>
          </w:p>
        </w:tc>
        <w:tc>
          <w:tcPr>
            <w:tcW w:w="6400" w:type="dxa"/>
            <w:tcBorders>
              <w:top w:val="single" w:sz="4" w:space="0" w:color="auto"/>
              <w:left w:val="single" w:sz="4" w:space="0" w:color="auto"/>
              <w:bottom w:val="single" w:sz="4" w:space="0" w:color="auto"/>
              <w:right w:val="single" w:sz="4" w:space="0" w:color="auto"/>
            </w:tcBorders>
            <w:hideMark/>
          </w:tcPr>
          <w:p w14:paraId="48642994" w14:textId="77777777" w:rsidR="006F73A5" w:rsidRPr="006F73A5" w:rsidRDefault="006F73A5" w:rsidP="006F73A5">
            <w:pPr>
              <w:spacing w:after="160" w:line="259" w:lineRule="auto"/>
            </w:pPr>
            <w:r>
              <w:t>Day-to-day management of live contracts, scheduling of plant and labour, and liaison with principal contractors; background in demolition or groundworks contracting.</w:t>
            </w:r>
          </w:p>
        </w:tc>
      </w:tr>
      <w:tr w:rsidR="006F73A5" w:rsidRPr="006F73A5" w14:paraId="461AF9F2" w14:textId="77777777">
        <w:tc>
          <w:tcPr>
            <w:tcW w:w="2600" w:type="dxa"/>
            <w:tcBorders>
              <w:top w:val="single" w:sz="4" w:space="0" w:color="auto"/>
              <w:left w:val="single" w:sz="4" w:space="0" w:color="auto"/>
              <w:bottom w:val="single" w:sz="4" w:space="0" w:color="auto"/>
              <w:right w:val="single" w:sz="4" w:space="0" w:color="auto"/>
            </w:tcBorders>
            <w:hideMark/>
          </w:tcPr>
          <w:p w14:paraId="311DA781" w14:textId="77777777" w:rsidR="006F73A5" w:rsidRDefault="006F73A5" w:rsidP="006F73A5">
            <w:pPr>
              <w:spacing w:after="160" w:line="259" w:lineRule="auto"/>
            </w:pPr>
            <w:r>
              <w:t>Health, Safety &amp; Environmental (HSE) Manager</w:t>
            </w:r>
          </w:p>
          <w:p w14:paraId="0B1B591D" w14:textId="135FAE77" w:rsidR="006F73A5" w:rsidRPr="006F73A5" w:rsidRDefault="006F73A5" w:rsidP="006F73A5">
            <w:pPr>
              <w:spacing w:after="160" w:line="259" w:lineRule="auto"/>
            </w:pPr>
            <w:r>
              <w:t>Nekruz Amirbekov</w:t>
            </w:r>
          </w:p>
        </w:tc>
        <w:tc>
          <w:tcPr>
            <w:tcW w:w="6400" w:type="dxa"/>
            <w:tcBorders>
              <w:top w:val="single" w:sz="4" w:space="0" w:color="auto"/>
              <w:left w:val="single" w:sz="4" w:space="0" w:color="auto"/>
              <w:bottom w:val="single" w:sz="4" w:space="0" w:color="auto"/>
              <w:right w:val="single" w:sz="4" w:space="0" w:color="auto"/>
            </w:tcBorders>
            <w:hideMark/>
          </w:tcPr>
          <w:p w14:paraId="33365300" w14:textId="27C72D34" w:rsidR="006F73A5" w:rsidRPr="006F73A5" w:rsidRDefault="006F73A5" w:rsidP="006F73A5">
            <w:pPr>
              <w:spacing w:after="160" w:line="259" w:lineRule="auto"/>
            </w:pPr>
            <w:r>
              <w:t>Development and audit of compliance, accreditation maintenance (CHAS/SafeContractor) and waste-carrier registration.</w:t>
            </w:r>
          </w:p>
        </w:tc>
      </w:tr>
      <w:tr w:rsidR="006F73A5" w:rsidRPr="006F73A5" w14:paraId="00D53755" w14:textId="77777777">
        <w:tc>
          <w:tcPr>
            <w:tcW w:w="2600" w:type="dxa"/>
            <w:tcBorders>
              <w:top w:val="single" w:sz="4" w:space="0" w:color="auto"/>
              <w:left w:val="single" w:sz="4" w:space="0" w:color="auto"/>
              <w:bottom w:val="single" w:sz="4" w:space="0" w:color="auto"/>
              <w:right w:val="single" w:sz="4" w:space="0" w:color="auto"/>
            </w:tcBorders>
            <w:hideMark/>
          </w:tcPr>
          <w:p w14:paraId="596E4534" w14:textId="04588056" w:rsidR="006F73A5" w:rsidRDefault="006F73A5" w:rsidP="006F73A5">
            <w:pPr>
              <w:spacing w:after="160" w:line="259" w:lineRule="auto"/>
            </w:pPr>
            <w:r>
              <w:t>Safety and Security</w:t>
            </w:r>
          </w:p>
          <w:p w14:paraId="7CF42232" w14:textId="6A05E946" w:rsidR="006F73A5" w:rsidRDefault="006F73A5" w:rsidP="006F73A5">
            <w:pPr>
              <w:spacing w:after="160" w:line="259" w:lineRule="auto"/>
            </w:pPr>
            <w:r>
              <w:t>Suhrob Shodibekov</w:t>
            </w:r>
          </w:p>
          <w:p w14:paraId="06491949" w14:textId="77777777" w:rsidR="006F73A5" w:rsidRPr="006F73A5" w:rsidRDefault="006F73A5" w:rsidP="006F73A5">
            <w:pPr>
              <w:spacing w:after="160" w:line="259" w:lineRule="auto"/>
            </w:pPr>
          </w:p>
        </w:tc>
        <w:tc>
          <w:tcPr>
            <w:tcW w:w="6400" w:type="dxa"/>
            <w:tcBorders>
              <w:top w:val="single" w:sz="4" w:space="0" w:color="auto"/>
              <w:left w:val="single" w:sz="4" w:space="0" w:color="auto"/>
              <w:bottom w:val="single" w:sz="4" w:space="0" w:color="auto"/>
              <w:right w:val="single" w:sz="4" w:space="0" w:color="auto"/>
            </w:tcBorders>
            <w:hideMark/>
          </w:tcPr>
          <w:p w14:paraId="3D5BABA9" w14:textId="5C9D8A07" w:rsidR="006F73A5" w:rsidRPr="006F73A5" w:rsidRDefault="006F73A5" w:rsidP="006F73A5">
            <w:pPr>
              <w:spacing w:after="160" w:line="259" w:lineRule="auto"/>
            </w:pPr>
            <w:r>
              <w:t>Keeping company’s facilities safe and secure.</w:t>
            </w:r>
          </w:p>
        </w:tc>
      </w:tr>
    </w:tbl>
    <w:p w14:paraId="63425C83" w14:textId="36EE40EC" w:rsidR="00F53214" w:rsidRDefault="00F53214" w:rsidP="00F53214"/>
    <w:p w14:paraId="379A2578" w14:textId="77777777" w:rsidR="00F53214" w:rsidRDefault="00F53214" w:rsidP="00F53214">
      <w:pPr>
        <w:pStyle w:val="NoSpacing"/>
      </w:pPr>
    </w:p>
    <w:p w14:paraId="10B15604" w14:textId="05FF92D7" w:rsidR="006F73A5" w:rsidRDefault="0046780A" w:rsidP="007B23A9">
      <w:pPr>
        <w:pStyle w:val="Heading2"/>
      </w:pPr>
      <w:bookmarkStart w:id="13" w:name="_Toc120719605"/>
      <w:r>
        <w:t>Organisational Chart</w:t>
      </w:r>
      <w:bookmarkEnd w:id="13"/>
    </w:p>
    <w:p w14:paraId="644B6B4B" w14:textId="77777777" w:rsidR="007B23A9" w:rsidRDefault="007B23A9" w:rsidP="007B23A9"/>
    <w:p w14:paraId="4A228823" w14:textId="71D4FC24" w:rsidR="007B23A9" w:rsidRDefault="007B23A9" w:rsidP="007B23A9">
      <w:r>
        <w:rPr>
          <w:noProof/>
        </w:rPr>
        <w:drawing>
          <wp:inline distT="0" distB="0" distL="0" distR="0" wp14:anchorId="784119F1" wp14:editId="5E4D1001">
            <wp:extent cx="5486400" cy="3200400"/>
            <wp:effectExtent l="0" t="0" r="0" b="19050"/>
            <wp:docPr id="19706277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B281124" w14:textId="71D4FC24" w:rsidR="00747FD5" w:rsidRDefault="001C65B2" w:rsidP="001C65B2">
      <w:pPr>
        <w:pStyle w:val="Heading2"/>
      </w:pPr>
      <w:bookmarkStart w:id="14" w:name="_Toc120719606"/>
      <w:r>
        <w:t>Key Milestones</w:t>
      </w:r>
      <w:bookmarkEnd w:id="14"/>
    </w:p>
    <w:p w14:paraId="7EDE2752" w14:textId="75D79B35" w:rsidR="00747FD5" w:rsidRDefault="00747FD5" w:rsidP="00F53214"/>
    <w:tbl>
      <w:tblPr>
        <w:tblStyle w:val="TableGrid"/>
        <w:tblW w:w="9000" w:type="dxa"/>
        <w:tblLook w:val="04A0" w:firstRow="1" w:lastRow="0" w:firstColumn="1" w:lastColumn="0" w:noHBand="0" w:noVBand="1"/>
      </w:tblPr>
      <w:tblGrid>
        <w:gridCol w:w="6300"/>
        <w:gridCol w:w="2700"/>
      </w:tblGrid>
      <w:tr w:rsidR="006F73A5" w:rsidRPr="006F73A5" w14:paraId="1A2DF0AE" w14:textId="77777777">
        <w:tc>
          <w:tcPr>
            <w:tcW w:w="6300" w:type="dxa"/>
            <w:tcBorders>
              <w:top w:val="single" w:sz="4" w:space="0" w:color="auto"/>
              <w:left w:val="single" w:sz="4" w:space="0" w:color="auto"/>
              <w:bottom w:val="single" w:sz="4" w:space="0" w:color="auto"/>
              <w:right w:val="single" w:sz="4" w:space="0" w:color="auto"/>
            </w:tcBorders>
            <w:shd w:val="clear" w:color="auto" w:fill="D9D9D9"/>
            <w:hideMark/>
          </w:tcPr>
          <w:p w14:paraId="48E78927" w14:textId="77777777" w:rsidR="006F73A5" w:rsidRPr="006F73A5" w:rsidRDefault="006F73A5" w:rsidP="006F73A5">
            <w:pPr>
              <w:spacing w:after="160" w:line="259" w:lineRule="auto"/>
            </w:pPr>
            <w:r>
              <w:rPr>
                <w:b/>
                <w:bCs/>
              </w:rPr>
              <w:lastRenderedPageBreak/>
              <w:t>Milestone</w:t>
            </w:r>
          </w:p>
        </w:tc>
        <w:tc>
          <w:tcPr>
            <w:tcW w:w="2700" w:type="dxa"/>
            <w:tcBorders>
              <w:top w:val="single" w:sz="4" w:space="0" w:color="auto"/>
              <w:left w:val="single" w:sz="4" w:space="0" w:color="auto"/>
              <w:bottom w:val="single" w:sz="4" w:space="0" w:color="auto"/>
              <w:right w:val="single" w:sz="4" w:space="0" w:color="auto"/>
            </w:tcBorders>
            <w:shd w:val="clear" w:color="auto" w:fill="D9D9D9"/>
            <w:hideMark/>
          </w:tcPr>
          <w:p w14:paraId="75856984" w14:textId="77777777" w:rsidR="006F73A5" w:rsidRPr="006F73A5" w:rsidRDefault="006F73A5" w:rsidP="006F73A5">
            <w:pPr>
              <w:spacing w:after="160" w:line="259" w:lineRule="auto"/>
            </w:pPr>
            <w:r>
              <w:rPr>
                <w:b/>
                <w:bCs/>
              </w:rPr>
              <w:t>Target Timeframe</w:t>
            </w:r>
          </w:p>
        </w:tc>
      </w:tr>
      <w:tr w:rsidR="006F73A5" w:rsidRPr="006F73A5" w14:paraId="09E1AAD9" w14:textId="77777777">
        <w:tc>
          <w:tcPr>
            <w:tcW w:w="6300" w:type="dxa"/>
            <w:tcBorders>
              <w:top w:val="single" w:sz="4" w:space="0" w:color="auto"/>
              <w:left w:val="single" w:sz="4" w:space="0" w:color="auto"/>
              <w:bottom w:val="single" w:sz="4" w:space="0" w:color="auto"/>
              <w:right w:val="single" w:sz="4" w:space="0" w:color="auto"/>
            </w:tcBorders>
            <w:hideMark/>
          </w:tcPr>
          <w:p w14:paraId="6F770346" w14:textId="77777777" w:rsidR="006F73A5" w:rsidRPr="006F73A5" w:rsidRDefault="006F73A5" w:rsidP="006F73A5">
            <w:pPr>
              <w:spacing w:after="160" w:line="259" w:lineRule="auto"/>
            </w:pPr>
            <w:r>
              <w:t>Company incorporated with Companies House; business bank account opened</w:t>
            </w:r>
          </w:p>
        </w:tc>
        <w:tc>
          <w:tcPr>
            <w:tcW w:w="2700" w:type="dxa"/>
            <w:tcBorders>
              <w:top w:val="single" w:sz="4" w:space="0" w:color="auto"/>
              <w:left w:val="single" w:sz="4" w:space="0" w:color="auto"/>
              <w:bottom w:val="single" w:sz="4" w:space="0" w:color="auto"/>
              <w:right w:val="single" w:sz="4" w:space="0" w:color="auto"/>
            </w:tcBorders>
            <w:hideMark/>
          </w:tcPr>
          <w:p w14:paraId="43C579E2" w14:textId="77777777" w:rsidR="006F73A5" w:rsidRPr="006F73A5" w:rsidRDefault="006F73A5" w:rsidP="006F73A5">
            <w:pPr>
              <w:spacing w:after="160" w:line="259" w:lineRule="auto"/>
            </w:pPr>
            <w:r>
              <w:t>Month 1</w:t>
            </w:r>
          </w:p>
        </w:tc>
      </w:tr>
      <w:tr w:rsidR="006F73A5" w:rsidRPr="006F73A5" w14:paraId="50FC1EA1" w14:textId="77777777">
        <w:tc>
          <w:tcPr>
            <w:tcW w:w="6300" w:type="dxa"/>
            <w:tcBorders>
              <w:top w:val="single" w:sz="4" w:space="0" w:color="auto"/>
              <w:left w:val="single" w:sz="4" w:space="0" w:color="auto"/>
              <w:bottom w:val="single" w:sz="4" w:space="0" w:color="auto"/>
              <w:right w:val="single" w:sz="4" w:space="0" w:color="auto"/>
            </w:tcBorders>
            <w:hideMark/>
          </w:tcPr>
          <w:p w14:paraId="3163EED8" w14:textId="77777777" w:rsidR="006F73A5" w:rsidRPr="006F73A5" w:rsidRDefault="006F73A5" w:rsidP="006F73A5">
            <w:pPr>
              <w:spacing w:after="160" w:line="259" w:lineRule="auto"/>
            </w:pPr>
            <w:r>
              <w:t>CHAS, SafeContractor &amp; Constructionline accreditations obtained; Environment Agency waste-carrier registration completed</w:t>
            </w:r>
          </w:p>
        </w:tc>
        <w:tc>
          <w:tcPr>
            <w:tcW w:w="2700" w:type="dxa"/>
            <w:tcBorders>
              <w:top w:val="single" w:sz="4" w:space="0" w:color="auto"/>
              <w:left w:val="single" w:sz="4" w:space="0" w:color="auto"/>
              <w:bottom w:val="single" w:sz="4" w:space="0" w:color="auto"/>
              <w:right w:val="single" w:sz="4" w:space="0" w:color="auto"/>
            </w:tcBorders>
            <w:hideMark/>
          </w:tcPr>
          <w:p w14:paraId="61CEAE28" w14:textId="77777777" w:rsidR="006F73A5" w:rsidRPr="006F73A5" w:rsidRDefault="006F73A5" w:rsidP="006F73A5">
            <w:pPr>
              <w:spacing w:after="160" w:line="259" w:lineRule="auto"/>
            </w:pPr>
            <w:r>
              <w:t>Month 2</w:t>
            </w:r>
          </w:p>
        </w:tc>
      </w:tr>
      <w:tr w:rsidR="006F73A5" w:rsidRPr="006F73A5" w14:paraId="6E50B79A" w14:textId="77777777">
        <w:tc>
          <w:tcPr>
            <w:tcW w:w="6300" w:type="dxa"/>
            <w:tcBorders>
              <w:top w:val="single" w:sz="4" w:space="0" w:color="auto"/>
              <w:left w:val="single" w:sz="4" w:space="0" w:color="auto"/>
              <w:bottom w:val="single" w:sz="4" w:space="0" w:color="auto"/>
              <w:right w:val="single" w:sz="4" w:space="0" w:color="auto"/>
            </w:tcBorders>
            <w:hideMark/>
          </w:tcPr>
          <w:p w14:paraId="732FE81E" w14:textId="77777777" w:rsidR="006F73A5" w:rsidRPr="006F73A5" w:rsidRDefault="006F73A5" w:rsidP="006F73A5">
            <w:pPr>
              <w:spacing w:after="160" w:line="259" w:lineRule="auto"/>
            </w:pPr>
            <w:r>
              <w:t>Depot secured in Park Royal, London; first excavator and attachments delivered (hire-purchase finance)</w:t>
            </w:r>
          </w:p>
        </w:tc>
        <w:tc>
          <w:tcPr>
            <w:tcW w:w="2700" w:type="dxa"/>
            <w:tcBorders>
              <w:top w:val="single" w:sz="4" w:space="0" w:color="auto"/>
              <w:left w:val="single" w:sz="4" w:space="0" w:color="auto"/>
              <w:bottom w:val="single" w:sz="4" w:space="0" w:color="auto"/>
              <w:right w:val="single" w:sz="4" w:space="0" w:color="auto"/>
            </w:tcBorders>
            <w:hideMark/>
          </w:tcPr>
          <w:p w14:paraId="0FE8BABE" w14:textId="77777777" w:rsidR="006F73A5" w:rsidRPr="006F73A5" w:rsidRDefault="006F73A5" w:rsidP="006F73A5">
            <w:pPr>
              <w:spacing w:after="160" w:line="259" w:lineRule="auto"/>
            </w:pPr>
            <w:r>
              <w:t>Month 2</w:t>
            </w:r>
          </w:p>
        </w:tc>
      </w:tr>
      <w:tr w:rsidR="006F73A5" w:rsidRPr="006F73A5" w14:paraId="66ADE12F" w14:textId="77777777">
        <w:tc>
          <w:tcPr>
            <w:tcW w:w="6300" w:type="dxa"/>
            <w:tcBorders>
              <w:top w:val="single" w:sz="4" w:space="0" w:color="auto"/>
              <w:left w:val="single" w:sz="4" w:space="0" w:color="auto"/>
              <w:bottom w:val="single" w:sz="4" w:space="0" w:color="auto"/>
              <w:right w:val="single" w:sz="4" w:space="0" w:color="auto"/>
            </w:tcBorders>
            <w:hideMark/>
          </w:tcPr>
          <w:p w14:paraId="29A09212" w14:textId="77777777" w:rsidR="006F73A5" w:rsidRPr="006F73A5" w:rsidRDefault="006F73A5" w:rsidP="006F73A5">
            <w:pPr>
              <w:spacing w:after="160" w:line="259" w:lineRule="auto"/>
            </w:pPr>
            <w:r>
              <w:t>First contract secured (soft-strip project)</w:t>
            </w:r>
          </w:p>
        </w:tc>
        <w:tc>
          <w:tcPr>
            <w:tcW w:w="2700" w:type="dxa"/>
            <w:tcBorders>
              <w:top w:val="single" w:sz="4" w:space="0" w:color="auto"/>
              <w:left w:val="single" w:sz="4" w:space="0" w:color="auto"/>
              <w:bottom w:val="single" w:sz="4" w:space="0" w:color="auto"/>
              <w:right w:val="single" w:sz="4" w:space="0" w:color="auto"/>
            </w:tcBorders>
            <w:hideMark/>
          </w:tcPr>
          <w:p w14:paraId="10109196" w14:textId="77777777" w:rsidR="006F73A5" w:rsidRPr="006F73A5" w:rsidRDefault="006F73A5" w:rsidP="006F73A5">
            <w:pPr>
              <w:spacing w:after="160" w:line="259" w:lineRule="auto"/>
            </w:pPr>
            <w:r>
              <w:t>Month 3</w:t>
            </w:r>
          </w:p>
        </w:tc>
      </w:tr>
      <w:tr w:rsidR="006F73A5" w:rsidRPr="006F73A5" w14:paraId="56CA4346" w14:textId="77777777">
        <w:tc>
          <w:tcPr>
            <w:tcW w:w="6300" w:type="dxa"/>
            <w:tcBorders>
              <w:top w:val="single" w:sz="4" w:space="0" w:color="auto"/>
              <w:left w:val="single" w:sz="4" w:space="0" w:color="auto"/>
              <w:bottom w:val="single" w:sz="4" w:space="0" w:color="auto"/>
              <w:right w:val="single" w:sz="4" w:space="0" w:color="auto"/>
            </w:tcBorders>
            <w:hideMark/>
          </w:tcPr>
          <w:p w14:paraId="37A4C308" w14:textId="77777777" w:rsidR="006F73A5" w:rsidRPr="006F73A5" w:rsidRDefault="006F73A5" w:rsidP="006F73A5">
            <w:pPr>
              <w:spacing w:after="160" w:line="259" w:lineRule="auto"/>
            </w:pPr>
            <w:r>
              <w:t>Five active client relationships established with Tier 1/2 principal contractors</w:t>
            </w:r>
          </w:p>
        </w:tc>
        <w:tc>
          <w:tcPr>
            <w:tcW w:w="2700" w:type="dxa"/>
            <w:tcBorders>
              <w:top w:val="single" w:sz="4" w:space="0" w:color="auto"/>
              <w:left w:val="single" w:sz="4" w:space="0" w:color="auto"/>
              <w:bottom w:val="single" w:sz="4" w:space="0" w:color="auto"/>
              <w:right w:val="single" w:sz="4" w:space="0" w:color="auto"/>
            </w:tcBorders>
            <w:hideMark/>
          </w:tcPr>
          <w:p w14:paraId="46DAE684" w14:textId="77777777" w:rsidR="006F73A5" w:rsidRPr="006F73A5" w:rsidRDefault="006F73A5" w:rsidP="006F73A5">
            <w:pPr>
              <w:spacing w:after="160" w:line="259" w:lineRule="auto"/>
            </w:pPr>
            <w:r>
              <w:t>Month 6</w:t>
            </w:r>
          </w:p>
        </w:tc>
      </w:tr>
      <w:tr w:rsidR="006F73A5" w:rsidRPr="006F73A5" w14:paraId="3F493749" w14:textId="77777777">
        <w:tc>
          <w:tcPr>
            <w:tcW w:w="6300" w:type="dxa"/>
            <w:tcBorders>
              <w:top w:val="single" w:sz="4" w:space="0" w:color="auto"/>
              <w:left w:val="single" w:sz="4" w:space="0" w:color="auto"/>
              <w:bottom w:val="single" w:sz="4" w:space="0" w:color="auto"/>
              <w:right w:val="single" w:sz="4" w:space="0" w:color="auto"/>
            </w:tcBorders>
            <w:hideMark/>
          </w:tcPr>
          <w:p w14:paraId="2883AECC" w14:textId="6B853544" w:rsidR="006F73A5" w:rsidRPr="006F73A5" w:rsidRDefault="006F73A5" w:rsidP="006F73A5">
            <w:pPr>
              <w:spacing w:after="160" w:line="259" w:lineRule="auto"/>
            </w:pPr>
            <w:r>
              <w:t>£50,000 cumulative revenue milestone reached</w:t>
            </w:r>
          </w:p>
        </w:tc>
        <w:tc>
          <w:tcPr>
            <w:tcW w:w="2700" w:type="dxa"/>
            <w:tcBorders>
              <w:top w:val="single" w:sz="4" w:space="0" w:color="auto"/>
              <w:left w:val="single" w:sz="4" w:space="0" w:color="auto"/>
              <w:bottom w:val="single" w:sz="4" w:space="0" w:color="auto"/>
              <w:right w:val="single" w:sz="4" w:space="0" w:color="auto"/>
            </w:tcBorders>
            <w:hideMark/>
          </w:tcPr>
          <w:p w14:paraId="5ED57DD5" w14:textId="77777777" w:rsidR="006F73A5" w:rsidRPr="006F73A5" w:rsidRDefault="006F73A5" w:rsidP="006F73A5">
            <w:pPr>
              <w:spacing w:after="160" w:line="259" w:lineRule="auto"/>
            </w:pPr>
            <w:r>
              <w:t>Month 7</w:t>
            </w:r>
          </w:p>
        </w:tc>
      </w:tr>
      <w:tr w:rsidR="006F73A5" w:rsidRPr="006F73A5" w14:paraId="05F0CB62" w14:textId="77777777">
        <w:tc>
          <w:tcPr>
            <w:tcW w:w="6300" w:type="dxa"/>
            <w:tcBorders>
              <w:top w:val="single" w:sz="4" w:space="0" w:color="auto"/>
              <w:left w:val="single" w:sz="4" w:space="0" w:color="auto"/>
              <w:bottom w:val="single" w:sz="4" w:space="0" w:color="auto"/>
              <w:right w:val="single" w:sz="4" w:space="0" w:color="auto"/>
            </w:tcBorders>
            <w:hideMark/>
          </w:tcPr>
          <w:p w14:paraId="76DABC5D" w14:textId="77777777" w:rsidR="006F73A5" w:rsidRPr="006F73A5" w:rsidRDefault="006F73A5" w:rsidP="006F73A5">
            <w:pPr>
              <w:spacing w:after="160" w:line="259" w:lineRule="auto"/>
            </w:pPr>
            <w:r>
              <w:t>ISO 9001 and ISO 14001 certification process initiated</w:t>
            </w:r>
          </w:p>
        </w:tc>
        <w:tc>
          <w:tcPr>
            <w:tcW w:w="2700" w:type="dxa"/>
            <w:tcBorders>
              <w:top w:val="single" w:sz="4" w:space="0" w:color="auto"/>
              <w:left w:val="single" w:sz="4" w:space="0" w:color="auto"/>
              <w:bottom w:val="single" w:sz="4" w:space="0" w:color="auto"/>
              <w:right w:val="single" w:sz="4" w:space="0" w:color="auto"/>
            </w:tcBorders>
            <w:hideMark/>
          </w:tcPr>
          <w:p w14:paraId="40793B9D" w14:textId="77777777" w:rsidR="006F73A5" w:rsidRPr="006F73A5" w:rsidRDefault="006F73A5" w:rsidP="006F73A5">
            <w:pPr>
              <w:spacing w:after="160" w:line="259" w:lineRule="auto"/>
            </w:pPr>
            <w:r>
              <w:t>Month 9</w:t>
            </w:r>
          </w:p>
        </w:tc>
      </w:tr>
      <w:tr w:rsidR="006F73A5" w:rsidRPr="006F73A5" w14:paraId="26057ED0" w14:textId="77777777">
        <w:tc>
          <w:tcPr>
            <w:tcW w:w="6300" w:type="dxa"/>
            <w:tcBorders>
              <w:top w:val="single" w:sz="4" w:space="0" w:color="auto"/>
              <w:left w:val="single" w:sz="4" w:space="0" w:color="auto"/>
              <w:bottom w:val="single" w:sz="4" w:space="0" w:color="auto"/>
              <w:right w:val="single" w:sz="4" w:space="0" w:color="auto"/>
            </w:tcBorders>
            <w:hideMark/>
          </w:tcPr>
          <w:p w14:paraId="01B71DCF" w14:textId="77777777" w:rsidR="006F73A5" w:rsidRPr="006F73A5" w:rsidRDefault="006F73A5" w:rsidP="006F73A5">
            <w:pPr>
              <w:spacing w:after="160" w:line="259" w:lineRule="auto"/>
            </w:pPr>
            <w:r>
              <w:t>Break-even point reached (12th contract)</w:t>
            </w:r>
          </w:p>
        </w:tc>
        <w:tc>
          <w:tcPr>
            <w:tcW w:w="2700" w:type="dxa"/>
            <w:tcBorders>
              <w:top w:val="single" w:sz="4" w:space="0" w:color="auto"/>
              <w:left w:val="single" w:sz="4" w:space="0" w:color="auto"/>
              <w:bottom w:val="single" w:sz="4" w:space="0" w:color="auto"/>
              <w:right w:val="single" w:sz="4" w:space="0" w:color="auto"/>
            </w:tcBorders>
            <w:hideMark/>
          </w:tcPr>
          <w:p w14:paraId="68FF524F" w14:textId="77777777" w:rsidR="006F73A5" w:rsidRPr="006F73A5" w:rsidRDefault="006F73A5" w:rsidP="006F73A5">
            <w:pPr>
              <w:spacing w:after="160" w:line="259" w:lineRule="auto"/>
            </w:pPr>
            <w:r>
              <w:t>Month 10</w:t>
            </w:r>
          </w:p>
        </w:tc>
      </w:tr>
      <w:tr w:rsidR="006F73A5" w:rsidRPr="006F73A5" w14:paraId="4E314849" w14:textId="77777777">
        <w:tc>
          <w:tcPr>
            <w:tcW w:w="6300" w:type="dxa"/>
            <w:tcBorders>
              <w:top w:val="single" w:sz="4" w:space="0" w:color="auto"/>
              <w:left w:val="single" w:sz="4" w:space="0" w:color="auto"/>
              <w:bottom w:val="single" w:sz="4" w:space="0" w:color="auto"/>
              <w:right w:val="single" w:sz="4" w:space="0" w:color="auto"/>
            </w:tcBorders>
            <w:hideMark/>
          </w:tcPr>
          <w:p w14:paraId="3BDEC170" w14:textId="56AE5A2F" w:rsidR="006F73A5" w:rsidRPr="006F73A5" w:rsidRDefault="006F73A5" w:rsidP="006F73A5">
            <w:pPr>
              <w:spacing w:after="160" w:line="259" w:lineRule="auto"/>
            </w:pPr>
            <w:r>
              <w:t>Year 1 target of £100,000 revenue and 15 completed contracts achieved</w:t>
            </w:r>
          </w:p>
        </w:tc>
        <w:tc>
          <w:tcPr>
            <w:tcW w:w="2700" w:type="dxa"/>
            <w:tcBorders>
              <w:top w:val="single" w:sz="4" w:space="0" w:color="auto"/>
              <w:left w:val="single" w:sz="4" w:space="0" w:color="auto"/>
              <w:bottom w:val="single" w:sz="4" w:space="0" w:color="auto"/>
              <w:right w:val="single" w:sz="4" w:space="0" w:color="auto"/>
            </w:tcBorders>
            <w:hideMark/>
          </w:tcPr>
          <w:p w14:paraId="6BAFB14A" w14:textId="77777777" w:rsidR="006F73A5" w:rsidRPr="006F73A5" w:rsidRDefault="006F73A5" w:rsidP="006F73A5">
            <w:pPr>
              <w:spacing w:after="160" w:line="259" w:lineRule="auto"/>
            </w:pPr>
            <w:r>
              <w:t>Month 12</w:t>
            </w:r>
          </w:p>
        </w:tc>
      </w:tr>
    </w:tbl>
    <w:p w14:paraId="6B6A440D" w14:textId="77777777" w:rsidR="00F53214" w:rsidRDefault="00F53214" w:rsidP="00F53214"/>
    <w:p w14:paraId="02DD1D07" w14:textId="41771860" w:rsidR="00F53214" w:rsidRDefault="00F53214" w:rsidP="00F53214"/>
    <w:p w14:paraId="45112C73" w14:textId="77E0D638" w:rsidR="00747FD5" w:rsidRPr="00747FD5" w:rsidRDefault="00747FD5" w:rsidP="00070E9B">
      <w:pPr>
        <w:pStyle w:val="Heading1"/>
      </w:pPr>
      <w:bookmarkStart w:id="15" w:name="_Toc120719607"/>
      <w:r>
        <w:t xml:space="preserve">Financial Plan (One Year)</w:t>
      </w:r>
      <w:bookmarkEnd w:id="15"/>
    </w:p>
    <w:p w14:paraId="6B5932A3" w14:textId="04DF645B" w:rsidR="00747FD5" w:rsidRDefault="00747FD5" w:rsidP="00F53214"/>
    <w:p w14:paraId="4695040F" w14:textId="77777777" w:rsidR="00502B0C" w:rsidRPr="00502B0C" w:rsidRDefault="00502B0C" w:rsidP="00502B0C">
      <w:pPr>
        <w:pStyle w:val="Heading2"/>
      </w:pPr>
      <w:bookmarkStart w:id="16" w:name="_Toc120719608"/>
      <w:r>
        <w:t>Sources of Finance</w:t>
      </w:r>
      <w:bookmarkEnd w:id="16"/>
      <w:r>
        <w:t xml:space="preserve"> </w:t>
      </w:r>
    </w:p>
    <w:p>
      <w:pPr>
        <w:jc w:val="both"/>
      </w:pPr>
      <w:r>
        <w:t xml:space="preserve">The business will be funded through a combination of owner's equity, external debt and asset finance, giving a total start-up capital base of £200,000:</w:t>
      </w:r>
    </w:p>
    <w:tbl>
      <w:tblPr>
        <w:tblStyle w:val="TableGrid"/>
        <w:tblW w:w="9000" w:type="dxa"/>
        <w:tblLook w:val="04A0" w:firstRow="1" w:lastRow="0" w:firstColumn="1" w:lastColumn="0" w:noHBand="0" w:noVBand="1"/>
      </w:tblPr>
      <w:tblGrid>
        <w:gridCol w:w="4500"/>
        <w:gridCol w:w="2500"/>
        <w:gridCol w:w="2000"/>
      </w:tblGrid>
      <w:tr>
        <w:tc>
          <w:tcPr>
            <w:tcW w:w="45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Source of Finance</w:t>
            </w:r>
          </w:p>
        </w:tc>
        <w:tc>
          <w:tcPr>
            <w:tcW w:w="25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Amount (£)</w:t>
            </w:r>
          </w:p>
        </w:tc>
        <w:tc>
          <w:tcPr>
            <w:tcW w:w="20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 of Total</w:t>
            </w:r>
          </w:p>
        </w:tc>
      </w:tr>
      <w:tr>
        <w:tc>
          <w:tcPr>
            <w:tcW w:w="4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Owner's equity (personal investment)</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30,000</w:t>
            </w:r>
          </w:p>
        </w:tc>
        <w:tc>
          <w:tcPr>
            <w:tcW w:w="2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15%</w:t>
            </w:r>
          </w:p>
        </w:tc>
      </w:tr>
      <w:tr>
        <w:tc>
          <w:tcPr>
            <w:tcW w:w="4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Start-up bank loan (5-year term)</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50,000</w:t>
            </w:r>
          </w:p>
        </w:tc>
        <w:tc>
          <w:tcPr>
            <w:tcW w:w="2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25%</w:t>
            </w:r>
          </w:p>
        </w:tc>
      </w:tr>
      <w:tr>
        <w:tc>
          <w:tcPr>
            <w:tcW w:w="4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Hire-purchase finance (excavators &amp; attachments)</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120,000</w:t>
            </w:r>
          </w:p>
        </w:tc>
        <w:tc>
          <w:tcPr>
            <w:tcW w:w="2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60%</w:t>
            </w:r>
          </w:p>
        </w:tc>
      </w:tr>
      <w:tr>
        <w:tc>
          <w:tcPr>
            <w:tcW w:w="4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Total</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200,000</w:t>
            </w:r>
          </w:p>
        </w:tc>
        <w:tc>
          <w:tcPr>
            <w:tcW w:w="2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100%</w:t>
            </w:r>
          </w:p>
        </w:tc>
      </w:tr>
    </w:tbl>
    <w:p/>
    <w:p>
      <w:pPr>
        <w:jc w:val="both"/>
      </w:pPr>
      <w:r>
        <w:t xml:space="preserve">The owner's equity and bank loan fund working capital, initial depot set-up costs and accreditation fees, while the hire-purchase agreement finances the two excavators and attachments needed to begin trading (see Key Milestones, Month 2).</w:t>
      </w:r>
    </w:p>
    <w:p w14:paraId="2500E1BE" w14:textId="0CDD8B56" w:rsidR="00502B0C" w:rsidRDefault="00502B0C" w:rsidP="00F53214"/>
    <w:p w14:paraId="18779EF9" w14:textId="292840A2" w:rsidR="00502B0C" w:rsidRPr="00502B0C" w:rsidRDefault="00502B0C" w:rsidP="00502B0C">
      <w:pPr>
        <w:pStyle w:val="Heading2"/>
      </w:pPr>
      <w:bookmarkStart w:id="17" w:name="_Toc120719609"/>
      <w:r>
        <w:t xml:space="preserve">Cash Flow Forecast</w:t>
      </w:r>
      <w:bookmarkEnd w:id="17"/>
      <w:r>
        <w:t xml:space="preserve">  </w:t>
      </w:r>
    </w:p>
    <w:p>
      <w:pPr>
        <w:jc w:val="both"/>
      </w:pPr>
      <w:r>
        <w:t xml:space="preserve">The table below combines the Sales Forecast and Cost of Production Forecast with the £200,000 of start-up finance (received Month 1) and a one-off £80,000 capital purchase in Month 1 (excavator deposit and attachments) to show the Company's projected monthly cash position:</w:t>
      </w:r>
    </w:p>
    <w:tbl>
      <w:tblPr>
        <w:tblStyle w:val="TableGrid"/>
        <w:tblW w:w="9000" w:type="dxa"/>
        <w:tblLook w:val="04A0" w:firstRow="1" w:lastRow="0" w:firstColumn="1" w:lastColumn="0" w:noHBand="0" w:noVBand="1"/>
      </w:tblPr>
      <w:tblGrid>
        <w:gridCol w:w="1600"/>
        <w:gridCol w:w="1900"/>
        <w:gridCol w:w="1900"/>
        <w:gridCol w:w="1900"/>
        <w:gridCol w:w="1700"/>
      </w:tblGrid>
      <w:tr>
        <w:tc>
          <w:tcPr>
            <w:tcW w:w="16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Month</w:t>
            </w:r>
          </w:p>
        </w:tc>
        <w:tc>
          <w:tcPr>
            <w:tcW w:w="19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Opening Balance (£)</w:t>
            </w:r>
          </w:p>
        </w:tc>
        <w:tc>
          <w:tcPr>
            <w:tcW w:w="19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Cash In (£)</w:t>
            </w:r>
          </w:p>
        </w:tc>
        <w:tc>
          <w:tcPr>
            <w:tcW w:w="19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Cash Out (£)</w:t>
            </w:r>
          </w:p>
        </w:tc>
        <w:tc>
          <w:tcPr>
            <w:tcW w:w="17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Closing Balance (£)</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200,000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92,000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108,000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2</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108,000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96,000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3</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96,000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15,000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18,000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93,000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4</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93,000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20,000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20,000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93,000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5</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93,000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25,000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22,000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96,000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6</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96,000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30,000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24,000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102,000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7</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102,000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35,000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26,000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111,000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8</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111,000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35,000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26,000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9</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40,000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28,000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132,000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132,000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45,000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30,000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147,000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11</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147,000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50,000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32,000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165,000</w:t>
            </w:r>
          </w:p>
        </w:tc>
      </w:tr>
      <w:tr>
        <w:tc>
          <w:tcPr>
            <w:tcW w:w="16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12</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165,000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55,000</w:t>
            </w:r>
          </w:p>
        </w:tc>
        <w:tc>
          <w:tcPr>
            <w:tcW w:w="19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34,000</w:t>
            </w:r>
          </w:p>
        </w:tc>
        <w:tc>
          <w:tcPr>
            <w:tcW w:w="17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186,000</w:t>
            </w:r>
          </w:p>
        </w:tc>
      </w:tr>
    </w:tbl>
    <w:p/>
    <w:p>
      <w:pPr>
        <w:jc w:val="both"/>
      </w:pPr>
      <w:r>
        <w:t xml:space="preserve">The forecast shows a positive cash balance throughout Year 1, with no working-capital shortfall, giving the Company headroom to cover unexpected costs such as plant repairs or delayed client payments.</w:t>
      </w:r>
    </w:p>
    <w:p w14:paraId="1EAC9E90" w14:textId="77777777" w:rsidR="00F53214" w:rsidRPr="00502B0C" w:rsidRDefault="00F53214" w:rsidP="00F53214"/>
    <w:p w14:paraId="4F73121A" w14:textId="7489C3E0" w:rsidR="00502B0C" w:rsidRDefault="00502B0C" w:rsidP="00640B87">
      <w:pPr>
        <w:pStyle w:val="Heading2"/>
      </w:pPr>
      <w:bookmarkStart w:id="18" w:name="_Toc120719610"/>
      <w:r>
        <w:t xml:space="preserve">Sales Forecast</w:t>
      </w:r>
      <w:bookmarkEnd w:id="18"/>
    </w:p>
    <w:p>
      <w:pPr>
        <w:jc w:val="both"/>
      </w:pPr>
      <w:r>
        <w:t xml:space="preserve">Sales are forecast to build gradually as accreditation is obtained (Months 1-2) and the Company secures its first contracts, reaching the Year 1 target of 15 contracts and £350,000 revenue set out in the SMART objectives:</w:t>
      </w:r>
    </w:p>
    <w:tbl>
      <w:tblPr>
        <w:tblStyle w:val="TableGrid"/>
        <w:tblW w:w="9000" w:type="dxa"/>
        <w:tblLook w:val="04A0" w:firstRow="1" w:lastRow="0" w:firstColumn="1" w:lastColumn="0" w:noHBand="0" w:noVBand="1"/>
      </w:tblPr>
      <w:tblGrid>
        <w:gridCol w:w="3000"/>
        <w:gridCol w:w="3500"/>
        <w:gridCol w:w="2500"/>
      </w:tblGrid>
      <w:tr>
        <w:tc>
          <w:tcPr>
            <w:tcW w:w="30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Month</w:t>
            </w:r>
          </w:p>
        </w:tc>
        <w:tc>
          <w:tcPr>
            <w:tcW w:w="35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Sales Revenue (£)</w:t>
            </w:r>
          </w:p>
        </w:tc>
        <w:tc>
          <w:tcPr>
            <w:tcW w:w="25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Contracts Completed</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0</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2</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0</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3</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15,000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4</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20,000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5</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25,000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6</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30,000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7</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35,000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8</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35,000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9</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40,000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10</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45,000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11</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50,000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12</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55,000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w:t>
            </w:r>
          </w:p>
        </w:tc>
      </w:tr>
      <w:tr>
        <w:tc>
          <w:tcPr>
            <w:tcW w:w="3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Total</w:t>
            </w:r>
          </w:p>
        </w:tc>
        <w:tc>
          <w:tcPr>
            <w:tcW w:w="3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350,000</w:t>
            </w:r>
          </w:p>
        </w:tc>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15</w:t>
            </w:r>
          </w:p>
        </w:tc>
      </w:tr>
    </w:tbl>
    <w:p/>
    <w:p>
      <w:pPr>
        <w:jc w:val="both"/>
      </w:pPr>
      <w:r>
        <w:t xml:space="preserve">Average contract value is approximately £23,300, consistent with the £5,000-£100,000 project range described in the Business Description. Revenue is weighted towards the second half of the year as the Company builds its client base and accreditation record.</w:t>
      </w:r>
    </w:p>
    <w:p w14:paraId="0046DC5A" w14:textId="77777777" w:rsidR="00F53214" w:rsidRDefault="00F53214" w:rsidP="00F53214"/>
    <w:p w14:paraId="74F1FBE1" w14:textId="6766F9CB" w:rsidR="00640B87" w:rsidRDefault="00640B87" w:rsidP="00640B87">
      <w:pPr>
        <w:pStyle w:val="Heading2"/>
      </w:pPr>
      <w:bookmarkStart w:id="19" w:name="_Toc120719611"/>
      <w:r>
        <w:t>Cost of Production Forecast</w:t>
      </w:r>
      <w:bookmarkEnd w:id="19"/>
    </w:p>
    <w:p>
      <w:pPr>
        <w:jc w:val="both"/>
      </w:pPr>
      <w:r>
        <w:t xml:space="preserve">Costs are split between fixed overheads (depot rent, insurance, hire-purchase repayments and core salaries) of £12,000 per month, and variable costs (plant fuel, subcontracted labour, waste disposal and consumables) estimated at 40% of sales revenue:</w:t>
      </w:r>
    </w:p>
    <w:tbl>
      <w:tblPr>
        <w:tblStyle w:val="TableGrid"/>
        <w:tblW w:w="9000" w:type="dxa"/>
        <w:tblLook w:val="04A0" w:firstRow="1" w:lastRow="0" w:firstColumn="1" w:lastColumn="0" w:noHBand="0" w:noVBand="1"/>
      </w:tblPr>
      <w:tblGrid>
        <w:gridCol w:w="2500"/>
        <w:gridCol w:w="2200"/>
        <w:gridCol w:w="2200"/>
        <w:gridCol w:w="2100"/>
      </w:tblGrid>
      <w:tr>
        <w:tc>
          <w:tcPr>
            <w:tcW w:w="25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Month</w:t>
            </w:r>
          </w:p>
        </w:tc>
        <w:tc>
          <w:tcPr>
            <w:tcW w:w="22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Variable Costs (£)</w:t>
            </w:r>
          </w:p>
        </w:tc>
        <w:tc>
          <w:tcPr>
            <w:tcW w:w="22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Fixed Costs (£)</w:t>
            </w:r>
          </w:p>
        </w:tc>
        <w:tc>
          <w:tcPr>
            <w:tcW w:w="21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Total Costs (£)</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2</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3</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6,000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18,000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4</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8,000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20,000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5</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10,000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22,000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6</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24,000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7</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14,000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26,000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8</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14,000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26,000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9</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16,000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28,000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18,000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30,000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11</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20,000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32,000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Month 12</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22,000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12,000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34,000</w:t>
            </w:r>
          </w:p>
        </w:tc>
      </w:tr>
      <w:tr>
        <w:tc>
          <w:tcPr>
            <w:tcW w:w="25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Total</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140,000</w:t>
            </w:r>
          </w:p>
        </w:tc>
        <w:tc>
          <w:tcPr>
            <w:tcW w:w="22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144,000</w:t>
            </w:r>
          </w:p>
        </w:tc>
        <w:tc>
          <w:tcPr>
            <w:tcW w:w="21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284,000</w:t>
            </w:r>
          </w:p>
        </w:tc>
      </w:tr>
    </w:tbl>
    <w:p/>
    <w:p>
      <w:pPr>
        <w:jc w:val="both"/>
      </w:pPr>
      <w:r>
        <w:t xml:space="preserve">Total Year 1 costs of £284,000 against sales revenue of £350,000 give a forecast net profit of £66,000 for the first year of trading.</w:t>
      </w:r>
    </w:p>
    <w:p w14:paraId="1BFB4AEF" w14:textId="45BE3F1E" w:rsidR="00640B87" w:rsidRDefault="00640B87" w:rsidP="00F53214"/>
    <w:p w14:paraId="7F5E7075" w14:textId="77777777" w:rsidR="00502B0C" w:rsidRDefault="00502B0C" w:rsidP="00502B0C">
      <w:pPr>
        <w:pStyle w:val="Heading2"/>
      </w:pPr>
      <w:bookmarkStart w:id="20" w:name="_Toc120719612"/>
      <w:r>
        <w:t>Break Even Analysis</w:t>
      </w:r>
      <w:bookmarkEnd w:id="20"/>
      <w:r>
        <w:t xml:space="preserve"> </w:t>
      </w:r>
    </w:p>
    <w:p>
      <w:pPr>
        <w:jc w:val="both"/>
      </w:pPr>
      <w:r>
        <w:t xml:space="preserve">Break-even revenue is calculated using the standard formula: Break-even Revenue = Fixed Costs / Contribution Margin Ratio.</w:t>
      </w:r>
    </w:p>
    <w:tbl>
      <w:tblPr>
        <w:tblStyle w:val="TableGrid"/>
        <w:tblW w:w="9000" w:type="dxa"/>
        <w:tblLook w:val="04A0" w:firstRow="1" w:lastRow="0" w:firstColumn="1" w:lastColumn="0" w:noHBand="0" w:noVBand="1"/>
      </w:tblPr>
      <w:tblGrid>
        <w:gridCol w:w="5000"/>
        <w:gridCol w:w="4000"/>
      </w:tblGrid>
      <w:tr>
        <w:tc>
          <w:tcPr>
            <w:tcW w:w="50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Item</w:t>
            </w:r>
          </w:p>
        </w:tc>
        <w:tc>
          <w:tcPr>
            <w:tcW w:w="4000" w:type="dxa"/>
            <w:tcBorders>
              <w:top w:val="single" w:sz="4" w:space="0" w:color="auto"/>
              <w:left w:val="single" w:sz="4" w:space="0" w:color="auto"/>
              <w:bottom w:val="single" w:sz="4" w:space="0" w:color="auto"/>
              <w:right w:val="single" w:sz="4" w:space="0" w:color="auto"/>
            </w:tcBorders>
            <w:shd w:val="clear" w:color="auto" w:fill="D9D9D9"/>
          </w:tcPr>
          <w:p>
            <w:pPr>
              <w:spacing w:after="80" w:line="259" w:lineRule="auto"/>
            </w:pPr>
            <w:r>
              <w:rPr>
                <w:b/>
                <w:bCs/>
              </w:rPr>
              <w:t xml:space="preserve">Value</w:t>
            </w:r>
          </w:p>
        </w:tc>
      </w:tr>
      <w:tr>
        <w:tc>
          <w:tcPr>
            <w:tcW w:w="5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Annual fixed costs</w:t>
            </w:r>
          </w:p>
        </w:tc>
        <w:tc>
          <w:tcPr>
            <w:tcW w:w="4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£144,000</w:t>
            </w:r>
          </w:p>
        </w:tc>
      </w:tr>
      <w:tr>
        <w:tc>
          <w:tcPr>
            <w:tcW w:w="5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Variable cost rate</w:t>
            </w:r>
          </w:p>
        </w:tc>
        <w:tc>
          <w:tcPr>
            <w:tcW w:w="4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40% of sales</w:t>
            </w:r>
          </w:p>
        </w:tc>
      </w:tr>
      <w:tr>
        <w:tc>
          <w:tcPr>
            <w:tcW w:w="5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Contribution margin ratio</w:t>
            </w:r>
          </w:p>
        </w:tc>
        <w:tc>
          <w:tcPr>
            <w:tcW w:w="4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60%</w:t>
            </w:r>
          </w:p>
        </w:tc>
      </w:tr>
      <w:tr>
        <w:tc>
          <w:tcPr>
            <w:tcW w:w="5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Break-even revenue</w:t>
            </w:r>
          </w:p>
        </w:tc>
        <w:tc>
          <w:tcPr>
            <w:tcW w:w="4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£240,000</w:t>
            </w:r>
          </w:p>
        </w:tc>
      </w:tr>
      <w:tr>
        <w:tc>
          <w:tcPr>
            <w:tcW w:w="5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Average contract value</w:t>
            </w:r>
          </w:p>
        </w:tc>
        <w:tc>
          <w:tcPr>
            <w:tcW w:w="4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£23,333</w:t>
            </w:r>
          </w:p>
        </w:tc>
      </w:tr>
      <w:tr>
        <w:tc>
          <w:tcPr>
            <w:tcW w:w="5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Break-even point (contracts)</w:t>
            </w:r>
          </w:p>
        </w:tc>
        <w:tc>
          <w:tcPr>
            <w:tcW w:w="4000" w:type="dxa"/>
            <w:tcBorders>
              <w:top w:val="single" w:sz="4" w:space="0" w:color="auto"/>
              <w:left w:val="single" w:sz="4" w:space="0" w:color="auto"/>
              <w:bottom w:val="single" w:sz="4" w:space="0" w:color="auto"/>
              <w:right w:val="single" w:sz="4" w:space="0" w:color="auto"/>
            </w:tcBorders>
          </w:tcPr>
          <w:p>
            <w:pPr>
              <w:spacing w:after="80" w:line="259" w:lineRule="auto"/>
            </w:pPr>
            <w:r>
              <w:t xml:space="preserve">~10.3 contracts</w:t>
            </w:r>
          </w:p>
        </w:tc>
      </w:tr>
    </w:tbl>
    <w:p/>
    <w:p>
      <w:pPr>
        <w:jc w:val="both"/>
      </w:pPr>
      <w:r>
        <w:t xml:space="preserve">Cumulative sales pass £240,000 during Month 10, which is consistent with the Key Milestones target of reaching break-even at the 12th contract. After this point, each additional contract contributes directly to Year 1 profit.</w:t>
      </w:r>
    </w:p>
    <w:p w14:paraId="7030F4E5" w14:textId="763C6A03" w:rsidR="007B23A9" w:rsidRDefault="007B23A9">
      <w:r>
        <w:br w:type="page"/>
      </w:r>
    </w:p>
    <w:p w14:paraId="2B4CB86D" w14:textId="03A6D596" w:rsidR="00255882" w:rsidRDefault="00747FD5" w:rsidP="00070E9B">
      <w:pPr>
        <w:pStyle w:val="Heading1"/>
      </w:pPr>
      <w:bookmarkStart w:id="21" w:name="_Toc120719613"/>
      <w:r>
        <w:lastRenderedPageBreak/>
        <w:t>Operations and Management Plan</w:t>
      </w:r>
      <w:bookmarkEnd w:id="21"/>
    </w:p>
    <w:p w14:paraId="0A60E324" w14:textId="77777777" w:rsidR="007B23A9" w:rsidRDefault="007B23A9" w:rsidP="00F53214"/>
    <w:p w14:paraId="792A2F79" w14:textId="2EB8E395" w:rsidR="007B23A9" w:rsidRDefault="007B23A9" w:rsidP="00F53214">
      <w:r>
        <w:t xml:space="preserve">This section describes how the company will deliver its services on site, the technology used to support safe and efficient operations, the human resource plan for Year 1, and the plan for future growth.</w:t>
      </w:r>
    </w:p>
    <w:p w14:paraId="4A9102BE" w14:textId="70FC25CB" w:rsidR="00255882" w:rsidRDefault="002B7D60" w:rsidP="00934751">
      <w:pPr>
        <w:pStyle w:val="Heading2"/>
      </w:pPr>
      <w:bookmarkStart w:id="22" w:name="_Toc120719614"/>
      <w:r>
        <w:t xml:space="preserve">Production of Good and Service</w:t>
      </w:r>
      <w:bookmarkEnd w:id="22"/>
    </w:p>
    <w:p w14:paraId="6D85147D" w14:textId="77777777" w:rsidR="007B23A9" w:rsidRPr="007B23A9" w:rsidRDefault="007B23A9" w:rsidP="007B23A9"/>
    <w:p w14:paraId="6DB976EA" w14:textId="77777777" w:rsidR="007B23A9" w:rsidRPr="007B23A9" w:rsidRDefault="007B23A9" w:rsidP="007B23A9">
      <w:pPr>
        <w:numPr>
          <w:ilvl w:val="0"/>
          <w:numId w:val="3"/>
        </w:numPr>
      </w:pPr>
      <w:r>
        <w:t>Site mobilisation: hoarding, welfare units, signage and utility disconnections (gas, electricity, water) arranged with providers.</w:t>
      </w:r>
    </w:p>
    <w:p w14:paraId="7F13DE46" w14:textId="77777777" w:rsidR="007B23A9" w:rsidRPr="007B23A9" w:rsidRDefault="007B23A9" w:rsidP="007B23A9">
      <w:pPr>
        <w:numPr>
          <w:ilvl w:val="0"/>
          <w:numId w:val="3"/>
        </w:numPr>
      </w:pPr>
      <w:r>
        <w:t xml:space="preserve">Soft-strip of fixtures, fittings and non-structural elements, with materials segregated for reuse or recycling.</w:t>
      </w:r>
    </w:p>
    <w:p w14:paraId="38431998" w14:textId="77777777" w:rsidR="007B23A9" w:rsidRPr="007B23A9" w:rsidRDefault="007B23A9" w:rsidP="007B23A9">
      <w:pPr>
        <w:numPr>
          <w:ilvl w:val="0"/>
          <w:numId w:val="3"/>
        </w:numPr>
      </w:pPr>
      <w:r>
        <w:t>Mechanical structural demolition using excavators fitted with pulverisers or shears, working top-down in an engineered sequence.</w:t>
      </w:r>
    </w:p>
    <w:p w14:paraId="0139A0EF" w14:textId="77777777" w:rsidR="007B23A9" w:rsidRPr="007B23A9" w:rsidRDefault="007B23A9" w:rsidP="007B23A9">
      <w:pPr>
        <w:numPr>
          <w:ilvl w:val="0"/>
          <w:numId w:val="3"/>
        </w:numPr>
      </w:pPr>
      <w:r>
        <w:t>On-site or off-site crushing and screening of concrete and masonry, and licensed removal of remaining waste streams with digital waste-transfer documentation.</w:t>
      </w:r>
    </w:p>
    <w:p w14:paraId="7DBFBFCC" w14:textId="673BEA91" w:rsidR="007B23A9" w:rsidRPr="007B23A9" w:rsidRDefault="007B23A9" w:rsidP="007B23A9">
      <w:pPr>
        <w:numPr>
          <w:ilvl w:val="0"/>
          <w:numId w:val="3"/>
        </w:numPr>
      </w:pPr>
      <w:r>
        <w:t>Site clearance, ground reinstatement as specified, final safety inspection and handover to the client or principal contractor.</w:t>
      </w:r>
    </w:p>
    <w:p w14:paraId="5905F11A" w14:textId="5616DBE7" w:rsidR="00722572" w:rsidRDefault="00722572" w:rsidP="007B23A9">
      <w:pPr>
        <w:pStyle w:val="Heading2"/>
      </w:pPr>
      <w:bookmarkStart w:id="23" w:name="_Toc120719615"/>
      <w:r>
        <w:t>Technology Plan</w:t>
      </w:r>
      <w:bookmarkEnd w:id="23"/>
    </w:p>
    <w:p w14:paraId="1AD346B9" w14:textId="5AFB04CA" w:rsidR="00722572" w:rsidRDefault="00934751" w:rsidP="00934751">
      <w:pPr>
        <w:pStyle w:val="Heading2"/>
      </w:pPr>
      <w:bookmarkStart w:id="24" w:name="_Toc120719616"/>
      <w:r>
        <w:t>Human Resource Plan</w:t>
      </w:r>
      <w:bookmarkEnd w:id="24"/>
    </w:p>
    <w:p w14:paraId="71BB780A" w14:textId="77777777" w:rsidR="006F73A5" w:rsidRDefault="006F73A5" w:rsidP="006F73A5">
      <w:pPr>
        <w:rPr>
          <w:b/>
        </w:rPr>
      </w:pPr>
    </w:p>
    <w:p w14:paraId="67B9E496" w14:textId="72F5F8A9" w:rsidR="006F73A5" w:rsidRPr="006F73A5" w:rsidRDefault="006F73A5" w:rsidP="006F73A5">
      <w:r>
        <w:t xml:space="preserve">The company will start Year 1 with a core team of 10 employees, supplemented by subcontracted specialists as required:</w:t>
      </w:r>
    </w:p>
    <w:tbl>
      <w:tblPr>
        <w:tblStyle w:val="TableGrid"/>
        <w:tblW w:w="9000" w:type="dxa"/>
        <w:tblLook w:val="04A0" w:firstRow="1" w:lastRow="0" w:firstColumn="1" w:lastColumn="0" w:noHBand="0" w:noVBand="1"/>
      </w:tblPr>
      <w:tblGrid>
        <w:gridCol w:w="4400"/>
        <w:gridCol w:w="1800"/>
        <w:gridCol w:w="2800"/>
      </w:tblGrid>
      <w:tr w:rsidR="006F73A5" w:rsidRPr="006F73A5" w14:paraId="48CFE1FB" w14:textId="77777777">
        <w:tc>
          <w:tcPr>
            <w:tcW w:w="4400" w:type="dxa"/>
            <w:tcBorders>
              <w:top w:val="single" w:sz="4" w:space="0" w:color="auto"/>
              <w:left w:val="single" w:sz="4" w:space="0" w:color="auto"/>
              <w:bottom w:val="single" w:sz="4" w:space="0" w:color="auto"/>
              <w:right w:val="single" w:sz="4" w:space="0" w:color="auto"/>
            </w:tcBorders>
            <w:shd w:val="clear" w:color="auto" w:fill="D9D9D9"/>
            <w:hideMark/>
          </w:tcPr>
          <w:p w14:paraId="61833BD0" w14:textId="77777777" w:rsidR="006F73A5" w:rsidRPr="006F73A5" w:rsidRDefault="006F73A5" w:rsidP="006F73A5">
            <w:pPr>
              <w:spacing w:after="160" w:line="259" w:lineRule="auto"/>
            </w:pPr>
            <w:r>
              <w:rPr>
                <w:b/>
                <w:bCs/>
              </w:rPr>
              <w:t>Role</w:t>
            </w:r>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14:paraId="029A74EE" w14:textId="77777777" w:rsidR="006F73A5" w:rsidRPr="006F73A5" w:rsidRDefault="006F73A5" w:rsidP="006F73A5">
            <w:pPr>
              <w:spacing w:after="160" w:line="259" w:lineRule="auto"/>
            </w:pPr>
            <w:r>
              <w:rPr>
                <w:b/>
                <w:bCs/>
              </w:rPr>
              <w:t>Headcount (Year 1)</w:t>
            </w:r>
          </w:p>
        </w:tc>
        <w:tc>
          <w:tcPr>
            <w:tcW w:w="2800" w:type="dxa"/>
            <w:tcBorders>
              <w:top w:val="single" w:sz="4" w:space="0" w:color="auto"/>
              <w:left w:val="single" w:sz="4" w:space="0" w:color="auto"/>
              <w:bottom w:val="single" w:sz="4" w:space="0" w:color="auto"/>
              <w:right w:val="single" w:sz="4" w:space="0" w:color="auto"/>
            </w:tcBorders>
            <w:shd w:val="clear" w:color="auto" w:fill="D9D9D9"/>
            <w:hideMark/>
          </w:tcPr>
          <w:p w14:paraId="7A84842E" w14:textId="77777777" w:rsidR="006F73A5" w:rsidRPr="006F73A5" w:rsidRDefault="006F73A5" w:rsidP="006F73A5">
            <w:pPr>
              <w:spacing w:after="160" w:line="259" w:lineRule="auto"/>
            </w:pPr>
            <w:r>
              <w:rPr>
                <w:b/>
                <w:bCs/>
              </w:rPr>
              <w:t>Employment type</w:t>
            </w:r>
          </w:p>
        </w:tc>
      </w:tr>
      <w:tr w:rsidR="006F73A5" w:rsidRPr="006F73A5" w14:paraId="4E60D5E9" w14:textId="77777777">
        <w:tc>
          <w:tcPr>
            <w:tcW w:w="4400" w:type="dxa"/>
            <w:tcBorders>
              <w:top w:val="single" w:sz="4" w:space="0" w:color="auto"/>
              <w:left w:val="single" w:sz="4" w:space="0" w:color="auto"/>
              <w:bottom w:val="single" w:sz="4" w:space="0" w:color="auto"/>
              <w:right w:val="single" w:sz="4" w:space="0" w:color="auto"/>
            </w:tcBorders>
            <w:hideMark/>
          </w:tcPr>
          <w:p w14:paraId="6A1D421B" w14:textId="77777777" w:rsidR="006F73A5" w:rsidRPr="006F73A5" w:rsidRDefault="006F73A5" w:rsidP="006F73A5">
            <w:pPr>
              <w:spacing w:after="160" w:line="259" w:lineRule="auto"/>
            </w:pPr>
            <w:r>
              <w:t>Managing Director</w:t>
            </w:r>
          </w:p>
        </w:tc>
        <w:tc>
          <w:tcPr>
            <w:tcW w:w="1800" w:type="dxa"/>
            <w:tcBorders>
              <w:top w:val="single" w:sz="4" w:space="0" w:color="auto"/>
              <w:left w:val="single" w:sz="4" w:space="0" w:color="auto"/>
              <w:bottom w:val="single" w:sz="4" w:space="0" w:color="auto"/>
              <w:right w:val="single" w:sz="4" w:space="0" w:color="auto"/>
            </w:tcBorders>
            <w:hideMark/>
          </w:tcPr>
          <w:p w14:paraId="7F7E0389" w14:textId="77777777" w:rsidR="006F73A5" w:rsidRPr="006F73A5" w:rsidRDefault="006F73A5" w:rsidP="006F73A5">
            <w:pPr>
              <w:spacing w:after="160" w:line="259" w:lineRule="auto"/>
            </w:pPr>
            <w:r>
              <w:t>1</w:t>
            </w:r>
          </w:p>
        </w:tc>
        <w:tc>
          <w:tcPr>
            <w:tcW w:w="2800" w:type="dxa"/>
            <w:tcBorders>
              <w:top w:val="single" w:sz="4" w:space="0" w:color="auto"/>
              <w:left w:val="single" w:sz="4" w:space="0" w:color="auto"/>
              <w:bottom w:val="single" w:sz="4" w:space="0" w:color="auto"/>
              <w:right w:val="single" w:sz="4" w:space="0" w:color="auto"/>
            </w:tcBorders>
            <w:hideMark/>
          </w:tcPr>
          <w:p w14:paraId="205A9708" w14:textId="77777777" w:rsidR="006F73A5" w:rsidRPr="006F73A5" w:rsidRDefault="006F73A5" w:rsidP="006F73A5">
            <w:pPr>
              <w:spacing w:after="160" w:line="259" w:lineRule="auto"/>
            </w:pPr>
            <w:r>
              <w:t>Permanent, full-time</w:t>
            </w:r>
          </w:p>
        </w:tc>
      </w:tr>
      <w:tr w:rsidR="006F73A5" w:rsidRPr="006F73A5" w14:paraId="308A00AF" w14:textId="77777777">
        <w:tc>
          <w:tcPr>
            <w:tcW w:w="4400" w:type="dxa"/>
            <w:tcBorders>
              <w:top w:val="single" w:sz="4" w:space="0" w:color="auto"/>
              <w:left w:val="single" w:sz="4" w:space="0" w:color="auto"/>
              <w:bottom w:val="single" w:sz="4" w:space="0" w:color="auto"/>
              <w:right w:val="single" w:sz="4" w:space="0" w:color="auto"/>
            </w:tcBorders>
            <w:hideMark/>
          </w:tcPr>
          <w:p w14:paraId="73FB3AD6" w14:textId="77777777" w:rsidR="006F73A5" w:rsidRPr="006F73A5" w:rsidRDefault="006F73A5" w:rsidP="006F73A5">
            <w:pPr>
              <w:spacing w:after="160" w:line="259" w:lineRule="auto"/>
            </w:pPr>
            <w:r>
              <w:t>Operations / Contracts Manager</w:t>
            </w:r>
          </w:p>
        </w:tc>
        <w:tc>
          <w:tcPr>
            <w:tcW w:w="1800" w:type="dxa"/>
            <w:tcBorders>
              <w:top w:val="single" w:sz="4" w:space="0" w:color="auto"/>
              <w:left w:val="single" w:sz="4" w:space="0" w:color="auto"/>
              <w:bottom w:val="single" w:sz="4" w:space="0" w:color="auto"/>
              <w:right w:val="single" w:sz="4" w:space="0" w:color="auto"/>
            </w:tcBorders>
            <w:hideMark/>
          </w:tcPr>
          <w:p w14:paraId="080D12DD" w14:textId="77777777" w:rsidR="006F73A5" w:rsidRPr="006F73A5" w:rsidRDefault="006F73A5" w:rsidP="006F73A5">
            <w:pPr>
              <w:spacing w:after="160" w:line="259" w:lineRule="auto"/>
            </w:pPr>
            <w:r>
              <w:t>1</w:t>
            </w:r>
          </w:p>
        </w:tc>
        <w:tc>
          <w:tcPr>
            <w:tcW w:w="2800" w:type="dxa"/>
            <w:tcBorders>
              <w:top w:val="single" w:sz="4" w:space="0" w:color="auto"/>
              <w:left w:val="single" w:sz="4" w:space="0" w:color="auto"/>
              <w:bottom w:val="single" w:sz="4" w:space="0" w:color="auto"/>
              <w:right w:val="single" w:sz="4" w:space="0" w:color="auto"/>
            </w:tcBorders>
            <w:hideMark/>
          </w:tcPr>
          <w:p w14:paraId="78996A25" w14:textId="77777777" w:rsidR="006F73A5" w:rsidRPr="006F73A5" w:rsidRDefault="006F73A5" w:rsidP="006F73A5">
            <w:pPr>
              <w:spacing w:after="160" w:line="259" w:lineRule="auto"/>
            </w:pPr>
            <w:r>
              <w:t>Permanent, full-time</w:t>
            </w:r>
          </w:p>
        </w:tc>
      </w:tr>
      <w:tr w:rsidR="006F73A5" w:rsidRPr="006F73A5" w14:paraId="578DEAF9" w14:textId="77777777">
        <w:tc>
          <w:tcPr>
            <w:tcW w:w="4400" w:type="dxa"/>
            <w:tcBorders>
              <w:top w:val="single" w:sz="4" w:space="0" w:color="auto"/>
              <w:left w:val="single" w:sz="4" w:space="0" w:color="auto"/>
              <w:bottom w:val="single" w:sz="4" w:space="0" w:color="auto"/>
              <w:right w:val="single" w:sz="4" w:space="0" w:color="auto"/>
            </w:tcBorders>
            <w:hideMark/>
          </w:tcPr>
          <w:p w14:paraId="3948FB23" w14:textId="77777777" w:rsidR="006F73A5" w:rsidRPr="006F73A5" w:rsidRDefault="006F73A5" w:rsidP="006F73A5">
            <w:pPr>
              <w:spacing w:after="160" w:line="259" w:lineRule="auto"/>
            </w:pPr>
            <w:r>
              <w:t>HSE Manager</w:t>
            </w:r>
          </w:p>
        </w:tc>
        <w:tc>
          <w:tcPr>
            <w:tcW w:w="1800" w:type="dxa"/>
            <w:tcBorders>
              <w:top w:val="single" w:sz="4" w:space="0" w:color="auto"/>
              <w:left w:val="single" w:sz="4" w:space="0" w:color="auto"/>
              <w:bottom w:val="single" w:sz="4" w:space="0" w:color="auto"/>
              <w:right w:val="single" w:sz="4" w:space="0" w:color="auto"/>
            </w:tcBorders>
            <w:hideMark/>
          </w:tcPr>
          <w:p w14:paraId="3FD74515" w14:textId="77777777" w:rsidR="006F73A5" w:rsidRPr="006F73A5" w:rsidRDefault="006F73A5" w:rsidP="006F73A5">
            <w:pPr>
              <w:spacing w:after="160" w:line="259" w:lineRule="auto"/>
            </w:pPr>
            <w:r>
              <w:t>1</w:t>
            </w:r>
          </w:p>
        </w:tc>
        <w:tc>
          <w:tcPr>
            <w:tcW w:w="2800" w:type="dxa"/>
            <w:tcBorders>
              <w:top w:val="single" w:sz="4" w:space="0" w:color="auto"/>
              <w:left w:val="single" w:sz="4" w:space="0" w:color="auto"/>
              <w:bottom w:val="single" w:sz="4" w:space="0" w:color="auto"/>
              <w:right w:val="single" w:sz="4" w:space="0" w:color="auto"/>
            </w:tcBorders>
            <w:hideMark/>
          </w:tcPr>
          <w:p w14:paraId="40820887" w14:textId="77777777" w:rsidR="006F73A5" w:rsidRPr="006F73A5" w:rsidRDefault="006F73A5" w:rsidP="006F73A5">
            <w:pPr>
              <w:spacing w:after="160" w:line="259" w:lineRule="auto"/>
            </w:pPr>
            <w:r>
              <w:t>Part-time (Months 1–3), full-time from Month 4</w:t>
            </w:r>
          </w:p>
        </w:tc>
      </w:tr>
      <w:tr w:rsidR="006F73A5" w:rsidRPr="006F73A5" w14:paraId="491B5FC2" w14:textId="77777777">
        <w:tc>
          <w:tcPr>
            <w:tcW w:w="4400" w:type="dxa"/>
            <w:tcBorders>
              <w:top w:val="single" w:sz="4" w:space="0" w:color="auto"/>
              <w:left w:val="single" w:sz="4" w:space="0" w:color="auto"/>
              <w:bottom w:val="single" w:sz="4" w:space="0" w:color="auto"/>
              <w:right w:val="single" w:sz="4" w:space="0" w:color="auto"/>
            </w:tcBorders>
            <w:hideMark/>
          </w:tcPr>
          <w:p w14:paraId="7A7C3AAE" w14:textId="75680F34" w:rsidR="006F73A5" w:rsidRPr="006F73A5" w:rsidRDefault="006F73A5" w:rsidP="006F73A5">
            <w:pPr>
              <w:spacing w:after="160" w:line="259" w:lineRule="auto"/>
            </w:pPr>
            <w:r>
              <w:t>Security manager</w:t>
            </w:r>
          </w:p>
        </w:tc>
        <w:tc>
          <w:tcPr>
            <w:tcW w:w="1800" w:type="dxa"/>
            <w:tcBorders>
              <w:top w:val="single" w:sz="4" w:space="0" w:color="auto"/>
              <w:left w:val="single" w:sz="4" w:space="0" w:color="auto"/>
              <w:bottom w:val="single" w:sz="4" w:space="0" w:color="auto"/>
              <w:right w:val="single" w:sz="4" w:space="0" w:color="auto"/>
            </w:tcBorders>
            <w:hideMark/>
          </w:tcPr>
          <w:p w14:paraId="0AE41874" w14:textId="77777777" w:rsidR="006F73A5" w:rsidRPr="006F73A5" w:rsidRDefault="006F73A5" w:rsidP="006F73A5">
            <w:pPr>
              <w:spacing w:after="160" w:line="259" w:lineRule="auto"/>
            </w:pPr>
            <w:r>
              <w:t>1</w:t>
            </w:r>
          </w:p>
        </w:tc>
        <w:tc>
          <w:tcPr>
            <w:tcW w:w="2800" w:type="dxa"/>
            <w:tcBorders>
              <w:top w:val="single" w:sz="4" w:space="0" w:color="auto"/>
              <w:left w:val="single" w:sz="4" w:space="0" w:color="auto"/>
              <w:bottom w:val="single" w:sz="4" w:space="0" w:color="auto"/>
              <w:right w:val="single" w:sz="4" w:space="0" w:color="auto"/>
            </w:tcBorders>
            <w:hideMark/>
          </w:tcPr>
          <w:p w14:paraId="6B8ADBB3" w14:textId="77777777" w:rsidR="006F73A5" w:rsidRPr="006F73A5" w:rsidRDefault="006F73A5" w:rsidP="006F73A5">
            <w:pPr>
              <w:spacing w:after="160" w:line="259" w:lineRule="auto"/>
            </w:pPr>
            <w:r>
              <w:t>Permanent, full-time</w:t>
            </w:r>
          </w:p>
        </w:tc>
      </w:tr>
      <w:tr w:rsidR="006F73A5" w:rsidRPr="006F73A5" w14:paraId="2F1477F1" w14:textId="77777777">
        <w:tc>
          <w:tcPr>
            <w:tcW w:w="4400" w:type="dxa"/>
            <w:tcBorders>
              <w:top w:val="single" w:sz="4" w:space="0" w:color="auto"/>
              <w:left w:val="single" w:sz="4" w:space="0" w:color="auto"/>
              <w:bottom w:val="single" w:sz="4" w:space="0" w:color="auto"/>
              <w:right w:val="single" w:sz="4" w:space="0" w:color="auto"/>
            </w:tcBorders>
            <w:hideMark/>
          </w:tcPr>
          <w:p w14:paraId="1F064874" w14:textId="77777777" w:rsidR="006F73A5" w:rsidRPr="006F73A5" w:rsidRDefault="006F73A5" w:rsidP="006F73A5">
            <w:pPr>
              <w:spacing w:after="160" w:line="259" w:lineRule="auto"/>
            </w:pPr>
            <w:r>
              <w:t>General site labourers</w:t>
            </w:r>
          </w:p>
        </w:tc>
        <w:tc>
          <w:tcPr>
            <w:tcW w:w="1800" w:type="dxa"/>
            <w:tcBorders>
              <w:top w:val="single" w:sz="4" w:space="0" w:color="auto"/>
              <w:left w:val="single" w:sz="4" w:space="0" w:color="auto"/>
              <w:bottom w:val="single" w:sz="4" w:space="0" w:color="auto"/>
              <w:right w:val="single" w:sz="4" w:space="0" w:color="auto"/>
            </w:tcBorders>
            <w:hideMark/>
          </w:tcPr>
          <w:p w14:paraId="4F1650CC" w14:textId="195CCE3A" w:rsidR="006F73A5" w:rsidRPr="006F73A5" w:rsidRDefault="006F73A5" w:rsidP="006F73A5">
            <w:pPr>
              <w:spacing w:after="160" w:line="259" w:lineRule="auto"/>
            </w:pPr>
            <w:r>
              <w:t>6</w:t>
            </w:r>
          </w:p>
        </w:tc>
        <w:tc>
          <w:tcPr>
            <w:tcW w:w="2800" w:type="dxa"/>
            <w:tcBorders>
              <w:top w:val="single" w:sz="4" w:space="0" w:color="auto"/>
              <w:left w:val="single" w:sz="4" w:space="0" w:color="auto"/>
              <w:bottom w:val="single" w:sz="4" w:space="0" w:color="auto"/>
              <w:right w:val="single" w:sz="4" w:space="0" w:color="auto"/>
            </w:tcBorders>
            <w:hideMark/>
          </w:tcPr>
          <w:p w14:paraId="262686F7" w14:textId="77777777" w:rsidR="006F73A5" w:rsidRPr="006F73A5" w:rsidRDefault="006F73A5" w:rsidP="006F73A5">
            <w:pPr>
              <w:spacing w:after="160" w:line="259" w:lineRule="auto"/>
            </w:pPr>
            <w:r>
              <w:t>Permanent, full-time</w:t>
            </w:r>
          </w:p>
        </w:tc>
      </w:tr>
    </w:tbl>
    <w:p w14:paraId="53726AED" w14:textId="77777777" w:rsidR="00F53214" w:rsidRDefault="00F53214" w:rsidP="00F53214"/>
    <w:p w14:paraId="72BBA71F" w14:textId="26514F7F" w:rsidR="00255882" w:rsidRDefault="00934751" w:rsidP="006F73A5">
      <w:pPr>
        <w:pStyle w:val="Heading2"/>
      </w:pPr>
      <w:bookmarkStart w:id="25" w:name="_Toc120719617"/>
      <w:r>
        <w:t>Expansion Plan</w:t>
      </w:r>
      <w:bookmarkEnd w:id="25"/>
    </w:p>
    <w:p w14:paraId="3D68A2BD" w14:textId="77777777" w:rsidR="006F73A5" w:rsidRDefault="006F73A5" w:rsidP="006F73A5"/>
    <w:p w14:paraId="267C76C8" w14:textId="77777777" w:rsidR="007B23A9" w:rsidRDefault="006F73A5" w:rsidP="006F73A5">
      <w:pPr>
        <w:pStyle w:val="ListParagraph"/>
        <w:numPr>
          <w:ilvl w:val="0"/>
          <w:numId w:val="2"/>
        </w:numPr>
      </w:pPr>
      <w:r>
        <w:t>Expand the plant fleet from 2 to 5 excavators plus additional attachments by Year 3</w:t>
      </w:r>
    </w:p>
    <w:p w14:paraId="768BEE04" w14:textId="77777777" w:rsidR="007B23A9" w:rsidRDefault="007B23A9" w:rsidP="006F73A5">
      <w:pPr>
        <w:pStyle w:val="ListParagraph"/>
        <w:numPr>
          <w:ilvl w:val="0"/>
          <w:numId w:val="2"/>
        </w:numPr>
      </w:pPr>
    </w:p>
    <w:p w14:paraId="3E85424B" w14:textId="77777777" w:rsidR="007B23A9" w:rsidRDefault="006F73A5" w:rsidP="007B23A9">
      <w:pPr>
        <w:pStyle w:val="ListParagraph"/>
        <w:numPr>
          <w:ilvl w:val="0"/>
          <w:numId w:val="2"/>
        </w:numPr>
      </w:pPr>
      <w:r>
        <w:t>Achieve ISO 9001 (Quality) and ISO 14001 (Environmental) certification by the end of Year 2</w:t>
      </w:r>
    </w:p>
    <w:p w14:paraId="3A5F0424" w14:textId="77777777" w:rsidR="007B23A9" w:rsidRDefault="007B23A9" w:rsidP="007B23A9">
      <w:pPr>
        <w:pStyle w:val="ListParagraph"/>
      </w:pPr>
    </w:p>
    <w:p w14:paraId="25A367EC" w14:textId="77777777" w:rsidR="007B23A9" w:rsidRDefault="006F73A5" w:rsidP="006F73A5">
      <w:pPr>
        <w:pStyle w:val="ListParagraph"/>
        <w:numPr>
          <w:ilvl w:val="0"/>
          <w:numId w:val="2"/>
        </w:numPr>
      </w:pPr>
      <w:r>
        <w:lastRenderedPageBreak/>
        <w:t xml:space="preserve">Open a second depot in the South East of England (e.g. Kent or Essex) by Year 3 to serve infrastructure and logistics-led redevelopment projects.</w:t>
      </w:r>
    </w:p>
    <w:p w14:paraId="08D69A09" w14:textId="77777777" w:rsidR="007B23A9" w:rsidRDefault="007B23A9" w:rsidP="007B23A9">
      <w:pPr>
        <w:pStyle w:val="ListParagraph"/>
      </w:pPr>
    </w:p>
    <w:p w14:paraId="30F318BF" w14:textId="77777777" w:rsidR="007B23A9" w:rsidRDefault="006F73A5" w:rsidP="006F73A5">
      <w:pPr>
        <w:pStyle w:val="ListParagraph"/>
        <w:numPr>
          <w:ilvl w:val="0"/>
          <w:numId w:val="2"/>
        </w:numPr>
      </w:pPr>
      <w:r>
        <w:t xml:space="preserve">Grow annual turnover to £1.5–£2 million by Year 3 through direct tendering and framework agreements with local authorities and housing associations.</w:t>
      </w:r>
    </w:p>
    <w:p w14:paraId="79091B92" w14:textId="77777777" w:rsidR="007B23A9" w:rsidRDefault="007B23A9" w:rsidP="007B23A9">
      <w:pPr>
        <w:pStyle w:val="ListParagraph"/>
      </w:pPr>
    </w:p>
    <w:p w14:paraId="45BE0CF6" w14:textId="573CFD69" w:rsidR="00255882" w:rsidRPr="007B23A9" w:rsidRDefault="006F73A5" w:rsidP="007B23A9">
      <w:pPr>
        <w:pStyle w:val="ListParagraph"/>
        <w:numPr>
          <w:ilvl w:val="0"/>
          <w:numId w:val="2"/>
        </w:numPr>
      </w:pPr>
      <w:r>
        <w:t>Diversify into related enabling works (groundworks, remediation) and materials reclamation/resale as a circular-economy revenue stream.</w:t>
      </w:r>
    </w:p>
    <w:p w14:paraId="6FBCBACB" w14:textId="705950DC" w:rsidR="00070E9B" w:rsidRDefault="00070E9B" w:rsidP="006F73A5">
      <w:pPr>
        <w:pStyle w:val="Heading1"/>
      </w:pPr>
      <w:bookmarkStart w:id="26" w:name="_Toc120719618"/>
      <w:r>
        <w:t>Reference List</w:t>
      </w:r>
      <w:bookmarkEnd w:id="26"/>
    </w:p>
    <w:p w14:paraId="03052419" w14:textId="77777777" w:rsidR="006F73A5" w:rsidRPr="006F73A5" w:rsidRDefault="006F73A5" w:rsidP="006F73A5"/>
    <w:p w14:paraId="18C1F84E" w14:textId="24D52A1D" w:rsidR="006F73A5" w:rsidRPr="006F73A5" w:rsidRDefault="006F73A5" w:rsidP="006F73A5">
      <w:r>
        <w:t xml:space="preserve">Construction Products Association (2026) Construction Industry Forecasts. Available at: </w:t>
      </w:r>
      <w:hyperlink r:id="rId14" w:history="1">
        <w:r>
          <w:rPr>
            <w:rStyle w:val="Hyperlink"/>
          </w:rPr>
          <w:t>https://www.constructionproducts.org.uk/publications/economics/construction-industry-forecasts/</w:t>
        </w:r>
      </w:hyperlink>
      <w:r>
        <w:t xml:space="preserve"> </w:t>
      </w:r>
    </w:p>
    <w:p w14:paraId="645F749E" w14:textId="5B31CAEE" w:rsidR="006F73A5" w:rsidRPr="006F73A5" w:rsidRDefault="006F73A5" w:rsidP="006F73A5">
      <w:r>
        <w:t xml:space="preserve">GOV.UK - Register or renew as a waste carrier, broker or dealer. Available at: </w:t>
      </w:r>
      <w:hyperlink r:id="rId15" w:history="1">
        <w:r>
          <w:rPr>
            <w:rStyle w:val="Hyperlink"/>
          </w:rPr>
          <w:t>https://www.gov.uk/waste-carrier-or-broker-registration</w:t>
        </w:r>
      </w:hyperlink>
      <w:r>
        <w:t xml:space="preserve"> </w:t>
      </w:r>
    </w:p>
    <w:p w14:paraId="6FAD03DB" w14:textId="77777777" w:rsidR="006F73A5" w:rsidRDefault="006F73A5" w:rsidP="006F73A5">
      <w:r>
        <w:t xml:space="preserve">Health and Safety Executive - The Construction (Design and Management) Regulations 2015 (CDM 2015): Overview. Available at: </w:t>
      </w:r>
      <w:hyperlink r:id="rId16" w:history="1">
        <w:r>
          <w:rPr>
            <w:rStyle w:val="Hyperlink"/>
          </w:rPr>
          <w:t>https://www.hse.gov.uk/construction/cdm/2015/overview.htm</w:t>
        </w:r>
      </w:hyperlink>
      <w:r>
        <w:t xml:space="preserve"> </w:t>
      </w:r>
    </w:p>
    <w:p w14:paraId="1F5BD9E9" w14:textId="6506D357" w:rsidR="00255882" w:rsidRDefault="006F73A5">
      <w:r>
        <w:t xml:space="preserve">IBISWorld (2025) Demolition in the UK — Market Size. Available at: </w:t>
      </w:r>
      <w:hyperlink r:id="rId17" w:history="1">
        <w:r>
          <w:rPr>
            <w:rStyle w:val="Hyperlink"/>
          </w:rPr>
          <w:t>https://www.ibisworld.com/united-kingdom/market-size/demolition/2480</w:t>
        </w:r>
      </w:hyperlink>
      <w:r>
        <w:t xml:space="preserve"> </w:t>
      </w:r>
    </w:p>
    <w:p w14:paraId="73CB4DBA" w14:textId="7A3AD6B7" w:rsidR="009C54F9" w:rsidRDefault="00255882" w:rsidP="00070E9B">
      <w:pPr>
        <w:pStyle w:val="Heading1"/>
      </w:pPr>
      <w:bookmarkStart w:id="27" w:name="_Toc120719619"/>
      <w:r>
        <w:t>Appendices:</w:t>
      </w:r>
      <w:bookmarkEnd w:id="27"/>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FE02E" w14:textId="77777777" w:rsidR="003F1B89" w:rsidRDefault="003F1B89" w:rsidP="00904688">
      <w:pPr>
        <w:spacing w:after="0" w:line="240" w:lineRule="auto"/>
      </w:pPr>
      <w:r>
        <w:separator/>
      </w:r>
    </w:p>
  </w:endnote>
  <w:endnote w:type="continuationSeparator" w:id="0">
    <w:p w14:paraId="0F350AAC" w14:textId="77777777" w:rsidR="003F1B89" w:rsidRDefault="003F1B89"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20660" w14:textId="77777777" w:rsidR="003F1B89" w:rsidRDefault="003F1B89" w:rsidP="00904688">
      <w:pPr>
        <w:spacing w:after="0" w:line="240" w:lineRule="auto"/>
      </w:pPr>
      <w:r>
        <w:separator/>
      </w:r>
    </w:p>
  </w:footnote>
  <w:footnote w:type="continuationSeparator" w:id="0">
    <w:p w14:paraId="1D0C29CD" w14:textId="77777777" w:rsidR="003F1B89" w:rsidRDefault="003F1B89" w:rsidP="00904688">
      <w:pPr>
        <w:spacing w:after="0" w:line="240" w:lineRule="auto"/>
      </w:pPr>
      <w:r>
        <w:continuationSeparator/>
      </w:r>
    </w:p>
  </w:footnote>
  <w:footnote w:id="1">
    <w:p w14:paraId="59147626" w14:textId="032F0095" w:rsidR="00C27B4E" w:rsidRPr="00C27B4E" w:rsidRDefault="00C27B4E">
      <w:pPr>
        <w:pStyle w:val="FootnoteText"/>
        <w:rPr>
          <w:lang w:val="en-US"/>
        </w:rPr>
      </w:pPr>
      <w:r>
        <w:rPr>
          <w:rStyle w:val="FootnoteReference"/>
        </w:rPr>
        <w:footnoteRef/>
      </w:r>
      <w:r>
        <w:t xml:space="preserve"> </w:t>
      </w:r>
      <w:hyperlink r:id="rId1" w:history="1">
        <w:r w:rsidRPr="00797263">
          <w:rPr>
            <w:rStyle w:val="Hyperlink"/>
          </w:rPr>
          <w:t>https://www.romaxsolutions.co.uk/blog-3-1/building-britain-recruitment-strategies-in-construction-logistics-amp-demolition-nldsj</w:t>
        </w:r>
      </w:hyperlink>
      <w:r>
        <w:t xml:space="preserve"> </w:t>
      </w:r>
    </w:p>
  </w:footnote>
  <w:footnote w:id="2">
    <w:p w14:paraId="5BCEA978" w14:textId="6C3F22F9" w:rsidR="00985D86" w:rsidRPr="00985D86" w:rsidRDefault="00985D86">
      <w:pPr>
        <w:pStyle w:val="FootnoteText"/>
        <w:rPr>
          <w:lang w:val="en-US"/>
        </w:rPr>
      </w:pPr>
      <w:r>
        <w:rPr>
          <w:rStyle w:val="FootnoteReference"/>
        </w:rPr>
        <w:footnoteRef/>
      </w:r>
      <w:r>
        <w:t xml:space="preserve"> </w:t>
      </w:r>
      <w:hyperlink r:id="rId2" w:history="1">
        <w:r w:rsidRPr="009B296A">
          <w:rPr>
            <w:rStyle w:val="Hyperlink"/>
          </w:rPr>
          <w:t>https://demolition-nfdc.com/about/people/</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C2350A"/>
    <w:multiLevelType w:val="multilevel"/>
    <w:tmpl w:val="0AA46F48"/>
    <w:lvl w:ilvl="0">
      <w:start w:val="1"/>
      <w:numFmt w:val="decimal"/>
      <w:lvlText w:val="%1."/>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7B95526C"/>
    <w:multiLevelType w:val="hybridMultilevel"/>
    <w:tmpl w:val="68108BB6"/>
    <w:lvl w:ilvl="0" w:tplc="3A42648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617C62"/>
    <w:multiLevelType w:val="multilevel"/>
    <w:tmpl w:val="0B643E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Times New Roman" w:hint="default"/>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587954586">
    <w:abstractNumId w:val="1"/>
  </w:num>
  <w:num w:numId="2" w16cid:durableId="1824395596">
    <w:abstractNumId w:val="2"/>
  </w:num>
  <w:num w:numId="3" w16cid:durableId="124788360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E675F"/>
    <w:rsid w:val="000F4209"/>
    <w:rsid w:val="00107E91"/>
    <w:rsid w:val="00127ED5"/>
    <w:rsid w:val="00142707"/>
    <w:rsid w:val="00175CC5"/>
    <w:rsid w:val="001C2708"/>
    <w:rsid w:val="001C65B2"/>
    <w:rsid w:val="001D3664"/>
    <w:rsid w:val="0021579B"/>
    <w:rsid w:val="00255882"/>
    <w:rsid w:val="002A6197"/>
    <w:rsid w:val="002B7D60"/>
    <w:rsid w:val="002E3CCA"/>
    <w:rsid w:val="002F651E"/>
    <w:rsid w:val="003323B6"/>
    <w:rsid w:val="00356578"/>
    <w:rsid w:val="003A731C"/>
    <w:rsid w:val="003F1B89"/>
    <w:rsid w:val="0046780A"/>
    <w:rsid w:val="004B3A79"/>
    <w:rsid w:val="00502B0C"/>
    <w:rsid w:val="0050733E"/>
    <w:rsid w:val="00524D77"/>
    <w:rsid w:val="00561003"/>
    <w:rsid w:val="005A144F"/>
    <w:rsid w:val="00640B87"/>
    <w:rsid w:val="006F113F"/>
    <w:rsid w:val="006F73A5"/>
    <w:rsid w:val="00717CDA"/>
    <w:rsid w:val="00722572"/>
    <w:rsid w:val="00741099"/>
    <w:rsid w:val="00747FD5"/>
    <w:rsid w:val="0075517B"/>
    <w:rsid w:val="00793C84"/>
    <w:rsid w:val="007B23A9"/>
    <w:rsid w:val="007D654A"/>
    <w:rsid w:val="008A4217"/>
    <w:rsid w:val="008E7701"/>
    <w:rsid w:val="00904688"/>
    <w:rsid w:val="00934751"/>
    <w:rsid w:val="0096798A"/>
    <w:rsid w:val="00985D86"/>
    <w:rsid w:val="009A4741"/>
    <w:rsid w:val="009C3866"/>
    <w:rsid w:val="009C54F9"/>
    <w:rsid w:val="009E2166"/>
    <w:rsid w:val="00A257D3"/>
    <w:rsid w:val="00AB5020"/>
    <w:rsid w:val="00AD04A3"/>
    <w:rsid w:val="00B322B4"/>
    <w:rsid w:val="00B3404C"/>
    <w:rsid w:val="00B966CF"/>
    <w:rsid w:val="00BC5AD4"/>
    <w:rsid w:val="00BC5B73"/>
    <w:rsid w:val="00BE568C"/>
    <w:rsid w:val="00C27B4E"/>
    <w:rsid w:val="00C5762E"/>
    <w:rsid w:val="00D02D2D"/>
    <w:rsid w:val="00D82F48"/>
    <w:rsid w:val="00E808EC"/>
    <w:rsid w:val="00EE2468"/>
    <w:rsid w:val="00F114BD"/>
    <w:rsid w:val="00F53214"/>
    <w:rsid w:val="00F637A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C27B4E"/>
    <w:pPr>
      <w:ind w:left="720"/>
      <w:contextualSpacing/>
    </w:pPr>
  </w:style>
  <w:style w:type="paragraph" w:styleId="FootnoteText">
    <w:name w:val="footnote text"/>
    <w:basedOn w:val="Normal"/>
    <w:link w:val="FootnoteTextChar"/>
    <w:uiPriority w:val="99"/>
    <w:semiHidden/>
    <w:unhideWhenUsed/>
    <w:rsid w:val="00C27B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7B4E"/>
    <w:rPr>
      <w:rFonts w:ascii="Arial" w:hAnsi="Arial"/>
      <w:sz w:val="20"/>
      <w:szCs w:val="20"/>
    </w:rPr>
  </w:style>
  <w:style w:type="character" w:styleId="FootnoteReference">
    <w:name w:val="footnote reference"/>
    <w:basedOn w:val="DefaultParagraphFont"/>
    <w:uiPriority w:val="99"/>
    <w:semiHidden/>
    <w:unhideWhenUsed/>
    <w:rsid w:val="00C27B4E"/>
    <w:rPr>
      <w:vertAlign w:val="superscript"/>
    </w:rPr>
  </w:style>
  <w:style w:type="character" w:styleId="UnresolvedMention">
    <w:name w:val="Unresolved Mention"/>
    <w:basedOn w:val="DefaultParagraphFont"/>
    <w:uiPriority w:val="99"/>
    <w:semiHidden/>
    <w:unhideWhenUsed/>
    <w:rsid w:val="00C27B4E"/>
    <w:rPr>
      <w:color w:val="605E5C"/>
      <w:shd w:val="clear" w:color="auto" w:fill="E1DFDD"/>
    </w:rPr>
  </w:style>
  <w:style w:type="character" w:styleId="FollowedHyperlink">
    <w:name w:val="FollowedHyperlink"/>
    <w:basedOn w:val="DefaultParagraphFont"/>
    <w:uiPriority w:val="99"/>
    <w:semiHidden/>
    <w:unhideWhenUsed/>
    <w:rsid w:val="006F73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ibisworld.com/united-kingdom/market-size/demolition/2480" TargetMode="External"/><Relationship Id="rId2" Type="http://schemas.openxmlformats.org/officeDocument/2006/relationships/numbering" Target="numbering.xml"/><Relationship Id="rId16" Type="http://schemas.openxmlformats.org/officeDocument/2006/relationships/hyperlink" Target="https://www.hse.gov.uk/construction/cdm/2015/overview.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gov.uk/waste-carrier-or-broker-registration" TargetMode="Externa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constructionproducts.org.uk/publications/economics/construction-industry-forecast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emolition-nfdc.com/about/people/" TargetMode="External"/><Relationship Id="rId1" Type="http://schemas.openxmlformats.org/officeDocument/2006/relationships/hyperlink" Target="https://www.romaxsolutions.co.uk/blog-3-1/building-britain-recruitment-strategies-in-construction-logistics-amp-demolition-nldsj"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69A623-E818-4F63-A14D-825D0FD967F6}" type="doc">
      <dgm:prSet loTypeId="urn:microsoft.com/office/officeart/2005/8/layout/pictureOrgChart+Icon" loCatId="officeonline" qsTypeId="urn:microsoft.com/office/officeart/2005/8/quickstyle/simple1" qsCatId="simple" csTypeId="urn:microsoft.com/office/officeart/2005/8/colors/accent1_2" csCatId="accent1" phldr="1"/>
      <dgm:spPr/>
      <dgm:t>
        <a:bodyPr/>
        <a:lstStyle/>
        <a:p>
          <a:endParaRPr lang="en-GB"/>
        </a:p>
      </dgm:t>
    </dgm:pt>
    <dgm:pt modelId="{D151E5C6-FA86-4C10-B899-5F9C7D3555CA}">
      <dgm:prSet phldrT="[Text]"/>
      <dgm:spPr/>
      <dgm:t>
        <a:bodyPr/>
        <a:lstStyle/>
        <a:p>
          <a:r>
            <a:rPr lang="en-GB"/>
            <a:t>Managing Director</a:t>
          </a:r>
        </a:p>
      </dgm:t>
    </dgm:pt>
    <dgm:pt modelId="{25F3A5CE-E511-4A71-95FA-1C12CEB52D5D}" type="parTrans" cxnId="{DB7396A9-B140-440D-B060-9DEA86369553}">
      <dgm:prSet/>
      <dgm:spPr/>
      <dgm:t>
        <a:bodyPr/>
        <a:lstStyle/>
        <a:p>
          <a:endParaRPr lang="en-GB"/>
        </a:p>
      </dgm:t>
    </dgm:pt>
    <dgm:pt modelId="{B506C057-1514-44FA-9DF7-CBB96ED67843}" type="sibTrans" cxnId="{DB7396A9-B140-440D-B060-9DEA86369553}">
      <dgm:prSet/>
      <dgm:spPr/>
      <dgm:t>
        <a:bodyPr/>
        <a:lstStyle/>
        <a:p>
          <a:endParaRPr lang="en-GB"/>
        </a:p>
      </dgm:t>
    </dgm:pt>
    <dgm:pt modelId="{DDC2D804-941B-45E6-A50B-39DFD546797C}" type="asst">
      <dgm:prSet phldrT="[Text]"/>
      <dgm:spPr/>
      <dgm:t>
        <a:bodyPr/>
        <a:lstStyle/>
        <a:p>
          <a:r>
            <a:rPr lang="en-GB"/>
            <a:t>Operations/Contracts Manager</a:t>
          </a:r>
        </a:p>
      </dgm:t>
    </dgm:pt>
    <dgm:pt modelId="{ED318662-8A71-4EB7-A65F-A37B8B396B75}" type="parTrans" cxnId="{CF93A179-5C95-411C-998C-2ADFFC1AF565}">
      <dgm:prSet/>
      <dgm:spPr/>
      <dgm:t>
        <a:bodyPr/>
        <a:lstStyle/>
        <a:p>
          <a:endParaRPr lang="en-GB"/>
        </a:p>
      </dgm:t>
    </dgm:pt>
    <dgm:pt modelId="{133F7E92-6B02-4267-BB3D-31F9FE38DADA}" type="sibTrans" cxnId="{CF93A179-5C95-411C-998C-2ADFFC1AF565}">
      <dgm:prSet/>
      <dgm:spPr/>
      <dgm:t>
        <a:bodyPr/>
        <a:lstStyle/>
        <a:p>
          <a:endParaRPr lang="en-GB"/>
        </a:p>
      </dgm:t>
    </dgm:pt>
    <dgm:pt modelId="{9D66BAF9-3D46-422F-9FE0-A47E64A39F60}">
      <dgm:prSet phldrT="[Text]"/>
      <dgm:spPr/>
      <dgm:t>
        <a:bodyPr/>
        <a:lstStyle/>
        <a:p>
          <a:r>
            <a:rPr lang="en-GB"/>
            <a:t>Safety &amp; Security Manager</a:t>
          </a:r>
        </a:p>
      </dgm:t>
    </dgm:pt>
    <dgm:pt modelId="{F5906DAB-FC9E-4279-8179-A368803DF47B}" type="parTrans" cxnId="{3C6894F7-9650-49B9-B3D9-F1EB2BAE4067}">
      <dgm:prSet/>
      <dgm:spPr/>
      <dgm:t>
        <a:bodyPr/>
        <a:lstStyle/>
        <a:p>
          <a:endParaRPr lang="en-GB"/>
        </a:p>
      </dgm:t>
    </dgm:pt>
    <dgm:pt modelId="{0DA37E0A-7184-4BC8-9039-4646B1EED974}" type="sibTrans" cxnId="{3C6894F7-9650-49B9-B3D9-F1EB2BAE4067}">
      <dgm:prSet/>
      <dgm:spPr/>
      <dgm:t>
        <a:bodyPr/>
        <a:lstStyle/>
        <a:p>
          <a:endParaRPr lang="en-GB"/>
        </a:p>
      </dgm:t>
    </dgm:pt>
    <dgm:pt modelId="{DCE2E1E0-F9D1-4CB1-ADD6-3D30EFB45A35}" type="asst">
      <dgm:prSet phldrT="[Text]"/>
      <dgm:spPr/>
      <dgm:t>
        <a:bodyPr/>
        <a:lstStyle/>
        <a:p>
          <a:r>
            <a:rPr lang="en-GB"/>
            <a:t>HSE Manager</a:t>
          </a:r>
        </a:p>
      </dgm:t>
    </dgm:pt>
    <dgm:pt modelId="{142FEF74-B4E4-41DD-8939-45BBCDD857FC}" type="parTrans" cxnId="{109957DA-4182-4136-9F66-FDDA38BA9910}">
      <dgm:prSet/>
      <dgm:spPr/>
    </dgm:pt>
    <dgm:pt modelId="{75A7A8EB-3A5E-4251-B0BD-1C2BE1D2735A}" type="sibTrans" cxnId="{109957DA-4182-4136-9F66-FDDA38BA9910}">
      <dgm:prSet/>
      <dgm:spPr/>
    </dgm:pt>
    <dgm:pt modelId="{3396D74E-D814-428B-92E6-EE96E146B5B7}" type="pres">
      <dgm:prSet presAssocID="{A669A623-E818-4F63-A14D-825D0FD967F6}" presName="hierChild1" presStyleCnt="0">
        <dgm:presLayoutVars>
          <dgm:orgChart val="1"/>
          <dgm:chPref val="1"/>
          <dgm:dir/>
          <dgm:animOne val="branch"/>
          <dgm:animLvl val="lvl"/>
          <dgm:resizeHandles/>
        </dgm:presLayoutVars>
      </dgm:prSet>
      <dgm:spPr/>
    </dgm:pt>
    <dgm:pt modelId="{70FBB4BD-DB65-4846-9481-C320BAA5DDA1}" type="pres">
      <dgm:prSet presAssocID="{D151E5C6-FA86-4C10-B899-5F9C7D3555CA}" presName="hierRoot1" presStyleCnt="0">
        <dgm:presLayoutVars>
          <dgm:hierBranch val="init"/>
        </dgm:presLayoutVars>
      </dgm:prSet>
      <dgm:spPr/>
    </dgm:pt>
    <dgm:pt modelId="{C22899CF-0E1B-4967-AC5D-90FFBD9901CA}" type="pres">
      <dgm:prSet presAssocID="{D151E5C6-FA86-4C10-B899-5F9C7D3555CA}" presName="rootComposite1" presStyleCnt="0"/>
      <dgm:spPr/>
    </dgm:pt>
    <dgm:pt modelId="{D398B2E4-B5BF-4843-BA92-0DEDC698B9B7}" type="pres">
      <dgm:prSet presAssocID="{D151E5C6-FA86-4C10-B899-5F9C7D3555CA}" presName="rootText1" presStyleLbl="node0" presStyleIdx="0" presStyleCnt="1">
        <dgm:presLayoutVars>
          <dgm:chPref val="3"/>
        </dgm:presLayoutVars>
      </dgm:prSet>
      <dgm:spPr/>
    </dgm:pt>
    <dgm:pt modelId="{6FC3A887-CC4F-4497-BDA6-A2E11AF7F862}" type="pres">
      <dgm:prSet presAssocID="{D151E5C6-FA86-4C10-B899-5F9C7D3555CA}" presName="rootPict1" presStyleLbl="alignImgPlace1" presStyleIdx="0" presStyleCnt="4"/>
      <dgm:spPr/>
    </dgm:pt>
    <dgm:pt modelId="{2F9CFD11-3FC4-43B9-B72F-23CD1B3FB1AF}" type="pres">
      <dgm:prSet presAssocID="{D151E5C6-FA86-4C10-B899-5F9C7D3555CA}" presName="rootConnector1" presStyleLbl="node1" presStyleIdx="0" presStyleCnt="0"/>
      <dgm:spPr/>
    </dgm:pt>
    <dgm:pt modelId="{79059153-3F53-47C1-B399-DF959136F8FD}" type="pres">
      <dgm:prSet presAssocID="{D151E5C6-FA86-4C10-B899-5F9C7D3555CA}" presName="hierChild2" presStyleCnt="0"/>
      <dgm:spPr/>
    </dgm:pt>
    <dgm:pt modelId="{4B8451A4-4660-471E-BE05-CF9C14A225B0}" type="pres">
      <dgm:prSet presAssocID="{F5906DAB-FC9E-4279-8179-A368803DF47B}" presName="Name37" presStyleLbl="parChTrans1D2" presStyleIdx="0" presStyleCnt="3"/>
      <dgm:spPr/>
    </dgm:pt>
    <dgm:pt modelId="{47E38D7D-3529-4620-A5A1-D489928DCEF3}" type="pres">
      <dgm:prSet presAssocID="{9D66BAF9-3D46-422F-9FE0-A47E64A39F60}" presName="hierRoot2" presStyleCnt="0">
        <dgm:presLayoutVars>
          <dgm:hierBranch val="init"/>
        </dgm:presLayoutVars>
      </dgm:prSet>
      <dgm:spPr/>
    </dgm:pt>
    <dgm:pt modelId="{F21B44C5-7F26-4D82-8E5A-A292DB6F01FF}" type="pres">
      <dgm:prSet presAssocID="{9D66BAF9-3D46-422F-9FE0-A47E64A39F60}" presName="rootComposite" presStyleCnt="0"/>
      <dgm:spPr/>
    </dgm:pt>
    <dgm:pt modelId="{75835816-06C3-45C2-A3C7-DD26AC097B95}" type="pres">
      <dgm:prSet presAssocID="{9D66BAF9-3D46-422F-9FE0-A47E64A39F60}" presName="rootText" presStyleLbl="node2" presStyleIdx="0" presStyleCnt="1">
        <dgm:presLayoutVars>
          <dgm:chPref val="3"/>
        </dgm:presLayoutVars>
      </dgm:prSet>
      <dgm:spPr/>
    </dgm:pt>
    <dgm:pt modelId="{FA2E6443-2EA4-4075-9FED-6940C58DD329}" type="pres">
      <dgm:prSet presAssocID="{9D66BAF9-3D46-422F-9FE0-A47E64A39F60}" presName="rootPict" presStyleLbl="alignImgPlace1" presStyleIdx="1" presStyleCnt="4"/>
      <dgm:spPr/>
    </dgm:pt>
    <dgm:pt modelId="{491CE37D-8172-4DE4-9A9C-64A9B7C9B7E3}" type="pres">
      <dgm:prSet presAssocID="{9D66BAF9-3D46-422F-9FE0-A47E64A39F60}" presName="rootConnector" presStyleLbl="node2" presStyleIdx="0" presStyleCnt="1"/>
      <dgm:spPr/>
    </dgm:pt>
    <dgm:pt modelId="{88ABEA08-DF4A-482E-8D30-0212724D41AD}" type="pres">
      <dgm:prSet presAssocID="{9D66BAF9-3D46-422F-9FE0-A47E64A39F60}" presName="hierChild4" presStyleCnt="0"/>
      <dgm:spPr/>
    </dgm:pt>
    <dgm:pt modelId="{8E1DA215-4955-4ED9-B794-59E490F7FCA2}" type="pres">
      <dgm:prSet presAssocID="{9D66BAF9-3D46-422F-9FE0-A47E64A39F60}" presName="hierChild5" presStyleCnt="0"/>
      <dgm:spPr/>
    </dgm:pt>
    <dgm:pt modelId="{504FCE09-76C6-4424-BE13-71EA4DE658F1}" type="pres">
      <dgm:prSet presAssocID="{D151E5C6-FA86-4C10-B899-5F9C7D3555CA}" presName="hierChild3" presStyleCnt="0"/>
      <dgm:spPr/>
    </dgm:pt>
    <dgm:pt modelId="{86C58295-A49B-41CC-938D-596344C3D4C3}" type="pres">
      <dgm:prSet presAssocID="{ED318662-8A71-4EB7-A65F-A37B8B396B75}" presName="Name111" presStyleLbl="parChTrans1D2" presStyleIdx="1" presStyleCnt="3"/>
      <dgm:spPr/>
    </dgm:pt>
    <dgm:pt modelId="{87D8E23F-9EA4-4C6C-947E-003AA1893781}" type="pres">
      <dgm:prSet presAssocID="{DDC2D804-941B-45E6-A50B-39DFD546797C}" presName="hierRoot3" presStyleCnt="0">
        <dgm:presLayoutVars>
          <dgm:hierBranch val="init"/>
        </dgm:presLayoutVars>
      </dgm:prSet>
      <dgm:spPr/>
    </dgm:pt>
    <dgm:pt modelId="{16F2DA56-3474-47FC-93EA-C9EFCF30FE1B}" type="pres">
      <dgm:prSet presAssocID="{DDC2D804-941B-45E6-A50B-39DFD546797C}" presName="rootComposite3" presStyleCnt="0"/>
      <dgm:spPr/>
    </dgm:pt>
    <dgm:pt modelId="{17C623C5-66DB-4B68-AE4E-E799AB434131}" type="pres">
      <dgm:prSet presAssocID="{DDC2D804-941B-45E6-A50B-39DFD546797C}" presName="rootText3" presStyleLbl="asst1" presStyleIdx="0" presStyleCnt="2">
        <dgm:presLayoutVars>
          <dgm:chPref val="3"/>
        </dgm:presLayoutVars>
      </dgm:prSet>
      <dgm:spPr/>
    </dgm:pt>
    <dgm:pt modelId="{58848C11-7783-4444-ABAA-C6B68394E5AD}" type="pres">
      <dgm:prSet presAssocID="{DDC2D804-941B-45E6-A50B-39DFD546797C}" presName="rootPict3" presStyleLbl="alignImgPlace1" presStyleIdx="2" presStyleCnt="4"/>
      <dgm:spPr/>
    </dgm:pt>
    <dgm:pt modelId="{6448958C-BCBE-4014-BC20-6126AA19F816}" type="pres">
      <dgm:prSet presAssocID="{DDC2D804-941B-45E6-A50B-39DFD546797C}" presName="rootConnector3" presStyleLbl="asst1" presStyleIdx="0" presStyleCnt="2"/>
      <dgm:spPr/>
    </dgm:pt>
    <dgm:pt modelId="{4F2150F7-7BCE-47DC-AA40-86573213ED83}" type="pres">
      <dgm:prSet presAssocID="{DDC2D804-941B-45E6-A50B-39DFD546797C}" presName="hierChild6" presStyleCnt="0"/>
      <dgm:spPr/>
    </dgm:pt>
    <dgm:pt modelId="{2D86180C-011D-41C3-BCF4-19A24117F58B}" type="pres">
      <dgm:prSet presAssocID="{DDC2D804-941B-45E6-A50B-39DFD546797C}" presName="hierChild7" presStyleCnt="0"/>
      <dgm:spPr/>
    </dgm:pt>
    <dgm:pt modelId="{BA149927-FEDB-41E8-AAA9-B1D59657A341}" type="pres">
      <dgm:prSet presAssocID="{142FEF74-B4E4-41DD-8939-45BBCDD857FC}" presName="Name111" presStyleLbl="parChTrans1D2" presStyleIdx="2" presStyleCnt="3"/>
      <dgm:spPr/>
    </dgm:pt>
    <dgm:pt modelId="{0E0E78F6-A8FB-483B-B509-5FABC94C8EE1}" type="pres">
      <dgm:prSet presAssocID="{DCE2E1E0-F9D1-4CB1-ADD6-3D30EFB45A35}" presName="hierRoot3" presStyleCnt="0">
        <dgm:presLayoutVars>
          <dgm:hierBranch val="init"/>
        </dgm:presLayoutVars>
      </dgm:prSet>
      <dgm:spPr/>
    </dgm:pt>
    <dgm:pt modelId="{90B9D9F1-D878-4B3B-8D46-75D371714F2D}" type="pres">
      <dgm:prSet presAssocID="{DCE2E1E0-F9D1-4CB1-ADD6-3D30EFB45A35}" presName="rootComposite3" presStyleCnt="0"/>
      <dgm:spPr/>
    </dgm:pt>
    <dgm:pt modelId="{25EA99CC-B724-4256-B136-805FCEBE173A}" type="pres">
      <dgm:prSet presAssocID="{DCE2E1E0-F9D1-4CB1-ADD6-3D30EFB45A35}" presName="rootText3" presStyleLbl="asst1" presStyleIdx="1" presStyleCnt="2">
        <dgm:presLayoutVars>
          <dgm:chPref val="3"/>
        </dgm:presLayoutVars>
      </dgm:prSet>
      <dgm:spPr/>
    </dgm:pt>
    <dgm:pt modelId="{7DA26A3B-CB79-4AC9-8CE8-A84587648F5E}" type="pres">
      <dgm:prSet presAssocID="{DCE2E1E0-F9D1-4CB1-ADD6-3D30EFB45A35}" presName="rootPict3" presStyleLbl="alignImgPlace1" presStyleIdx="3" presStyleCnt="4"/>
      <dgm:spPr/>
    </dgm:pt>
    <dgm:pt modelId="{14311CAE-842B-4BF8-B673-ED008D735167}" type="pres">
      <dgm:prSet presAssocID="{DCE2E1E0-F9D1-4CB1-ADD6-3D30EFB45A35}" presName="rootConnector3" presStyleLbl="asst1" presStyleIdx="1" presStyleCnt="2"/>
      <dgm:spPr/>
    </dgm:pt>
    <dgm:pt modelId="{B9D3F8D9-3BEC-4E80-B492-3A5BF0904BB5}" type="pres">
      <dgm:prSet presAssocID="{DCE2E1E0-F9D1-4CB1-ADD6-3D30EFB45A35}" presName="hierChild6" presStyleCnt="0"/>
      <dgm:spPr/>
    </dgm:pt>
    <dgm:pt modelId="{8DC6C2E5-7EFC-4985-B447-370527E9E51A}" type="pres">
      <dgm:prSet presAssocID="{DCE2E1E0-F9D1-4CB1-ADD6-3D30EFB45A35}" presName="hierChild7" presStyleCnt="0"/>
      <dgm:spPr/>
    </dgm:pt>
  </dgm:ptLst>
  <dgm:cxnLst>
    <dgm:cxn modelId="{32F4C702-BF3A-4283-A048-EEC3C113B383}" type="presOf" srcId="{D151E5C6-FA86-4C10-B899-5F9C7D3555CA}" destId="{2F9CFD11-3FC4-43B9-B72F-23CD1B3FB1AF}" srcOrd="1" destOrd="0" presId="urn:microsoft.com/office/officeart/2005/8/layout/pictureOrgChart+Icon"/>
    <dgm:cxn modelId="{1F6DA20D-5168-4846-8DDE-6E1EC9708D4A}" type="presOf" srcId="{ED318662-8A71-4EB7-A65F-A37B8B396B75}" destId="{86C58295-A49B-41CC-938D-596344C3D4C3}" srcOrd="0" destOrd="0" presId="urn:microsoft.com/office/officeart/2005/8/layout/pictureOrgChart+Icon"/>
    <dgm:cxn modelId="{FC7CFB1E-75A6-4F2A-BB9D-58F88F6DB616}" type="presOf" srcId="{D151E5C6-FA86-4C10-B899-5F9C7D3555CA}" destId="{D398B2E4-B5BF-4843-BA92-0DEDC698B9B7}" srcOrd="0" destOrd="0" presId="urn:microsoft.com/office/officeart/2005/8/layout/pictureOrgChart+Icon"/>
    <dgm:cxn modelId="{838F9134-F706-4817-9187-ADDCD1C4B8AE}" type="presOf" srcId="{DDC2D804-941B-45E6-A50B-39DFD546797C}" destId="{17C623C5-66DB-4B68-AE4E-E799AB434131}" srcOrd="0" destOrd="0" presId="urn:microsoft.com/office/officeart/2005/8/layout/pictureOrgChart+Icon"/>
    <dgm:cxn modelId="{01325743-CA28-4302-97E1-5CC445109E76}" type="presOf" srcId="{9D66BAF9-3D46-422F-9FE0-A47E64A39F60}" destId="{491CE37D-8172-4DE4-9A9C-64A9B7C9B7E3}" srcOrd="1" destOrd="0" presId="urn:microsoft.com/office/officeart/2005/8/layout/pictureOrgChart+Icon"/>
    <dgm:cxn modelId="{CF93A179-5C95-411C-998C-2ADFFC1AF565}" srcId="{D151E5C6-FA86-4C10-B899-5F9C7D3555CA}" destId="{DDC2D804-941B-45E6-A50B-39DFD546797C}" srcOrd="0" destOrd="0" parTransId="{ED318662-8A71-4EB7-A65F-A37B8B396B75}" sibTransId="{133F7E92-6B02-4267-BB3D-31F9FE38DADA}"/>
    <dgm:cxn modelId="{F1254389-D813-4C92-BAE4-E17763C43211}" type="presOf" srcId="{F5906DAB-FC9E-4279-8179-A368803DF47B}" destId="{4B8451A4-4660-471E-BE05-CF9C14A225B0}" srcOrd="0" destOrd="0" presId="urn:microsoft.com/office/officeart/2005/8/layout/pictureOrgChart+Icon"/>
    <dgm:cxn modelId="{33B25C8D-3D33-48B8-8E4F-32F49BB6407A}" type="presOf" srcId="{A669A623-E818-4F63-A14D-825D0FD967F6}" destId="{3396D74E-D814-428B-92E6-EE96E146B5B7}" srcOrd="0" destOrd="0" presId="urn:microsoft.com/office/officeart/2005/8/layout/pictureOrgChart+Icon"/>
    <dgm:cxn modelId="{7BEA72A8-61E1-4E1E-87D9-629BC7180BB0}" type="presOf" srcId="{9D66BAF9-3D46-422F-9FE0-A47E64A39F60}" destId="{75835816-06C3-45C2-A3C7-DD26AC097B95}" srcOrd="0" destOrd="0" presId="urn:microsoft.com/office/officeart/2005/8/layout/pictureOrgChart+Icon"/>
    <dgm:cxn modelId="{DB7396A9-B140-440D-B060-9DEA86369553}" srcId="{A669A623-E818-4F63-A14D-825D0FD967F6}" destId="{D151E5C6-FA86-4C10-B899-5F9C7D3555CA}" srcOrd="0" destOrd="0" parTransId="{25F3A5CE-E511-4A71-95FA-1C12CEB52D5D}" sibTransId="{B506C057-1514-44FA-9DF7-CBB96ED67843}"/>
    <dgm:cxn modelId="{FC80F5BD-D392-4C10-A2A0-C4CB99AD932F}" type="presOf" srcId="{142FEF74-B4E4-41DD-8939-45BBCDD857FC}" destId="{BA149927-FEDB-41E8-AAA9-B1D59657A341}" srcOrd="0" destOrd="0" presId="urn:microsoft.com/office/officeart/2005/8/layout/pictureOrgChart+Icon"/>
    <dgm:cxn modelId="{B1F5A1CF-CB36-418C-8C0B-79004C1DD236}" type="presOf" srcId="{DDC2D804-941B-45E6-A50B-39DFD546797C}" destId="{6448958C-BCBE-4014-BC20-6126AA19F816}" srcOrd="1" destOrd="0" presId="urn:microsoft.com/office/officeart/2005/8/layout/pictureOrgChart+Icon"/>
    <dgm:cxn modelId="{239D39D2-4891-4D97-9615-98FA0B4F6FF8}" type="presOf" srcId="{DCE2E1E0-F9D1-4CB1-ADD6-3D30EFB45A35}" destId="{14311CAE-842B-4BF8-B673-ED008D735167}" srcOrd="1" destOrd="0" presId="urn:microsoft.com/office/officeart/2005/8/layout/pictureOrgChart+Icon"/>
    <dgm:cxn modelId="{109957DA-4182-4136-9F66-FDDA38BA9910}" srcId="{D151E5C6-FA86-4C10-B899-5F9C7D3555CA}" destId="{DCE2E1E0-F9D1-4CB1-ADD6-3D30EFB45A35}" srcOrd="1" destOrd="0" parTransId="{142FEF74-B4E4-41DD-8939-45BBCDD857FC}" sibTransId="{75A7A8EB-3A5E-4251-B0BD-1C2BE1D2735A}"/>
    <dgm:cxn modelId="{D4F68DDF-56BB-491C-853A-E47FA04678D5}" type="presOf" srcId="{DCE2E1E0-F9D1-4CB1-ADD6-3D30EFB45A35}" destId="{25EA99CC-B724-4256-B136-805FCEBE173A}" srcOrd="0" destOrd="0" presId="urn:microsoft.com/office/officeart/2005/8/layout/pictureOrgChart+Icon"/>
    <dgm:cxn modelId="{3C6894F7-9650-49B9-B3D9-F1EB2BAE4067}" srcId="{D151E5C6-FA86-4C10-B899-5F9C7D3555CA}" destId="{9D66BAF9-3D46-422F-9FE0-A47E64A39F60}" srcOrd="2" destOrd="0" parTransId="{F5906DAB-FC9E-4279-8179-A368803DF47B}" sibTransId="{0DA37E0A-7184-4BC8-9039-4646B1EED974}"/>
    <dgm:cxn modelId="{9337C592-07D9-463C-B4FD-7F172A179AA2}" type="presParOf" srcId="{3396D74E-D814-428B-92E6-EE96E146B5B7}" destId="{70FBB4BD-DB65-4846-9481-C320BAA5DDA1}" srcOrd="0" destOrd="0" presId="urn:microsoft.com/office/officeart/2005/8/layout/pictureOrgChart+Icon"/>
    <dgm:cxn modelId="{9739F30B-D256-4008-A09D-6EE4851C4FD3}" type="presParOf" srcId="{70FBB4BD-DB65-4846-9481-C320BAA5DDA1}" destId="{C22899CF-0E1B-4967-AC5D-90FFBD9901CA}" srcOrd="0" destOrd="0" presId="urn:microsoft.com/office/officeart/2005/8/layout/pictureOrgChart+Icon"/>
    <dgm:cxn modelId="{F491176B-18F6-4D66-A4FF-30D91BC96BC8}" type="presParOf" srcId="{C22899CF-0E1B-4967-AC5D-90FFBD9901CA}" destId="{D398B2E4-B5BF-4843-BA92-0DEDC698B9B7}" srcOrd="0" destOrd="0" presId="urn:microsoft.com/office/officeart/2005/8/layout/pictureOrgChart+Icon"/>
    <dgm:cxn modelId="{FEAF7283-C135-4F82-A2D0-94F6205A453F}" type="presParOf" srcId="{C22899CF-0E1B-4967-AC5D-90FFBD9901CA}" destId="{6FC3A887-CC4F-4497-BDA6-A2E11AF7F862}" srcOrd="1" destOrd="0" presId="urn:microsoft.com/office/officeart/2005/8/layout/pictureOrgChart+Icon"/>
    <dgm:cxn modelId="{1ED0D85B-28B7-4D7B-8C66-2F8EFD2A7753}" type="presParOf" srcId="{C22899CF-0E1B-4967-AC5D-90FFBD9901CA}" destId="{2F9CFD11-3FC4-43B9-B72F-23CD1B3FB1AF}" srcOrd="2" destOrd="0" presId="urn:microsoft.com/office/officeart/2005/8/layout/pictureOrgChart+Icon"/>
    <dgm:cxn modelId="{55800555-0D65-4B25-A410-858E60D1B752}" type="presParOf" srcId="{70FBB4BD-DB65-4846-9481-C320BAA5DDA1}" destId="{79059153-3F53-47C1-B399-DF959136F8FD}" srcOrd="1" destOrd="0" presId="urn:microsoft.com/office/officeart/2005/8/layout/pictureOrgChart+Icon"/>
    <dgm:cxn modelId="{2CC6BD19-8271-46F0-B09C-BC38DDB4C5D8}" type="presParOf" srcId="{79059153-3F53-47C1-B399-DF959136F8FD}" destId="{4B8451A4-4660-471E-BE05-CF9C14A225B0}" srcOrd="0" destOrd="0" presId="urn:microsoft.com/office/officeart/2005/8/layout/pictureOrgChart+Icon"/>
    <dgm:cxn modelId="{2AFB2960-B416-4FEA-A4FC-CC0A8E2BB09F}" type="presParOf" srcId="{79059153-3F53-47C1-B399-DF959136F8FD}" destId="{47E38D7D-3529-4620-A5A1-D489928DCEF3}" srcOrd="1" destOrd="0" presId="urn:microsoft.com/office/officeart/2005/8/layout/pictureOrgChart+Icon"/>
    <dgm:cxn modelId="{3C8C49DC-52CF-44E6-AFD0-03668A8F69B3}" type="presParOf" srcId="{47E38D7D-3529-4620-A5A1-D489928DCEF3}" destId="{F21B44C5-7F26-4D82-8E5A-A292DB6F01FF}" srcOrd="0" destOrd="0" presId="urn:microsoft.com/office/officeart/2005/8/layout/pictureOrgChart+Icon"/>
    <dgm:cxn modelId="{D3C716B6-33A7-4630-ACB4-F1C11E6A0D3B}" type="presParOf" srcId="{F21B44C5-7F26-4D82-8E5A-A292DB6F01FF}" destId="{75835816-06C3-45C2-A3C7-DD26AC097B95}" srcOrd="0" destOrd="0" presId="urn:microsoft.com/office/officeart/2005/8/layout/pictureOrgChart+Icon"/>
    <dgm:cxn modelId="{3821AF23-E65A-4413-A6BA-D224413BAC13}" type="presParOf" srcId="{F21B44C5-7F26-4D82-8E5A-A292DB6F01FF}" destId="{FA2E6443-2EA4-4075-9FED-6940C58DD329}" srcOrd="1" destOrd="0" presId="urn:microsoft.com/office/officeart/2005/8/layout/pictureOrgChart+Icon"/>
    <dgm:cxn modelId="{3BF80A28-6A0C-470B-B9FA-99C26CDF9074}" type="presParOf" srcId="{F21B44C5-7F26-4D82-8E5A-A292DB6F01FF}" destId="{491CE37D-8172-4DE4-9A9C-64A9B7C9B7E3}" srcOrd="2" destOrd="0" presId="urn:microsoft.com/office/officeart/2005/8/layout/pictureOrgChart+Icon"/>
    <dgm:cxn modelId="{015EE8E9-0468-4852-9388-57FCB46D659B}" type="presParOf" srcId="{47E38D7D-3529-4620-A5A1-D489928DCEF3}" destId="{88ABEA08-DF4A-482E-8D30-0212724D41AD}" srcOrd="1" destOrd="0" presId="urn:microsoft.com/office/officeart/2005/8/layout/pictureOrgChart+Icon"/>
    <dgm:cxn modelId="{8D0CA905-46F2-4FC8-BF13-B09105C9BF2D}" type="presParOf" srcId="{47E38D7D-3529-4620-A5A1-D489928DCEF3}" destId="{8E1DA215-4955-4ED9-B794-59E490F7FCA2}" srcOrd="2" destOrd="0" presId="urn:microsoft.com/office/officeart/2005/8/layout/pictureOrgChart+Icon"/>
    <dgm:cxn modelId="{A8B0A250-75E3-4E62-9980-A3629DEEA01F}" type="presParOf" srcId="{70FBB4BD-DB65-4846-9481-C320BAA5DDA1}" destId="{504FCE09-76C6-4424-BE13-71EA4DE658F1}" srcOrd="2" destOrd="0" presId="urn:microsoft.com/office/officeart/2005/8/layout/pictureOrgChart+Icon"/>
    <dgm:cxn modelId="{9A7CBFD6-1012-448E-A3D4-E60533F111CA}" type="presParOf" srcId="{504FCE09-76C6-4424-BE13-71EA4DE658F1}" destId="{86C58295-A49B-41CC-938D-596344C3D4C3}" srcOrd="0" destOrd="0" presId="urn:microsoft.com/office/officeart/2005/8/layout/pictureOrgChart+Icon"/>
    <dgm:cxn modelId="{73F896BE-DB32-41FE-84DB-DB2AC54F962F}" type="presParOf" srcId="{504FCE09-76C6-4424-BE13-71EA4DE658F1}" destId="{87D8E23F-9EA4-4C6C-947E-003AA1893781}" srcOrd="1" destOrd="0" presId="urn:microsoft.com/office/officeart/2005/8/layout/pictureOrgChart+Icon"/>
    <dgm:cxn modelId="{55C4ADAE-75B0-48EB-84DD-F7A5BE8E40B8}" type="presParOf" srcId="{87D8E23F-9EA4-4C6C-947E-003AA1893781}" destId="{16F2DA56-3474-47FC-93EA-C9EFCF30FE1B}" srcOrd="0" destOrd="0" presId="urn:microsoft.com/office/officeart/2005/8/layout/pictureOrgChart+Icon"/>
    <dgm:cxn modelId="{79751CFA-DA1E-4757-96A4-4BFBC26363AB}" type="presParOf" srcId="{16F2DA56-3474-47FC-93EA-C9EFCF30FE1B}" destId="{17C623C5-66DB-4B68-AE4E-E799AB434131}" srcOrd="0" destOrd="0" presId="urn:microsoft.com/office/officeart/2005/8/layout/pictureOrgChart+Icon"/>
    <dgm:cxn modelId="{480D8ED6-9707-41D8-9533-02683B86B704}" type="presParOf" srcId="{16F2DA56-3474-47FC-93EA-C9EFCF30FE1B}" destId="{58848C11-7783-4444-ABAA-C6B68394E5AD}" srcOrd="1" destOrd="0" presId="urn:microsoft.com/office/officeart/2005/8/layout/pictureOrgChart+Icon"/>
    <dgm:cxn modelId="{75E17E85-424B-42ED-A148-319BF9DD8789}" type="presParOf" srcId="{16F2DA56-3474-47FC-93EA-C9EFCF30FE1B}" destId="{6448958C-BCBE-4014-BC20-6126AA19F816}" srcOrd="2" destOrd="0" presId="urn:microsoft.com/office/officeart/2005/8/layout/pictureOrgChart+Icon"/>
    <dgm:cxn modelId="{80BF6477-403C-4F92-90EC-DC0C3CC0995B}" type="presParOf" srcId="{87D8E23F-9EA4-4C6C-947E-003AA1893781}" destId="{4F2150F7-7BCE-47DC-AA40-86573213ED83}" srcOrd="1" destOrd="0" presId="urn:microsoft.com/office/officeart/2005/8/layout/pictureOrgChart+Icon"/>
    <dgm:cxn modelId="{9124A471-4352-49BA-A62E-DF8E424ADBBA}" type="presParOf" srcId="{87D8E23F-9EA4-4C6C-947E-003AA1893781}" destId="{2D86180C-011D-41C3-BCF4-19A24117F58B}" srcOrd="2" destOrd="0" presId="urn:microsoft.com/office/officeart/2005/8/layout/pictureOrgChart+Icon"/>
    <dgm:cxn modelId="{E87862A8-EBF7-4878-8A50-DC964DDE2529}" type="presParOf" srcId="{504FCE09-76C6-4424-BE13-71EA4DE658F1}" destId="{BA149927-FEDB-41E8-AAA9-B1D59657A341}" srcOrd="2" destOrd="0" presId="urn:microsoft.com/office/officeart/2005/8/layout/pictureOrgChart+Icon"/>
    <dgm:cxn modelId="{D8EDBFDB-17CF-4C34-9609-CD2A803D3422}" type="presParOf" srcId="{504FCE09-76C6-4424-BE13-71EA4DE658F1}" destId="{0E0E78F6-A8FB-483B-B509-5FABC94C8EE1}" srcOrd="3" destOrd="0" presId="urn:microsoft.com/office/officeart/2005/8/layout/pictureOrgChart+Icon"/>
    <dgm:cxn modelId="{20D298EC-BD04-4D23-AE0C-AC1EDA9C0114}" type="presParOf" srcId="{0E0E78F6-A8FB-483B-B509-5FABC94C8EE1}" destId="{90B9D9F1-D878-4B3B-8D46-75D371714F2D}" srcOrd="0" destOrd="0" presId="urn:microsoft.com/office/officeart/2005/8/layout/pictureOrgChart+Icon"/>
    <dgm:cxn modelId="{F7BDA12F-1E9C-401A-961B-9AE823C8371E}" type="presParOf" srcId="{90B9D9F1-D878-4B3B-8D46-75D371714F2D}" destId="{25EA99CC-B724-4256-B136-805FCEBE173A}" srcOrd="0" destOrd="0" presId="urn:microsoft.com/office/officeart/2005/8/layout/pictureOrgChart+Icon"/>
    <dgm:cxn modelId="{37696485-BF49-41A9-9C41-FD6E93D8D070}" type="presParOf" srcId="{90B9D9F1-D878-4B3B-8D46-75D371714F2D}" destId="{7DA26A3B-CB79-4AC9-8CE8-A84587648F5E}" srcOrd="1" destOrd="0" presId="urn:microsoft.com/office/officeart/2005/8/layout/pictureOrgChart+Icon"/>
    <dgm:cxn modelId="{6A00F780-6F3E-4B00-AF3F-D1C7CB5F376E}" type="presParOf" srcId="{90B9D9F1-D878-4B3B-8D46-75D371714F2D}" destId="{14311CAE-842B-4BF8-B673-ED008D735167}" srcOrd="2" destOrd="0" presId="urn:microsoft.com/office/officeart/2005/8/layout/pictureOrgChart+Icon"/>
    <dgm:cxn modelId="{A466B6E4-C9A0-4520-A02B-D24073AC18C8}" type="presParOf" srcId="{0E0E78F6-A8FB-483B-B509-5FABC94C8EE1}" destId="{B9D3F8D9-3BEC-4E80-B492-3A5BF0904BB5}" srcOrd="1" destOrd="0" presId="urn:microsoft.com/office/officeart/2005/8/layout/pictureOrgChart+Icon"/>
    <dgm:cxn modelId="{D71C2BB8-149C-4853-BB97-5F821888459B}" type="presParOf" srcId="{0E0E78F6-A8FB-483B-B509-5FABC94C8EE1}" destId="{8DC6C2E5-7EFC-4985-B447-370527E9E51A}" srcOrd="2" destOrd="0" presId="urn:microsoft.com/office/officeart/2005/8/layout/pictureOrgChart+Icon"/>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149927-FEDB-41E8-AAA9-B1D59657A341}">
      <dsp:nvSpPr>
        <dsp:cNvPr id="0" name=""/>
        <dsp:cNvSpPr/>
      </dsp:nvSpPr>
      <dsp:spPr>
        <a:xfrm>
          <a:off x="2743199" y="833865"/>
          <a:ext cx="174924" cy="766334"/>
        </a:xfrm>
        <a:custGeom>
          <a:avLst/>
          <a:gdLst/>
          <a:ahLst/>
          <a:cxnLst/>
          <a:rect l="0" t="0" r="0" b="0"/>
          <a:pathLst>
            <a:path>
              <a:moveTo>
                <a:pt x="0" y="0"/>
              </a:moveTo>
              <a:lnTo>
                <a:pt x="0" y="766334"/>
              </a:lnTo>
              <a:lnTo>
                <a:pt x="174924" y="766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C58295-A49B-41CC-938D-596344C3D4C3}">
      <dsp:nvSpPr>
        <dsp:cNvPr id="0" name=""/>
        <dsp:cNvSpPr/>
      </dsp:nvSpPr>
      <dsp:spPr>
        <a:xfrm>
          <a:off x="2568275" y="833865"/>
          <a:ext cx="174924" cy="766334"/>
        </a:xfrm>
        <a:custGeom>
          <a:avLst/>
          <a:gdLst/>
          <a:ahLst/>
          <a:cxnLst/>
          <a:rect l="0" t="0" r="0" b="0"/>
          <a:pathLst>
            <a:path>
              <a:moveTo>
                <a:pt x="174924" y="0"/>
              </a:moveTo>
              <a:lnTo>
                <a:pt x="174924" y="766334"/>
              </a:lnTo>
              <a:lnTo>
                <a:pt x="0" y="766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8451A4-4660-471E-BE05-CF9C14A225B0}">
      <dsp:nvSpPr>
        <dsp:cNvPr id="0" name=""/>
        <dsp:cNvSpPr/>
      </dsp:nvSpPr>
      <dsp:spPr>
        <a:xfrm>
          <a:off x="2697479" y="833865"/>
          <a:ext cx="91440" cy="1532669"/>
        </a:xfrm>
        <a:custGeom>
          <a:avLst/>
          <a:gdLst/>
          <a:ahLst/>
          <a:cxnLst/>
          <a:rect l="0" t="0" r="0" b="0"/>
          <a:pathLst>
            <a:path>
              <a:moveTo>
                <a:pt x="45720" y="0"/>
              </a:moveTo>
              <a:lnTo>
                <a:pt x="45720" y="15326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98B2E4-B5BF-4843-BA92-0DEDC698B9B7}">
      <dsp:nvSpPr>
        <dsp:cNvPr id="0" name=""/>
        <dsp:cNvSpPr/>
      </dsp:nvSpPr>
      <dsp:spPr>
        <a:xfrm>
          <a:off x="1910227" y="892"/>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17094"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Managing Director</a:t>
          </a:r>
        </a:p>
      </dsp:txBody>
      <dsp:txXfrm>
        <a:off x="1910227" y="892"/>
        <a:ext cx="1665944" cy="832972"/>
      </dsp:txXfrm>
    </dsp:sp>
    <dsp:sp modelId="{6FC3A887-CC4F-4497-BDA6-A2E11AF7F862}">
      <dsp:nvSpPr>
        <dsp:cNvPr id="0" name=""/>
        <dsp:cNvSpPr/>
      </dsp:nvSpPr>
      <dsp:spPr>
        <a:xfrm>
          <a:off x="1993524" y="84190"/>
          <a:ext cx="499783" cy="666377"/>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835816-06C3-45C2-A3C7-DD26AC097B95}">
      <dsp:nvSpPr>
        <dsp:cNvPr id="0" name=""/>
        <dsp:cNvSpPr/>
      </dsp:nvSpPr>
      <dsp:spPr>
        <a:xfrm>
          <a:off x="1910227" y="2366534"/>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17094"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Safety &amp; Security Manager</a:t>
          </a:r>
        </a:p>
      </dsp:txBody>
      <dsp:txXfrm>
        <a:off x="1910227" y="2366534"/>
        <a:ext cx="1665944" cy="832972"/>
      </dsp:txXfrm>
    </dsp:sp>
    <dsp:sp modelId="{FA2E6443-2EA4-4075-9FED-6940C58DD329}">
      <dsp:nvSpPr>
        <dsp:cNvPr id="0" name=""/>
        <dsp:cNvSpPr/>
      </dsp:nvSpPr>
      <dsp:spPr>
        <a:xfrm>
          <a:off x="1993524" y="2449831"/>
          <a:ext cx="499783" cy="666377"/>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7C623C5-66DB-4B68-AE4E-E799AB434131}">
      <dsp:nvSpPr>
        <dsp:cNvPr id="0" name=""/>
        <dsp:cNvSpPr/>
      </dsp:nvSpPr>
      <dsp:spPr>
        <a:xfrm>
          <a:off x="902330" y="1183713"/>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17094"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Operations/Contracts Manager</a:t>
          </a:r>
        </a:p>
      </dsp:txBody>
      <dsp:txXfrm>
        <a:off x="902330" y="1183713"/>
        <a:ext cx="1665944" cy="832972"/>
      </dsp:txXfrm>
    </dsp:sp>
    <dsp:sp modelId="{58848C11-7783-4444-ABAA-C6B68394E5AD}">
      <dsp:nvSpPr>
        <dsp:cNvPr id="0" name=""/>
        <dsp:cNvSpPr/>
      </dsp:nvSpPr>
      <dsp:spPr>
        <a:xfrm>
          <a:off x="985628" y="1267011"/>
          <a:ext cx="499783" cy="666377"/>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5EA99CC-B724-4256-B136-805FCEBE173A}">
      <dsp:nvSpPr>
        <dsp:cNvPr id="0" name=""/>
        <dsp:cNvSpPr/>
      </dsp:nvSpPr>
      <dsp:spPr>
        <a:xfrm>
          <a:off x="2918124" y="1183713"/>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17094"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HSE Manager</a:t>
          </a:r>
        </a:p>
      </dsp:txBody>
      <dsp:txXfrm>
        <a:off x="2918124" y="1183713"/>
        <a:ext cx="1665944" cy="832972"/>
      </dsp:txXfrm>
    </dsp:sp>
    <dsp:sp modelId="{7DA26A3B-CB79-4AC9-8CE8-A84587648F5E}">
      <dsp:nvSpPr>
        <dsp:cNvPr id="0" name=""/>
        <dsp:cNvSpPr/>
      </dsp:nvSpPr>
      <dsp:spPr>
        <a:xfrm>
          <a:off x="3001421" y="1267011"/>
          <a:ext cx="499783" cy="666377"/>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ictureOrgChart+Icon">
  <dgm:title val="Picture Organization Chart"/>
  <dgm:desc val="Use to show hierarchical information or reporting relationships in an organization, with corresponding pictures. The assistant shape and the Org Chart hanging layouts are available with this layout."/>
  <dgm:catLst>
    <dgm:cat type="hierarchy" pri="1050"/>
    <dgm:cat type="officeonline" pri="1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1" styleLbl="alignImgPlace1">
              <dgm:alg type="sp"/>
              <dgm:shape xmlns:r="http://schemas.openxmlformats.org/officeDocument/2006/relationships" type="rect" r:blip="" blipPhldr="1">
                <dgm:adjLst/>
              </dgm:shape>
              <dgm:presOf/>
              <dgm:constrLst/>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 styleLbl="alignImgPlace1">
                    <dgm:alg type="sp"/>
                    <dgm:shape xmlns:r="http://schemas.openxmlformats.org/officeDocument/2006/relationships" type="rect" r:blip="" blipPhldr="1">
                      <dgm:adjLst/>
                    </dgm:shape>
                    <dgm:presOf/>
                    <dgm:constrLst/>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3" styleLbl="alignImgPlace1">
                    <dgm:alg type="sp"/>
                    <dgm:shape xmlns:r="http://schemas.openxmlformats.org/officeDocument/2006/relationships" type="rect" r:blip="" blipPhldr="1">
                      <dgm:adjLst/>
                    </dgm:shape>
                    <dgm:presOf/>
                    <dgm:constrLst/>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2325</Words>
  <Characters>13254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Mirjalol Mirboboev</cp:lastModifiedBy>
  <cp:revision>5</cp:revision>
  <dcterms:created xsi:type="dcterms:W3CDTF">2026-07-26T23:24:00Z</dcterms:created>
  <dcterms:modified xsi:type="dcterms:W3CDTF">2026-07-26T23:35:00Z</dcterms:modified>
</cp:coreProperties>
</file>