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0CB933" w14:textId="4A8E1F3D" w:rsidR="00B313B1" w:rsidRDefault="00330150">
      <w:pPr>
        <w:jc w:val="center"/>
      </w:pPr>
      <w:r>
        <w:rPr>
          <w:noProof/>
        </w:rPr>
        <w:drawing>
          <wp:inline distT="0" distB="0" distL="0" distR="0" wp14:anchorId="495153A8" wp14:editId="3BC62D5B">
            <wp:extent cx="2878455" cy="128397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8455" cy="1283970"/>
                    </a:xfrm>
                    <a:prstGeom prst="rect">
                      <a:avLst/>
                    </a:prstGeom>
                    <a:noFill/>
                    <a:ln>
                      <a:noFill/>
                    </a:ln>
                  </pic:spPr>
                </pic:pic>
              </a:graphicData>
            </a:graphic>
          </wp:inline>
        </w:drawing>
      </w:r>
    </w:p>
    <w:p w14:paraId="5E299B63" w14:textId="77777777" w:rsidR="00B313B1" w:rsidRDefault="00BB2550">
      <w:pPr>
        <w:spacing w:after="240"/>
        <w:jc w:val="center"/>
      </w:pPr>
      <w:r>
        <w:rPr>
          <w:b/>
          <w:sz w:val="28"/>
        </w:rPr>
        <w:t>UNIVERSITY OF WALES TRINITY SAINT DAVID</w:t>
      </w:r>
    </w:p>
    <w:p w14:paraId="7D3B1833" w14:textId="77777777" w:rsidR="00B313B1" w:rsidRDefault="00BB2550">
      <w:pPr>
        <w:spacing w:after="120"/>
        <w:jc w:val="center"/>
      </w:pPr>
      <w:r>
        <w:rPr>
          <w:sz w:val="26"/>
        </w:rPr>
        <w:t>Master of Business Administration</w:t>
      </w:r>
    </w:p>
    <w:p w14:paraId="5F1C6AAA" w14:textId="77777777" w:rsidR="00B313B1" w:rsidRDefault="00BB2550">
      <w:pPr>
        <w:spacing w:after="120"/>
        <w:jc w:val="center"/>
      </w:pPr>
      <w:r>
        <w:rPr>
          <w:sz w:val="26"/>
        </w:rPr>
        <w:t>International Marketing: Principles and Practices</w:t>
      </w:r>
    </w:p>
    <w:p w14:paraId="6034EBA0" w14:textId="77777777" w:rsidR="00B313B1" w:rsidRDefault="00BB2550">
      <w:pPr>
        <w:spacing w:after="360"/>
        <w:jc w:val="center"/>
      </w:pPr>
      <w:r>
        <w:t>Module Code: LCMB7026</w:t>
      </w:r>
    </w:p>
    <w:p w14:paraId="69403A3B" w14:textId="77777777" w:rsidR="00B313B1" w:rsidRDefault="00BB2550">
      <w:pPr>
        <w:spacing w:after="480"/>
        <w:jc w:val="center"/>
      </w:pPr>
      <w:r>
        <w:rPr>
          <w:b/>
          <w:sz w:val="32"/>
        </w:rPr>
        <w:t>TOYOTA'S INTERNATIONAL MARKET ENTRY STRATEGY AND MARKETING MIX IN JAPAN AND THE UNITED KINGDOM</w:t>
      </w:r>
    </w:p>
    <w:p w14:paraId="6006D2DB" w14:textId="77777777" w:rsidR="00B313B1" w:rsidRDefault="00BB2550">
      <w:pPr>
        <w:spacing w:after="360"/>
        <w:jc w:val="center"/>
      </w:pPr>
      <w:r>
        <w:t>Assessment Component 1: Individual Report</w:t>
      </w:r>
    </w:p>
    <w:tbl>
      <w:tblPr>
        <w:tblStyle w:val="TableGrid"/>
        <w:tblW w:w="9360" w:type="dxa"/>
        <w:jc w:val="center"/>
        <w:tblLayout w:type="fixed"/>
        <w:tblCellMar>
          <w:top w:w="100" w:type="dxa"/>
          <w:left w:w="100" w:type="dxa"/>
          <w:bottom w:w="100" w:type="dxa"/>
          <w:right w:w="100" w:type="dxa"/>
        </w:tblCellMar>
        <w:tblLook w:val="04A0" w:firstRow="1" w:lastRow="0" w:firstColumn="1" w:lastColumn="0" w:noHBand="0" w:noVBand="1"/>
      </w:tblPr>
      <w:tblGrid>
        <w:gridCol w:w="4681"/>
        <w:gridCol w:w="4679"/>
      </w:tblGrid>
      <w:tr w:rsidR="00B313B1" w14:paraId="6790E624" w14:textId="77777777">
        <w:trPr>
          <w:tblHeader/>
          <w:jc w:val="center"/>
        </w:trPr>
        <w:tc>
          <w:tcPr>
            <w:tcW w:w="4680" w:type="dxa"/>
            <w:shd w:val="clear" w:color="auto" w:fill="D9D9D9"/>
            <w:vAlign w:val="center"/>
          </w:tcPr>
          <w:p w14:paraId="00D40B35" w14:textId="77777777" w:rsidR="00B313B1" w:rsidRDefault="00BB2550">
            <w:pPr>
              <w:spacing w:after="0" w:line="240" w:lineRule="auto"/>
            </w:pPr>
            <w:r>
              <w:rPr>
                <w:b/>
                <w:sz w:val="21"/>
              </w:rPr>
              <w:t>Lecturers</w:t>
            </w:r>
          </w:p>
        </w:tc>
        <w:tc>
          <w:tcPr>
            <w:tcW w:w="4679" w:type="dxa"/>
            <w:vAlign w:val="center"/>
          </w:tcPr>
          <w:p w14:paraId="61BE9617" w14:textId="77777777" w:rsidR="00B313B1" w:rsidRDefault="00BB2550">
            <w:pPr>
              <w:spacing w:after="0" w:line="240" w:lineRule="auto"/>
            </w:pPr>
            <w:proofErr w:type="spellStart"/>
            <w:r>
              <w:rPr>
                <w:sz w:val="21"/>
              </w:rPr>
              <w:t>Tushara</w:t>
            </w:r>
            <w:proofErr w:type="spellEnd"/>
            <w:r>
              <w:rPr>
                <w:sz w:val="21"/>
              </w:rPr>
              <w:t xml:space="preserve"> </w:t>
            </w:r>
            <w:proofErr w:type="spellStart"/>
            <w:r>
              <w:rPr>
                <w:sz w:val="21"/>
              </w:rPr>
              <w:t>Balendran</w:t>
            </w:r>
            <w:proofErr w:type="spellEnd"/>
            <w:r>
              <w:rPr>
                <w:sz w:val="21"/>
              </w:rPr>
              <w:t xml:space="preserve"> (London); Dian </w:t>
            </w:r>
            <w:proofErr w:type="spellStart"/>
            <w:r>
              <w:rPr>
                <w:sz w:val="21"/>
              </w:rPr>
              <w:t>Mayasari</w:t>
            </w:r>
            <w:proofErr w:type="spellEnd"/>
            <w:r>
              <w:rPr>
                <w:sz w:val="21"/>
              </w:rPr>
              <w:t xml:space="preserve"> (Birmingham)</w:t>
            </w:r>
          </w:p>
        </w:tc>
      </w:tr>
      <w:tr w:rsidR="00B313B1" w14:paraId="2F74637B" w14:textId="77777777">
        <w:trPr>
          <w:jc w:val="center"/>
        </w:trPr>
        <w:tc>
          <w:tcPr>
            <w:tcW w:w="4680" w:type="dxa"/>
            <w:shd w:val="clear" w:color="auto" w:fill="D9D9D9"/>
            <w:vAlign w:val="center"/>
          </w:tcPr>
          <w:p w14:paraId="3CD9ED10" w14:textId="77777777" w:rsidR="00B313B1" w:rsidRDefault="00BB2550">
            <w:pPr>
              <w:spacing w:after="0" w:line="240" w:lineRule="auto"/>
            </w:pPr>
            <w:r>
              <w:rPr>
                <w:b/>
                <w:sz w:val="21"/>
              </w:rPr>
              <w:t>Student Name</w:t>
            </w:r>
          </w:p>
        </w:tc>
        <w:tc>
          <w:tcPr>
            <w:tcW w:w="4679" w:type="dxa"/>
            <w:vAlign w:val="center"/>
          </w:tcPr>
          <w:p w14:paraId="0F684D91" w14:textId="13400370" w:rsidR="00B313B1" w:rsidRDefault="007C7DA5">
            <w:pPr>
              <w:spacing w:after="0" w:line="240" w:lineRule="auto"/>
            </w:pPr>
            <w:r>
              <w:rPr>
                <w:sz w:val="21"/>
              </w:rPr>
              <w:t>Wares Sikder Anik</w:t>
            </w:r>
          </w:p>
        </w:tc>
      </w:tr>
      <w:tr w:rsidR="00B313B1" w14:paraId="6B935D6D" w14:textId="77777777">
        <w:trPr>
          <w:jc w:val="center"/>
        </w:trPr>
        <w:tc>
          <w:tcPr>
            <w:tcW w:w="4680" w:type="dxa"/>
            <w:shd w:val="clear" w:color="auto" w:fill="D9D9D9"/>
            <w:vAlign w:val="center"/>
          </w:tcPr>
          <w:p w14:paraId="1F193B2E" w14:textId="77777777" w:rsidR="00B313B1" w:rsidRDefault="00BB2550">
            <w:pPr>
              <w:spacing w:after="0" w:line="240" w:lineRule="auto"/>
            </w:pPr>
            <w:r>
              <w:rPr>
                <w:b/>
                <w:sz w:val="21"/>
              </w:rPr>
              <w:t>Student ID</w:t>
            </w:r>
          </w:p>
        </w:tc>
        <w:tc>
          <w:tcPr>
            <w:tcW w:w="4679" w:type="dxa"/>
            <w:vAlign w:val="center"/>
          </w:tcPr>
          <w:p w14:paraId="260010DB" w14:textId="32C3B014" w:rsidR="00B313B1" w:rsidRDefault="00C343EB">
            <w:pPr>
              <w:spacing w:after="0" w:line="240" w:lineRule="auto"/>
            </w:pPr>
            <w:r>
              <w:t>2518993</w:t>
            </w:r>
          </w:p>
        </w:tc>
      </w:tr>
      <w:tr w:rsidR="00B313B1" w14:paraId="7E50C339" w14:textId="77777777">
        <w:trPr>
          <w:jc w:val="center"/>
        </w:trPr>
        <w:tc>
          <w:tcPr>
            <w:tcW w:w="4680" w:type="dxa"/>
            <w:shd w:val="clear" w:color="auto" w:fill="D9D9D9"/>
            <w:vAlign w:val="center"/>
          </w:tcPr>
          <w:p w14:paraId="0F73FD76" w14:textId="77777777" w:rsidR="00B313B1" w:rsidRDefault="00BB2550">
            <w:pPr>
              <w:spacing w:after="0" w:line="240" w:lineRule="auto"/>
            </w:pPr>
            <w:r>
              <w:rPr>
                <w:b/>
                <w:sz w:val="21"/>
              </w:rPr>
              <w:t>Submission Date</w:t>
            </w:r>
          </w:p>
        </w:tc>
        <w:tc>
          <w:tcPr>
            <w:tcW w:w="4679" w:type="dxa"/>
            <w:vAlign w:val="center"/>
          </w:tcPr>
          <w:p w14:paraId="6FCF49D7" w14:textId="77777777" w:rsidR="00B313B1" w:rsidRDefault="00BB2550">
            <w:pPr>
              <w:spacing w:after="0" w:line="240" w:lineRule="auto"/>
            </w:pPr>
            <w:r>
              <w:rPr>
                <w:sz w:val="21"/>
              </w:rPr>
              <w:t>24 July 2026</w:t>
            </w:r>
          </w:p>
        </w:tc>
      </w:tr>
      <w:tr w:rsidR="00B313B1" w14:paraId="7EE019E3" w14:textId="77777777">
        <w:trPr>
          <w:jc w:val="center"/>
        </w:trPr>
        <w:tc>
          <w:tcPr>
            <w:tcW w:w="4680" w:type="dxa"/>
            <w:shd w:val="clear" w:color="auto" w:fill="D9D9D9"/>
            <w:vAlign w:val="center"/>
          </w:tcPr>
          <w:p w14:paraId="7B5E674D" w14:textId="77777777" w:rsidR="00B313B1" w:rsidRDefault="00BB2550">
            <w:pPr>
              <w:spacing w:after="0" w:line="240" w:lineRule="auto"/>
            </w:pPr>
            <w:r>
              <w:rPr>
                <w:b/>
                <w:sz w:val="21"/>
              </w:rPr>
              <w:t>Main Report Word Count</w:t>
            </w:r>
          </w:p>
        </w:tc>
        <w:tc>
          <w:tcPr>
            <w:tcW w:w="4679" w:type="dxa"/>
            <w:vAlign w:val="center"/>
          </w:tcPr>
          <w:p w14:paraId="6FADF014" w14:textId="443523F5" w:rsidR="00B313B1" w:rsidRDefault="00CB54F9">
            <w:pPr>
              <w:spacing w:after="0" w:line="240" w:lineRule="auto"/>
            </w:pPr>
            <w:r>
              <w:rPr>
                <w:sz w:val="21"/>
              </w:rPr>
              <w:t>5423</w:t>
            </w:r>
          </w:p>
        </w:tc>
      </w:tr>
      <w:tr w:rsidR="00B313B1" w14:paraId="6DFAF862" w14:textId="77777777">
        <w:trPr>
          <w:jc w:val="center"/>
        </w:trPr>
        <w:tc>
          <w:tcPr>
            <w:tcW w:w="4680" w:type="dxa"/>
            <w:shd w:val="clear" w:color="auto" w:fill="D9D9D9"/>
            <w:vAlign w:val="center"/>
          </w:tcPr>
          <w:p w14:paraId="764E0595" w14:textId="77777777" w:rsidR="00B313B1" w:rsidRDefault="00BB2550">
            <w:pPr>
              <w:spacing w:after="0" w:line="240" w:lineRule="auto"/>
            </w:pPr>
            <w:r>
              <w:rPr>
                <w:b/>
                <w:sz w:val="21"/>
              </w:rPr>
              <w:t>Reflective Account Word Count</w:t>
            </w:r>
          </w:p>
        </w:tc>
        <w:tc>
          <w:tcPr>
            <w:tcW w:w="4679" w:type="dxa"/>
            <w:vAlign w:val="center"/>
          </w:tcPr>
          <w:p w14:paraId="2A392987" w14:textId="1F2A7819" w:rsidR="00B313B1" w:rsidRDefault="00CB54F9">
            <w:pPr>
              <w:spacing w:after="0" w:line="240" w:lineRule="auto"/>
            </w:pPr>
            <w:r>
              <w:rPr>
                <w:sz w:val="21"/>
              </w:rPr>
              <w:t>1099</w:t>
            </w:r>
          </w:p>
        </w:tc>
      </w:tr>
    </w:tbl>
    <w:p w14:paraId="5017A75C" w14:textId="77777777" w:rsidR="00B313B1" w:rsidRDefault="00BB2550">
      <w:pPr>
        <w:spacing w:before="360"/>
        <w:jc w:val="center"/>
      </w:pPr>
      <w:r>
        <w:rPr>
          <w:sz w:val="22"/>
        </w:rPr>
        <w:t>Submitted in partial fulfilment of the requirements of the Master of Business Administration</w:t>
      </w:r>
    </w:p>
    <w:p w14:paraId="367C53A8" w14:textId="77777777" w:rsidR="00B313B1" w:rsidRDefault="00BB2550">
      <w:r>
        <w:br w:type="page"/>
      </w:r>
    </w:p>
    <w:p w14:paraId="5AA228B3" w14:textId="77777777" w:rsidR="00B313B1" w:rsidRDefault="00BB2550">
      <w:pPr>
        <w:keepNext/>
        <w:spacing w:after="240"/>
      </w:pPr>
      <w:r>
        <w:rPr>
          <w:b/>
          <w:sz w:val="28"/>
        </w:rPr>
        <w:t>Table of Contents</w:t>
      </w:r>
    </w:p>
    <w:sdt>
      <w:sdtPr>
        <w:id w:val="-283193437"/>
        <w:docPartObj>
          <w:docPartGallery w:val="Table of Contents"/>
          <w:docPartUnique/>
        </w:docPartObj>
      </w:sdtPr>
      <w:sdtContent>
        <w:p w14:paraId="5C67CFEB" w14:textId="6071DAFE" w:rsidR="00F63ECB" w:rsidRDefault="00BB2550">
          <w:pPr>
            <w:pStyle w:val="TOC1"/>
            <w:rPr>
              <w:rFonts w:asciiTheme="minorHAnsi" w:eastAsiaTheme="minorEastAsia" w:hAnsiTheme="minorHAnsi" w:cstheme="minorBidi"/>
              <w:noProof/>
              <w:color w:val="auto"/>
              <w:sz w:val="22"/>
            </w:rPr>
          </w:pPr>
          <w:r>
            <w:fldChar w:fldCharType="begin"/>
          </w:r>
          <w:r>
            <w:rPr>
              <w:rStyle w:val="IndexLink"/>
              <w:webHidden/>
            </w:rPr>
            <w:instrText xml:space="preserve"> TOC \z \o "1-3" \u \h</w:instrText>
          </w:r>
          <w:r>
            <w:rPr>
              <w:rStyle w:val="IndexLink"/>
            </w:rPr>
            <w:fldChar w:fldCharType="separate"/>
          </w:r>
          <w:hyperlink w:anchor="_Toc235141365" w:history="1">
            <w:r w:rsidR="00F63ECB" w:rsidRPr="0020525F">
              <w:rPr>
                <w:rStyle w:val="Hyperlink"/>
                <w:noProof/>
              </w:rPr>
              <w:t>Section 1: International Market Entry Strategy and Marketing Mix Report</w:t>
            </w:r>
            <w:r w:rsidR="00F63ECB">
              <w:rPr>
                <w:noProof/>
                <w:webHidden/>
              </w:rPr>
              <w:tab/>
            </w:r>
            <w:r w:rsidR="00F63ECB">
              <w:rPr>
                <w:noProof/>
                <w:webHidden/>
              </w:rPr>
              <w:fldChar w:fldCharType="begin"/>
            </w:r>
            <w:r w:rsidR="00F63ECB">
              <w:rPr>
                <w:noProof/>
                <w:webHidden/>
              </w:rPr>
              <w:instrText xml:space="preserve"> PAGEREF _Toc235141365 \h </w:instrText>
            </w:r>
            <w:r w:rsidR="00F63ECB">
              <w:rPr>
                <w:noProof/>
                <w:webHidden/>
              </w:rPr>
            </w:r>
            <w:r w:rsidR="00F63ECB">
              <w:rPr>
                <w:noProof/>
                <w:webHidden/>
              </w:rPr>
              <w:fldChar w:fldCharType="separate"/>
            </w:r>
            <w:r w:rsidR="00F63ECB">
              <w:rPr>
                <w:noProof/>
                <w:webHidden/>
              </w:rPr>
              <w:t>4</w:t>
            </w:r>
            <w:r w:rsidR="00F63ECB">
              <w:rPr>
                <w:noProof/>
                <w:webHidden/>
              </w:rPr>
              <w:fldChar w:fldCharType="end"/>
            </w:r>
          </w:hyperlink>
        </w:p>
        <w:p w14:paraId="15A0403E" w14:textId="004E7D0C" w:rsidR="00F63ECB" w:rsidRDefault="00F63ECB">
          <w:pPr>
            <w:pStyle w:val="TOC2"/>
            <w:rPr>
              <w:rFonts w:asciiTheme="minorHAnsi" w:eastAsiaTheme="minorEastAsia" w:hAnsiTheme="minorHAnsi" w:cstheme="minorBidi"/>
              <w:noProof/>
              <w:color w:val="auto"/>
              <w:sz w:val="22"/>
            </w:rPr>
          </w:pPr>
          <w:hyperlink w:anchor="_Toc235141366" w:history="1">
            <w:r w:rsidRPr="0020525F">
              <w:rPr>
                <w:rStyle w:val="Hyperlink"/>
                <w:noProof/>
              </w:rPr>
              <w:t>Executive Summary</w:t>
            </w:r>
            <w:r>
              <w:rPr>
                <w:noProof/>
                <w:webHidden/>
              </w:rPr>
              <w:tab/>
            </w:r>
            <w:r>
              <w:rPr>
                <w:noProof/>
                <w:webHidden/>
              </w:rPr>
              <w:fldChar w:fldCharType="begin"/>
            </w:r>
            <w:r>
              <w:rPr>
                <w:noProof/>
                <w:webHidden/>
              </w:rPr>
              <w:instrText xml:space="preserve"> PAGEREF _Toc235141366 \h </w:instrText>
            </w:r>
            <w:r>
              <w:rPr>
                <w:noProof/>
                <w:webHidden/>
              </w:rPr>
            </w:r>
            <w:r>
              <w:rPr>
                <w:noProof/>
                <w:webHidden/>
              </w:rPr>
              <w:fldChar w:fldCharType="separate"/>
            </w:r>
            <w:r>
              <w:rPr>
                <w:noProof/>
                <w:webHidden/>
              </w:rPr>
              <w:t>4</w:t>
            </w:r>
            <w:r>
              <w:rPr>
                <w:noProof/>
                <w:webHidden/>
              </w:rPr>
              <w:fldChar w:fldCharType="end"/>
            </w:r>
          </w:hyperlink>
        </w:p>
        <w:p w14:paraId="3FCD4425" w14:textId="67FA95A8" w:rsidR="00F63ECB" w:rsidRDefault="00F63ECB">
          <w:pPr>
            <w:pStyle w:val="TOC2"/>
            <w:rPr>
              <w:rFonts w:asciiTheme="minorHAnsi" w:eastAsiaTheme="minorEastAsia" w:hAnsiTheme="minorHAnsi" w:cstheme="minorBidi"/>
              <w:noProof/>
              <w:color w:val="auto"/>
              <w:sz w:val="22"/>
            </w:rPr>
          </w:pPr>
          <w:hyperlink w:anchor="_Toc235141367" w:history="1">
            <w:r w:rsidRPr="0020525F">
              <w:rPr>
                <w:rStyle w:val="Hyperlink"/>
                <w:noProof/>
              </w:rPr>
              <w:t>1. Introduction</w:t>
            </w:r>
            <w:r>
              <w:rPr>
                <w:noProof/>
                <w:webHidden/>
              </w:rPr>
              <w:tab/>
            </w:r>
            <w:r>
              <w:rPr>
                <w:noProof/>
                <w:webHidden/>
              </w:rPr>
              <w:fldChar w:fldCharType="begin"/>
            </w:r>
            <w:r>
              <w:rPr>
                <w:noProof/>
                <w:webHidden/>
              </w:rPr>
              <w:instrText xml:space="preserve"> PAGEREF _Toc235141367 \h </w:instrText>
            </w:r>
            <w:r>
              <w:rPr>
                <w:noProof/>
                <w:webHidden/>
              </w:rPr>
            </w:r>
            <w:r>
              <w:rPr>
                <w:noProof/>
                <w:webHidden/>
              </w:rPr>
              <w:fldChar w:fldCharType="separate"/>
            </w:r>
            <w:r>
              <w:rPr>
                <w:noProof/>
                <w:webHidden/>
              </w:rPr>
              <w:t>5</w:t>
            </w:r>
            <w:r>
              <w:rPr>
                <w:noProof/>
                <w:webHidden/>
              </w:rPr>
              <w:fldChar w:fldCharType="end"/>
            </w:r>
          </w:hyperlink>
        </w:p>
        <w:p w14:paraId="40BC0D11" w14:textId="4DE0BEE6" w:rsidR="00F63ECB" w:rsidRDefault="00F63ECB">
          <w:pPr>
            <w:pStyle w:val="TOC2"/>
            <w:rPr>
              <w:rFonts w:asciiTheme="minorHAnsi" w:eastAsiaTheme="minorEastAsia" w:hAnsiTheme="minorHAnsi" w:cstheme="minorBidi"/>
              <w:noProof/>
              <w:color w:val="auto"/>
              <w:sz w:val="22"/>
            </w:rPr>
          </w:pPr>
          <w:hyperlink w:anchor="_Toc235141368" w:history="1">
            <w:r w:rsidRPr="0020525F">
              <w:rPr>
                <w:rStyle w:val="Hyperlink"/>
                <w:noProof/>
              </w:rPr>
              <w:t>2. Analytical Approach and Theoretical Lens</w:t>
            </w:r>
            <w:r>
              <w:rPr>
                <w:noProof/>
                <w:webHidden/>
              </w:rPr>
              <w:tab/>
            </w:r>
            <w:r>
              <w:rPr>
                <w:noProof/>
                <w:webHidden/>
              </w:rPr>
              <w:fldChar w:fldCharType="begin"/>
            </w:r>
            <w:r>
              <w:rPr>
                <w:noProof/>
                <w:webHidden/>
              </w:rPr>
              <w:instrText xml:space="preserve"> PAGEREF _Toc235141368 \h </w:instrText>
            </w:r>
            <w:r>
              <w:rPr>
                <w:noProof/>
                <w:webHidden/>
              </w:rPr>
            </w:r>
            <w:r>
              <w:rPr>
                <w:noProof/>
                <w:webHidden/>
              </w:rPr>
              <w:fldChar w:fldCharType="separate"/>
            </w:r>
            <w:r>
              <w:rPr>
                <w:noProof/>
                <w:webHidden/>
              </w:rPr>
              <w:t>5</w:t>
            </w:r>
            <w:r>
              <w:rPr>
                <w:noProof/>
                <w:webHidden/>
              </w:rPr>
              <w:fldChar w:fldCharType="end"/>
            </w:r>
          </w:hyperlink>
        </w:p>
        <w:p w14:paraId="094E25E9" w14:textId="6929FDA2" w:rsidR="00F63ECB" w:rsidRDefault="00F63ECB">
          <w:pPr>
            <w:pStyle w:val="TOC2"/>
            <w:rPr>
              <w:rFonts w:asciiTheme="minorHAnsi" w:eastAsiaTheme="minorEastAsia" w:hAnsiTheme="minorHAnsi" w:cstheme="minorBidi"/>
              <w:noProof/>
              <w:color w:val="auto"/>
              <w:sz w:val="22"/>
            </w:rPr>
          </w:pPr>
          <w:hyperlink w:anchor="_Toc235141369" w:history="1">
            <w:r w:rsidRPr="0020525F">
              <w:rPr>
                <w:rStyle w:val="Hyperlink"/>
                <w:noProof/>
              </w:rPr>
              <w:t>3. Comparative Market Analysis</w:t>
            </w:r>
            <w:r>
              <w:rPr>
                <w:noProof/>
                <w:webHidden/>
              </w:rPr>
              <w:tab/>
            </w:r>
            <w:r>
              <w:rPr>
                <w:noProof/>
                <w:webHidden/>
              </w:rPr>
              <w:fldChar w:fldCharType="begin"/>
            </w:r>
            <w:r>
              <w:rPr>
                <w:noProof/>
                <w:webHidden/>
              </w:rPr>
              <w:instrText xml:space="preserve"> PAGEREF _Toc235141369 \h </w:instrText>
            </w:r>
            <w:r>
              <w:rPr>
                <w:noProof/>
                <w:webHidden/>
              </w:rPr>
            </w:r>
            <w:r>
              <w:rPr>
                <w:noProof/>
                <w:webHidden/>
              </w:rPr>
              <w:fldChar w:fldCharType="separate"/>
            </w:r>
            <w:r>
              <w:rPr>
                <w:noProof/>
                <w:webHidden/>
              </w:rPr>
              <w:t>6</w:t>
            </w:r>
            <w:r>
              <w:rPr>
                <w:noProof/>
                <w:webHidden/>
              </w:rPr>
              <w:fldChar w:fldCharType="end"/>
            </w:r>
          </w:hyperlink>
        </w:p>
        <w:p w14:paraId="1611223B" w14:textId="757C12F5" w:rsidR="00F63ECB" w:rsidRDefault="00F63ECB">
          <w:pPr>
            <w:pStyle w:val="TOC3"/>
            <w:rPr>
              <w:rFonts w:asciiTheme="minorHAnsi" w:eastAsiaTheme="minorEastAsia" w:hAnsiTheme="minorHAnsi" w:cstheme="minorBidi"/>
              <w:noProof/>
              <w:color w:val="auto"/>
              <w:sz w:val="22"/>
            </w:rPr>
          </w:pPr>
          <w:hyperlink w:anchor="_Toc235141370" w:history="1">
            <w:r w:rsidRPr="0020525F">
              <w:rPr>
                <w:rStyle w:val="Hyperlink"/>
                <w:noProof/>
              </w:rPr>
              <w:t>3.1 Critical Interpretation</w:t>
            </w:r>
            <w:r>
              <w:rPr>
                <w:noProof/>
                <w:webHidden/>
              </w:rPr>
              <w:tab/>
            </w:r>
            <w:r>
              <w:rPr>
                <w:noProof/>
                <w:webHidden/>
              </w:rPr>
              <w:fldChar w:fldCharType="begin"/>
            </w:r>
            <w:r>
              <w:rPr>
                <w:noProof/>
                <w:webHidden/>
              </w:rPr>
              <w:instrText xml:space="preserve"> PAGEREF _Toc235141370 \h </w:instrText>
            </w:r>
            <w:r>
              <w:rPr>
                <w:noProof/>
                <w:webHidden/>
              </w:rPr>
            </w:r>
            <w:r>
              <w:rPr>
                <w:noProof/>
                <w:webHidden/>
              </w:rPr>
              <w:fldChar w:fldCharType="separate"/>
            </w:r>
            <w:r>
              <w:rPr>
                <w:noProof/>
                <w:webHidden/>
              </w:rPr>
              <w:t>7</w:t>
            </w:r>
            <w:r>
              <w:rPr>
                <w:noProof/>
                <w:webHidden/>
              </w:rPr>
              <w:fldChar w:fldCharType="end"/>
            </w:r>
          </w:hyperlink>
        </w:p>
        <w:p w14:paraId="2A5AE8F5" w14:textId="25F68EE6" w:rsidR="00F63ECB" w:rsidRDefault="00F63ECB">
          <w:pPr>
            <w:pStyle w:val="TOC3"/>
            <w:rPr>
              <w:rFonts w:asciiTheme="minorHAnsi" w:eastAsiaTheme="minorEastAsia" w:hAnsiTheme="minorHAnsi" w:cstheme="minorBidi"/>
              <w:noProof/>
              <w:color w:val="auto"/>
              <w:sz w:val="22"/>
            </w:rPr>
          </w:pPr>
          <w:hyperlink w:anchor="_Toc235141371" w:history="1">
            <w:r w:rsidRPr="0020525F">
              <w:rPr>
                <w:rStyle w:val="Hyperlink"/>
                <w:noProof/>
              </w:rPr>
              <w:t>3.2 Market Attractiveness and Evidence Limits</w:t>
            </w:r>
            <w:r>
              <w:rPr>
                <w:noProof/>
                <w:webHidden/>
              </w:rPr>
              <w:tab/>
            </w:r>
            <w:r>
              <w:rPr>
                <w:noProof/>
                <w:webHidden/>
              </w:rPr>
              <w:fldChar w:fldCharType="begin"/>
            </w:r>
            <w:r>
              <w:rPr>
                <w:noProof/>
                <w:webHidden/>
              </w:rPr>
              <w:instrText xml:space="preserve"> PAGEREF _Toc235141371 \h </w:instrText>
            </w:r>
            <w:r>
              <w:rPr>
                <w:noProof/>
                <w:webHidden/>
              </w:rPr>
            </w:r>
            <w:r>
              <w:rPr>
                <w:noProof/>
                <w:webHidden/>
              </w:rPr>
              <w:fldChar w:fldCharType="separate"/>
            </w:r>
            <w:r>
              <w:rPr>
                <w:noProof/>
                <w:webHidden/>
              </w:rPr>
              <w:t>8</w:t>
            </w:r>
            <w:r>
              <w:rPr>
                <w:noProof/>
                <w:webHidden/>
              </w:rPr>
              <w:fldChar w:fldCharType="end"/>
            </w:r>
          </w:hyperlink>
        </w:p>
        <w:p w14:paraId="7CA7C954" w14:textId="14EF6C28" w:rsidR="00F63ECB" w:rsidRDefault="00F63ECB">
          <w:pPr>
            <w:pStyle w:val="TOC2"/>
            <w:rPr>
              <w:rFonts w:asciiTheme="minorHAnsi" w:eastAsiaTheme="minorEastAsia" w:hAnsiTheme="minorHAnsi" w:cstheme="minorBidi"/>
              <w:noProof/>
              <w:color w:val="auto"/>
              <w:sz w:val="22"/>
            </w:rPr>
          </w:pPr>
          <w:hyperlink w:anchor="_Toc235141372" w:history="1">
            <w:r w:rsidRPr="0020525F">
              <w:rPr>
                <w:rStyle w:val="Hyperlink"/>
                <w:noProof/>
              </w:rPr>
              <w:t>4. Socio-cultural Comparison</w:t>
            </w:r>
            <w:r>
              <w:rPr>
                <w:noProof/>
                <w:webHidden/>
              </w:rPr>
              <w:tab/>
            </w:r>
            <w:r>
              <w:rPr>
                <w:noProof/>
                <w:webHidden/>
              </w:rPr>
              <w:fldChar w:fldCharType="begin"/>
            </w:r>
            <w:r>
              <w:rPr>
                <w:noProof/>
                <w:webHidden/>
              </w:rPr>
              <w:instrText xml:space="preserve"> PAGEREF _Toc235141372 \h </w:instrText>
            </w:r>
            <w:r>
              <w:rPr>
                <w:noProof/>
                <w:webHidden/>
              </w:rPr>
            </w:r>
            <w:r>
              <w:rPr>
                <w:noProof/>
                <w:webHidden/>
              </w:rPr>
              <w:fldChar w:fldCharType="separate"/>
            </w:r>
            <w:r>
              <w:rPr>
                <w:noProof/>
                <w:webHidden/>
              </w:rPr>
              <w:t>8</w:t>
            </w:r>
            <w:r>
              <w:rPr>
                <w:noProof/>
                <w:webHidden/>
              </w:rPr>
              <w:fldChar w:fldCharType="end"/>
            </w:r>
          </w:hyperlink>
        </w:p>
        <w:p w14:paraId="4BE3A2E9" w14:textId="387DC21B" w:rsidR="00F63ECB" w:rsidRDefault="00F63ECB">
          <w:pPr>
            <w:pStyle w:val="TOC2"/>
            <w:rPr>
              <w:rFonts w:asciiTheme="minorHAnsi" w:eastAsiaTheme="minorEastAsia" w:hAnsiTheme="minorHAnsi" w:cstheme="minorBidi"/>
              <w:noProof/>
              <w:color w:val="auto"/>
              <w:sz w:val="22"/>
            </w:rPr>
          </w:pPr>
          <w:hyperlink w:anchor="_Toc235141373" w:history="1">
            <w:r w:rsidRPr="0020525F">
              <w:rPr>
                <w:rStyle w:val="Hyperlink"/>
                <w:noProof/>
              </w:rPr>
              <w:t>5. Comparative Segmentation, Targeting and Positioning</w:t>
            </w:r>
            <w:r>
              <w:rPr>
                <w:noProof/>
                <w:webHidden/>
              </w:rPr>
              <w:tab/>
            </w:r>
            <w:r>
              <w:rPr>
                <w:noProof/>
                <w:webHidden/>
              </w:rPr>
              <w:fldChar w:fldCharType="begin"/>
            </w:r>
            <w:r>
              <w:rPr>
                <w:noProof/>
                <w:webHidden/>
              </w:rPr>
              <w:instrText xml:space="preserve"> PAGEREF _Toc235141373 \h </w:instrText>
            </w:r>
            <w:r>
              <w:rPr>
                <w:noProof/>
                <w:webHidden/>
              </w:rPr>
            </w:r>
            <w:r>
              <w:rPr>
                <w:noProof/>
                <w:webHidden/>
              </w:rPr>
              <w:fldChar w:fldCharType="separate"/>
            </w:r>
            <w:r>
              <w:rPr>
                <w:noProof/>
                <w:webHidden/>
              </w:rPr>
              <w:t>10</w:t>
            </w:r>
            <w:r>
              <w:rPr>
                <w:noProof/>
                <w:webHidden/>
              </w:rPr>
              <w:fldChar w:fldCharType="end"/>
            </w:r>
          </w:hyperlink>
        </w:p>
        <w:p w14:paraId="76EDA72C" w14:textId="4C0F436A" w:rsidR="00F63ECB" w:rsidRDefault="00F63ECB">
          <w:pPr>
            <w:pStyle w:val="TOC3"/>
            <w:rPr>
              <w:rFonts w:asciiTheme="minorHAnsi" w:eastAsiaTheme="minorEastAsia" w:hAnsiTheme="minorHAnsi" w:cstheme="minorBidi"/>
              <w:noProof/>
              <w:color w:val="auto"/>
              <w:sz w:val="22"/>
            </w:rPr>
          </w:pPr>
          <w:hyperlink w:anchor="_Toc235141374" w:history="1">
            <w:r w:rsidRPr="0020525F">
              <w:rPr>
                <w:rStyle w:val="Hyperlink"/>
                <w:noProof/>
              </w:rPr>
              <w:t>5.1 Segmentation</w:t>
            </w:r>
            <w:r>
              <w:rPr>
                <w:noProof/>
                <w:webHidden/>
              </w:rPr>
              <w:tab/>
            </w:r>
            <w:r>
              <w:rPr>
                <w:noProof/>
                <w:webHidden/>
              </w:rPr>
              <w:fldChar w:fldCharType="begin"/>
            </w:r>
            <w:r>
              <w:rPr>
                <w:noProof/>
                <w:webHidden/>
              </w:rPr>
              <w:instrText xml:space="preserve"> PAGEREF _Toc235141374 \h </w:instrText>
            </w:r>
            <w:r>
              <w:rPr>
                <w:noProof/>
                <w:webHidden/>
              </w:rPr>
            </w:r>
            <w:r>
              <w:rPr>
                <w:noProof/>
                <w:webHidden/>
              </w:rPr>
              <w:fldChar w:fldCharType="separate"/>
            </w:r>
            <w:r>
              <w:rPr>
                <w:noProof/>
                <w:webHidden/>
              </w:rPr>
              <w:t>10</w:t>
            </w:r>
            <w:r>
              <w:rPr>
                <w:noProof/>
                <w:webHidden/>
              </w:rPr>
              <w:fldChar w:fldCharType="end"/>
            </w:r>
          </w:hyperlink>
        </w:p>
        <w:p w14:paraId="16333DB8" w14:textId="3F5545B4" w:rsidR="00F63ECB" w:rsidRDefault="00F63ECB">
          <w:pPr>
            <w:pStyle w:val="TOC3"/>
            <w:rPr>
              <w:rFonts w:asciiTheme="minorHAnsi" w:eastAsiaTheme="minorEastAsia" w:hAnsiTheme="minorHAnsi" w:cstheme="minorBidi"/>
              <w:noProof/>
              <w:color w:val="auto"/>
              <w:sz w:val="22"/>
            </w:rPr>
          </w:pPr>
          <w:hyperlink w:anchor="_Toc235141375" w:history="1">
            <w:r w:rsidRPr="0020525F">
              <w:rPr>
                <w:rStyle w:val="Hyperlink"/>
                <w:noProof/>
              </w:rPr>
              <w:t>5.2 Targeting</w:t>
            </w:r>
            <w:r>
              <w:rPr>
                <w:noProof/>
                <w:webHidden/>
              </w:rPr>
              <w:tab/>
            </w:r>
            <w:r>
              <w:rPr>
                <w:noProof/>
                <w:webHidden/>
              </w:rPr>
              <w:fldChar w:fldCharType="begin"/>
            </w:r>
            <w:r>
              <w:rPr>
                <w:noProof/>
                <w:webHidden/>
              </w:rPr>
              <w:instrText xml:space="preserve"> PAGEREF _Toc235141375 \h </w:instrText>
            </w:r>
            <w:r>
              <w:rPr>
                <w:noProof/>
                <w:webHidden/>
              </w:rPr>
            </w:r>
            <w:r>
              <w:rPr>
                <w:noProof/>
                <w:webHidden/>
              </w:rPr>
              <w:fldChar w:fldCharType="separate"/>
            </w:r>
            <w:r>
              <w:rPr>
                <w:noProof/>
                <w:webHidden/>
              </w:rPr>
              <w:t>10</w:t>
            </w:r>
            <w:r>
              <w:rPr>
                <w:noProof/>
                <w:webHidden/>
              </w:rPr>
              <w:fldChar w:fldCharType="end"/>
            </w:r>
          </w:hyperlink>
        </w:p>
        <w:p w14:paraId="46D383B3" w14:textId="1723E1FD" w:rsidR="00F63ECB" w:rsidRDefault="00F63ECB">
          <w:pPr>
            <w:pStyle w:val="TOC3"/>
            <w:rPr>
              <w:rFonts w:asciiTheme="minorHAnsi" w:eastAsiaTheme="minorEastAsia" w:hAnsiTheme="minorHAnsi" w:cstheme="minorBidi"/>
              <w:noProof/>
              <w:color w:val="auto"/>
              <w:sz w:val="22"/>
            </w:rPr>
          </w:pPr>
          <w:hyperlink w:anchor="_Toc235141376" w:history="1">
            <w:r w:rsidRPr="0020525F">
              <w:rPr>
                <w:rStyle w:val="Hyperlink"/>
                <w:noProof/>
              </w:rPr>
              <w:t>5.3 Positioning</w:t>
            </w:r>
            <w:r>
              <w:rPr>
                <w:noProof/>
                <w:webHidden/>
              </w:rPr>
              <w:tab/>
            </w:r>
            <w:r>
              <w:rPr>
                <w:noProof/>
                <w:webHidden/>
              </w:rPr>
              <w:fldChar w:fldCharType="begin"/>
            </w:r>
            <w:r>
              <w:rPr>
                <w:noProof/>
                <w:webHidden/>
              </w:rPr>
              <w:instrText xml:space="preserve"> PAGEREF _Toc235141376 \h </w:instrText>
            </w:r>
            <w:r>
              <w:rPr>
                <w:noProof/>
                <w:webHidden/>
              </w:rPr>
            </w:r>
            <w:r>
              <w:rPr>
                <w:noProof/>
                <w:webHidden/>
              </w:rPr>
              <w:fldChar w:fldCharType="separate"/>
            </w:r>
            <w:r>
              <w:rPr>
                <w:noProof/>
                <w:webHidden/>
              </w:rPr>
              <w:t>11</w:t>
            </w:r>
            <w:r>
              <w:rPr>
                <w:noProof/>
                <w:webHidden/>
              </w:rPr>
              <w:fldChar w:fldCharType="end"/>
            </w:r>
          </w:hyperlink>
        </w:p>
        <w:p w14:paraId="3B704B49" w14:textId="2302A63A" w:rsidR="00F63ECB" w:rsidRDefault="00F63ECB">
          <w:pPr>
            <w:pStyle w:val="TOC3"/>
            <w:rPr>
              <w:rFonts w:asciiTheme="minorHAnsi" w:eastAsiaTheme="minorEastAsia" w:hAnsiTheme="minorHAnsi" w:cstheme="minorBidi"/>
              <w:noProof/>
              <w:color w:val="auto"/>
              <w:sz w:val="22"/>
            </w:rPr>
          </w:pPr>
          <w:hyperlink w:anchor="_Toc235141377" w:history="1">
            <w:r w:rsidRPr="0020525F">
              <w:rPr>
                <w:rStyle w:val="Hyperlink"/>
                <w:noProof/>
              </w:rPr>
              <w:t>5.4 Critical STP Evaluation</w:t>
            </w:r>
            <w:r>
              <w:rPr>
                <w:noProof/>
                <w:webHidden/>
              </w:rPr>
              <w:tab/>
            </w:r>
            <w:r>
              <w:rPr>
                <w:noProof/>
                <w:webHidden/>
              </w:rPr>
              <w:fldChar w:fldCharType="begin"/>
            </w:r>
            <w:r>
              <w:rPr>
                <w:noProof/>
                <w:webHidden/>
              </w:rPr>
              <w:instrText xml:space="preserve"> PAGEREF _Toc235141377 \h </w:instrText>
            </w:r>
            <w:r>
              <w:rPr>
                <w:noProof/>
                <w:webHidden/>
              </w:rPr>
            </w:r>
            <w:r>
              <w:rPr>
                <w:noProof/>
                <w:webHidden/>
              </w:rPr>
              <w:fldChar w:fldCharType="separate"/>
            </w:r>
            <w:r>
              <w:rPr>
                <w:noProof/>
                <w:webHidden/>
              </w:rPr>
              <w:t>11</w:t>
            </w:r>
            <w:r>
              <w:rPr>
                <w:noProof/>
                <w:webHidden/>
              </w:rPr>
              <w:fldChar w:fldCharType="end"/>
            </w:r>
          </w:hyperlink>
        </w:p>
        <w:p w14:paraId="5E050084" w14:textId="360ED3D3" w:rsidR="00F63ECB" w:rsidRDefault="00F63ECB">
          <w:pPr>
            <w:pStyle w:val="TOC2"/>
            <w:rPr>
              <w:rFonts w:asciiTheme="minorHAnsi" w:eastAsiaTheme="minorEastAsia" w:hAnsiTheme="minorHAnsi" w:cstheme="minorBidi"/>
              <w:noProof/>
              <w:color w:val="auto"/>
              <w:sz w:val="22"/>
            </w:rPr>
          </w:pPr>
          <w:hyperlink w:anchor="_Toc235141378" w:history="1">
            <w:r w:rsidRPr="0020525F">
              <w:rPr>
                <w:rStyle w:val="Hyperlink"/>
                <w:noProof/>
              </w:rPr>
              <w:t>6. Comparative International Marketing Mix</w:t>
            </w:r>
            <w:r>
              <w:rPr>
                <w:noProof/>
                <w:webHidden/>
              </w:rPr>
              <w:tab/>
            </w:r>
            <w:r>
              <w:rPr>
                <w:noProof/>
                <w:webHidden/>
              </w:rPr>
              <w:fldChar w:fldCharType="begin"/>
            </w:r>
            <w:r>
              <w:rPr>
                <w:noProof/>
                <w:webHidden/>
              </w:rPr>
              <w:instrText xml:space="preserve"> PAGEREF _Toc235141378 \h </w:instrText>
            </w:r>
            <w:r>
              <w:rPr>
                <w:noProof/>
                <w:webHidden/>
              </w:rPr>
            </w:r>
            <w:r>
              <w:rPr>
                <w:noProof/>
                <w:webHidden/>
              </w:rPr>
              <w:fldChar w:fldCharType="separate"/>
            </w:r>
            <w:r>
              <w:rPr>
                <w:noProof/>
                <w:webHidden/>
              </w:rPr>
              <w:t>12</w:t>
            </w:r>
            <w:r>
              <w:rPr>
                <w:noProof/>
                <w:webHidden/>
              </w:rPr>
              <w:fldChar w:fldCharType="end"/>
            </w:r>
          </w:hyperlink>
        </w:p>
        <w:p w14:paraId="00F1AF5C" w14:textId="534FC2EE" w:rsidR="00F63ECB" w:rsidRDefault="00F63ECB">
          <w:pPr>
            <w:pStyle w:val="TOC3"/>
            <w:rPr>
              <w:rFonts w:asciiTheme="minorHAnsi" w:eastAsiaTheme="minorEastAsia" w:hAnsiTheme="minorHAnsi" w:cstheme="minorBidi"/>
              <w:noProof/>
              <w:color w:val="auto"/>
              <w:sz w:val="22"/>
            </w:rPr>
          </w:pPr>
          <w:hyperlink w:anchor="_Toc235141379" w:history="1">
            <w:r w:rsidRPr="0020525F">
              <w:rPr>
                <w:rStyle w:val="Hyperlink"/>
                <w:noProof/>
              </w:rPr>
              <w:t>6.1 Comparative Evaluation</w:t>
            </w:r>
            <w:r>
              <w:rPr>
                <w:noProof/>
                <w:webHidden/>
              </w:rPr>
              <w:tab/>
            </w:r>
            <w:r>
              <w:rPr>
                <w:noProof/>
                <w:webHidden/>
              </w:rPr>
              <w:fldChar w:fldCharType="begin"/>
            </w:r>
            <w:r>
              <w:rPr>
                <w:noProof/>
                <w:webHidden/>
              </w:rPr>
              <w:instrText xml:space="preserve"> PAGEREF _Toc235141379 \h </w:instrText>
            </w:r>
            <w:r>
              <w:rPr>
                <w:noProof/>
                <w:webHidden/>
              </w:rPr>
            </w:r>
            <w:r>
              <w:rPr>
                <w:noProof/>
                <w:webHidden/>
              </w:rPr>
              <w:fldChar w:fldCharType="separate"/>
            </w:r>
            <w:r>
              <w:rPr>
                <w:noProof/>
                <w:webHidden/>
              </w:rPr>
              <w:t>13</w:t>
            </w:r>
            <w:r>
              <w:rPr>
                <w:noProof/>
                <w:webHidden/>
              </w:rPr>
              <w:fldChar w:fldCharType="end"/>
            </w:r>
          </w:hyperlink>
        </w:p>
        <w:p w14:paraId="52E10302" w14:textId="629AD5DD" w:rsidR="00F63ECB" w:rsidRDefault="00F63ECB">
          <w:pPr>
            <w:pStyle w:val="TOC3"/>
            <w:rPr>
              <w:rFonts w:asciiTheme="minorHAnsi" w:eastAsiaTheme="minorEastAsia" w:hAnsiTheme="minorHAnsi" w:cstheme="minorBidi"/>
              <w:noProof/>
              <w:color w:val="auto"/>
              <w:sz w:val="22"/>
            </w:rPr>
          </w:pPr>
          <w:hyperlink w:anchor="_Toc235141380" w:history="1">
            <w:r w:rsidRPr="0020525F">
              <w:rPr>
                <w:rStyle w:val="Hyperlink"/>
                <w:noProof/>
              </w:rPr>
              <w:t>6.2 Cross-Mix Coherence and Control</w:t>
            </w:r>
            <w:r>
              <w:rPr>
                <w:noProof/>
                <w:webHidden/>
              </w:rPr>
              <w:tab/>
            </w:r>
            <w:r>
              <w:rPr>
                <w:noProof/>
                <w:webHidden/>
              </w:rPr>
              <w:fldChar w:fldCharType="begin"/>
            </w:r>
            <w:r>
              <w:rPr>
                <w:noProof/>
                <w:webHidden/>
              </w:rPr>
              <w:instrText xml:space="preserve"> PAGEREF _Toc235141380 \h </w:instrText>
            </w:r>
            <w:r>
              <w:rPr>
                <w:noProof/>
                <w:webHidden/>
              </w:rPr>
            </w:r>
            <w:r>
              <w:rPr>
                <w:noProof/>
                <w:webHidden/>
              </w:rPr>
              <w:fldChar w:fldCharType="separate"/>
            </w:r>
            <w:r>
              <w:rPr>
                <w:noProof/>
                <w:webHidden/>
              </w:rPr>
              <w:t>14</w:t>
            </w:r>
            <w:r>
              <w:rPr>
                <w:noProof/>
                <w:webHidden/>
              </w:rPr>
              <w:fldChar w:fldCharType="end"/>
            </w:r>
          </w:hyperlink>
        </w:p>
        <w:p w14:paraId="1D3D5279" w14:textId="0E45D66D" w:rsidR="00F63ECB" w:rsidRDefault="00F63ECB">
          <w:pPr>
            <w:pStyle w:val="TOC2"/>
            <w:rPr>
              <w:rFonts w:asciiTheme="minorHAnsi" w:eastAsiaTheme="minorEastAsia" w:hAnsiTheme="minorHAnsi" w:cstheme="minorBidi"/>
              <w:noProof/>
              <w:color w:val="auto"/>
              <w:sz w:val="22"/>
            </w:rPr>
          </w:pPr>
          <w:hyperlink w:anchor="_Toc235141381" w:history="1">
            <w:r w:rsidRPr="0020525F">
              <w:rPr>
                <w:rStyle w:val="Hyperlink"/>
                <w:noProof/>
              </w:rPr>
              <w:t>7. Market Entry Strategy in the United Kingdom</w:t>
            </w:r>
            <w:r>
              <w:rPr>
                <w:noProof/>
                <w:webHidden/>
              </w:rPr>
              <w:tab/>
            </w:r>
            <w:r>
              <w:rPr>
                <w:noProof/>
                <w:webHidden/>
              </w:rPr>
              <w:fldChar w:fldCharType="begin"/>
            </w:r>
            <w:r>
              <w:rPr>
                <w:noProof/>
                <w:webHidden/>
              </w:rPr>
              <w:instrText xml:space="preserve"> PAGEREF _Toc235141381 \h </w:instrText>
            </w:r>
            <w:r>
              <w:rPr>
                <w:noProof/>
                <w:webHidden/>
              </w:rPr>
            </w:r>
            <w:r>
              <w:rPr>
                <w:noProof/>
                <w:webHidden/>
              </w:rPr>
              <w:fldChar w:fldCharType="separate"/>
            </w:r>
            <w:r>
              <w:rPr>
                <w:noProof/>
                <w:webHidden/>
              </w:rPr>
              <w:t>14</w:t>
            </w:r>
            <w:r>
              <w:rPr>
                <w:noProof/>
                <w:webHidden/>
              </w:rPr>
              <w:fldChar w:fldCharType="end"/>
            </w:r>
          </w:hyperlink>
        </w:p>
        <w:p w14:paraId="5491BCBB" w14:textId="4CFE6246" w:rsidR="00F63ECB" w:rsidRDefault="00F63ECB">
          <w:pPr>
            <w:pStyle w:val="TOC2"/>
            <w:rPr>
              <w:rFonts w:asciiTheme="minorHAnsi" w:eastAsiaTheme="minorEastAsia" w:hAnsiTheme="minorHAnsi" w:cstheme="minorBidi"/>
              <w:noProof/>
              <w:color w:val="auto"/>
              <w:sz w:val="22"/>
            </w:rPr>
          </w:pPr>
          <w:hyperlink w:anchor="_Toc235141382" w:history="1">
            <w:r w:rsidRPr="0020525F">
              <w:rPr>
                <w:rStyle w:val="Hyperlink"/>
                <w:noProof/>
              </w:rPr>
              <w:t>8. Ethical Evaluation of UK Promotion</w:t>
            </w:r>
            <w:r>
              <w:rPr>
                <w:noProof/>
                <w:webHidden/>
              </w:rPr>
              <w:tab/>
            </w:r>
            <w:r>
              <w:rPr>
                <w:noProof/>
                <w:webHidden/>
              </w:rPr>
              <w:fldChar w:fldCharType="begin"/>
            </w:r>
            <w:r>
              <w:rPr>
                <w:noProof/>
                <w:webHidden/>
              </w:rPr>
              <w:instrText xml:space="preserve"> PAGEREF _Toc235141382 \h </w:instrText>
            </w:r>
            <w:r>
              <w:rPr>
                <w:noProof/>
                <w:webHidden/>
              </w:rPr>
            </w:r>
            <w:r>
              <w:rPr>
                <w:noProof/>
                <w:webHidden/>
              </w:rPr>
              <w:fldChar w:fldCharType="separate"/>
            </w:r>
            <w:r>
              <w:rPr>
                <w:noProof/>
                <w:webHidden/>
              </w:rPr>
              <w:t>15</w:t>
            </w:r>
            <w:r>
              <w:rPr>
                <w:noProof/>
                <w:webHidden/>
              </w:rPr>
              <w:fldChar w:fldCharType="end"/>
            </w:r>
          </w:hyperlink>
        </w:p>
        <w:p w14:paraId="7602246D" w14:textId="4267DF26" w:rsidR="00F63ECB" w:rsidRDefault="00F63ECB">
          <w:pPr>
            <w:pStyle w:val="TOC2"/>
            <w:rPr>
              <w:rFonts w:asciiTheme="minorHAnsi" w:eastAsiaTheme="minorEastAsia" w:hAnsiTheme="minorHAnsi" w:cstheme="minorBidi"/>
              <w:noProof/>
              <w:color w:val="auto"/>
              <w:sz w:val="22"/>
            </w:rPr>
          </w:pPr>
          <w:hyperlink w:anchor="_Toc235141383" w:history="1">
            <w:r w:rsidRPr="0020525F">
              <w:rPr>
                <w:rStyle w:val="Hyperlink"/>
                <w:noProof/>
              </w:rPr>
              <w:t>9. Recommendations and Implementation</w:t>
            </w:r>
            <w:r>
              <w:rPr>
                <w:noProof/>
                <w:webHidden/>
              </w:rPr>
              <w:tab/>
            </w:r>
            <w:r>
              <w:rPr>
                <w:noProof/>
                <w:webHidden/>
              </w:rPr>
              <w:fldChar w:fldCharType="begin"/>
            </w:r>
            <w:r>
              <w:rPr>
                <w:noProof/>
                <w:webHidden/>
              </w:rPr>
              <w:instrText xml:space="preserve"> PAGEREF _Toc235141383 \h </w:instrText>
            </w:r>
            <w:r>
              <w:rPr>
                <w:noProof/>
                <w:webHidden/>
              </w:rPr>
            </w:r>
            <w:r>
              <w:rPr>
                <w:noProof/>
                <w:webHidden/>
              </w:rPr>
              <w:fldChar w:fldCharType="separate"/>
            </w:r>
            <w:r>
              <w:rPr>
                <w:noProof/>
                <w:webHidden/>
              </w:rPr>
              <w:t>16</w:t>
            </w:r>
            <w:r>
              <w:rPr>
                <w:noProof/>
                <w:webHidden/>
              </w:rPr>
              <w:fldChar w:fldCharType="end"/>
            </w:r>
          </w:hyperlink>
        </w:p>
        <w:p w14:paraId="4B3C6946" w14:textId="56DA0ABA" w:rsidR="00F63ECB" w:rsidRDefault="00F63ECB">
          <w:pPr>
            <w:pStyle w:val="TOC2"/>
            <w:rPr>
              <w:rFonts w:asciiTheme="minorHAnsi" w:eastAsiaTheme="minorEastAsia" w:hAnsiTheme="minorHAnsi" w:cstheme="minorBidi"/>
              <w:noProof/>
              <w:color w:val="auto"/>
              <w:sz w:val="22"/>
            </w:rPr>
          </w:pPr>
          <w:hyperlink w:anchor="_Toc235141384" w:history="1">
            <w:r w:rsidRPr="0020525F">
              <w:rPr>
                <w:rStyle w:val="Hyperlink"/>
                <w:noProof/>
              </w:rPr>
              <w:t>10. Conclusion</w:t>
            </w:r>
            <w:r>
              <w:rPr>
                <w:noProof/>
                <w:webHidden/>
              </w:rPr>
              <w:tab/>
            </w:r>
            <w:r>
              <w:rPr>
                <w:noProof/>
                <w:webHidden/>
              </w:rPr>
              <w:fldChar w:fldCharType="begin"/>
            </w:r>
            <w:r>
              <w:rPr>
                <w:noProof/>
                <w:webHidden/>
              </w:rPr>
              <w:instrText xml:space="preserve"> PAGEREF _Toc235141384 \h </w:instrText>
            </w:r>
            <w:r>
              <w:rPr>
                <w:noProof/>
                <w:webHidden/>
              </w:rPr>
            </w:r>
            <w:r>
              <w:rPr>
                <w:noProof/>
                <w:webHidden/>
              </w:rPr>
              <w:fldChar w:fldCharType="separate"/>
            </w:r>
            <w:r>
              <w:rPr>
                <w:noProof/>
                <w:webHidden/>
              </w:rPr>
              <w:t>18</w:t>
            </w:r>
            <w:r>
              <w:rPr>
                <w:noProof/>
                <w:webHidden/>
              </w:rPr>
              <w:fldChar w:fldCharType="end"/>
            </w:r>
          </w:hyperlink>
        </w:p>
        <w:p w14:paraId="679F900C" w14:textId="137D8080" w:rsidR="00F63ECB" w:rsidRDefault="00F63ECB">
          <w:pPr>
            <w:pStyle w:val="TOC1"/>
            <w:rPr>
              <w:rFonts w:asciiTheme="minorHAnsi" w:eastAsiaTheme="minorEastAsia" w:hAnsiTheme="minorHAnsi" w:cstheme="minorBidi"/>
              <w:noProof/>
              <w:color w:val="auto"/>
              <w:sz w:val="22"/>
            </w:rPr>
          </w:pPr>
          <w:hyperlink w:anchor="_Toc235141385" w:history="1">
            <w:r w:rsidRPr="0020525F">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_Toc235141385 \h </w:instrText>
            </w:r>
            <w:r>
              <w:rPr>
                <w:noProof/>
                <w:webHidden/>
              </w:rPr>
            </w:r>
            <w:r>
              <w:rPr>
                <w:noProof/>
                <w:webHidden/>
              </w:rPr>
              <w:fldChar w:fldCharType="separate"/>
            </w:r>
            <w:r>
              <w:rPr>
                <w:noProof/>
                <w:webHidden/>
              </w:rPr>
              <w:t>19</w:t>
            </w:r>
            <w:r>
              <w:rPr>
                <w:noProof/>
                <w:webHidden/>
              </w:rPr>
              <w:fldChar w:fldCharType="end"/>
            </w:r>
          </w:hyperlink>
        </w:p>
        <w:p w14:paraId="6F661298" w14:textId="073AEEC2" w:rsidR="00F63ECB" w:rsidRDefault="00F63ECB">
          <w:pPr>
            <w:pStyle w:val="TOC2"/>
            <w:rPr>
              <w:rFonts w:asciiTheme="minorHAnsi" w:eastAsiaTheme="minorEastAsia" w:hAnsiTheme="minorHAnsi" w:cstheme="minorBidi"/>
              <w:noProof/>
              <w:color w:val="auto"/>
              <w:sz w:val="22"/>
            </w:rPr>
          </w:pPr>
          <w:hyperlink w:anchor="_Toc235141386" w:history="1">
            <w:r w:rsidRPr="0020525F">
              <w:rPr>
                <w:rStyle w:val="Hyperlink"/>
                <w:noProof/>
              </w:rPr>
              <w:t>1. Description</w:t>
            </w:r>
            <w:r>
              <w:rPr>
                <w:noProof/>
                <w:webHidden/>
              </w:rPr>
              <w:tab/>
            </w:r>
            <w:r>
              <w:rPr>
                <w:noProof/>
                <w:webHidden/>
              </w:rPr>
              <w:fldChar w:fldCharType="begin"/>
            </w:r>
            <w:r>
              <w:rPr>
                <w:noProof/>
                <w:webHidden/>
              </w:rPr>
              <w:instrText xml:space="preserve"> PAGEREF _Toc235141386 \h </w:instrText>
            </w:r>
            <w:r>
              <w:rPr>
                <w:noProof/>
                <w:webHidden/>
              </w:rPr>
            </w:r>
            <w:r>
              <w:rPr>
                <w:noProof/>
                <w:webHidden/>
              </w:rPr>
              <w:fldChar w:fldCharType="separate"/>
            </w:r>
            <w:r>
              <w:rPr>
                <w:noProof/>
                <w:webHidden/>
              </w:rPr>
              <w:t>19</w:t>
            </w:r>
            <w:r>
              <w:rPr>
                <w:noProof/>
                <w:webHidden/>
              </w:rPr>
              <w:fldChar w:fldCharType="end"/>
            </w:r>
          </w:hyperlink>
        </w:p>
        <w:p w14:paraId="39E4432F" w14:textId="25833C53" w:rsidR="00F63ECB" w:rsidRDefault="00F63ECB">
          <w:pPr>
            <w:pStyle w:val="TOC2"/>
            <w:rPr>
              <w:rFonts w:asciiTheme="minorHAnsi" w:eastAsiaTheme="minorEastAsia" w:hAnsiTheme="minorHAnsi" w:cstheme="minorBidi"/>
              <w:noProof/>
              <w:color w:val="auto"/>
              <w:sz w:val="22"/>
            </w:rPr>
          </w:pPr>
          <w:hyperlink w:anchor="_Toc235141387" w:history="1">
            <w:r w:rsidRPr="0020525F">
              <w:rPr>
                <w:rStyle w:val="Hyperlink"/>
                <w:noProof/>
              </w:rPr>
              <w:t>2. Feelings</w:t>
            </w:r>
            <w:r>
              <w:rPr>
                <w:noProof/>
                <w:webHidden/>
              </w:rPr>
              <w:tab/>
            </w:r>
            <w:r>
              <w:rPr>
                <w:noProof/>
                <w:webHidden/>
              </w:rPr>
              <w:fldChar w:fldCharType="begin"/>
            </w:r>
            <w:r>
              <w:rPr>
                <w:noProof/>
                <w:webHidden/>
              </w:rPr>
              <w:instrText xml:space="preserve"> PAGEREF _Toc235141387 \h </w:instrText>
            </w:r>
            <w:r>
              <w:rPr>
                <w:noProof/>
                <w:webHidden/>
              </w:rPr>
            </w:r>
            <w:r>
              <w:rPr>
                <w:noProof/>
                <w:webHidden/>
              </w:rPr>
              <w:fldChar w:fldCharType="separate"/>
            </w:r>
            <w:r>
              <w:rPr>
                <w:noProof/>
                <w:webHidden/>
              </w:rPr>
              <w:t>19</w:t>
            </w:r>
            <w:r>
              <w:rPr>
                <w:noProof/>
                <w:webHidden/>
              </w:rPr>
              <w:fldChar w:fldCharType="end"/>
            </w:r>
          </w:hyperlink>
        </w:p>
        <w:p w14:paraId="04F2468F" w14:textId="3CC54B33" w:rsidR="00F63ECB" w:rsidRDefault="00F63ECB">
          <w:pPr>
            <w:pStyle w:val="TOC2"/>
            <w:rPr>
              <w:rFonts w:asciiTheme="minorHAnsi" w:eastAsiaTheme="minorEastAsia" w:hAnsiTheme="minorHAnsi" w:cstheme="minorBidi"/>
              <w:noProof/>
              <w:color w:val="auto"/>
              <w:sz w:val="22"/>
            </w:rPr>
          </w:pPr>
          <w:hyperlink w:anchor="_Toc235141388" w:history="1">
            <w:r w:rsidRPr="0020525F">
              <w:rPr>
                <w:rStyle w:val="Hyperlink"/>
                <w:noProof/>
              </w:rPr>
              <w:t>3. Evaluation</w:t>
            </w:r>
            <w:r>
              <w:rPr>
                <w:noProof/>
                <w:webHidden/>
              </w:rPr>
              <w:tab/>
            </w:r>
            <w:r>
              <w:rPr>
                <w:noProof/>
                <w:webHidden/>
              </w:rPr>
              <w:fldChar w:fldCharType="begin"/>
            </w:r>
            <w:r>
              <w:rPr>
                <w:noProof/>
                <w:webHidden/>
              </w:rPr>
              <w:instrText xml:space="preserve"> PAGEREF _Toc235141388 \h </w:instrText>
            </w:r>
            <w:r>
              <w:rPr>
                <w:noProof/>
                <w:webHidden/>
              </w:rPr>
            </w:r>
            <w:r>
              <w:rPr>
                <w:noProof/>
                <w:webHidden/>
              </w:rPr>
              <w:fldChar w:fldCharType="separate"/>
            </w:r>
            <w:r>
              <w:rPr>
                <w:noProof/>
                <w:webHidden/>
              </w:rPr>
              <w:t>19</w:t>
            </w:r>
            <w:r>
              <w:rPr>
                <w:noProof/>
                <w:webHidden/>
              </w:rPr>
              <w:fldChar w:fldCharType="end"/>
            </w:r>
          </w:hyperlink>
        </w:p>
        <w:p w14:paraId="5D897F50" w14:textId="2F457E50" w:rsidR="00F63ECB" w:rsidRDefault="00F63ECB">
          <w:pPr>
            <w:pStyle w:val="TOC2"/>
            <w:rPr>
              <w:rFonts w:asciiTheme="minorHAnsi" w:eastAsiaTheme="minorEastAsia" w:hAnsiTheme="minorHAnsi" w:cstheme="minorBidi"/>
              <w:noProof/>
              <w:color w:val="auto"/>
              <w:sz w:val="22"/>
            </w:rPr>
          </w:pPr>
          <w:hyperlink w:anchor="_Toc235141389" w:history="1">
            <w:r w:rsidRPr="0020525F">
              <w:rPr>
                <w:rStyle w:val="Hyperlink"/>
                <w:noProof/>
              </w:rPr>
              <w:t>4. Analysis</w:t>
            </w:r>
            <w:r>
              <w:rPr>
                <w:noProof/>
                <w:webHidden/>
              </w:rPr>
              <w:tab/>
            </w:r>
            <w:r>
              <w:rPr>
                <w:noProof/>
                <w:webHidden/>
              </w:rPr>
              <w:fldChar w:fldCharType="begin"/>
            </w:r>
            <w:r>
              <w:rPr>
                <w:noProof/>
                <w:webHidden/>
              </w:rPr>
              <w:instrText xml:space="preserve"> PAGEREF _Toc235141389 \h </w:instrText>
            </w:r>
            <w:r>
              <w:rPr>
                <w:noProof/>
                <w:webHidden/>
              </w:rPr>
            </w:r>
            <w:r>
              <w:rPr>
                <w:noProof/>
                <w:webHidden/>
              </w:rPr>
              <w:fldChar w:fldCharType="separate"/>
            </w:r>
            <w:r>
              <w:rPr>
                <w:noProof/>
                <w:webHidden/>
              </w:rPr>
              <w:t>20</w:t>
            </w:r>
            <w:r>
              <w:rPr>
                <w:noProof/>
                <w:webHidden/>
              </w:rPr>
              <w:fldChar w:fldCharType="end"/>
            </w:r>
          </w:hyperlink>
        </w:p>
        <w:p w14:paraId="7EE61612" w14:textId="19CC4B56" w:rsidR="00F63ECB" w:rsidRDefault="00F63ECB">
          <w:pPr>
            <w:pStyle w:val="TOC2"/>
            <w:rPr>
              <w:rFonts w:asciiTheme="minorHAnsi" w:eastAsiaTheme="minorEastAsia" w:hAnsiTheme="minorHAnsi" w:cstheme="minorBidi"/>
              <w:noProof/>
              <w:color w:val="auto"/>
              <w:sz w:val="22"/>
            </w:rPr>
          </w:pPr>
          <w:hyperlink w:anchor="_Toc235141390" w:history="1">
            <w:r w:rsidRPr="0020525F">
              <w:rPr>
                <w:rStyle w:val="Hyperlink"/>
                <w:noProof/>
              </w:rPr>
              <w:t>5. Conclusion</w:t>
            </w:r>
            <w:r>
              <w:rPr>
                <w:noProof/>
                <w:webHidden/>
              </w:rPr>
              <w:tab/>
            </w:r>
            <w:r>
              <w:rPr>
                <w:noProof/>
                <w:webHidden/>
              </w:rPr>
              <w:fldChar w:fldCharType="begin"/>
            </w:r>
            <w:r>
              <w:rPr>
                <w:noProof/>
                <w:webHidden/>
              </w:rPr>
              <w:instrText xml:space="preserve"> PAGEREF _Toc235141390 \h </w:instrText>
            </w:r>
            <w:r>
              <w:rPr>
                <w:noProof/>
                <w:webHidden/>
              </w:rPr>
            </w:r>
            <w:r>
              <w:rPr>
                <w:noProof/>
                <w:webHidden/>
              </w:rPr>
              <w:fldChar w:fldCharType="separate"/>
            </w:r>
            <w:r>
              <w:rPr>
                <w:noProof/>
                <w:webHidden/>
              </w:rPr>
              <w:t>21</w:t>
            </w:r>
            <w:r>
              <w:rPr>
                <w:noProof/>
                <w:webHidden/>
              </w:rPr>
              <w:fldChar w:fldCharType="end"/>
            </w:r>
          </w:hyperlink>
        </w:p>
        <w:p w14:paraId="5BE9B3F6" w14:textId="5AB358C3" w:rsidR="00F63ECB" w:rsidRDefault="00F63ECB">
          <w:pPr>
            <w:pStyle w:val="TOC2"/>
            <w:rPr>
              <w:rFonts w:asciiTheme="minorHAnsi" w:eastAsiaTheme="minorEastAsia" w:hAnsiTheme="minorHAnsi" w:cstheme="minorBidi"/>
              <w:noProof/>
              <w:color w:val="auto"/>
              <w:sz w:val="22"/>
            </w:rPr>
          </w:pPr>
          <w:hyperlink w:anchor="_Toc235141391" w:history="1">
            <w:r w:rsidRPr="0020525F">
              <w:rPr>
                <w:rStyle w:val="Hyperlink"/>
                <w:noProof/>
              </w:rPr>
              <w:t>6. Action Plan</w:t>
            </w:r>
            <w:r>
              <w:rPr>
                <w:noProof/>
                <w:webHidden/>
              </w:rPr>
              <w:tab/>
            </w:r>
            <w:r>
              <w:rPr>
                <w:noProof/>
                <w:webHidden/>
              </w:rPr>
              <w:fldChar w:fldCharType="begin"/>
            </w:r>
            <w:r>
              <w:rPr>
                <w:noProof/>
                <w:webHidden/>
              </w:rPr>
              <w:instrText xml:space="preserve"> PAGEREF _Toc235141391 \h </w:instrText>
            </w:r>
            <w:r>
              <w:rPr>
                <w:noProof/>
                <w:webHidden/>
              </w:rPr>
            </w:r>
            <w:r>
              <w:rPr>
                <w:noProof/>
                <w:webHidden/>
              </w:rPr>
              <w:fldChar w:fldCharType="separate"/>
            </w:r>
            <w:r>
              <w:rPr>
                <w:noProof/>
                <w:webHidden/>
              </w:rPr>
              <w:t>21</w:t>
            </w:r>
            <w:r>
              <w:rPr>
                <w:noProof/>
                <w:webHidden/>
              </w:rPr>
              <w:fldChar w:fldCharType="end"/>
            </w:r>
          </w:hyperlink>
        </w:p>
        <w:p w14:paraId="2FA9D549" w14:textId="03D761CE" w:rsidR="00F63ECB" w:rsidRDefault="00F63ECB">
          <w:pPr>
            <w:pStyle w:val="TOC1"/>
            <w:rPr>
              <w:rFonts w:asciiTheme="minorHAnsi" w:eastAsiaTheme="minorEastAsia" w:hAnsiTheme="minorHAnsi" w:cstheme="minorBidi"/>
              <w:noProof/>
              <w:color w:val="auto"/>
              <w:sz w:val="22"/>
            </w:rPr>
          </w:pPr>
          <w:hyperlink w:anchor="_Toc235141392" w:history="1">
            <w:r w:rsidRPr="0020525F">
              <w:rPr>
                <w:rStyle w:val="Hyperlink"/>
                <w:noProof/>
              </w:rPr>
              <w:t>Reference List</w:t>
            </w:r>
            <w:r>
              <w:rPr>
                <w:noProof/>
                <w:webHidden/>
              </w:rPr>
              <w:tab/>
            </w:r>
            <w:r>
              <w:rPr>
                <w:noProof/>
                <w:webHidden/>
              </w:rPr>
              <w:fldChar w:fldCharType="begin"/>
            </w:r>
            <w:r>
              <w:rPr>
                <w:noProof/>
                <w:webHidden/>
              </w:rPr>
              <w:instrText xml:space="preserve"> PAGEREF _Toc235141392 \h </w:instrText>
            </w:r>
            <w:r>
              <w:rPr>
                <w:noProof/>
                <w:webHidden/>
              </w:rPr>
            </w:r>
            <w:r>
              <w:rPr>
                <w:noProof/>
                <w:webHidden/>
              </w:rPr>
              <w:fldChar w:fldCharType="separate"/>
            </w:r>
            <w:r>
              <w:rPr>
                <w:noProof/>
                <w:webHidden/>
              </w:rPr>
              <w:t>22</w:t>
            </w:r>
            <w:r>
              <w:rPr>
                <w:noProof/>
                <w:webHidden/>
              </w:rPr>
              <w:fldChar w:fldCharType="end"/>
            </w:r>
          </w:hyperlink>
        </w:p>
        <w:p w14:paraId="3FC350FE" w14:textId="21682118" w:rsidR="00B313B1" w:rsidRDefault="00BB2550">
          <w:pPr>
            <w:pStyle w:val="TOC1"/>
            <w:tabs>
              <w:tab w:val="clear" w:pos="9360"/>
              <w:tab w:val="right" w:leader="dot" w:pos="9359"/>
            </w:tabs>
          </w:pPr>
          <w:r>
            <w:rPr>
              <w:rStyle w:val="IndexLink"/>
            </w:rPr>
            <w:fldChar w:fldCharType="end"/>
          </w:r>
        </w:p>
      </w:sdtContent>
    </w:sdt>
    <w:p w14:paraId="4306F23F" w14:textId="77777777" w:rsidR="00B313B1" w:rsidRDefault="00BB2550">
      <w:r>
        <w:br w:type="page"/>
      </w:r>
    </w:p>
    <w:p w14:paraId="7C8829C8" w14:textId="77777777" w:rsidR="00B313B1" w:rsidRDefault="00BB2550" w:rsidP="007C7DA5">
      <w:pPr>
        <w:pStyle w:val="Heading1"/>
        <w:spacing w:before="0" w:after="240"/>
      </w:pPr>
      <w:bookmarkStart w:id="0" w:name="_Toc235141365"/>
      <w:r>
        <w:rPr>
          <w:rFonts w:ascii="Times New Roman" w:eastAsia="Times New Roman" w:hAnsi="Times New Roman"/>
        </w:rPr>
        <w:t>Section 1: International Market Entry Strategy and Marketing Mix Report</w:t>
      </w:r>
      <w:bookmarkEnd w:id="0"/>
    </w:p>
    <w:p w14:paraId="0EB7E821" w14:textId="77777777" w:rsidR="00B313B1" w:rsidRDefault="00BB2550" w:rsidP="007C7DA5">
      <w:pPr>
        <w:pStyle w:val="Heading2"/>
        <w:spacing w:before="240" w:after="240"/>
      </w:pPr>
      <w:bookmarkStart w:id="1" w:name="_Toc235141366"/>
      <w:r>
        <w:rPr>
          <w:rFonts w:ascii="Times New Roman" w:eastAsia="Times New Roman" w:hAnsi="Times New Roman"/>
        </w:rPr>
        <w:t>Executive Summary</w:t>
      </w:r>
      <w:bookmarkEnd w:id="1"/>
    </w:p>
    <w:p w14:paraId="4050E0E0" w14:textId="5127C47E" w:rsidR="00B313B1" w:rsidRDefault="00357DDF" w:rsidP="007C7DA5">
      <w:pPr>
        <w:spacing w:after="0"/>
        <w:jc w:val="both"/>
      </w:pPr>
      <w:r w:rsidRPr="00357DDF">
        <w:t xml:space="preserve">This report contrasts the international marketing strategy of Toyota in Japan and United Kingdom. It suggests that Toyota must </w:t>
      </w:r>
      <w:r w:rsidR="00F83E59" w:rsidRPr="00357DDF">
        <w:t>homogenize</w:t>
      </w:r>
      <w:r w:rsidRPr="00357DDF">
        <w:t xml:space="preserve"> its fundamental promise of quality, safety, reliability and responsible mobility and </w:t>
      </w:r>
      <w:r w:rsidR="00156142" w:rsidRPr="00357DDF">
        <w:t>localize</w:t>
      </w:r>
      <w:r w:rsidRPr="00357DDF">
        <w:t xml:space="preserve"> its product focus, customer experience and communication. The multi-pathway and inclusive-mobility strategy of Toyota is facilitated by the policy of widespread electrification of Japan, the ageing population and consultation-based retail model. The zero-emission requirement of the UK, fleet impact and online retail setting needs quicker battery-electric vehicle advancement and more powerful charging, financing and ownership. The orchestrated entry of Toyota in the UK generated legitimacy and learning but the next level of competitiveness will be through batteries, software, charging and credible environmental communication. Recommendations focus on UK BEV demand growth, worldwide claims management, and unified client experience and lifecycle guarantee.</w:t>
      </w:r>
    </w:p>
    <w:p w14:paraId="124DC4F8" w14:textId="77777777" w:rsidR="005D05A9" w:rsidRDefault="005D05A9">
      <w:pPr>
        <w:spacing w:after="0" w:line="240" w:lineRule="auto"/>
        <w:rPr>
          <w:rFonts w:cstheme="majorBidi"/>
          <w:b/>
          <w:bCs/>
          <w:szCs w:val="26"/>
        </w:rPr>
      </w:pPr>
      <w:r>
        <w:br w:type="page"/>
      </w:r>
    </w:p>
    <w:p w14:paraId="79CFD5A0" w14:textId="0BA349AA" w:rsidR="00B313B1" w:rsidRDefault="00BB2550" w:rsidP="007C7DA5">
      <w:pPr>
        <w:pStyle w:val="Heading2"/>
        <w:spacing w:before="240" w:after="240"/>
      </w:pPr>
      <w:bookmarkStart w:id="2" w:name="_Toc235141367"/>
      <w:r>
        <w:rPr>
          <w:rFonts w:ascii="Times New Roman" w:eastAsia="Times New Roman" w:hAnsi="Times New Roman"/>
        </w:rPr>
        <w:t>1. Introduction</w:t>
      </w:r>
      <w:bookmarkEnd w:id="2"/>
    </w:p>
    <w:p w14:paraId="7B129717" w14:textId="120FC472" w:rsidR="00357DDF" w:rsidRDefault="00357DDF" w:rsidP="00357DDF">
      <w:pPr>
        <w:spacing w:after="0"/>
        <w:jc w:val="both"/>
      </w:pPr>
      <w:r>
        <w:t xml:space="preserve">The success of international marketing lies in the ability to transfer firm capabilities and adjust them to the local institutions, culture and purchasing conditions. </w:t>
      </w:r>
      <w:r w:rsidR="00156142">
        <w:t>Standardization</w:t>
      </w:r>
      <w:r>
        <w:t xml:space="preserve"> is not the ultimate solution, but rather what needs to be maintained to preserve brand equity and what needs to be redesigned to generate local value (</w:t>
      </w:r>
      <w:proofErr w:type="spellStart"/>
      <w:r>
        <w:t>Mandler</w:t>
      </w:r>
      <w:proofErr w:type="spellEnd"/>
      <w:r>
        <w:t xml:space="preserve"> et al., 2021). A good comparison is Toyota since, in Japan, it is its domestic market, and in the United Kingdom, it is a mature host market that is a combination of sales, finance, distribution and manufacturing. Electrification policy, demographic, consumer finance and retail </w:t>
      </w:r>
      <w:r w:rsidR="00D91BE2">
        <w:t>behavior</w:t>
      </w:r>
      <w:r>
        <w:t xml:space="preserve"> differences make different demands of the same promise of secure mobility.</w:t>
      </w:r>
    </w:p>
    <w:p w14:paraId="744734EF" w14:textId="133B4FF5" w:rsidR="00B313B1" w:rsidRDefault="00357DDF" w:rsidP="00357DDF">
      <w:pPr>
        <w:spacing w:after="0"/>
        <w:jc w:val="both"/>
      </w:pPr>
      <w:r>
        <w:t>The report compares the two markets using PESTEL and Hofstede informed analysis, the segmentation, targeting, positioning and 7Ps of Toyota, its entry into the UK market, an ethical advertising issue and recommendations. Evidence of the company helps to identify observable practice, and academic, governmental and regulatory resources challenge its strategic worth and constraints.</w:t>
      </w:r>
    </w:p>
    <w:p w14:paraId="6AC697BA" w14:textId="77777777" w:rsidR="00B313B1" w:rsidRDefault="00BB2550" w:rsidP="007C7DA5">
      <w:pPr>
        <w:pStyle w:val="Heading2"/>
        <w:spacing w:before="240" w:after="240"/>
      </w:pPr>
      <w:bookmarkStart w:id="3" w:name="_Toc235141368"/>
      <w:r>
        <w:rPr>
          <w:rFonts w:ascii="Times New Roman" w:eastAsia="Times New Roman" w:hAnsi="Times New Roman"/>
        </w:rPr>
        <w:t>2. Analytical Approach and Theoretical Lens</w:t>
      </w:r>
      <w:bookmarkEnd w:id="3"/>
    </w:p>
    <w:p w14:paraId="5FB7B1C8" w14:textId="6D4A1992" w:rsidR="00B313B1" w:rsidRDefault="00226FC1" w:rsidP="007C7DA5">
      <w:pPr>
        <w:spacing w:after="0"/>
        <w:jc w:val="both"/>
      </w:pPr>
      <w:r w:rsidRPr="00226FC1">
        <w:t xml:space="preserve">PESTEL determines the opportunities and constraints on the macro-level and transforms them into customer-oriented decisions via segmentation, targeting, positioning and marketing mix (Albrecht, Green and Hoffman, 2023; University of Minnesota Libraries Publishing, 2017). The dimensions developed by Hofstede are tentative cultural suppositions, rather than descriptions. The analysis compares national averages to market structure and real customer journeys to avoid regional, generational and situational variation being obscured by national averages (McSweeney, 2023). Selective adaptation is the ruling lens: Toyota ought to </w:t>
      </w:r>
      <w:r w:rsidR="00D91BE2" w:rsidRPr="00226FC1">
        <w:t>standardize</w:t>
      </w:r>
      <w:r w:rsidRPr="00226FC1">
        <w:t xml:space="preserve"> the platform of its trust and the level of evidence, whereas altering the focus of its portfolios, value reporting, channel co-ordination and reassurance of services (University of Minnesota Libraries Publishing, 2017).</w:t>
      </w:r>
    </w:p>
    <w:p w14:paraId="54EAE976" w14:textId="77777777" w:rsidR="005D05A9" w:rsidRDefault="005D05A9">
      <w:pPr>
        <w:spacing w:after="0" w:line="240" w:lineRule="auto"/>
        <w:rPr>
          <w:rFonts w:cstheme="majorBidi"/>
          <w:b/>
          <w:bCs/>
          <w:szCs w:val="26"/>
        </w:rPr>
      </w:pPr>
      <w:r>
        <w:br w:type="page"/>
      </w:r>
    </w:p>
    <w:p w14:paraId="252C1F33" w14:textId="68F332A6" w:rsidR="00B313B1" w:rsidRDefault="00BB2550" w:rsidP="007C7DA5">
      <w:pPr>
        <w:pStyle w:val="Heading2"/>
        <w:spacing w:before="240" w:after="240"/>
      </w:pPr>
      <w:bookmarkStart w:id="4" w:name="_Toc235141369"/>
      <w:r>
        <w:rPr>
          <w:rFonts w:ascii="Times New Roman" w:eastAsia="Times New Roman" w:hAnsi="Times New Roman"/>
        </w:rPr>
        <w:t>3. Comparative Market Analysis</w:t>
      </w:r>
      <w:bookmarkEnd w:id="4"/>
    </w:p>
    <w:p w14:paraId="28B59D54" w14:textId="2C33F92F" w:rsidR="00B313B1" w:rsidRDefault="00BB2550" w:rsidP="007C7DA5">
      <w:pPr>
        <w:pStyle w:val="Caption"/>
        <w:keepNext/>
        <w:spacing w:before="120" w:after="120" w:line="360" w:lineRule="auto"/>
      </w:pPr>
      <w:r>
        <w:rPr>
          <w:color w:val="000000"/>
          <w:sz w:val="24"/>
        </w:rPr>
        <w:t>Table 1. Comparative PESTEL analysis</w:t>
      </w:r>
    </w:p>
    <w:tbl>
      <w:tblPr>
        <w:tblStyle w:val="TableGrid"/>
        <w:tblW w:w="0" w:type="auto"/>
        <w:tblLook w:val="04A0" w:firstRow="1" w:lastRow="0" w:firstColumn="1" w:lastColumn="0" w:noHBand="0" w:noVBand="1"/>
      </w:tblPr>
      <w:tblGrid>
        <w:gridCol w:w="1763"/>
        <w:gridCol w:w="3560"/>
        <w:gridCol w:w="4027"/>
      </w:tblGrid>
      <w:tr w:rsidR="004168C2" w:rsidRPr="004168C2" w14:paraId="70D41F76" w14:textId="77777777" w:rsidTr="004168C2">
        <w:tc>
          <w:tcPr>
            <w:tcW w:w="0" w:type="auto"/>
            <w:hideMark/>
          </w:tcPr>
          <w:p w14:paraId="703DF9EB" w14:textId="77777777" w:rsidR="004168C2" w:rsidRPr="004168C2" w:rsidRDefault="004168C2" w:rsidP="004168C2">
            <w:pPr>
              <w:suppressAutoHyphens w:val="0"/>
              <w:spacing w:after="0" w:line="276" w:lineRule="auto"/>
              <w:jc w:val="center"/>
              <w:rPr>
                <w:rFonts w:cs="Times New Roman"/>
                <w:b/>
                <w:bCs/>
                <w:color w:val="auto"/>
                <w:szCs w:val="24"/>
              </w:rPr>
            </w:pPr>
            <w:r w:rsidRPr="004168C2">
              <w:rPr>
                <w:rFonts w:cs="Times New Roman"/>
                <w:b/>
                <w:bCs/>
                <w:color w:val="auto"/>
                <w:szCs w:val="24"/>
              </w:rPr>
              <w:t>Factor</w:t>
            </w:r>
          </w:p>
        </w:tc>
        <w:tc>
          <w:tcPr>
            <w:tcW w:w="0" w:type="auto"/>
            <w:hideMark/>
          </w:tcPr>
          <w:p w14:paraId="14A993B3" w14:textId="77777777" w:rsidR="004168C2" w:rsidRPr="004168C2" w:rsidRDefault="004168C2" w:rsidP="004168C2">
            <w:pPr>
              <w:suppressAutoHyphens w:val="0"/>
              <w:spacing w:after="0" w:line="276" w:lineRule="auto"/>
              <w:jc w:val="center"/>
              <w:rPr>
                <w:rFonts w:cs="Times New Roman"/>
                <w:b/>
                <w:bCs/>
                <w:color w:val="auto"/>
                <w:szCs w:val="24"/>
              </w:rPr>
            </w:pPr>
            <w:r w:rsidRPr="004168C2">
              <w:rPr>
                <w:rFonts w:cs="Times New Roman"/>
                <w:b/>
                <w:bCs/>
                <w:color w:val="auto"/>
                <w:szCs w:val="24"/>
              </w:rPr>
              <w:t>Japan</w:t>
            </w:r>
          </w:p>
        </w:tc>
        <w:tc>
          <w:tcPr>
            <w:tcW w:w="0" w:type="auto"/>
            <w:hideMark/>
          </w:tcPr>
          <w:p w14:paraId="48940016" w14:textId="77777777" w:rsidR="004168C2" w:rsidRPr="004168C2" w:rsidRDefault="004168C2" w:rsidP="004168C2">
            <w:pPr>
              <w:suppressAutoHyphens w:val="0"/>
              <w:spacing w:after="0" w:line="276" w:lineRule="auto"/>
              <w:jc w:val="center"/>
              <w:rPr>
                <w:rFonts w:cs="Times New Roman"/>
                <w:b/>
                <w:bCs/>
                <w:color w:val="auto"/>
                <w:szCs w:val="24"/>
              </w:rPr>
            </w:pPr>
            <w:r w:rsidRPr="004168C2">
              <w:rPr>
                <w:rFonts w:cs="Times New Roman"/>
                <w:b/>
                <w:bCs/>
                <w:color w:val="auto"/>
                <w:szCs w:val="24"/>
              </w:rPr>
              <w:t>United Kingdom</w:t>
            </w:r>
          </w:p>
        </w:tc>
      </w:tr>
      <w:tr w:rsidR="004168C2" w:rsidRPr="004168C2" w14:paraId="70BECC1E" w14:textId="77777777" w:rsidTr="004168C2">
        <w:tc>
          <w:tcPr>
            <w:tcW w:w="0" w:type="auto"/>
            <w:hideMark/>
          </w:tcPr>
          <w:p w14:paraId="14C7D90C"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Political</w:t>
            </w:r>
          </w:p>
        </w:tc>
        <w:tc>
          <w:tcPr>
            <w:tcW w:w="0" w:type="auto"/>
            <w:hideMark/>
          </w:tcPr>
          <w:p w14:paraId="51DE597B" w14:textId="0E00673B" w:rsidR="004168C2" w:rsidRPr="004168C2" w:rsidRDefault="004168C2" w:rsidP="004168C2">
            <w:pPr>
              <w:suppressAutoHyphens w:val="0"/>
              <w:spacing w:after="0" w:line="276" w:lineRule="auto"/>
              <w:rPr>
                <w:rFonts w:cs="Times New Roman"/>
                <w:color w:val="auto"/>
                <w:szCs w:val="24"/>
              </w:rPr>
            </w:pPr>
            <w:r w:rsidRPr="004E1335">
              <w:t>The 2035 policy in Japan acknowledges HEVs, PHEVs, BEVs and FCEVs, facilitating the multi-pathway potential of Toyota, but lessening the urgency to switch to BEVs swiftly (Agency for Natural Resources and Energy, 2024; 2025).</w:t>
            </w:r>
          </w:p>
        </w:tc>
        <w:tc>
          <w:tcPr>
            <w:tcW w:w="0" w:type="auto"/>
            <w:hideMark/>
          </w:tcPr>
          <w:p w14:paraId="5A1B9F65" w14:textId="55B15901" w:rsidR="004168C2" w:rsidRPr="004168C2" w:rsidRDefault="004168C2" w:rsidP="004168C2">
            <w:pPr>
              <w:suppressAutoHyphens w:val="0"/>
              <w:spacing w:after="0" w:line="276" w:lineRule="auto"/>
              <w:rPr>
                <w:rFonts w:cs="Times New Roman"/>
                <w:color w:val="auto"/>
                <w:szCs w:val="24"/>
              </w:rPr>
            </w:pPr>
            <w:r w:rsidRPr="000D1710">
              <w:t>The ZEV scheme will have manufacturer-specific zero-emission shares, which will increase to 80 percent in 2030, compared to 33 percent in 2026. This can not be directly achieved by hybrids (Department for Transport, 2026a).</w:t>
            </w:r>
          </w:p>
        </w:tc>
      </w:tr>
      <w:tr w:rsidR="004168C2" w:rsidRPr="004168C2" w14:paraId="16388E81" w14:textId="77777777" w:rsidTr="004168C2">
        <w:tc>
          <w:tcPr>
            <w:tcW w:w="0" w:type="auto"/>
            <w:hideMark/>
          </w:tcPr>
          <w:p w14:paraId="62A98059"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Economic</w:t>
            </w:r>
          </w:p>
        </w:tc>
        <w:tc>
          <w:tcPr>
            <w:tcW w:w="0" w:type="auto"/>
            <w:hideMark/>
          </w:tcPr>
          <w:p w14:paraId="1BADD470" w14:textId="48F470A4" w:rsidR="004168C2" w:rsidRPr="004168C2" w:rsidRDefault="004168C2" w:rsidP="004168C2">
            <w:pPr>
              <w:suppressAutoHyphens w:val="0"/>
              <w:spacing w:after="0" w:line="276" w:lineRule="auto"/>
              <w:rPr>
                <w:rFonts w:cs="Times New Roman"/>
                <w:color w:val="auto"/>
                <w:szCs w:val="24"/>
              </w:rPr>
            </w:pPr>
            <w:r w:rsidRPr="004E1335">
              <w:t>The purchasing power is high but the growth is slow and the labour supply is low as well as household demand is cautious. In an ageing market, fuel economy, residual value and ownership continuity are still significant (International Monetary Fund, 2026a; Statistics Bureau of Japan, 2026).</w:t>
            </w:r>
          </w:p>
        </w:tc>
        <w:tc>
          <w:tcPr>
            <w:tcW w:w="0" w:type="auto"/>
            <w:hideMark/>
          </w:tcPr>
          <w:p w14:paraId="76BB9B0F" w14:textId="7AFDDAD8" w:rsidR="004168C2" w:rsidRPr="004168C2" w:rsidRDefault="004168C2" w:rsidP="004168C2">
            <w:pPr>
              <w:suppressAutoHyphens w:val="0"/>
              <w:spacing w:after="0" w:line="276" w:lineRule="auto"/>
              <w:rPr>
                <w:rFonts w:cs="Times New Roman"/>
                <w:color w:val="auto"/>
                <w:szCs w:val="24"/>
              </w:rPr>
            </w:pPr>
            <w:r w:rsidRPr="000D1710">
              <w:t>Weak confidence and inflation make monthly payments and the cost sensitive. The electrification is propelled by fleet taxation and leasing, although heavy incentives can diminish margins (International Monetary Fund, 2026b; Office for National Statistics, 2026).</w:t>
            </w:r>
          </w:p>
        </w:tc>
      </w:tr>
      <w:tr w:rsidR="004168C2" w:rsidRPr="004168C2" w14:paraId="4C509781" w14:textId="77777777" w:rsidTr="004168C2">
        <w:tc>
          <w:tcPr>
            <w:tcW w:w="0" w:type="auto"/>
            <w:hideMark/>
          </w:tcPr>
          <w:p w14:paraId="12BFAEAD"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Social</w:t>
            </w:r>
          </w:p>
        </w:tc>
        <w:tc>
          <w:tcPr>
            <w:tcW w:w="0" w:type="auto"/>
            <w:hideMark/>
          </w:tcPr>
          <w:p w14:paraId="5E9CE515" w14:textId="4A02084A" w:rsidR="004168C2" w:rsidRPr="004168C2" w:rsidRDefault="004168C2" w:rsidP="004168C2">
            <w:pPr>
              <w:suppressAutoHyphens w:val="0"/>
              <w:spacing w:after="0" w:line="276" w:lineRule="auto"/>
              <w:rPr>
                <w:rFonts w:cs="Times New Roman"/>
                <w:color w:val="auto"/>
                <w:szCs w:val="24"/>
              </w:rPr>
            </w:pPr>
            <w:r w:rsidRPr="004E1335">
              <w:t xml:space="preserve">In 2024, the population of people aged 65 and above constituted 29.3% of the population. They should be compact, accessible, safe and reliable advice, and HEV adoption depends on the income, </w:t>
            </w:r>
            <w:r w:rsidR="00D91BE2" w:rsidRPr="004E1335">
              <w:t>urbanization</w:t>
            </w:r>
            <w:r w:rsidRPr="004E1335">
              <w:t xml:space="preserve"> and vehicle type (Statistics Bureau of Japan, 2025; Matsumoto et al., 2021).</w:t>
            </w:r>
          </w:p>
        </w:tc>
        <w:tc>
          <w:tcPr>
            <w:tcW w:w="0" w:type="auto"/>
            <w:hideMark/>
          </w:tcPr>
          <w:p w14:paraId="440D4659" w14:textId="564E1A06" w:rsidR="004168C2" w:rsidRPr="004168C2" w:rsidRDefault="004168C2" w:rsidP="004168C2">
            <w:pPr>
              <w:suppressAutoHyphens w:val="0"/>
              <w:spacing w:after="0" w:line="276" w:lineRule="auto"/>
              <w:rPr>
                <w:rFonts w:cs="Times New Roman"/>
                <w:color w:val="auto"/>
                <w:szCs w:val="24"/>
              </w:rPr>
            </w:pPr>
            <w:r w:rsidRPr="000D1710">
              <w:t>There are varying demands among the company-car, family, urban and commercial users, as well as the fleet and the private users. The economics of access and charging by the mile are different, which restricts the applicability of a single national EV message (</w:t>
            </w:r>
            <w:proofErr w:type="spellStart"/>
            <w:r w:rsidRPr="000D1710">
              <w:t>Pamidimukkala</w:t>
            </w:r>
            <w:proofErr w:type="spellEnd"/>
            <w:r w:rsidRPr="000D1710">
              <w:t xml:space="preserve"> et al., 2024).</w:t>
            </w:r>
          </w:p>
        </w:tc>
      </w:tr>
      <w:tr w:rsidR="004168C2" w:rsidRPr="004168C2" w14:paraId="0B5E44C8" w14:textId="77777777" w:rsidTr="004168C2">
        <w:tc>
          <w:tcPr>
            <w:tcW w:w="0" w:type="auto"/>
            <w:hideMark/>
          </w:tcPr>
          <w:p w14:paraId="4AD0FB2A"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Technological</w:t>
            </w:r>
          </w:p>
        </w:tc>
        <w:tc>
          <w:tcPr>
            <w:tcW w:w="0" w:type="auto"/>
            <w:hideMark/>
          </w:tcPr>
          <w:p w14:paraId="4E406927" w14:textId="418E568B" w:rsidR="004168C2" w:rsidRPr="004168C2" w:rsidRDefault="004168C2" w:rsidP="004168C2">
            <w:pPr>
              <w:suppressAutoHyphens w:val="0"/>
              <w:spacing w:after="0" w:line="276" w:lineRule="auto"/>
              <w:rPr>
                <w:rFonts w:cs="Times New Roman"/>
                <w:color w:val="auto"/>
                <w:szCs w:val="24"/>
              </w:rPr>
            </w:pPr>
            <w:r w:rsidRPr="004E1335">
              <w:t>Toyota enjoys home engineering in four electrified powertrains. Nevertheless, the best time of transition is determined not only by the brand but also by electricity systems and the situation in the country (</w:t>
            </w:r>
            <w:proofErr w:type="spellStart"/>
            <w:r w:rsidRPr="004E1335">
              <w:t>Tokito</w:t>
            </w:r>
            <w:proofErr w:type="spellEnd"/>
            <w:r w:rsidRPr="004E1335">
              <w:t xml:space="preserve"> et al., 2025).</w:t>
            </w:r>
          </w:p>
        </w:tc>
        <w:tc>
          <w:tcPr>
            <w:tcW w:w="0" w:type="auto"/>
            <w:hideMark/>
          </w:tcPr>
          <w:p w14:paraId="180ED06B" w14:textId="4C7836D5" w:rsidR="004168C2" w:rsidRPr="004168C2" w:rsidRDefault="004168C2" w:rsidP="004168C2">
            <w:pPr>
              <w:suppressAutoHyphens w:val="0"/>
              <w:spacing w:after="0" w:line="276" w:lineRule="auto"/>
              <w:rPr>
                <w:rFonts w:cs="Times New Roman"/>
                <w:color w:val="auto"/>
                <w:szCs w:val="24"/>
              </w:rPr>
            </w:pPr>
            <w:r w:rsidRPr="000D1710">
              <w:t>The development of BEV enhances the significance of batteries, computer software, integration of charging and online sales. In April 2026, there were 119,080 public chargers in the UK, but there are regional and power level disparities (Department for Transport, 2026b).</w:t>
            </w:r>
          </w:p>
        </w:tc>
      </w:tr>
      <w:tr w:rsidR="004168C2" w:rsidRPr="004168C2" w14:paraId="4B337A17" w14:textId="77777777" w:rsidTr="004168C2">
        <w:tc>
          <w:tcPr>
            <w:tcW w:w="0" w:type="auto"/>
            <w:hideMark/>
          </w:tcPr>
          <w:p w14:paraId="3A817111"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Environmental</w:t>
            </w:r>
          </w:p>
        </w:tc>
        <w:tc>
          <w:tcPr>
            <w:tcW w:w="0" w:type="auto"/>
            <w:hideMark/>
          </w:tcPr>
          <w:p w14:paraId="12DB6CCD" w14:textId="2E3B72FC" w:rsidR="004168C2" w:rsidRPr="004168C2" w:rsidRDefault="004168C2" w:rsidP="004168C2">
            <w:pPr>
              <w:suppressAutoHyphens w:val="0"/>
              <w:spacing w:after="0" w:line="276" w:lineRule="auto"/>
              <w:rPr>
                <w:rFonts w:cs="Times New Roman"/>
                <w:color w:val="auto"/>
                <w:szCs w:val="24"/>
              </w:rPr>
            </w:pPr>
            <w:r w:rsidRPr="004E1335">
              <w:t>Multi-technology transition could lower emissions in diverse use cases, although a long-term hybrid leadership could slow down the adoption of zero-tailpipe-emission. Toyota needs to explain in what technologies each technology is transitional or greener.</w:t>
            </w:r>
          </w:p>
        </w:tc>
        <w:tc>
          <w:tcPr>
            <w:tcW w:w="0" w:type="auto"/>
            <w:hideMark/>
          </w:tcPr>
          <w:p w14:paraId="06E99CDD" w14:textId="028BDEC2" w:rsidR="004168C2" w:rsidRPr="004168C2" w:rsidRDefault="004168C2" w:rsidP="004168C2">
            <w:pPr>
              <w:suppressAutoHyphens w:val="0"/>
              <w:spacing w:after="0" w:line="276" w:lineRule="auto"/>
              <w:rPr>
                <w:rFonts w:cs="Times New Roman"/>
                <w:color w:val="auto"/>
                <w:szCs w:val="24"/>
              </w:rPr>
            </w:pPr>
            <w:r w:rsidRPr="000D1710">
              <w:t xml:space="preserve">Lifecycle evidence is needed in the transport </w:t>
            </w:r>
            <w:r w:rsidR="00CF3A89" w:rsidRPr="000D1710">
              <w:t>decarbonization</w:t>
            </w:r>
            <w:r w:rsidRPr="000D1710">
              <w:t xml:space="preserve"> and the examination of environmental claims. Whole life impacts, particularly of large vehicles, should be separated into range, charging and tailpipe statements.</w:t>
            </w:r>
          </w:p>
        </w:tc>
      </w:tr>
      <w:tr w:rsidR="004168C2" w:rsidRPr="004168C2" w14:paraId="5A0E36E4" w14:textId="77777777" w:rsidTr="004168C2">
        <w:tc>
          <w:tcPr>
            <w:tcW w:w="0" w:type="auto"/>
            <w:hideMark/>
          </w:tcPr>
          <w:p w14:paraId="10DF99DA" w14:textId="77777777" w:rsidR="004168C2" w:rsidRPr="004168C2" w:rsidRDefault="004168C2" w:rsidP="004168C2">
            <w:pPr>
              <w:suppressAutoHyphens w:val="0"/>
              <w:spacing w:after="0" w:line="276" w:lineRule="auto"/>
              <w:rPr>
                <w:rFonts w:cs="Times New Roman"/>
                <w:color w:val="auto"/>
                <w:szCs w:val="24"/>
              </w:rPr>
            </w:pPr>
            <w:r w:rsidRPr="004168C2">
              <w:rPr>
                <w:rFonts w:cs="Times New Roman"/>
                <w:b/>
                <w:bCs/>
                <w:color w:val="auto"/>
                <w:szCs w:val="24"/>
              </w:rPr>
              <w:t>Legal</w:t>
            </w:r>
          </w:p>
        </w:tc>
        <w:tc>
          <w:tcPr>
            <w:tcW w:w="0" w:type="auto"/>
            <w:hideMark/>
          </w:tcPr>
          <w:p w14:paraId="6D1DFD56" w14:textId="3BF40609" w:rsidR="004168C2" w:rsidRPr="004168C2" w:rsidRDefault="004168C2" w:rsidP="004168C2">
            <w:pPr>
              <w:suppressAutoHyphens w:val="0"/>
              <w:spacing w:after="0" w:line="276" w:lineRule="auto"/>
              <w:rPr>
                <w:rFonts w:cs="Times New Roman"/>
                <w:color w:val="auto"/>
                <w:szCs w:val="24"/>
              </w:rPr>
            </w:pPr>
            <w:r w:rsidRPr="004E1335">
              <w:t>Correct information is needed in product safety, consumer disclosure and data protection and advertising rules. Reputational costs are heightened by domestic expectations of reliability in cases where there is a mismatch of claims and delivery.</w:t>
            </w:r>
          </w:p>
        </w:tc>
        <w:tc>
          <w:tcPr>
            <w:tcW w:w="0" w:type="auto"/>
            <w:hideMark/>
          </w:tcPr>
          <w:p w14:paraId="328CAE79" w14:textId="5DA25844" w:rsidR="004168C2" w:rsidRPr="004168C2" w:rsidRDefault="004168C2" w:rsidP="004168C2">
            <w:pPr>
              <w:suppressAutoHyphens w:val="0"/>
              <w:spacing w:after="0" w:line="276" w:lineRule="auto"/>
              <w:rPr>
                <w:rFonts w:cs="Times New Roman"/>
                <w:color w:val="auto"/>
                <w:szCs w:val="24"/>
              </w:rPr>
            </w:pPr>
            <w:r w:rsidRPr="000D1710">
              <w:t>The customer journey is regulated by the ZEV framework, the rules of consumer credit, the data protection and the CAP Code. Even in cases where factual claims about the products are not challenged, the ASA might ban socially irresponsible execution (Advertising Standards Authority, 2023; Committee of Advertising Practice, 2025).</w:t>
            </w:r>
          </w:p>
        </w:tc>
      </w:tr>
    </w:tbl>
    <w:p w14:paraId="2BA8049B" w14:textId="77777777" w:rsidR="004168C2" w:rsidRDefault="004168C2" w:rsidP="004168C2"/>
    <w:p w14:paraId="4BF8E629" w14:textId="3FD6B9F0" w:rsidR="00B313B1" w:rsidRDefault="00BB2550" w:rsidP="007C7DA5">
      <w:pPr>
        <w:spacing w:after="120"/>
      </w:pPr>
      <w:r>
        <w:rPr>
          <w:i/>
          <w:sz w:val="20"/>
        </w:rPr>
        <w:t>Source: Author analysis based on the cited government, regulator, industry and academic sources.</w:t>
      </w:r>
    </w:p>
    <w:p w14:paraId="26A28EAF" w14:textId="77777777" w:rsidR="00B313B1" w:rsidRDefault="00BB2550" w:rsidP="007C7DA5">
      <w:pPr>
        <w:pStyle w:val="Heading3"/>
        <w:spacing w:before="120" w:after="120"/>
      </w:pPr>
      <w:bookmarkStart w:id="5" w:name="_Toc235141370"/>
      <w:r>
        <w:rPr>
          <w:rFonts w:ascii="Times New Roman" w:eastAsia="Times New Roman" w:hAnsi="Times New Roman"/>
        </w:rPr>
        <w:t>3.1 Critical Interpretation</w:t>
      </w:r>
      <w:bookmarkEnd w:id="5"/>
    </w:p>
    <w:p w14:paraId="4EBB6E9F" w14:textId="39888FE2" w:rsidR="00357DDF" w:rsidRDefault="00357DDF" w:rsidP="00357DDF">
      <w:pPr>
        <w:spacing w:after="0"/>
        <w:jc w:val="both"/>
      </w:pPr>
      <w:r>
        <w:t>The determining difference is regulatory fit. The policy of Japan acknowledges a number of electrified technologies, which facilitates the hybrid abilities and E-TOYOTA choice architecture of Toyota. The UK calculates zero-emission registration separately, and therefore, a multi-pathway story cannot substitute the BEV volume. Hybrids can be mainstream in Japan but in the UK they need to be placed in a transparent place to customers as those whose charging or traveling requirements render BEV ownership unfeasible.</w:t>
      </w:r>
    </w:p>
    <w:p w14:paraId="2B30EBE1" w14:textId="3E8CC5AF" w:rsidR="00357DDF" w:rsidRDefault="00357DDF" w:rsidP="00357DDF">
      <w:pPr>
        <w:spacing w:after="0"/>
        <w:jc w:val="both"/>
      </w:pPr>
      <w:r>
        <w:t>The number of UK BEV registrations is increasing, although policy ambition does not equate to the private demand. Adoption is limited by cost, with inequality and uncertainty charged. The policy of charging stations could be more effective in terms of uptake than purchase subsidies, demonstrating that vehicle promotion is not enough to address infrastructure obstacles (Sun et al., 2024). Toyota should thus sell an adoption system that includes finance, charging evaluation, realistic range data, battery guarantee and after sales.</w:t>
      </w:r>
    </w:p>
    <w:p w14:paraId="3A01008B" w14:textId="0ED5E3B1" w:rsidR="00B313B1" w:rsidRDefault="00357DDF" w:rsidP="00357DDF">
      <w:pPr>
        <w:spacing w:after="0"/>
        <w:jc w:val="both"/>
      </w:pPr>
      <w:r>
        <w:t>The reverse is the case with Japan. Hybrid strength helps to secure existing scale but might undermine urgency in the case of BEVs. Toyota is advised to maintain engineering breadth, but to spend more aggressively on BEVs on UK launches, media and dealer training. Japan is to be one of the lead markets in terms of inclusive mobility, lifecycle services and evidence-based matching powertrain. These are just speculations since no profitability, satisfaction or regular retailer delivery is shown in registrations and corporate websites. Segment conversion, retention and trust data, and margin should be used to test them.</w:t>
      </w:r>
    </w:p>
    <w:p w14:paraId="537EB7C6" w14:textId="77777777" w:rsidR="00B313B1" w:rsidRDefault="00BB2550" w:rsidP="007C7DA5">
      <w:pPr>
        <w:pStyle w:val="Heading3"/>
        <w:spacing w:before="120" w:after="120"/>
      </w:pPr>
      <w:bookmarkStart w:id="6" w:name="_Toc235141371"/>
      <w:r>
        <w:rPr>
          <w:rFonts w:ascii="Times New Roman" w:eastAsia="Times New Roman" w:hAnsi="Times New Roman"/>
        </w:rPr>
        <w:t>3.2 Market Attractiveness and Evidence Limits</w:t>
      </w:r>
      <w:bookmarkEnd w:id="6"/>
    </w:p>
    <w:p w14:paraId="71D30A9E" w14:textId="72EE6799" w:rsidR="00B313B1" w:rsidRDefault="00B4767E" w:rsidP="00B401C7">
      <w:pPr>
        <w:spacing w:after="0"/>
        <w:jc w:val="both"/>
      </w:pPr>
      <w:r w:rsidRPr="00B4767E">
        <w:t xml:space="preserve">Japan </w:t>
      </w:r>
      <w:r>
        <w:t>offers scalability</w:t>
      </w:r>
      <w:r w:rsidRPr="00B4767E">
        <w:t>, has brand recognition, and service relationships and opportunities in the accessible mobility but hybrid strength can postpone portfolio renewal. The UK is a more rapid BEV growth, fleet demand and a pathway to regulation, but pressure on the margins, charging inequity and stiff competition. The attractiveness of the market should be then considered based on risk-adjusted lifetime value, development of capabilities and contributions to regulations instead of the number of registrations. Since the propositions and transactions that are reported by secondary sources do not reflect profitability or satisfaction by the retailer, but instead, segment-level conversion, margin, retention and trust data, these inferences are only hypotheses that must be confirmed by the segments of data.</w:t>
      </w:r>
    </w:p>
    <w:p w14:paraId="484B4CD4" w14:textId="47DDB476" w:rsidR="00B313B1" w:rsidRDefault="00BB2550" w:rsidP="007C7DA5">
      <w:pPr>
        <w:pStyle w:val="Heading2"/>
        <w:spacing w:before="240" w:after="240"/>
      </w:pPr>
      <w:bookmarkStart w:id="7" w:name="_Toc235141372"/>
      <w:r>
        <w:rPr>
          <w:rFonts w:ascii="Times New Roman" w:eastAsia="Times New Roman" w:hAnsi="Times New Roman"/>
        </w:rPr>
        <w:t>4. Socio-cultural Comparison</w:t>
      </w:r>
      <w:bookmarkEnd w:id="7"/>
    </w:p>
    <w:p w14:paraId="0BCF3D8E" w14:textId="77777777" w:rsidR="00B313B1" w:rsidRDefault="00BB2550" w:rsidP="007C7DA5">
      <w:pPr>
        <w:pStyle w:val="Caption"/>
        <w:keepNext/>
        <w:spacing w:before="120" w:after="120" w:line="360" w:lineRule="auto"/>
      </w:pPr>
      <w:r>
        <w:rPr>
          <w:color w:val="000000"/>
          <w:sz w:val="24"/>
        </w:rPr>
        <w:t>Table 2. Hofstede-informed cultural comparison</w:t>
      </w:r>
    </w:p>
    <w:tbl>
      <w:tblPr>
        <w:tblStyle w:val="TableGrid"/>
        <w:tblW w:w="9360" w:type="dxa"/>
        <w:jc w:val="center"/>
        <w:tblLayout w:type="fixed"/>
        <w:tblCellMar>
          <w:top w:w="80" w:type="dxa"/>
          <w:left w:w="80" w:type="dxa"/>
          <w:bottom w:w="80" w:type="dxa"/>
          <w:right w:w="80" w:type="dxa"/>
        </w:tblCellMar>
        <w:tblLook w:val="04A0" w:firstRow="1" w:lastRow="0" w:firstColumn="1" w:lastColumn="0" w:noHBand="0" w:noVBand="1"/>
      </w:tblPr>
      <w:tblGrid>
        <w:gridCol w:w="2341"/>
        <w:gridCol w:w="2340"/>
        <w:gridCol w:w="2340"/>
        <w:gridCol w:w="2339"/>
      </w:tblGrid>
      <w:tr w:rsidR="00B313B1" w:rsidRPr="00B401C7" w14:paraId="45A9AE62" w14:textId="77777777" w:rsidTr="000A6C3A">
        <w:trPr>
          <w:cantSplit/>
          <w:tblHeader/>
          <w:jc w:val="center"/>
        </w:trPr>
        <w:tc>
          <w:tcPr>
            <w:tcW w:w="2341" w:type="dxa"/>
            <w:shd w:val="clear" w:color="auto" w:fill="D9D9D9"/>
            <w:vAlign w:val="center"/>
          </w:tcPr>
          <w:p w14:paraId="28793094" w14:textId="77777777" w:rsidR="00B313B1" w:rsidRPr="00B401C7" w:rsidRDefault="00BB2550" w:rsidP="007C7DA5">
            <w:pPr>
              <w:spacing w:after="0" w:line="240" w:lineRule="auto"/>
              <w:jc w:val="center"/>
              <w:rPr>
                <w:szCs w:val="24"/>
              </w:rPr>
            </w:pPr>
            <w:r w:rsidRPr="00B401C7">
              <w:rPr>
                <w:b/>
                <w:szCs w:val="24"/>
              </w:rPr>
              <w:t>Dimension</w:t>
            </w:r>
          </w:p>
        </w:tc>
        <w:tc>
          <w:tcPr>
            <w:tcW w:w="2340" w:type="dxa"/>
            <w:shd w:val="clear" w:color="auto" w:fill="D9D9D9"/>
            <w:vAlign w:val="center"/>
          </w:tcPr>
          <w:p w14:paraId="4C4955E3" w14:textId="77777777" w:rsidR="00B313B1" w:rsidRPr="00B401C7" w:rsidRDefault="00BB2550" w:rsidP="007C7DA5">
            <w:pPr>
              <w:spacing w:after="0" w:line="240" w:lineRule="auto"/>
              <w:jc w:val="center"/>
              <w:rPr>
                <w:szCs w:val="24"/>
              </w:rPr>
            </w:pPr>
            <w:r w:rsidRPr="00B401C7">
              <w:rPr>
                <w:b/>
                <w:szCs w:val="24"/>
              </w:rPr>
              <w:t>Japan</w:t>
            </w:r>
          </w:p>
        </w:tc>
        <w:tc>
          <w:tcPr>
            <w:tcW w:w="2340" w:type="dxa"/>
            <w:shd w:val="clear" w:color="auto" w:fill="D9D9D9"/>
            <w:vAlign w:val="center"/>
          </w:tcPr>
          <w:p w14:paraId="3470C12E" w14:textId="77777777" w:rsidR="00B313B1" w:rsidRPr="00B401C7" w:rsidRDefault="00BB2550" w:rsidP="007C7DA5">
            <w:pPr>
              <w:spacing w:after="0" w:line="240" w:lineRule="auto"/>
              <w:jc w:val="center"/>
              <w:rPr>
                <w:szCs w:val="24"/>
              </w:rPr>
            </w:pPr>
            <w:r w:rsidRPr="00B401C7">
              <w:rPr>
                <w:b/>
                <w:szCs w:val="24"/>
              </w:rPr>
              <w:t>UK</w:t>
            </w:r>
          </w:p>
        </w:tc>
        <w:tc>
          <w:tcPr>
            <w:tcW w:w="2339" w:type="dxa"/>
            <w:shd w:val="clear" w:color="auto" w:fill="D9D9D9"/>
            <w:vAlign w:val="center"/>
          </w:tcPr>
          <w:p w14:paraId="64AFC1C6" w14:textId="77777777" w:rsidR="00B313B1" w:rsidRPr="00B401C7" w:rsidRDefault="00BB2550" w:rsidP="007C7DA5">
            <w:pPr>
              <w:spacing w:after="0" w:line="240" w:lineRule="auto"/>
              <w:jc w:val="center"/>
              <w:rPr>
                <w:szCs w:val="24"/>
              </w:rPr>
            </w:pPr>
            <w:r w:rsidRPr="00B401C7">
              <w:rPr>
                <w:b/>
                <w:szCs w:val="24"/>
              </w:rPr>
              <w:t>Marketing implication</w:t>
            </w:r>
          </w:p>
        </w:tc>
      </w:tr>
      <w:tr w:rsidR="000A6C3A" w:rsidRPr="00B401C7" w14:paraId="6BC0D3E1" w14:textId="77777777" w:rsidTr="000A6C3A">
        <w:trPr>
          <w:cantSplit/>
          <w:jc w:val="center"/>
        </w:trPr>
        <w:tc>
          <w:tcPr>
            <w:tcW w:w="2341" w:type="dxa"/>
          </w:tcPr>
          <w:p w14:paraId="1993BD32" w14:textId="77777777" w:rsidR="000A6C3A" w:rsidRPr="00B401C7" w:rsidRDefault="000A6C3A" w:rsidP="000A6C3A">
            <w:pPr>
              <w:spacing w:after="0" w:line="240" w:lineRule="auto"/>
              <w:rPr>
                <w:szCs w:val="24"/>
              </w:rPr>
            </w:pPr>
            <w:r w:rsidRPr="00B401C7">
              <w:rPr>
                <w:szCs w:val="24"/>
              </w:rPr>
              <w:t>Power distance</w:t>
            </w:r>
          </w:p>
        </w:tc>
        <w:tc>
          <w:tcPr>
            <w:tcW w:w="2340" w:type="dxa"/>
          </w:tcPr>
          <w:p w14:paraId="53CDE79A" w14:textId="77777777" w:rsidR="000A6C3A" w:rsidRPr="00B401C7" w:rsidRDefault="000A6C3A" w:rsidP="000A6C3A">
            <w:pPr>
              <w:spacing w:after="0" w:line="240" w:lineRule="auto"/>
              <w:rPr>
                <w:szCs w:val="24"/>
              </w:rPr>
            </w:pPr>
            <w:r w:rsidRPr="00B401C7">
              <w:rPr>
                <w:szCs w:val="24"/>
              </w:rPr>
              <w:t>54</w:t>
            </w:r>
          </w:p>
        </w:tc>
        <w:tc>
          <w:tcPr>
            <w:tcW w:w="2340" w:type="dxa"/>
          </w:tcPr>
          <w:p w14:paraId="1D3AE0E1" w14:textId="77777777" w:rsidR="000A6C3A" w:rsidRPr="00B401C7" w:rsidRDefault="000A6C3A" w:rsidP="000A6C3A">
            <w:pPr>
              <w:spacing w:after="0" w:line="240" w:lineRule="auto"/>
              <w:rPr>
                <w:szCs w:val="24"/>
              </w:rPr>
            </w:pPr>
            <w:r w:rsidRPr="00B401C7">
              <w:rPr>
                <w:szCs w:val="24"/>
              </w:rPr>
              <w:t>35</w:t>
            </w:r>
          </w:p>
        </w:tc>
        <w:tc>
          <w:tcPr>
            <w:tcW w:w="2339" w:type="dxa"/>
          </w:tcPr>
          <w:p w14:paraId="76D1DAB9" w14:textId="04F3A969" w:rsidR="000A6C3A" w:rsidRPr="00B401C7" w:rsidRDefault="000A6C3A" w:rsidP="000A6C3A">
            <w:pPr>
              <w:spacing w:after="0" w:line="240" w:lineRule="auto"/>
              <w:rPr>
                <w:szCs w:val="24"/>
              </w:rPr>
            </w:pPr>
            <w:r w:rsidRPr="00CA1C36">
              <w:t>Respectful expertise and structured consultation is preferred in Japan. The UK interrelations may be less formal and self-managed.</w:t>
            </w:r>
          </w:p>
        </w:tc>
      </w:tr>
      <w:tr w:rsidR="000A6C3A" w:rsidRPr="00B401C7" w14:paraId="32B4183D" w14:textId="77777777" w:rsidTr="000A6C3A">
        <w:trPr>
          <w:cantSplit/>
          <w:jc w:val="center"/>
        </w:trPr>
        <w:tc>
          <w:tcPr>
            <w:tcW w:w="2341" w:type="dxa"/>
          </w:tcPr>
          <w:p w14:paraId="5F8D557F" w14:textId="77777777" w:rsidR="000A6C3A" w:rsidRPr="00B401C7" w:rsidRDefault="000A6C3A" w:rsidP="000A6C3A">
            <w:pPr>
              <w:spacing w:after="0" w:line="240" w:lineRule="auto"/>
              <w:rPr>
                <w:szCs w:val="24"/>
              </w:rPr>
            </w:pPr>
            <w:r w:rsidRPr="00B401C7">
              <w:rPr>
                <w:szCs w:val="24"/>
              </w:rPr>
              <w:t>Individualism</w:t>
            </w:r>
          </w:p>
        </w:tc>
        <w:tc>
          <w:tcPr>
            <w:tcW w:w="2340" w:type="dxa"/>
          </w:tcPr>
          <w:p w14:paraId="4C15E598" w14:textId="77777777" w:rsidR="000A6C3A" w:rsidRPr="00B401C7" w:rsidRDefault="000A6C3A" w:rsidP="000A6C3A">
            <w:pPr>
              <w:spacing w:after="0" w:line="240" w:lineRule="auto"/>
              <w:rPr>
                <w:szCs w:val="24"/>
              </w:rPr>
            </w:pPr>
            <w:r w:rsidRPr="00B401C7">
              <w:rPr>
                <w:szCs w:val="24"/>
              </w:rPr>
              <w:t>62</w:t>
            </w:r>
          </w:p>
        </w:tc>
        <w:tc>
          <w:tcPr>
            <w:tcW w:w="2340" w:type="dxa"/>
          </w:tcPr>
          <w:p w14:paraId="7F15C6BD" w14:textId="77777777" w:rsidR="000A6C3A" w:rsidRPr="00B401C7" w:rsidRDefault="000A6C3A" w:rsidP="000A6C3A">
            <w:pPr>
              <w:spacing w:after="0" w:line="240" w:lineRule="auto"/>
              <w:rPr>
                <w:szCs w:val="24"/>
              </w:rPr>
            </w:pPr>
            <w:r w:rsidRPr="00B401C7">
              <w:rPr>
                <w:szCs w:val="24"/>
              </w:rPr>
              <w:t>76</w:t>
            </w:r>
          </w:p>
        </w:tc>
        <w:tc>
          <w:tcPr>
            <w:tcW w:w="2339" w:type="dxa"/>
          </w:tcPr>
          <w:p w14:paraId="01764EA7" w14:textId="0997B9FE" w:rsidR="000A6C3A" w:rsidRPr="00B401C7" w:rsidRDefault="000A6C3A" w:rsidP="000A6C3A">
            <w:pPr>
              <w:spacing w:after="0" w:line="240" w:lineRule="auto"/>
              <w:rPr>
                <w:szCs w:val="24"/>
              </w:rPr>
            </w:pPr>
            <w:r w:rsidRPr="00CA1C36">
              <w:t>Both allow appeals to personal benefit, yet in the UK positioning, configuration, autonomy and lifestyle are more likely to be stressed.</w:t>
            </w:r>
          </w:p>
        </w:tc>
      </w:tr>
      <w:tr w:rsidR="000A6C3A" w:rsidRPr="00B401C7" w14:paraId="6499994C" w14:textId="77777777" w:rsidTr="000A6C3A">
        <w:trPr>
          <w:cantSplit/>
          <w:jc w:val="center"/>
        </w:trPr>
        <w:tc>
          <w:tcPr>
            <w:tcW w:w="2341" w:type="dxa"/>
          </w:tcPr>
          <w:p w14:paraId="42129F26" w14:textId="77777777" w:rsidR="000A6C3A" w:rsidRPr="00B401C7" w:rsidRDefault="000A6C3A" w:rsidP="000A6C3A">
            <w:pPr>
              <w:spacing w:after="0" w:line="240" w:lineRule="auto"/>
              <w:rPr>
                <w:szCs w:val="24"/>
              </w:rPr>
            </w:pPr>
            <w:r w:rsidRPr="00B401C7">
              <w:rPr>
                <w:szCs w:val="24"/>
              </w:rPr>
              <w:t>Achievement orientation</w:t>
            </w:r>
          </w:p>
        </w:tc>
        <w:tc>
          <w:tcPr>
            <w:tcW w:w="2340" w:type="dxa"/>
          </w:tcPr>
          <w:p w14:paraId="5F70429E" w14:textId="77777777" w:rsidR="000A6C3A" w:rsidRPr="00B401C7" w:rsidRDefault="000A6C3A" w:rsidP="000A6C3A">
            <w:pPr>
              <w:spacing w:after="0" w:line="240" w:lineRule="auto"/>
              <w:rPr>
                <w:szCs w:val="24"/>
              </w:rPr>
            </w:pPr>
            <w:r w:rsidRPr="00B401C7">
              <w:rPr>
                <w:szCs w:val="24"/>
              </w:rPr>
              <w:t>95</w:t>
            </w:r>
          </w:p>
        </w:tc>
        <w:tc>
          <w:tcPr>
            <w:tcW w:w="2340" w:type="dxa"/>
          </w:tcPr>
          <w:p w14:paraId="70B88668" w14:textId="77777777" w:rsidR="000A6C3A" w:rsidRPr="00B401C7" w:rsidRDefault="000A6C3A" w:rsidP="000A6C3A">
            <w:pPr>
              <w:spacing w:after="0" w:line="240" w:lineRule="auto"/>
              <w:rPr>
                <w:szCs w:val="24"/>
              </w:rPr>
            </w:pPr>
            <w:r w:rsidRPr="00B401C7">
              <w:rPr>
                <w:szCs w:val="24"/>
              </w:rPr>
              <w:t>66</w:t>
            </w:r>
          </w:p>
        </w:tc>
        <w:tc>
          <w:tcPr>
            <w:tcW w:w="2339" w:type="dxa"/>
          </w:tcPr>
          <w:p w14:paraId="720929E8" w14:textId="16C080C1" w:rsidR="000A6C3A" w:rsidRPr="00B401C7" w:rsidRDefault="000A6C3A" w:rsidP="000A6C3A">
            <w:pPr>
              <w:spacing w:after="0" w:line="240" w:lineRule="auto"/>
              <w:rPr>
                <w:szCs w:val="24"/>
              </w:rPr>
            </w:pPr>
            <w:r w:rsidRPr="00CA1C36">
              <w:t>Japanese communication is able to preempt accuracy, engineering and mastery. UK evidence must be down to the earth and realistic.</w:t>
            </w:r>
          </w:p>
        </w:tc>
      </w:tr>
      <w:tr w:rsidR="000A6C3A" w:rsidRPr="00B401C7" w14:paraId="53422429" w14:textId="77777777" w:rsidTr="000A6C3A">
        <w:trPr>
          <w:cantSplit/>
          <w:jc w:val="center"/>
        </w:trPr>
        <w:tc>
          <w:tcPr>
            <w:tcW w:w="2341" w:type="dxa"/>
          </w:tcPr>
          <w:p w14:paraId="739AE7BA" w14:textId="77777777" w:rsidR="000A6C3A" w:rsidRPr="00B401C7" w:rsidRDefault="000A6C3A" w:rsidP="000A6C3A">
            <w:pPr>
              <w:spacing w:after="0" w:line="240" w:lineRule="auto"/>
              <w:rPr>
                <w:szCs w:val="24"/>
              </w:rPr>
            </w:pPr>
            <w:r w:rsidRPr="00B401C7">
              <w:rPr>
                <w:szCs w:val="24"/>
              </w:rPr>
              <w:t>Uncertainty avoidance</w:t>
            </w:r>
          </w:p>
        </w:tc>
        <w:tc>
          <w:tcPr>
            <w:tcW w:w="2340" w:type="dxa"/>
          </w:tcPr>
          <w:p w14:paraId="18B8B2B9" w14:textId="77777777" w:rsidR="000A6C3A" w:rsidRPr="00B401C7" w:rsidRDefault="000A6C3A" w:rsidP="000A6C3A">
            <w:pPr>
              <w:spacing w:after="0" w:line="240" w:lineRule="auto"/>
              <w:rPr>
                <w:szCs w:val="24"/>
              </w:rPr>
            </w:pPr>
            <w:r w:rsidRPr="00B401C7">
              <w:rPr>
                <w:szCs w:val="24"/>
              </w:rPr>
              <w:t>92</w:t>
            </w:r>
          </w:p>
        </w:tc>
        <w:tc>
          <w:tcPr>
            <w:tcW w:w="2340" w:type="dxa"/>
          </w:tcPr>
          <w:p w14:paraId="00AD2945" w14:textId="77777777" w:rsidR="000A6C3A" w:rsidRPr="00B401C7" w:rsidRDefault="000A6C3A" w:rsidP="000A6C3A">
            <w:pPr>
              <w:spacing w:after="0" w:line="240" w:lineRule="auto"/>
              <w:rPr>
                <w:szCs w:val="24"/>
              </w:rPr>
            </w:pPr>
            <w:r w:rsidRPr="00B401C7">
              <w:rPr>
                <w:szCs w:val="24"/>
              </w:rPr>
              <w:t>35</w:t>
            </w:r>
          </w:p>
        </w:tc>
        <w:tc>
          <w:tcPr>
            <w:tcW w:w="2339" w:type="dxa"/>
          </w:tcPr>
          <w:p w14:paraId="0E14E92D" w14:textId="24B41C2E" w:rsidR="000A6C3A" w:rsidRPr="00B401C7" w:rsidRDefault="000A6C3A" w:rsidP="000A6C3A">
            <w:pPr>
              <w:spacing w:after="0" w:line="240" w:lineRule="auto"/>
              <w:rPr>
                <w:szCs w:val="24"/>
              </w:rPr>
            </w:pPr>
            <w:r w:rsidRPr="00CA1C36">
              <w:t>Japan uphold elaborate specifications, demonstration and service continuity. UK trips are not rigid, yet, new technology requires authentic risk mitigation.</w:t>
            </w:r>
          </w:p>
        </w:tc>
      </w:tr>
      <w:tr w:rsidR="000A6C3A" w:rsidRPr="00B401C7" w14:paraId="1F9D8ABC" w14:textId="77777777" w:rsidTr="000A6C3A">
        <w:trPr>
          <w:cantSplit/>
          <w:jc w:val="center"/>
        </w:trPr>
        <w:tc>
          <w:tcPr>
            <w:tcW w:w="2341" w:type="dxa"/>
          </w:tcPr>
          <w:p w14:paraId="2B7222CF" w14:textId="77777777" w:rsidR="000A6C3A" w:rsidRPr="00B401C7" w:rsidRDefault="000A6C3A" w:rsidP="000A6C3A">
            <w:pPr>
              <w:spacing w:after="0" w:line="240" w:lineRule="auto"/>
              <w:rPr>
                <w:szCs w:val="24"/>
              </w:rPr>
            </w:pPr>
            <w:r w:rsidRPr="00B401C7">
              <w:rPr>
                <w:szCs w:val="24"/>
              </w:rPr>
              <w:t>Long-term orientation</w:t>
            </w:r>
          </w:p>
        </w:tc>
        <w:tc>
          <w:tcPr>
            <w:tcW w:w="2340" w:type="dxa"/>
          </w:tcPr>
          <w:p w14:paraId="54AE1C31" w14:textId="77777777" w:rsidR="000A6C3A" w:rsidRPr="00B401C7" w:rsidRDefault="000A6C3A" w:rsidP="000A6C3A">
            <w:pPr>
              <w:spacing w:after="0" w:line="240" w:lineRule="auto"/>
              <w:rPr>
                <w:szCs w:val="24"/>
              </w:rPr>
            </w:pPr>
            <w:r w:rsidRPr="00B401C7">
              <w:rPr>
                <w:szCs w:val="24"/>
              </w:rPr>
              <w:t>100</w:t>
            </w:r>
          </w:p>
        </w:tc>
        <w:tc>
          <w:tcPr>
            <w:tcW w:w="2340" w:type="dxa"/>
          </w:tcPr>
          <w:p w14:paraId="367C5819" w14:textId="77777777" w:rsidR="000A6C3A" w:rsidRPr="00B401C7" w:rsidRDefault="000A6C3A" w:rsidP="000A6C3A">
            <w:pPr>
              <w:spacing w:after="0" w:line="240" w:lineRule="auto"/>
              <w:rPr>
                <w:szCs w:val="24"/>
              </w:rPr>
            </w:pPr>
            <w:r w:rsidRPr="00B401C7">
              <w:rPr>
                <w:szCs w:val="24"/>
              </w:rPr>
              <w:t>60</w:t>
            </w:r>
          </w:p>
        </w:tc>
        <w:tc>
          <w:tcPr>
            <w:tcW w:w="2339" w:type="dxa"/>
          </w:tcPr>
          <w:p w14:paraId="5B4C77D2" w14:textId="0D3BF909" w:rsidR="000A6C3A" w:rsidRPr="00B401C7" w:rsidRDefault="000A6C3A" w:rsidP="000A6C3A">
            <w:pPr>
              <w:spacing w:after="0" w:line="240" w:lineRule="auto"/>
              <w:rPr>
                <w:szCs w:val="24"/>
              </w:rPr>
            </w:pPr>
            <w:r w:rsidRPr="00CA1C36">
              <w:t>The durability, resale value, upgradeability and lifecycle relationships are particularly resonant to Japan and are also applicable in the two markets.</w:t>
            </w:r>
          </w:p>
        </w:tc>
      </w:tr>
      <w:tr w:rsidR="000A6C3A" w:rsidRPr="00B401C7" w14:paraId="04C7E572" w14:textId="77777777" w:rsidTr="000A6C3A">
        <w:trPr>
          <w:cantSplit/>
          <w:jc w:val="center"/>
        </w:trPr>
        <w:tc>
          <w:tcPr>
            <w:tcW w:w="2341" w:type="dxa"/>
          </w:tcPr>
          <w:p w14:paraId="79E000CC" w14:textId="77777777" w:rsidR="000A6C3A" w:rsidRPr="00B401C7" w:rsidRDefault="000A6C3A" w:rsidP="000A6C3A">
            <w:pPr>
              <w:spacing w:after="0" w:line="240" w:lineRule="auto"/>
              <w:rPr>
                <w:szCs w:val="24"/>
              </w:rPr>
            </w:pPr>
            <w:r w:rsidRPr="00B401C7">
              <w:rPr>
                <w:szCs w:val="24"/>
              </w:rPr>
              <w:t>Indulgence</w:t>
            </w:r>
          </w:p>
        </w:tc>
        <w:tc>
          <w:tcPr>
            <w:tcW w:w="2340" w:type="dxa"/>
          </w:tcPr>
          <w:p w14:paraId="218B7C49" w14:textId="77777777" w:rsidR="000A6C3A" w:rsidRPr="00B401C7" w:rsidRDefault="000A6C3A" w:rsidP="000A6C3A">
            <w:pPr>
              <w:spacing w:after="0" w:line="240" w:lineRule="auto"/>
              <w:rPr>
                <w:szCs w:val="24"/>
              </w:rPr>
            </w:pPr>
            <w:r w:rsidRPr="00B401C7">
              <w:rPr>
                <w:szCs w:val="24"/>
              </w:rPr>
              <w:t>42</w:t>
            </w:r>
          </w:p>
        </w:tc>
        <w:tc>
          <w:tcPr>
            <w:tcW w:w="2340" w:type="dxa"/>
          </w:tcPr>
          <w:p w14:paraId="7F2BBED4" w14:textId="77777777" w:rsidR="000A6C3A" w:rsidRPr="00B401C7" w:rsidRDefault="000A6C3A" w:rsidP="000A6C3A">
            <w:pPr>
              <w:spacing w:after="0" w:line="240" w:lineRule="auto"/>
              <w:rPr>
                <w:szCs w:val="24"/>
              </w:rPr>
            </w:pPr>
            <w:r w:rsidRPr="00B401C7">
              <w:rPr>
                <w:szCs w:val="24"/>
              </w:rPr>
              <w:t>69</w:t>
            </w:r>
          </w:p>
        </w:tc>
        <w:tc>
          <w:tcPr>
            <w:tcW w:w="2339" w:type="dxa"/>
          </w:tcPr>
          <w:p w14:paraId="4C44C1B4" w14:textId="7969F1DD" w:rsidR="000A6C3A" w:rsidRPr="00B401C7" w:rsidRDefault="000A6C3A" w:rsidP="000A6C3A">
            <w:pPr>
              <w:spacing w:after="0" w:line="240" w:lineRule="auto"/>
              <w:rPr>
                <w:szCs w:val="24"/>
              </w:rPr>
            </w:pPr>
            <w:r w:rsidRPr="00CA1C36">
              <w:t>The Japanese fun-related appeals must have social appropriateness. Promotion in the UK can be more experiential and be environmentally responsible.</w:t>
            </w:r>
          </w:p>
        </w:tc>
      </w:tr>
    </w:tbl>
    <w:p w14:paraId="03B9EBBB" w14:textId="77777777" w:rsidR="00B313B1" w:rsidRDefault="00BB2550" w:rsidP="007C7DA5">
      <w:pPr>
        <w:spacing w:after="120"/>
      </w:pPr>
      <w:r>
        <w:rPr>
          <w:i/>
          <w:sz w:val="20"/>
        </w:rPr>
        <w:t>Source: The Culture Factor Group (2026), interpreted cautiously with McSweeney (2023).</w:t>
      </w:r>
    </w:p>
    <w:p w14:paraId="34D64ADD" w14:textId="77777777" w:rsidR="000A6C3A" w:rsidRDefault="000A6C3A" w:rsidP="000A6C3A">
      <w:pPr>
        <w:spacing w:after="0"/>
        <w:jc w:val="both"/>
      </w:pPr>
      <w:r>
        <w:t xml:space="preserve">Japan has a high uncertainty avoidance and long-term orientation which are in line with a continuity-based journey with high information. The Japanese site of Toyota offers a model comparison, simulation of quotation, trial-drive and dealer-search, whereas KINTO includes insurance, taxes and maintenance in a fixed monthly payment. </w:t>
      </w:r>
      <w:proofErr w:type="spellStart"/>
      <w:r>
        <w:t>Welcab</w:t>
      </w:r>
      <w:proofErr w:type="spellEnd"/>
      <w:r>
        <w:t xml:space="preserve"> introduces inclusive mobility, which is observable as service evidence by adding accessible vehicles, specialist consultants and barrier-free places (Toyota Motor Corporation, 2026a; KINTO, 2026; Toyota Motor Corporation, 2026b). These practices give credence to, but not evidence of, the cultural interpretation.</w:t>
      </w:r>
    </w:p>
    <w:p w14:paraId="0B76E78F" w14:textId="1C02C6B8" w:rsidR="00B313B1" w:rsidRDefault="000A6C3A" w:rsidP="000A6C3A">
      <w:pPr>
        <w:spacing w:after="0"/>
        <w:jc w:val="both"/>
      </w:pPr>
      <w:r>
        <w:t>UK has greater opportunities to self-configurate and position their lifestyle, but the cost of buying a car is a high-involvement decision. Segment, channel and technology must thus moderate national scores. The evidence needed by a risk-sensitive fleet manager might be more than it is by a Japanese urban consumer. Culture is best utilized as a research agenda: it implies what to test on customer data, as opposed to licensing stereotypes. One ethical and evidential standard ought to be upheld by Toyota all over the world, but the depth of information, the degree of involvement by the advisers and the tone of the creative element should be adjusted on a local level.</w:t>
      </w:r>
    </w:p>
    <w:p w14:paraId="6B9E06BA" w14:textId="77777777" w:rsidR="00B313B1" w:rsidRDefault="00BB2550" w:rsidP="007C7DA5">
      <w:pPr>
        <w:pStyle w:val="Heading2"/>
        <w:spacing w:before="240" w:after="240"/>
      </w:pPr>
      <w:bookmarkStart w:id="8" w:name="_Toc235141373"/>
      <w:r>
        <w:rPr>
          <w:rFonts w:ascii="Times New Roman" w:eastAsia="Times New Roman" w:hAnsi="Times New Roman"/>
        </w:rPr>
        <w:t>5. Comparative Segmentation, Targeting and Positioning</w:t>
      </w:r>
      <w:bookmarkEnd w:id="8"/>
    </w:p>
    <w:p w14:paraId="28750D1A" w14:textId="77777777" w:rsidR="00B313B1" w:rsidRDefault="00BB2550" w:rsidP="007C7DA5">
      <w:pPr>
        <w:pStyle w:val="Heading3"/>
        <w:spacing w:before="120" w:after="120"/>
      </w:pPr>
      <w:bookmarkStart w:id="9" w:name="_Toc235141374"/>
      <w:r>
        <w:rPr>
          <w:rFonts w:ascii="Times New Roman" w:eastAsia="Times New Roman" w:hAnsi="Times New Roman"/>
        </w:rPr>
        <w:t>5.1 Segmentation</w:t>
      </w:r>
      <w:bookmarkEnd w:id="9"/>
    </w:p>
    <w:p w14:paraId="20E6B230" w14:textId="5B74112B" w:rsidR="00FE4082" w:rsidRDefault="00FE4082" w:rsidP="00FE4082">
      <w:pPr>
        <w:spacing w:after="0"/>
        <w:jc w:val="both"/>
      </w:pPr>
      <w:r>
        <w:t xml:space="preserve">Toyota needs to divide customers according to mobility requirement, stage of life, accessibility, access to charging sources, driving habit, money and commitment to ownership. </w:t>
      </w:r>
      <w:proofErr w:type="spellStart"/>
      <w:r>
        <w:t>Welcab</w:t>
      </w:r>
      <w:proofErr w:type="spellEnd"/>
      <w:r>
        <w:t xml:space="preserve"> and KINTO offer observable accessibility segmentation in Japan and customers who desire predictable monthly bills without traditional ownership, respectively. Research at the prefecture level also reveals that income, </w:t>
      </w:r>
      <w:proofErr w:type="spellStart"/>
      <w:r>
        <w:t>urbanisation</w:t>
      </w:r>
      <w:proofErr w:type="spellEnd"/>
      <w:r>
        <w:t xml:space="preserve"> and vehicle class influence HEV diffusion, proving that Japan is not a homogeneous country (Matsumoto et al., 2021).</w:t>
      </w:r>
    </w:p>
    <w:p w14:paraId="492D920F" w14:textId="4D4E99EE" w:rsidR="00B313B1" w:rsidRDefault="00FE4082" w:rsidP="00FE4082">
      <w:pPr>
        <w:spacing w:after="0"/>
        <w:jc w:val="both"/>
      </w:pPr>
      <w:r>
        <w:t xml:space="preserve">In UK, the demand between the private and </w:t>
      </w:r>
      <w:proofErr w:type="spellStart"/>
      <w:r>
        <w:t>organisations</w:t>
      </w:r>
      <w:proofErr w:type="spellEnd"/>
      <w:r>
        <w:t xml:space="preserve"> should be isolated since taxation, procurement guidelines, accessibility of mileage and charging are varied. The company-car and fleet users, households with home charging, urban crossover buyers, hybrid customers with no workable charging, and commercial operators are priority groups. The judgment of segment value ought to be based on lifetime value, contribution to ZEV compliance, service retention and strategic learning as opposed to volume alone.</w:t>
      </w:r>
    </w:p>
    <w:p w14:paraId="7449326C" w14:textId="77777777" w:rsidR="00B313B1" w:rsidRDefault="00BB2550" w:rsidP="007C7DA5">
      <w:pPr>
        <w:pStyle w:val="Heading3"/>
        <w:spacing w:before="120" w:after="120"/>
      </w:pPr>
      <w:bookmarkStart w:id="10" w:name="_Toc235141375"/>
      <w:r>
        <w:rPr>
          <w:rFonts w:ascii="Times New Roman" w:eastAsia="Times New Roman" w:hAnsi="Times New Roman"/>
        </w:rPr>
        <w:t>5.2 Targeting</w:t>
      </w:r>
      <w:bookmarkEnd w:id="10"/>
    </w:p>
    <w:p w14:paraId="64832FAC" w14:textId="0B1E171C" w:rsidR="00FE4082" w:rsidRDefault="00FE4082" w:rsidP="00FE4082">
      <w:pPr>
        <w:spacing w:after="0"/>
        <w:jc w:val="both"/>
      </w:pPr>
      <w:r>
        <w:t xml:space="preserve">Japan needs to be targeted differently. Toyota will be able to retain mainstream HEV customers, create PHEV and BEV demand where feasible to charge, serve older or disabled users with </w:t>
      </w:r>
      <w:proofErr w:type="spellStart"/>
      <w:r>
        <w:t>Welcab</w:t>
      </w:r>
      <w:proofErr w:type="spellEnd"/>
      <w:r>
        <w:t xml:space="preserve"> and streamline ownership with KINTO. An appropriate technology should be suggested by a guided needs assessment that explains the trade-offs between the emissions, charging, and the journey pattern and cost.</w:t>
      </w:r>
    </w:p>
    <w:p w14:paraId="6C1471E3" w14:textId="17C8BD97" w:rsidR="00B313B1" w:rsidRDefault="00FE4082" w:rsidP="00FE4082">
      <w:pPr>
        <w:spacing w:after="0"/>
        <w:jc w:val="both"/>
      </w:pPr>
      <w:r>
        <w:t>The UK targeting must be less specific and more compliance conscious. Repeat volume and structured total-cost decisions are offered by fleet and company-car users, whereas home charging and predictable mileage bring less barriers to onboarding into households. Hybrids can also be used with customers who do not have viable charging, but must be marketed as a transitional instead of an indicator that the ZEV challenge has been won. This acknowledges the interplay of monetary, infrastructural, performance and psychological obstacles (</w:t>
      </w:r>
      <w:proofErr w:type="spellStart"/>
      <w:r>
        <w:t>Pamidimukkala</w:t>
      </w:r>
      <w:proofErr w:type="spellEnd"/>
      <w:r>
        <w:t xml:space="preserve"> et al., 2024).</w:t>
      </w:r>
    </w:p>
    <w:p w14:paraId="67620501" w14:textId="77777777" w:rsidR="00B313B1" w:rsidRDefault="00BB2550" w:rsidP="007C7DA5">
      <w:pPr>
        <w:pStyle w:val="Heading3"/>
        <w:spacing w:before="120" w:after="120"/>
      </w:pPr>
      <w:bookmarkStart w:id="11" w:name="_Toc235141376"/>
      <w:r>
        <w:rPr>
          <w:rFonts w:ascii="Times New Roman" w:eastAsia="Times New Roman" w:hAnsi="Times New Roman"/>
        </w:rPr>
        <w:t>5.3 Positioning</w:t>
      </w:r>
      <w:bookmarkEnd w:id="11"/>
    </w:p>
    <w:p w14:paraId="17712189" w14:textId="77777777" w:rsidR="000A6C3A" w:rsidRDefault="000A6C3A" w:rsidP="000A6C3A">
      <w:pPr>
        <w:spacing w:after="0"/>
        <w:jc w:val="both"/>
      </w:pPr>
      <w:r>
        <w:t>The transferable positioning is credible mobility that is practical in reality, which is backed by quality, safety, dependability and continual enhancement. In Japan, the term ought to underline the engineering completeness, all-inclusive access, craftsmanship and long-term care. It must mean in the UK affordable electrification, open-run costs, appealing design and smooth ownership. The physical evidence of Toyota in its service-activated warranty and battery assurance is based on the explanation of the conditions, not on the duration of the headline as a sufficient condition (Toyota (GB) plc, 2026a).</w:t>
      </w:r>
    </w:p>
    <w:p w14:paraId="21FE835B" w14:textId="6A204940" w:rsidR="00B313B1" w:rsidRDefault="000A6C3A" w:rsidP="000A6C3A">
      <w:pPr>
        <w:spacing w:after="0"/>
        <w:jc w:val="both"/>
      </w:pPr>
      <w:r>
        <w:t>There has to be a key conflict to be solved. The technology choice may be customer-focused with variations in use conditions, but it may look defensive in a market that requires fast ZEV adoption. Toyota ought to hence decouple capability and commitment. The global ability is multi-pathway engineering; the local commitment is market-specific ZEV progress. In the UK, the campaign emphasis and dealer competence of BEVs should grow, and the interim choice should be explained to the customer through hybrid communication.</w:t>
      </w:r>
    </w:p>
    <w:p w14:paraId="3C020D74" w14:textId="77777777" w:rsidR="00B313B1" w:rsidRDefault="00BB2550" w:rsidP="007C7DA5">
      <w:pPr>
        <w:pStyle w:val="Heading3"/>
        <w:spacing w:before="120" w:after="120"/>
      </w:pPr>
      <w:bookmarkStart w:id="12" w:name="_Toc235141377"/>
      <w:r>
        <w:rPr>
          <w:rFonts w:ascii="Times New Roman" w:eastAsia="Times New Roman" w:hAnsi="Times New Roman"/>
        </w:rPr>
        <w:t>5.4 Critical STP Evaluation</w:t>
      </w:r>
      <w:bookmarkEnd w:id="12"/>
    </w:p>
    <w:p w14:paraId="471967DD" w14:textId="7FD11324" w:rsidR="00B313B1" w:rsidRDefault="004168C2" w:rsidP="000A6C3A">
      <w:pPr>
        <w:spacing w:after="0"/>
        <w:jc w:val="both"/>
      </w:pPr>
      <w:r w:rsidRPr="004168C2">
        <w:t>Toyota ought to divide the segments based on mobility requirement, charging access, financial structure, risk tolerance and service requirement as opposed to dividing based on powertrain alone. The suggested solution should be Powertrain and not the starting category. The selective targeting should also not go against the mobility-for-all promise as it excludes renters, rural drivers, disabled users or lower-income customers. Reliability is still good but not different enough in a mature market. Toyota ought to integrate it with inclusive access, battery guarantee, upgradeability and viable transition support. The main promise can be worldwide, and evidence, advisor access and purchase channels are localized to each-priority group.</w:t>
      </w:r>
    </w:p>
    <w:p w14:paraId="01E26CA7" w14:textId="77777777" w:rsidR="00FE4082" w:rsidRDefault="00FE4082">
      <w:pPr>
        <w:spacing w:after="0" w:line="240" w:lineRule="auto"/>
        <w:rPr>
          <w:rFonts w:cstheme="majorBidi"/>
          <w:b/>
          <w:bCs/>
          <w:szCs w:val="26"/>
        </w:rPr>
      </w:pPr>
      <w:r>
        <w:br w:type="page"/>
      </w:r>
    </w:p>
    <w:p w14:paraId="34B25DA8" w14:textId="71C73252" w:rsidR="00B313B1" w:rsidRDefault="00BB2550" w:rsidP="007C7DA5">
      <w:pPr>
        <w:pStyle w:val="Heading2"/>
        <w:spacing w:before="240" w:after="240"/>
      </w:pPr>
      <w:bookmarkStart w:id="13" w:name="_Toc235141378"/>
      <w:r>
        <w:rPr>
          <w:rFonts w:ascii="Times New Roman" w:eastAsia="Times New Roman" w:hAnsi="Times New Roman"/>
        </w:rPr>
        <w:t>6. Comparative International Marketing Mix</w:t>
      </w:r>
      <w:bookmarkEnd w:id="13"/>
    </w:p>
    <w:p w14:paraId="39BFBDBD" w14:textId="77777777" w:rsidR="00B313B1" w:rsidRDefault="00BB2550" w:rsidP="007C7DA5">
      <w:pPr>
        <w:pStyle w:val="Caption"/>
        <w:keepNext/>
        <w:spacing w:before="120" w:after="120" w:line="360" w:lineRule="auto"/>
      </w:pPr>
      <w:r>
        <w:rPr>
          <w:color w:val="000000"/>
          <w:sz w:val="24"/>
        </w:rPr>
        <w:t>Table 3. Observed Toyota 7Ps in Japan and the United Kingdom</w:t>
      </w:r>
    </w:p>
    <w:tbl>
      <w:tblPr>
        <w:tblStyle w:val="TableGrid"/>
        <w:tblW w:w="0" w:type="auto"/>
        <w:tblLook w:val="04A0" w:firstRow="1" w:lastRow="0" w:firstColumn="1" w:lastColumn="0" w:noHBand="0" w:noVBand="1"/>
      </w:tblPr>
      <w:tblGrid>
        <w:gridCol w:w="1367"/>
        <w:gridCol w:w="3820"/>
        <w:gridCol w:w="4163"/>
      </w:tblGrid>
      <w:tr w:rsidR="00FE4082" w:rsidRPr="00FE4082" w14:paraId="373A5B2E" w14:textId="77777777" w:rsidTr="00FE4082">
        <w:tc>
          <w:tcPr>
            <w:tcW w:w="0" w:type="auto"/>
            <w:hideMark/>
          </w:tcPr>
          <w:p w14:paraId="4334AAF3" w14:textId="77777777" w:rsidR="00FE4082" w:rsidRPr="00FE4082" w:rsidRDefault="00FE4082" w:rsidP="00FE4082">
            <w:pPr>
              <w:suppressAutoHyphens w:val="0"/>
              <w:spacing w:after="0" w:line="276" w:lineRule="auto"/>
              <w:jc w:val="center"/>
              <w:rPr>
                <w:rFonts w:cs="Times New Roman"/>
                <w:b/>
                <w:bCs/>
                <w:color w:val="auto"/>
                <w:szCs w:val="24"/>
              </w:rPr>
            </w:pPr>
            <w:r w:rsidRPr="00FE4082">
              <w:rPr>
                <w:rFonts w:cs="Times New Roman"/>
                <w:b/>
                <w:bCs/>
                <w:color w:val="auto"/>
                <w:szCs w:val="24"/>
              </w:rPr>
              <w:t>7P</w:t>
            </w:r>
          </w:p>
        </w:tc>
        <w:tc>
          <w:tcPr>
            <w:tcW w:w="0" w:type="auto"/>
            <w:hideMark/>
          </w:tcPr>
          <w:p w14:paraId="568F09B6" w14:textId="77777777" w:rsidR="00FE4082" w:rsidRPr="00FE4082" w:rsidRDefault="00FE4082" w:rsidP="00FE4082">
            <w:pPr>
              <w:suppressAutoHyphens w:val="0"/>
              <w:spacing w:after="0" w:line="276" w:lineRule="auto"/>
              <w:jc w:val="center"/>
              <w:rPr>
                <w:rFonts w:cs="Times New Roman"/>
                <w:b/>
                <w:bCs/>
                <w:color w:val="auto"/>
                <w:szCs w:val="24"/>
              </w:rPr>
            </w:pPr>
            <w:r w:rsidRPr="00FE4082">
              <w:rPr>
                <w:rFonts w:cs="Times New Roman"/>
                <w:b/>
                <w:bCs/>
                <w:color w:val="auto"/>
                <w:szCs w:val="24"/>
              </w:rPr>
              <w:t>Japan</w:t>
            </w:r>
          </w:p>
        </w:tc>
        <w:tc>
          <w:tcPr>
            <w:tcW w:w="0" w:type="auto"/>
            <w:hideMark/>
          </w:tcPr>
          <w:p w14:paraId="4874785D" w14:textId="77777777" w:rsidR="00FE4082" w:rsidRPr="00FE4082" w:rsidRDefault="00FE4082" w:rsidP="00FE4082">
            <w:pPr>
              <w:suppressAutoHyphens w:val="0"/>
              <w:spacing w:after="0" w:line="276" w:lineRule="auto"/>
              <w:jc w:val="center"/>
              <w:rPr>
                <w:rFonts w:cs="Times New Roman"/>
                <w:b/>
                <w:bCs/>
                <w:color w:val="auto"/>
                <w:szCs w:val="24"/>
              </w:rPr>
            </w:pPr>
            <w:r w:rsidRPr="00FE4082">
              <w:rPr>
                <w:rFonts w:cs="Times New Roman"/>
                <w:b/>
                <w:bCs/>
                <w:color w:val="auto"/>
                <w:szCs w:val="24"/>
              </w:rPr>
              <w:t>United Kingdom</w:t>
            </w:r>
          </w:p>
        </w:tc>
      </w:tr>
      <w:tr w:rsidR="00FE4082" w:rsidRPr="00FE4082" w14:paraId="7E3D0896" w14:textId="77777777" w:rsidTr="00FE4082">
        <w:tc>
          <w:tcPr>
            <w:tcW w:w="0" w:type="auto"/>
            <w:hideMark/>
          </w:tcPr>
          <w:p w14:paraId="54C8D3EB"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Product</w:t>
            </w:r>
          </w:p>
        </w:tc>
        <w:tc>
          <w:tcPr>
            <w:tcW w:w="0" w:type="auto"/>
            <w:hideMark/>
          </w:tcPr>
          <w:p w14:paraId="3776C0E7" w14:textId="1A34AD23" w:rsidR="00FE4082" w:rsidRPr="00FE4082" w:rsidRDefault="00FE4082" w:rsidP="00FE4082">
            <w:pPr>
              <w:suppressAutoHyphens w:val="0"/>
              <w:spacing w:after="0" w:line="276" w:lineRule="auto"/>
              <w:rPr>
                <w:rFonts w:cs="Times New Roman"/>
                <w:color w:val="auto"/>
                <w:szCs w:val="24"/>
              </w:rPr>
            </w:pPr>
            <w:r w:rsidRPr="002E44C1">
              <w:t xml:space="preserve">Toyota provides the choices of HEV, PHEV, BEV, and FCEV in compact, family, premium and accessible </w:t>
            </w:r>
            <w:proofErr w:type="spellStart"/>
            <w:r w:rsidRPr="002E44C1">
              <w:t>Welcab</w:t>
            </w:r>
            <w:proofErr w:type="spellEnd"/>
            <w:r w:rsidRPr="002E44C1">
              <w:t xml:space="preserve"> vehicles. E-TOYOTA offers a variety of electrified routes, and </w:t>
            </w:r>
            <w:proofErr w:type="spellStart"/>
            <w:r w:rsidRPr="002E44C1">
              <w:t>Welcab</w:t>
            </w:r>
            <w:proofErr w:type="spellEnd"/>
            <w:r w:rsidRPr="002E44C1">
              <w:t xml:space="preserve"> offers modified products with expert assistance (Toyota Motor Corporation, n.d.; 2026b).</w:t>
            </w:r>
          </w:p>
        </w:tc>
        <w:tc>
          <w:tcPr>
            <w:tcW w:w="0" w:type="auto"/>
            <w:hideMark/>
          </w:tcPr>
          <w:p w14:paraId="61D33249" w14:textId="22862E93" w:rsidR="00FE4082" w:rsidRPr="00FE4082" w:rsidRDefault="00FE4082" w:rsidP="00FE4082">
            <w:pPr>
              <w:suppressAutoHyphens w:val="0"/>
              <w:spacing w:after="0" w:line="276" w:lineRule="auto"/>
              <w:rPr>
                <w:rFonts w:cs="Times New Roman"/>
                <w:color w:val="auto"/>
                <w:szCs w:val="24"/>
              </w:rPr>
            </w:pPr>
            <w:r w:rsidRPr="00DB65B1">
              <w:t>The range includes hybrids, crossovers, commercial and growing BEV. Battery-electric promotions entail linked functions, warranty and battery-health assistance, yet more BEV range is necessary to scale ZEV (Toyota (GB) plc, 2026b).</w:t>
            </w:r>
          </w:p>
        </w:tc>
      </w:tr>
      <w:tr w:rsidR="00FE4082" w:rsidRPr="00FE4082" w14:paraId="0D8BF770" w14:textId="77777777" w:rsidTr="00FE4082">
        <w:tc>
          <w:tcPr>
            <w:tcW w:w="0" w:type="auto"/>
            <w:hideMark/>
          </w:tcPr>
          <w:p w14:paraId="067F5C2E"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Price</w:t>
            </w:r>
          </w:p>
        </w:tc>
        <w:tc>
          <w:tcPr>
            <w:tcW w:w="0" w:type="auto"/>
            <w:hideMark/>
          </w:tcPr>
          <w:p w14:paraId="5F000396" w14:textId="2660140B" w:rsidR="00FE4082" w:rsidRPr="00FE4082" w:rsidRDefault="00FE4082" w:rsidP="00FE4082">
            <w:pPr>
              <w:suppressAutoHyphens w:val="0"/>
              <w:spacing w:after="0" w:line="276" w:lineRule="auto"/>
              <w:rPr>
                <w:rFonts w:cs="Times New Roman"/>
                <w:color w:val="auto"/>
                <w:szCs w:val="24"/>
              </w:rPr>
            </w:pPr>
            <w:r w:rsidRPr="002E44C1">
              <w:t>KINTO, which is a hybrid between conventional purchase and vehicle use, use, insurance, taxes and maintenance in a fixed monthly payment, helps to decrease the cost uncertainty and ownership complexity (KINTO, 2026).</w:t>
            </w:r>
          </w:p>
        </w:tc>
        <w:tc>
          <w:tcPr>
            <w:tcW w:w="0" w:type="auto"/>
            <w:hideMark/>
          </w:tcPr>
          <w:p w14:paraId="1E967825" w14:textId="2024C675" w:rsidR="00FE4082" w:rsidRPr="00FE4082" w:rsidRDefault="00FE4082" w:rsidP="00FE4082">
            <w:pPr>
              <w:suppressAutoHyphens w:val="0"/>
              <w:spacing w:after="0" w:line="276" w:lineRule="auto"/>
              <w:rPr>
                <w:rFonts w:cs="Times New Roman"/>
                <w:color w:val="auto"/>
                <w:szCs w:val="24"/>
              </w:rPr>
            </w:pPr>
            <w:r w:rsidRPr="00DB65B1">
              <w:t>Personal and business leasing, price converts into monthly affordability, PCP and campaign finance. Too much incentives might undermine reference prices, margins and residual values (Toyota (GB) plc, 2026c).</w:t>
            </w:r>
          </w:p>
        </w:tc>
      </w:tr>
      <w:tr w:rsidR="00FE4082" w:rsidRPr="00FE4082" w14:paraId="0A846FB3" w14:textId="77777777" w:rsidTr="00FE4082">
        <w:tc>
          <w:tcPr>
            <w:tcW w:w="0" w:type="auto"/>
            <w:hideMark/>
          </w:tcPr>
          <w:p w14:paraId="4DA04EEA"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Place</w:t>
            </w:r>
          </w:p>
        </w:tc>
        <w:tc>
          <w:tcPr>
            <w:tcW w:w="0" w:type="auto"/>
            <w:hideMark/>
          </w:tcPr>
          <w:p w14:paraId="1A004EF0" w14:textId="0CD5FB99" w:rsidR="00FE4082" w:rsidRPr="00FE4082" w:rsidRDefault="00FE4082" w:rsidP="00FE4082">
            <w:pPr>
              <w:suppressAutoHyphens w:val="0"/>
              <w:spacing w:after="0" w:line="276" w:lineRule="auto"/>
              <w:rPr>
                <w:rFonts w:cs="Times New Roman"/>
                <w:color w:val="auto"/>
                <w:szCs w:val="24"/>
              </w:rPr>
            </w:pPr>
            <w:r w:rsidRPr="002E44C1">
              <w:t xml:space="preserve">Comparison, simulating quotation online, booking a trial-drive and search of a dealer will culminate in local consultation. The </w:t>
            </w:r>
            <w:proofErr w:type="spellStart"/>
            <w:r w:rsidRPr="002E44C1">
              <w:t>Welcab</w:t>
            </w:r>
            <w:proofErr w:type="spellEnd"/>
            <w:r w:rsidRPr="002E44C1">
              <w:t xml:space="preserve"> centers incorporate experts, modified demonstration cars and convenient services (Toyota Motor Corporation, 2026a; 2026b).</w:t>
            </w:r>
          </w:p>
        </w:tc>
        <w:tc>
          <w:tcPr>
            <w:tcW w:w="0" w:type="auto"/>
            <w:hideMark/>
          </w:tcPr>
          <w:p w14:paraId="18E0FE31" w14:textId="12CEA7E3" w:rsidR="00FE4082" w:rsidRPr="00FE4082" w:rsidRDefault="00FE4082" w:rsidP="00FE4082">
            <w:pPr>
              <w:suppressAutoHyphens w:val="0"/>
              <w:spacing w:after="0" w:line="276" w:lineRule="auto"/>
              <w:rPr>
                <w:rFonts w:cs="Times New Roman"/>
                <w:color w:val="auto"/>
                <w:szCs w:val="24"/>
              </w:rPr>
            </w:pPr>
            <w:r w:rsidRPr="00DB65B1">
              <w:t>Customers are able to shop and start buying online then use fleet channels, finance and part-exchange services, retailers. Hand-offs involving digital, finance and retailer are the centre of focus (Toyota (GB) plc, 2026d).</w:t>
            </w:r>
          </w:p>
        </w:tc>
      </w:tr>
      <w:tr w:rsidR="00FE4082" w:rsidRPr="00FE4082" w14:paraId="6A83CA79" w14:textId="77777777" w:rsidTr="00FE4082">
        <w:tc>
          <w:tcPr>
            <w:tcW w:w="0" w:type="auto"/>
            <w:hideMark/>
          </w:tcPr>
          <w:p w14:paraId="15BDEDF6"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Promotion</w:t>
            </w:r>
          </w:p>
        </w:tc>
        <w:tc>
          <w:tcPr>
            <w:tcW w:w="0" w:type="auto"/>
            <w:hideMark/>
          </w:tcPr>
          <w:p w14:paraId="325EB83B" w14:textId="14F55897" w:rsidR="00FE4082" w:rsidRPr="00FE4082" w:rsidRDefault="00FE4082" w:rsidP="00FE4082">
            <w:pPr>
              <w:suppressAutoHyphens w:val="0"/>
              <w:spacing w:after="0" w:line="276" w:lineRule="auto"/>
              <w:rPr>
                <w:rFonts w:cs="Times New Roman"/>
                <w:color w:val="auto"/>
                <w:szCs w:val="24"/>
              </w:rPr>
            </w:pPr>
            <w:r w:rsidRPr="002E44C1">
              <w:t>Communication has a focus on engineering, safety, durability and social contribution. Domestic legitimacy promotes credibility, yet technical breadth has to be converted to conspicuous customer applications.</w:t>
            </w:r>
          </w:p>
        </w:tc>
        <w:tc>
          <w:tcPr>
            <w:tcW w:w="0" w:type="auto"/>
            <w:hideMark/>
          </w:tcPr>
          <w:p w14:paraId="76CE7C4F" w14:textId="5B8BAA71" w:rsidR="00FE4082" w:rsidRPr="00FE4082" w:rsidRDefault="00FE4082" w:rsidP="00FE4082">
            <w:pPr>
              <w:suppressAutoHyphens w:val="0"/>
              <w:spacing w:after="0" w:line="276" w:lineRule="auto"/>
              <w:rPr>
                <w:rFonts w:cs="Times New Roman"/>
                <w:color w:val="auto"/>
                <w:szCs w:val="24"/>
              </w:rPr>
            </w:pPr>
            <w:r w:rsidRPr="00DB65B1">
              <w:t>The design, lifestyle, affordability and electrification are used in promotion. The Hilux case demonstrates that the idea of creative images can be incompatible with environmental responsibility even in cases when the objective statements about products in the advertisement are not challenged (Advertising Standards Authority, 2023).</w:t>
            </w:r>
          </w:p>
        </w:tc>
      </w:tr>
      <w:tr w:rsidR="00FE4082" w:rsidRPr="00FE4082" w14:paraId="31258C33" w14:textId="77777777" w:rsidTr="00FE4082">
        <w:tc>
          <w:tcPr>
            <w:tcW w:w="0" w:type="auto"/>
            <w:hideMark/>
          </w:tcPr>
          <w:p w14:paraId="5CFB73D3"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People</w:t>
            </w:r>
          </w:p>
        </w:tc>
        <w:tc>
          <w:tcPr>
            <w:tcW w:w="0" w:type="auto"/>
            <w:hideMark/>
          </w:tcPr>
          <w:p w14:paraId="359746C3" w14:textId="736BB146" w:rsidR="00FE4082" w:rsidRPr="00FE4082" w:rsidRDefault="00FE4082" w:rsidP="00FE4082">
            <w:pPr>
              <w:suppressAutoHyphens w:val="0"/>
              <w:spacing w:after="0" w:line="276" w:lineRule="auto"/>
              <w:rPr>
                <w:rFonts w:cs="Times New Roman"/>
                <w:color w:val="auto"/>
                <w:szCs w:val="24"/>
              </w:rPr>
            </w:pPr>
            <w:r w:rsidRPr="002E44C1">
              <w:t xml:space="preserve">Accessibility needs and complicated powertrain options are explained, demonstrated and continued especially by older customers by dealers and </w:t>
            </w:r>
            <w:proofErr w:type="spellStart"/>
            <w:r w:rsidRPr="002E44C1">
              <w:t>Welcab</w:t>
            </w:r>
            <w:proofErr w:type="spellEnd"/>
            <w:r w:rsidRPr="002E44C1">
              <w:t xml:space="preserve"> specialists.</w:t>
            </w:r>
          </w:p>
        </w:tc>
        <w:tc>
          <w:tcPr>
            <w:tcW w:w="0" w:type="auto"/>
            <w:hideMark/>
          </w:tcPr>
          <w:p w14:paraId="078269E8" w14:textId="36480291" w:rsidR="00FE4082" w:rsidRPr="00FE4082" w:rsidRDefault="00FE4082" w:rsidP="00FE4082">
            <w:pPr>
              <w:suppressAutoHyphens w:val="0"/>
              <w:spacing w:after="0" w:line="276" w:lineRule="auto"/>
              <w:rPr>
                <w:rFonts w:cs="Times New Roman"/>
                <w:color w:val="auto"/>
                <w:szCs w:val="24"/>
              </w:rPr>
            </w:pPr>
            <w:r w:rsidRPr="00DB65B1">
              <w:t>The proposition is provided by the retail, digital, finance, fleet and service employees. Charging, realistic range, finance, software and battery care are some of the competences that BEV must possess.</w:t>
            </w:r>
          </w:p>
        </w:tc>
      </w:tr>
      <w:tr w:rsidR="00FE4082" w:rsidRPr="00FE4082" w14:paraId="52816A88" w14:textId="77777777" w:rsidTr="00FE4082">
        <w:tc>
          <w:tcPr>
            <w:tcW w:w="0" w:type="auto"/>
            <w:hideMark/>
          </w:tcPr>
          <w:p w14:paraId="08804CBC"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Process</w:t>
            </w:r>
          </w:p>
        </w:tc>
        <w:tc>
          <w:tcPr>
            <w:tcW w:w="0" w:type="auto"/>
            <w:hideMark/>
          </w:tcPr>
          <w:p w14:paraId="3D0C715C" w14:textId="1D03D6CB" w:rsidR="00FE4082" w:rsidRPr="00FE4082" w:rsidRDefault="00FE4082" w:rsidP="00FE4082">
            <w:pPr>
              <w:suppressAutoHyphens w:val="0"/>
              <w:spacing w:after="0" w:line="276" w:lineRule="auto"/>
              <w:rPr>
                <w:rFonts w:cs="Times New Roman"/>
                <w:color w:val="auto"/>
                <w:szCs w:val="24"/>
              </w:rPr>
            </w:pPr>
            <w:r w:rsidRPr="002E44C1">
              <w:t>The process will be a mixture of web-based information and appointments, quotation, trial drive, delivery and after sales services. KINTO provides more of an integrated process of subscribing.</w:t>
            </w:r>
          </w:p>
        </w:tc>
        <w:tc>
          <w:tcPr>
            <w:tcW w:w="0" w:type="auto"/>
            <w:hideMark/>
          </w:tcPr>
          <w:p w14:paraId="21659E94" w14:textId="5D6FBDD9" w:rsidR="00FE4082" w:rsidRPr="00FE4082" w:rsidRDefault="00FE4082" w:rsidP="00FE4082">
            <w:pPr>
              <w:suppressAutoHyphens w:val="0"/>
              <w:spacing w:after="0" w:line="276" w:lineRule="auto"/>
              <w:rPr>
                <w:rFonts w:cs="Times New Roman"/>
                <w:color w:val="auto"/>
                <w:szCs w:val="24"/>
              </w:rPr>
            </w:pPr>
            <w:r w:rsidRPr="00DB65B1">
              <w:t>An omnichannel journey is comprised of configuration, finance, part exchange, retailer escalation, delivery and servicing. Assessment, activation of the app and post-delivery contact are the factors that determine the fulfilment of the BEV convenience.</w:t>
            </w:r>
          </w:p>
        </w:tc>
      </w:tr>
      <w:tr w:rsidR="00FE4082" w:rsidRPr="00FE4082" w14:paraId="0835A91E" w14:textId="77777777" w:rsidTr="00FE4082">
        <w:tc>
          <w:tcPr>
            <w:tcW w:w="0" w:type="auto"/>
            <w:hideMark/>
          </w:tcPr>
          <w:p w14:paraId="49E0CA48" w14:textId="77777777" w:rsidR="00FE4082" w:rsidRPr="00FE4082" w:rsidRDefault="00FE4082" w:rsidP="00FE4082">
            <w:pPr>
              <w:suppressAutoHyphens w:val="0"/>
              <w:spacing w:after="0" w:line="276" w:lineRule="auto"/>
              <w:rPr>
                <w:rFonts w:cs="Times New Roman"/>
                <w:color w:val="auto"/>
                <w:szCs w:val="24"/>
              </w:rPr>
            </w:pPr>
            <w:r w:rsidRPr="00FE4082">
              <w:rPr>
                <w:rFonts w:cs="Times New Roman"/>
                <w:b/>
                <w:bCs/>
                <w:color w:val="auto"/>
                <w:szCs w:val="24"/>
              </w:rPr>
              <w:t>Physical evidence</w:t>
            </w:r>
          </w:p>
        </w:tc>
        <w:tc>
          <w:tcPr>
            <w:tcW w:w="0" w:type="auto"/>
            <w:hideMark/>
          </w:tcPr>
          <w:p w14:paraId="4FBD150E" w14:textId="2ABBDE74" w:rsidR="00FE4082" w:rsidRPr="00FE4082" w:rsidRDefault="00FE4082" w:rsidP="00FE4082">
            <w:pPr>
              <w:suppressAutoHyphens w:val="0"/>
              <w:spacing w:after="0" w:line="276" w:lineRule="auto"/>
              <w:rPr>
                <w:rFonts w:cs="Times New Roman"/>
                <w:color w:val="auto"/>
                <w:szCs w:val="24"/>
              </w:rPr>
            </w:pPr>
            <w:r w:rsidRPr="002E44C1">
              <w:t>Quality and inclusion are manifested in product finish, showrooms, documentation, facilities easily accessible, service records and domestic manufacturing heritage.</w:t>
            </w:r>
          </w:p>
        </w:tc>
        <w:tc>
          <w:tcPr>
            <w:tcW w:w="0" w:type="auto"/>
            <w:hideMark/>
          </w:tcPr>
          <w:p w14:paraId="23DD9F51" w14:textId="197A6DE0" w:rsidR="00FE4082" w:rsidRPr="00FE4082" w:rsidRDefault="00FE4082" w:rsidP="00FE4082">
            <w:pPr>
              <w:suppressAutoHyphens w:val="0"/>
              <w:spacing w:after="0" w:line="276" w:lineRule="auto"/>
              <w:rPr>
                <w:rFonts w:cs="Times New Roman"/>
                <w:color w:val="auto"/>
                <w:szCs w:val="24"/>
              </w:rPr>
            </w:pPr>
            <w:r w:rsidRPr="00DB65B1">
              <w:t>Evidence is in warranty documentation, battery tests, terms of finance, demonstrations of charging and online disclosures and UK manufacturing. Heritage will not be able to substitute the existing BEV performance ( Toyota Media Site, 2024).</w:t>
            </w:r>
          </w:p>
        </w:tc>
      </w:tr>
    </w:tbl>
    <w:p w14:paraId="49D47BE4" w14:textId="77777777" w:rsidR="00FE4082" w:rsidRDefault="00FE4082" w:rsidP="007C7DA5">
      <w:pPr>
        <w:spacing w:after="120"/>
        <w:rPr>
          <w:i/>
          <w:sz w:val="20"/>
        </w:rPr>
      </w:pPr>
    </w:p>
    <w:p w14:paraId="1F2F9537" w14:textId="666EF5B1" w:rsidR="00B313B1" w:rsidRDefault="00BB2550" w:rsidP="007C7DA5">
      <w:pPr>
        <w:spacing w:after="120"/>
      </w:pPr>
      <w:r>
        <w:rPr>
          <w:i/>
          <w:sz w:val="20"/>
        </w:rPr>
        <w:t>Source: Author analysis of the cited Toyota, regulator and academic evidence. The table records current or observable practice; proposals are reserved for Section 9.</w:t>
      </w:r>
    </w:p>
    <w:p w14:paraId="7F7C203D" w14:textId="77777777" w:rsidR="00B313B1" w:rsidRDefault="00BB2550" w:rsidP="007C7DA5">
      <w:pPr>
        <w:pStyle w:val="Heading3"/>
        <w:spacing w:before="120" w:after="120"/>
      </w:pPr>
      <w:bookmarkStart w:id="14" w:name="_Toc235141379"/>
      <w:r>
        <w:rPr>
          <w:rFonts w:ascii="Times New Roman" w:eastAsia="Times New Roman" w:hAnsi="Times New Roman"/>
        </w:rPr>
        <w:t>6.1 Comparative Evaluation</w:t>
      </w:r>
      <w:bookmarkEnd w:id="14"/>
    </w:p>
    <w:p w14:paraId="77C6E6DF" w14:textId="597C5F5E" w:rsidR="00FE4082" w:rsidRDefault="00FE4082" w:rsidP="00FE4082">
      <w:pPr>
        <w:spacing w:after="0"/>
        <w:jc w:val="both"/>
      </w:pPr>
      <w:r>
        <w:t>Toyota is consistent by being reliable, service and quality, and changing the focus to the portfolio, payment systems, involvement of advisors and the tone of promotion. Japan has a greater level of consultation, evidence of accessibility and long-term relationships. UK has a higher monthly finance, fleet reach and self directed digital discovery. Both designs are not better than each other as each of them reacts to various frictions of customers.</w:t>
      </w:r>
    </w:p>
    <w:p w14:paraId="535364EF" w14:textId="2493E9C8" w:rsidR="00B313B1" w:rsidRDefault="00FE4082" w:rsidP="00FE4082">
      <w:pPr>
        <w:spacing w:after="0"/>
        <w:jc w:val="both"/>
      </w:pPr>
      <w:r>
        <w:t xml:space="preserve">Integration is the major weakness. The customers can be sent individual product, finance, charging, retailer and service messages. The consistency of channels and </w:t>
      </w:r>
      <w:proofErr w:type="spellStart"/>
      <w:r>
        <w:t>customer-centred</w:t>
      </w:r>
      <w:proofErr w:type="spellEnd"/>
      <w:r>
        <w:t xml:space="preserve"> coordination is the key to </w:t>
      </w:r>
      <w:proofErr w:type="spellStart"/>
      <w:r>
        <w:t>Omnichannel</w:t>
      </w:r>
      <w:proofErr w:type="spellEnd"/>
      <w:r>
        <w:t xml:space="preserve"> experience (</w:t>
      </w:r>
      <w:proofErr w:type="spellStart"/>
      <w:r>
        <w:t>Gerea</w:t>
      </w:r>
      <w:proofErr w:type="spellEnd"/>
      <w:r>
        <w:t xml:space="preserve">, Gonzalez-Lopez and </w:t>
      </w:r>
      <w:proofErr w:type="spellStart"/>
      <w:r>
        <w:t>Herskovic</w:t>
      </w:r>
      <w:proofErr w:type="spellEnd"/>
      <w:r>
        <w:t xml:space="preserve">, 2021). Toyota ought to delegate the entire journey and keep track of the drop-off, recurrent questions and conflicting guidance on the different websites, call </w:t>
      </w:r>
      <w:proofErr w:type="spellStart"/>
      <w:r>
        <w:t>centres</w:t>
      </w:r>
      <w:proofErr w:type="spellEnd"/>
      <w:r>
        <w:t xml:space="preserve"> and retailers. Minimum standards of claims, safety, data, accessibility and brand conduct should be established by global teams and product emphasis, media, finance and service modified by country teams. Performance must be a combination of conversion and profitability and completion of onboarding, hand-off failure, quality of evidence and complaints.</w:t>
      </w:r>
    </w:p>
    <w:p w14:paraId="415412E5" w14:textId="77777777" w:rsidR="00B313B1" w:rsidRDefault="00BB2550" w:rsidP="007C7DA5">
      <w:pPr>
        <w:pStyle w:val="Heading3"/>
        <w:spacing w:before="120" w:after="120"/>
      </w:pPr>
      <w:bookmarkStart w:id="15" w:name="_Toc235141380"/>
      <w:r>
        <w:rPr>
          <w:rFonts w:ascii="Times New Roman" w:eastAsia="Times New Roman" w:hAnsi="Times New Roman"/>
        </w:rPr>
        <w:t>6.2 Cross-Mix Coherence and Control</w:t>
      </w:r>
      <w:bookmarkEnd w:id="15"/>
    </w:p>
    <w:p w14:paraId="44E4B0D4" w14:textId="11C215DE" w:rsidR="00B313B1" w:rsidRDefault="004168C2" w:rsidP="000A6C3A">
      <w:pPr>
        <w:spacing w:after="0"/>
        <w:jc w:val="both"/>
      </w:pPr>
      <w:r w:rsidRPr="004168C2">
        <w:t xml:space="preserve">The 7ps are to be a single customer system. BEV interest will not shift when finance seems unaffordable, charging support is not well known or retailers are not able to clarify battery condition. This means that Toyota ought to have a journey owner that tracks the drop-off, repetitive queries and discrepancies across sites, call </w:t>
      </w:r>
      <w:proofErr w:type="spellStart"/>
      <w:r w:rsidRPr="004168C2">
        <w:t>centres</w:t>
      </w:r>
      <w:proofErr w:type="spellEnd"/>
      <w:r w:rsidRPr="004168C2">
        <w:t xml:space="preserve"> and retailers. International teams are supposed to have minimum standards of claims, safety, data, accessibility and brand </w:t>
      </w:r>
      <w:proofErr w:type="spellStart"/>
      <w:r w:rsidRPr="004168C2">
        <w:t>behaviour</w:t>
      </w:r>
      <w:proofErr w:type="spellEnd"/>
      <w:r w:rsidRPr="004168C2">
        <w:t xml:space="preserve"> and country teams adjust the product focus, media, finance and service. Combination of performance and commercial outcomes and hand-off failure, completion of onboarding, quality evidence, and complaints should help to avoid on-the-job conversion of regulatory or trust costs in the short term.</w:t>
      </w:r>
    </w:p>
    <w:p w14:paraId="14609BAC" w14:textId="77777777" w:rsidR="00B313B1" w:rsidRDefault="00BB2550" w:rsidP="007C7DA5">
      <w:pPr>
        <w:pStyle w:val="Heading2"/>
        <w:spacing w:before="240" w:after="240"/>
      </w:pPr>
      <w:bookmarkStart w:id="16" w:name="_Toc235141381"/>
      <w:r>
        <w:rPr>
          <w:rFonts w:ascii="Times New Roman" w:eastAsia="Times New Roman" w:hAnsi="Times New Roman"/>
        </w:rPr>
        <w:t>7. Market Entry Strategy in the United Kingdom</w:t>
      </w:r>
      <w:bookmarkEnd w:id="16"/>
    </w:p>
    <w:p w14:paraId="5D612816" w14:textId="77777777" w:rsidR="000A6C3A" w:rsidRDefault="000A6C3A" w:rsidP="000A6C3A">
      <w:pPr>
        <w:spacing w:after="0"/>
        <w:jc w:val="both"/>
      </w:pPr>
      <w:r>
        <w:t xml:space="preserve">In the UK, Toyota first entered the country in 1965 with importer-distributor Pride and Clark then formed a local sales </w:t>
      </w:r>
      <w:proofErr w:type="spellStart"/>
      <w:r>
        <w:t>organisation</w:t>
      </w:r>
      <w:proofErr w:type="spellEnd"/>
      <w:r>
        <w:t xml:space="preserve"> and in 1989, Toyota announced that it would produce in Europe. The production of </w:t>
      </w:r>
      <w:proofErr w:type="spellStart"/>
      <w:r>
        <w:t>Burnaston</w:t>
      </w:r>
      <w:proofErr w:type="spellEnd"/>
      <w:r>
        <w:t xml:space="preserve"> vehicle and Deeside engine started in 1992 (Toyota Media Site, 2015). The sequence minimized the exposure to resources at the beginning, created market information and commitment following the establishment of more certain demand and relationship. It largely aligns with the Uppsala model, especially its focus on experiential learning and relationships of trust in the market (Kraemer, Ritz and de Cardenas Lopez, 2018).</w:t>
      </w:r>
    </w:p>
    <w:p w14:paraId="734BB28D" w14:textId="77777777" w:rsidR="000A6C3A" w:rsidRDefault="000A6C3A" w:rsidP="000A6C3A">
      <w:pPr>
        <w:spacing w:after="0"/>
        <w:jc w:val="both"/>
      </w:pPr>
      <w:r>
        <w:t xml:space="preserve">An explanation is complementary in the OLI framework. Toyota had benefits in terms of ownership in production systems, quality control, engineering and brand. The UK also had advantages in location in terms of market access, skills and suppliers and a European production base. The process knowledge and coordination was safeguarded through </w:t>
      </w:r>
      <w:proofErr w:type="spellStart"/>
      <w:r>
        <w:t>internalisation</w:t>
      </w:r>
      <w:proofErr w:type="spellEnd"/>
      <w:r>
        <w:t xml:space="preserve"> (</w:t>
      </w:r>
      <w:proofErr w:type="spellStart"/>
      <w:r>
        <w:t>Munjal</w:t>
      </w:r>
      <w:proofErr w:type="spellEnd"/>
      <w:r>
        <w:t xml:space="preserve">, 2017). Nevertheless, both models do not completely reflect political bargaining, exposure to exchange rates, policy incentives or strategic </w:t>
      </w:r>
      <w:proofErr w:type="spellStart"/>
      <w:r>
        <w:t>signalling</w:t>
      </w:r>
      <w:proofErr w:type="spellEnd"/>
      <w:r>
        <w:t xml:space="preserve"> of local employment. A licensing or contract-manufacturing option would have been cheaper in terms of capital requirement, but it provided a lesser control of quality, learning and supply coordination.</w:t>
      </w:r>
    </w:p>
    <w:p w14:paraId="3A0DADE7" w14:textId="77777777" w:rsidR="000A6C3A" w:rsidRDefault="000A6C3A" w:rsidP="000A6C3A">
      <w:pPr>
        <w:spacing w:after="0"/>
        <w:jc w:val="both"/>
      </w:pPr>
      <w:r>
        <w:t xml:space="preserve">The entry established long-lasting legitimacy and ability. By 2024, Toyota Manufacturing UK was able to manufacture five million vehicles and had accrued significant investment (Toyota Media Site, 2024). But committed to sink is no evidence of fit. The market is moving towards technological re-entry as opposed to manufacturing entry: BEV platforms, batteries, software, charging and data relationships are now the factors that define competitiveness. Toyota has to make decisions on which capabilities it should </w:t>
      </w:r>
      <w:proofErr w:type="spellStart"/>
      <w:r>
        <w:t>internalise</w:t>
      </w:r>
      <w:proofErr w:type="spellEnd"/>
      <w:r>
        <w:t xml:space="preserve"> and the ones it should partner with and the role of the UK production in the next portfolio. The strategic test is not history saving, but is reallocating local resources to the ZEV transition.</w:t>
      </w:r>
    </w:p>
    <w:p w14:paraId="5AF2E896" w14:textId="39D5594D" w:rsidR="00B313B1" w:rsidRDefault="000A6C3A" w:rsidP="000A6C3A">
      <w:pPr>
        <w:spacing w:after="0"/>
        <w:jc w:val="both"/>
      </w:pPr>
      <w:r>
        <w:t>A new commitment does not necessarily have to be a duplication of the initial wholly owned model of manufacturing. Alliances can be considered in battery supply, charging and digital service, where the partners possess complementary resources, and Toyota takes the responsibility of managing customer data, safety, and service design that is vital to the brand. This network strategy builds on the Uppsala logic of liability-of-</w:t>
      </w:r>
      <w:proofErr w:type="spellStart"/>
      <w:r>
        <w:t>outsidership</w:t>
      </w:r>
      <w:proofErr w:type="spellEnd"/>
      <w:r>
        <w:t>: competitiveness is determined by location in the new electric-mobility ecosystem, rather than just a plant ownership. Entry strategy is thus ongoing and relational as opposed to a historical event that is closed.</w:t>
      </w:r>
    </w:p>
    <w:p w14:paraId="33D1BAC1" w14:textId="77777777" w:rsidR="00B313B1" w:rsidRDefault="00BB2550" w:rsidP="007C7DA5">
      <w:pPr>
        <w:pStyle w:val="Heading2"/>
        <w:spacing w:before="240" w:after="240"/>
      </w:pPr>
      <w:bookmarkStart w:id="17" w:name="_Toc235141382"/>
      <w:r>
        <w:rPr>
          <w:rFonts w:ascii="Times New Roman" w:eastAsia="Times New Roman" w:hAnsi="Times New Roman"/>
        </w:rPr>
        <w:t>8. Ethical Evaluation of UK Promotion</w:t>
      </w:r>
      <w:bookmarkEnd w:id="17"/>
    </w:p>
    <w:p w14:paraId="7B6174DA" w14:textId="39881142" w:rsidR="00B1741B" w:rsidRDefault="00B1741B" w:rsidP="00B1741B">
      <w:pPr>
        <w:spacing w:after="0"/>
        <w:jc w:val="both"/>
      </w:pPr>
      <w:r>
        <w:t xml:space="preserve">In November 2023, the Advertising Standards Authority ruled in support of a complaint against the Hilux Born to Roam social-media and poster advertisements by Toyota. The advertisements featured collections of cars travelling in the natural settings and were deemed to promote </w:t>
      </w:r>
      <w:proofErr w:type="spellStart"/>
      <w:r>
        <w:t>behaviour</w:t>
      </w:r>
      <w:proofErr w:type="spellEnd"/>
      <w:r>
        <w:t xml:space="preserve"> that was detrimental to the environment, violating the social-responsibility norms (Advertising Standards Authority, 2023). The decision did not however find that the broader environmental claims or investments of Toyota were false. The issue of ethics was that the campaign imagery did not meet the expectations of the duties of a large mobility company.</w:t>
      </w:r>
    </w:p>
    <w:p w14:paraId="2165608F" w14:textId="340AF262" w:rsidR="00B1741B" w:rsidRDefault="00B1741B" w:rsidP="00B1741B">
      <w:pPr>
        <w:spacing w:after="0"/>
        <w:jc w:val="both"/>
      </w:pPr>
      <w:r>
        <w:t>A duty-based assessment demands that Toyota should look at the way audiences will interpret advertising, rather than whether or not individual assertions are technically accurate. It may have an impact on communities, regulators, customers and environmental stakeholders. Duty and consequences are crucial in making ethical judgements (</w:t>
      </w:r>
      <w:proofErr w:type="spellStart"/>
      <w:r>
        <w:t>Zaikauskaitė</w:t>
      </w:r>
      <w:proofErr w:type="spellEnd"/>
      <w:r>
        <w:t xml:space="preserve"> et al., 2022). Imagery that seems to </w:t>
      </w:r>
      <w:proofErr w:type="spellStart"/>
      <w:r>
        <w:t>normalise</w:t>
      </w:r>
      <w:proofErr w:type="spellEnd"/>
      <w:r>
        <w:t xml:space="preserve"> environmental damage can also pose a threat of greenwashing when used together with positive sustainability messages, albeit not a formal finding by the ASA (de Freitas </w:t>
      </w:r>
      <w:proofErr w:type="spellStart"/>
      <w:r>
        <w:t>Netto</w:t>
      </w:r>
      <w:proofErr w:type="spellEnd"/>
      <w:r>
        <w:t xml:space="preserve"> et al., 2020).</w:t>
      </w:r>
    </w:p>
    <w:p w14:paraId="2C7DE396" w14:textId="49360C70" w:rsidR="00B313B1" w:rsidRDefault="00B1741B" w:rsidP="00B1741B">
      <w:pPr>
        <w:spacing w:after="0"/>
        <w:jc w:val="both"/>
      </w:pPr>
      <w:r>
        <w:t>The campaign purpose, imagery and brand consistency, category of claims by risk, keeping of supporting evidence and probable consumer interpretation should be reviewed by Toyota. International ethics must be uniform, but local implementation can be done in a creative manner.</w:t>
      </w:r>
    </w:p>
    <w:p w14:paraId="7490B30D" w14:textId="34E5ECE6" w:rsidR="00B313B1" w:rsidRDefault="00BB2550" w:rsidP="007C7DA5">
      <w:pPr>
        <w:pStyle w:val="Heading2"/>
        <w:spacing w:before="240" w:after="240"/>
      </w:pPr>
      <w:bookmarkStart w:id="18" w:name="_Toc235141383"/>
      <w:r>
        <w:rPr>
          <w:rFonts w:ascii="Times New Roman" w:eastAsia="Times New Roman" w:hAnsi="Times New Roman"/>
        </w:rPr>
        <w:t>9. Recommendations and Implementation</w:t>
      </w:r>
      <w:bookmarkEnd w:id="18"/>
    </w:p>
    <w:p w14:paraId="6E31F773" w14:textId="77777777" w:rsidR="00B313B1" w:rsidRDefault="00BB2550" w:rsidP="007C7DA5">
      <w:pPr>
        <w:pStyle w:val="Caption"/>
        <w:keepNext/>
        <w:spacing w:before="120" w:after="120" w:line="360" w:lineRule="auto"/>
      </w:pPr>
      <w:r>
        <w:rPr>
          <w:color w:val="000000"/>
          <w:sz w:val="24"/>
        </w:rPr>
        <w:t xml:space="preserve">Table 4. </w:t>
      </w:r>
      <w:proofErr w:type="spellStart"/>
      <w:r>
        <w:rPr>
          <w:color w:val="000000"/>
          <w:sz w:val="24"/>
        </w:rPr>
        <w:t>Prioritised</w:t>
      </w:r>
      <w:proofErr w:type="spellEnd"/>
      <w:r>
        <w:rPr>
          <w:color w:val="000000"/>
          <w:sz w:val="24"/>
        </w:rPr>
        <w:t xml:space="preserve"> international marketing implementation plan</w:t>
      </w:r>
    </w:p>
    <w:tbl>
      <w:tblPr>
        <w:tblStyle w:val="TableGrid"/>
        <w:tblW w:w="9360" w:type="dxa"/>
        <w:jc w:val="center"/>
        <w:tblLayout w:type="fixed"/>
        <w:tblCellMar>
          <w:top w:w="80" w:type="dxa"/>
          <w:left w:w="80" w:type="dxa"/>
          <w:bottom w:w="80" w:type="dxa"/>
          <w:right w:w="80" w:type="dxa"/>
        </w:tblCellMar>
        <w:tblLook w:val="04A0" w:firstRow="1" w:lastRow="0" w:firstColumn="1" w:lastColumn="0" w:noHBand="0" w:noVBand="1"/>
      </w:tblPr>
      <w:tblGrid>
        <w:gridCol w:w="2341"/>
        <w:gridCol w:w="2340"/>
        <w:gridCol w:w="2340"/>
        <w:gridCol w:w="2339"/>
      </w:tblGrid>
      <w:tr w:rsidR="00B313B1" w:rsidRPr="000A6C3A" w14:paraId="5C9FC071" w14:textId="77777777" w:rsidTr="00C83597">
        <w:trPr>
          <w:cantSplit/>
          <w:tblHeader/>
          <w:jc w:val="center"/>
        </w:trPr>
        <w:tc>
          <w:tcPr>
            <w:tcW w:w="2341" w:type="dxa"/>
            <w:shd w:val="clear" w:color="auto" w:fill="D9D9D9"/>
            <w:vAlign w:val="center"/>
          </w:tcPr>
          <w:p w14:paraId="0DEEEF31" w14:textId="77777777" w:rsidR="00B313B1" w:rsidRPr="000A6C3A" w:rsidRDefault="00BB2550" w:rsidP="007C7DA5">
            <w:pPr>
              <w:spacing w:after="0" w:line="240" w:lineRule="auto"/>
              <w:jc w:val="center"/>
              <w:rPr>
                <w:szCs w:val="24"/>
              </w:rPr>
            </w:pPr>
            <w:r w:rsidRPr="000A6C3A">
              <w:rPr>
                <w:b/>
                <w:szCs w:val="24"/>
              </w:rPr>
              <w:t>Priority action</w:t>
            </w:r>
          </w:p>
        </w:tc>
        <w:tc>
          <w:tcPr>
            <w:tcW w:w="2340" w:type="dxa"/>
            <w:shd w:val="clear" w:color="auto" w:fill="D9D9D9"/>
            <w:vAlign w:val="center"/>
          </w:tcPr>
          <w:p w14:paraId="225ADA62" w14:textId="77777777" w:rsidR="00B313B1" w:rsidRPr="000A6C3A" w:rsidRDefault="00BB2550" w:rsidP="007C7DA5">
            <w:pPr>
              <w:spacing w:after="0" w:line="240" w:lineRule="auto"/>
              <w:jc w:val="center"/>
              <w:rPr>
                <w:szCs w:val="24"/>
              </w:rPr>
            </w:pPr>
            <w:r w:rsidRPr="000A6C3A">
              <w:rPr>
                <w:b/>
                <w:szCs w:val="24"/>
              </w:rPr>
              <w:t>Owner and timing</w:t>
            </w:r>
          </w:p>
        </w:tc>
        <w:tc>
          <w:tcPr>
            <w:tcW w:w="2340" w:type="dxa"/>
            <w:shd w:val="clear" w:color="auto" w:fill="D9D9D9"/>
            <w:vAlign w:val="center"/>
          </w:tcPr>
          <w:p w14:paraId="1278A231" w14:textId="77777777" w:rsidR="00B313B1" w:rsidRPr="000A6C3A" w:rsidRDefault="00BB2550" w:rsidP="007C7DA5">
            <w:pPr>
              <w:spacing w:after="0" w:line="240" w:lineRule="auto"/>
              <w:jc w:val="center"/>
              <w:rPr>
                <w:szCs w:val="24"/>
              </w:rPr>
            </w:pPr>
            <w:r w:rsidRPr="000A6C3A">
              <w:rPr>
                <w:b/>
                <w:szCs w:val="24"/>
              </w:rPr>
              <w:t>Core measures</w:t>
            </w:r>
          </w:p>
        </w:tc>
        <w:tc>
          <w:tcPr>
            <w:tcW w:w="2339" w:type="dxa"/>
            <w:shd w:val="clear" w:color="auto" w:fill="D9D9D9"/>
            <w:vAlign w:val="center"/>
          </w:tcPr>
          <w:p w14:paraId="38F2FB4E" w14:textId="77777777" w:rsidR="00B313B1" w:rsidRPr="000A6C3A" w:rsidRDefault="00BB2550" w:rsidP="007C7DA5">
            <w:pPr>
              <w:spacing w:after="0" w:line="240" w:lineRule="auto"/>
              <w:jc w:val="center"/>
              <w:rPr>
                <w:szCs w:val="24"/>
              </w:rPr>
            </w:pPr>
            <w:r w:rsidRPr="000A6C3A">
              <w:rPr>
                <w:b/>
                <w:szCs w:val="24"/>
              </w:rPr>
              <w:t>Principal risk and response</w:t>
            </w:r>
          </w:p>
        </w:tc>
      </w:tr>
      <w:tr w:rsidR="00C83597" w:rsidRPr="000A6C3A" w14:paraId="7E199D5E" w14:textId="77777777" w:rsidTr="00C83597">
        <w:trPr>
          <w:cantSplit/>
          <w:jc w:val="center"/>
        </w:trPr>
        <w:tc>
          <w:tcPr>
            <w:tcW w:w="2341" w:type="dxa"/>
          </w:tcPr>
          <w:p w14:paraId="77A69879" w14:textId="28F39C75" w:rsidR="00C83597" w:rsidRPr="000A6C3A" w:rsidRDefault="00C83597" w:rsidP="00C83597">
            <w:pPr>
              <w:spacing w:after="0" w:line="240" w:lineRule="auto"/>
              <w:rPr>
                <w:szCs w:val="24"/>
              </w:rPr>
            </w:pPr>
            <w:r w:rsidRPr="00814B43">
              <w:t>1. UK BEV demand system: coordinate compact and crossover, fleet and commercial introductions with the evaluation of the charging infrastructure, total-cost devices, battery proof and retailer capacity.</w:t>
            </w:r>
          </w:p>
        </w:tc>
        <w:tc>
          <w:tcPr>
            <w:tcW w:w="2340" w:type="dxa"/>
          </w:tcPr>
          <w:p w14:paraId="4D34499A" w14:textId="77777777" w:rsidR="00C83597" w:rsidRPr="000A6C3A" w:rsidRDefault="00C83597" w:rsidP="00C83597">
            <w:pPr>
              <w:spacing w:after="0" w:line="240" w:lineRule="auto"/>
              <w:rPr>
                <w:szCs w:val="24"/>
              </w:rPr>
            </w:pPr>
            <w:r w:rsidRPr="000A6C3A">
              <w:rPr>
                <w:szCs w:val="24"/>
              </w:rPr>
              <w:t>UK product, fleet, finance and retail directors; 0-24 months.</w:t>
            </w:r>
          </w:p>
        </w:tc>
        <w:tc>
          <w:tcPr>
            <w:tcW w:w="2340" w:type="dxa"/>
          </w:tcPr>
          <w:p w14:paraId="69F8654C" w14:textId="77777777" w:rsidR="00C83597" w:rsidRPr="000A6C3A" w:rsidRDefault="00C83597" w:rsidP="00C83597">
            <w:pPr>
              <w:spacing w:after="0" w:line="240" w:lineRule="auto"/>
              <w:rPr>
                <w:szCs w:val="24"/>
              </w:rPr>
            </w:pPr>
            <w:r w:rsidRPr="000A6C3A">
              <w:rPr>
                <w:szCs w:val="24"/>
              </w:rPr>
              <w:t>ZEV share; segment conversion; fleet win rate; charging-onboarding completion; contribution margin.</w:t>
            </w:r>
          </w:p>
        </w:tc>
        <w:tc>
          <w:tcPr>
            <w:tcW w:w="2339" w:type="dxa"/>
          </w:tcPr>
          <w:p w14:paraId="7952F1F8" w14:textId="6F77833A" w:rsidR="00C83597" w:rsidRPr="000A6C3A" w:rsidRDefault="00C83597" w:rsidP="00C83597">
            <w:pPr>
              <w:spacing w:after="0" w:line="240" w:lineRule="auto"/>
              <w:rPr>
                <w:szCs w:val="24"/>
              </w:rPr>
            </w:pPr>
            <w:r w:rsidRPr="00A23144">
              <w:t>Volume/Margin loss through discounts. Apply lifecycle value gates and use segment economics.</w:t>
            </w:r>
          </w:p>
        </w:tc>
      </w:tr>
      <w:tr w:rsidR="00C83597" w:rsidRPr="000A6C3A" w14:paraId="0F253050" w14:textId="77777777" w:rsidTr="00C83597">
        <w:trPr>
          <w:cantSplit/>
          <w:jc w:val="center"/>
        </w:trPr>
        <w:tc>
          <w:tcPr>
            <w:tcW w:w="2341" w:type="dxa"/>
          </w:tcPr>
          <w:p w14:paraId="37B71D1B" w14:textId="59B755F5" w:rsidR="00C83597" w:rsidRPr="000A6C3A" w:rsidRDefault="00C83597" w:rsidP="00C83597">
            <w:pPr>
              <w:spacing w:after="0" w:line="240" w:lineRule="auto"/>
              <w:rPr>
                <w:szCs w:val="24"/>
              </w:rPr>
            </w:pPr>
            <w:r w:rsidRPr="00814B43">
              <w:t>2. Global responsible-claims standard: high-risk campaigns need to be substantiated seriously, have an environmental-context examination and consumer-understanding experiment.</w:t>
            </w:r>
          </w:p>
        </w:tc>
        <w:tc>
          <w:tcPr>
            <w:tcW w:w="2340" w:type="dxa"/>
          </w:tcPr>
          <w:p w14:paraId="06E45553" w14:textId="77777777" w:rsidR="00C83597" w:rsidRPr="000A6C3A" w:rsidRDefault="00C83597" w:rsidP="00C83597">
            <w:pPr>
              <w:spacing w:after="0" w:line="240" w:lineRule="auto"/>
              <w:rPr>
                <w:szCs w:val="24"/>
              </w:rPr>
            </w:pPr>
            <w:r w:rsidRPr="000A6C3A">
              <w:rPr>
                <w:szCs w:val="24"/>
              </w:rPr>
              <w:t>Global marketing, legal and sustainability; design in 0-6 months, full use by month 12.</w:t>
            </w:r>
          </w:p>
        </w:tc>
        <w:tc>
          <w:tcPr>
            <w:tcW w:w="2340" w:type="dxa"/>
          </w:tcPr>
          <w:p w14:paraId="00AA13B1" w14:textId="77777777" w:rsidR="00C83597" w:rsidRPr="000A6C3A" w:rsidRDefault="00C83597" w:rsidP="00C83597">
            <w:pPr>
              <w:spacing w:after="0" w:line="240" w:lineRule="auto"/>
              <w:rPr>
                <w:szCs w:val="24"/>
              </w:rPr>
            </w:pPr>
            <w:r w:rsidRPr="000A6C3A">
              <w:rPr>
                <w:szCs w:val="24"/>
              </w:rPr>
              <w:t>Pre-clearance coverage; exceptions; complaints; corrections; regulator interventions; trust score.</w:t>
            </w:r>
          </w:p>
        </w:tc>
        <w:tc>
          <w:tcPr>
            <w:tcW w:w="2339" w:type="dxa"/>
          </w:tcPr>
          <w:p w14:paraId="17C22C2B" w14:textId="2433A090" w:rsidR="00C83597" w:rsidRPr="000A6C3A" w:rsidRDefault="00C83597" w:rsidP="00C83597">
            <w:pPr>
              <w:spacing w:after="0" w:line="240" w:lineRule="auto"/>
              <w:rPr>
                <w:szCs w:val="24"/>
              </w:rPr>
            </w:pPr>
            <w:r w:rsidRPr="00A23144">
              <w:t>Slower approvals. Risk levels and deadlines based on service level, instead of a consistent review of all assets.</w:t>
            </w:r>
          </w:p>
        </w:tc>
      </w:tr>
      <w:tr w:rsidR="00C83597" w:rsidRPr="000A6C3A" w14:paraId="6191963B" w14:textId="77777777" w:rsidTr="00C83597">
        <w:trPr>
          <w:cantSplit/>
          <w:jc w:val="center"/>
        </w:trPr>
        <w:tc>
          <w:tcPr>
            <w:tcW w:w="2341" w:type="dxa"/>
          </w:tcPr>
          <w:p w14:paraId="20BB1F01" w14:textId="0F9A021D" w:rsidR="00C83597" w:rsidRPr="000A6C3A" w:rsidRDefault="00C83597" w:rsidP="00C83597">
            <w:pPr>
              <w:spacing w:after="0" w:line="240" w:lineRule="auto"/>
              <w:rPr>
                <w:szCs w:val="24"/>
              </w:rPr>
            </w:pPr>
            <w:r w:rsidRPr="00814B43">
              <w:t xml:space="preserve">3. </w:t>
            </w:r>
            <w:proofErr w:type="spellStart"/>
            <w:r w:rsidRPr="00814B43">
              <w:t>Omnic</w:t>
            </w:r>
            <w:proofErr w:type="spellEnd"/>
            <w:r w:rsidRPr="00814B43">
              <w:t xml:space="preserve"> country design: a single customer record, and adviser continuity is designed in Japan with structures and self-service and expert escalation in the UK.</w:t>
            </w:r>
          </w:p>
        </w:tc>
        <w:tc>
          <w:tcPr>
            <w:tcW w:w="2340" w:type="dxa"/>
          </w:tcPr>
          <w:p w14:paraId="45A13275" w14:textId="77777777" w:rsidR="00C83597" w:rsidRPr="000A6C3A" w:rsidRDefault="00C83597" w:rsidP="00C83597">
            <w:pPr>
              <w:spacing w:after="0" w:line="240" w:lineRule="auto"/>
              <w:rPr>
                <w:szCs w:val="24"/>
              </w:rPr>
            </w:pPr>
            <w:r w:rsidRPr="000A6C3A">
              <w:rPr>
                <w:szCs w:val="24"/>
              </w:rPr>
              <w:t>Country digital, retailer and customer-experience teams; 6-18 months.</w:t>
            </w:r>
          </w:p>
        </w:tc>
        <w:tc>
          <w:tcPr>
            <w:tcW w:w="2340" w:type="dxa"/>
          </w:tcPr>
          <w:p w14:paraId="54198077" w14:textId="77777777" w:rsidR="00C83597" w:rsidRPr="000A6C3A" w:rsidRDefault="00C83597" w:rsidP="00C83597">
            <w:pPr>
              <w:spacing w:after="0" w:line="240" w:lineRule="auto"/>
              <w:rPr>
                <w:szCs w:val="24"/>
              </w:rPr>
            </w:pPr>
            <w:r w:rsidRPr="000A6C3A">
              <w:rPr>
                <w:szCs w:val="24"/>
              </w:rPr>
              <w:t>Hand-off failure; repeated data entry; lead response; journey completion; satisfaction by segment.</w:t>
            </w:r>
          </w:p>
        </w:tc>
        <w:tc>
          <w:tcPr>
            <w:tcW w:w="2339" w:type="dxa"/>
          </w:tcPr>
          <w:p w14:paraId="7162422C" w14:textId="79F37DF8" w:rsidR="00C83597" w:rsidRPr="000A6C3A" w:rsidRDefault="00C83597" w:rsidP="00C83597">
            <w:pPr>
              <w:spacing w:after="0" w:line="240" w:lineRule="auto"/>
              <w:rPr>
                <w:szCs w:val="24"/>
              </w:rPr>
            </w:pPr>
            <w:r w:rsidRPr="00A23144">
              <w:t>Resistance by dealers and fragmentation of the data. Co-design incentives, standards of governance and minimum data standards.</w:t>
            </w:r>
          </w:p>
        </w:tc>
      </w:tr>
      <w:tr w:rsidR="00C83597" w:rsidRPr="000A6C3A" w14:paraId="714E7FC2" w14:textId="77777777" w:rsidTr="00C83597">
        <w:trPr>
          <w:cantSplit/>
          <w:jc w:val="center"/>
        </w:trPr>
        <w:tc>
          <w:tcPr>
            <w:tcW w:w="2341" w:type="dxa"/>
          </w:tcPr>
          <w:p w14:paraId="293D4634" w14:textId="6C82AF32" w:rsidR="00C83597" w:rsidRPr="000A6C3A" w:rsidRDefault="00C83597" w:rsidP="00C83597">
            <w:pPr>
              <w:spacing w:after="0" w:line="240" w:lineRule="auto"/>
              <w:rPr>
                <w:szCs w:val="24"/>
              </w:rPr>
            </w:pPr>
            <w:r w:rsidRPr="00814B43">
              <w:t>4. Lifecycle assurance: combine warranty, battery-health reporting, software-support, proactive maintenance, trade-in and upgrade-pathways.</w:t>
            </w:r>
          </w:p>
        </w:tc>
        <w:tc>
          <w:tcPr>
            <w:tcW w:w="2340" w:type="dxa"/>
          </w:tcPr>
          <w:p w14:paraId="2EBAFA87" w14:textId="77777777" w:rsidR="00C83597" w:rsidRPr="000A6C3A" w:rsidRDefault="00C83597" w:rsidP="00C83597">
            <w:pPr>
              <w:spacing w:after="0" w:line="240" w:lineRule="auto"/>
              <w:rPr>
                <w:szCs w:val="24"/>
              </w:rPr>
            </w:pPr>
            <w:r w:rsidRPr="000A6C3A">
              <w:rPr>
                <w:szCs w:val="24"/>
              </w:rPr>
              <w:t>Aftersales, connected services and used-vehicle teams; 6-24 months.</w:t>
            </w:r>
          </w:p>
        </w:tc>
        <w:tc>
          <w:tcPr>
            <w:tcW w:w="2340" w:type="dxa"/>
          </w:tcPr>
          <w:p w14:paraId="5629EB60" w14:textId="77777777" w:rsidR="00C83597" w:rsidRPr="000A6C3A" w:rsidRDefault="00C83597" w:rsidP="00C83597">
            <w:pPr>
              <w:spacing w:after="0" w:line="240" w:lineRule="auto"/>
              <w:rPr>
                <w:szCs w:val="24"/>
              </w:rPr>
            </w:pPr>
            <w:r w:rsidRPr="000A6C3A">
              <w:rPr>
                <w:szCs w:val="24"/>
              </w:rPr>
              <w:t>Service retention; repeat purchase; battery certificate use; residual value; digital activation.</w:t>
            </w:r>
          </w:p>
        </w:tc>
        <w:tc>
          <w:tcPr>
            <w:tcW w:w="2339" w:type="dxa"/>
          </w:tcPr>
          <w:p w14:paraId="2137B604" w14:textId="35205B10" w:rsidR="00C83597" w:rsidRPr="000A6C3A" w:rsidRDefault="00C83597" w:rsidP="00C83597">
            <w:pPr>
              <w:spacing w:after="0" w:line="240" w:lineRule="auto"/>
              <w:rPr>
                <w:szCs w:val="24"/>
              </w:rPr>
            </w:pPr>
            <w:r w:rsidRPr="00A23144">
              <w:t>Cost exposure. Pilot model based and customer value to verified servicing.</w:t>
            </w:r>
          </w:p>
        </w:tc>
      </w:tr>
      <w:tr w:rsidR="00C83597" w:rsidRPr="000A6C3A" w14:paraId="0292CD3A" w14:textId="77777777" w:rsidTr="00C83597">
        <w:trPr>
          <w:cantSplit/>
          <w:jc w:val="center"/>
        </w:trPr>
        <w:tc>
          <w:tcPr>
            <w:tcW w:w="2341" w:type="dxa"/>
          </w:tcPr>
          <w:p w14:paraId="6B881A2E" w14:textId="37E1996C" w:rsidR="00C83597" w:rsidRPr="000A6C3A" w:rsidRDefault="00C83597" w:rsidP="00C83597">
            <w:pPr>
              <w:spacing w:after="0" w:line="240" w:lineRule="auto"/>
              <w:rPr>
                <w:szCs w:val="24"/>
              </w:rPr>
            </w:pPr>
            <w:r w:rsidRPr="00814B43">
              <w:t>5. Country dashboard: ensure there is a balance in commercial, regulatory, customer and ethical results.</w:t>
            </w:r>
          </w:p>
        </w:tc>
        <w:tc>
          <w:tcPr>
            <w:tcW w:w="2340" w:type="dxa"/>
          </w:tcPr>
          <w:p w14:paraId="5F613558" w14:textId="77777777" w:rsidR="00C83597" w:rsidRPr="000A6C3A" w:rsidRDefault="00C83597" w:rsidP="00C83597">
            <w:pPr>
              <w:spacing w:after="0" w:line="240" w:lineRule="auto"/>
              <w:rPr>
                <w:szCs w:val="24"/>
              </w:rPr>
            </w:pPr>
            <w:r w:rsidRPr="000A6C3A">
              <w:rPr>
                <w:szCs w:val="24"/>
              </w:rPr>
              <w:t>Regional president and country managing directors; quarterly from month 3.</w:t>
            </w:r>
          </w:p>
        </w:tc>
        <w:tc>
          <w:tcPr>
            <w:tcW w:w="2340" w:type="dxa"/>
          </w:tcPr>
          <w:p w14:paraId="2F485AB2" w14:textId="77777777" w:rsidR="00C83597" w:rsidRPr="000A6C3A" w:rsidRDefault="00C83597" w:rsidP="00C83597">
            <w:pPr>
              <w:spacing w:after="0" w:line="240" w:lineRule="auto"/>
              <w:rPr>
                <w:szCs w:val="24"/>
              </w:rPr>
            </w:pPr>
            <w:r w:rsidRPr="000A6C3A">
              <w:rPr>
                <w:szCs w:val="24"/>
              </w:rPr>
              <w:t>Market share; profitability; ZEV mix; lifetime value; retention; trust; substantiation and complaint rates.</w:t>
            </w:r>
          </w:p>
        </w:tc>
        <w:tc>
          <w:tcPr>
            <w:tcW w:w="2339" w:type="dxa"/>
          </w:tcPr>
          <w:p w14:paraId="05CC1D75" w14:textId="322D0801" w:rsidR="00C83597" w:rsidRPr="000A6C3A" w:rsidRDefault="00C83597" w:rsidP="00C83597">
            <w:pPr>
              <w:spacing w:after="0" w:line="240" w:lineRule="auto"/>
              <w:rPr>
                <w:szCs w:val="24"/>
              </w:rPr>
            </w:pPr>
            <w:r w:rsidRPr="00A23144">
              <w:t>Metric overload. Restrict executive action and hold diagnostic pointers on functional level.</w:t>
            </w:r>
          </w:p>
        </w:tc>
      </w:tr>
    </w:tbl>
    <w:p w14:paraId="54D7D4A1" w14:textId="77777777" w:rsidR="00B313B1" w:rsidRDefault="00BB2550" w:rsidP="007C7DA5">
      <w:pPr>
        <w:spacing w:after="120"/>
      </w:pPr>
      <w:r>
        <w:rPr>
          <w:i/>
          <w:sz w:val="20"/>
        </w:rPr>
        <w:t xml:space="preserve">Source: Author recommendations derived from Sections 3-8 and informed by </w:t>
      </w:r>
      <w:proofErr w:type="spellStart"/>
      <w:r>
        <w:rPr>
          <w:i/>
          <w:sz w:val="20"/>
        </w:rPr>
        <w:t>Leonidou</w:t>
      </w:r>
      <w:proofErr w:type="spellEnd"/>
      <w:r>
        <w:rPr>
          <w:i/>
          <w:sz w:val="20"/>
        </w:rPr>
        <w:t xml:space="preserve">, </w:t>
      </w:r>
      <w:proofErr w:type="spellStart"/>
      <w:r>
        <w:rPr>
          <w:i/>
          <w:sz w:val="20"/>
        </w:rPr>
        <w:t>Katsikeas</w:t>
      </w:r>
      <w:proofErr w:type="spellEnd"/>
      <w:r>
        <w:rPr>
          <w:i/>
          <w:sz w:val="20"/>
        </w:rPr>
        <w:t xml:space="preserve"> and Morgan (2013) and Griffith (2021).</w:t>
      </w:r>
    </w:p>
    <w:p w14:paraId="3937C6E7" w14:textId="59EB2214" w:rsidR="00B1741B" w:rsidRDefault="00B1741B" w:rsidP="00B1741B">
      <w:pPr>
        <w:spacing w:after="0"/>
        <w:jc w:val="both"/>
      </w:pPr>
      <w:r>
        <w:t>The ranking is dependent on strategy. The governance of claims ought to commence right away since it secures all campaigns at comparatively low prices. The BEV development in the UK is business critical and investment must be informed by the economics of the segments and not headline registrations. Integration of the omnichannel and lifecycle assurance can in turn minimize the risk of adoption and enhance the electrified-service offer of Toyota. Global minimum standards of evidence, data and ethics should allow flexibility of country teams in their execution.</w:t>
      </w:r>
    </w:p>
    <w:p w14:paraId="7FE34163" w14:textId="2BD65E44" w:rsidR="00B313B1" w:rsidRDefault="00B1741B" w:rsidP="00B1741B">
      <w:pPr>
        <w:spacing w:after="0"/>
        <w:jc w:val="both"/>
      </w:pPr>
      <w:r>
        <w:t>The implementation ought to be in staged gates. The former validates evidence standards and baseline measures and responsible owners, the second validates UK segmentation and dealer location, the third validates customer value, regulatory contribution and margin pre-expansion. Quarterly reviews are needed to differentiate between strategic failure and execution failure as a bad targeting needs a different solution than insufficient training of dealers. The ultimate decision should be based on the performance of the segments, the ability of the retailers, preparedness to charge, retention of services, quality of the claims, profitability and confidence. This would facilitate responsible adaptation, and enable learning to be useful across the markets.</w:t>
      </w:r>
    </w:p>
    <w:p w14:paraId="4C505DE3" w14:textId="77777777" w:rsidR="00B313B1" w:rsidRDefault="00BB2550" w:rsidP="007C7DA5">
      <w:pPr>
        <w:pStyle w:val="Heading2"/>
        <w:spacing w:before="240" w:after="240"/>
      </w:pPr>
      <w:bookmarkStart w:id="19" w:name="_Toc235141384"/>
      <w:r>
        <w:rPr>
          <w:rFonts w:ascii="Times New Roman" w:eastAsia="Times New Roman" w:hAnsi="Times New Roman"/>
        </w:rPr>
        <w:t>10. Conclusion</w:t>
      </w:r>
      <w:bookmarkEnd w:id="19"/>
    </w:p>
    <w:p w14:paraId="422EAF19" w14:textId="12FD558F" w:rsidR="00B313B1" w:rsidRDefault="00BB76D2" w:rsidP="007C7DA5">
      <w:pPr>
        <w:keepLines/>
        <w:spacing w:after="0"/>
        <w:jc w:val="both"/>
      </w:pPr>
      <w:r w:rsidRPr="00BB76D2">
        <w:t>The comparison of Japan and the UK by Toyota indicates that it is through selective adaptation in a disciplined way that international marketing benefits. The consistent heart is a confidence mobility that is backed by quality, safety, reliability, service and responsible evidence. The flexible layer includes portfolio focus, cost-effectiveness, level of information, channel format and marketing message. Japan endorses extensive electrified decision, all-encompassing mobility and consultation-based reassurance. The UK needs to develop BEVs more quickly, provide more effective support through adoption and more unequivocal commitment to zero-emission. The staged entry of Toyota has resulted in the formation of valuable local resources but now such resources have to be used to re-enter the technology. Local relevance to global claims governance, measurable implementation and lifecycle trust, without fragmentation and ethical inconsistency, is proposed as a linkage of the local relevance to the global claims governance.</w:t>
      </w:r>
    </w:p>
    <w:p w14:paraId="14001F90" w14:textId="77777777" w:rsidR="00B313B1" w:rsidRDefault="00BB2550" w:rsidP="007C7DA5">
      <w:r>
        <w:br w:type="page"/>
      </w:r>
    </w:p>
    <w:p w14:paraId="63C783BE" w14:textId="77777777" w:rsidR="00B313B1" w:rsidRDefault="00BB2550" w:rsidP="007C7DA5">
      <w:pPr>
        <w:pStyle w:val="Heading1"/>
        <w:spacing w:before="0" w:after="240"/>
      </w:pPr>
      <w:bookmarkStart w:id="20" w:name="_Toc235141385"/>
      <w:r>
        <w:rPr>
          <w:rFonts w:ascii="Times New Roman" w:eastAsia="Times New Roman" w:hAnsi="Times New Roman"/>
        </w:rPr>
        <w:t>Section 2: Reflective Account Using Gibbs' Reflective Cycle</w:t>
      </w:r>
      <w:bookmarkEnd w:id="20"/>
    </w:p>
    <w:p w14:paraId="78160535" w14:textId="77777777" w:rsidR="00B313B1" w:rsidRDefault="00BB2550" w:rsidP="007C7DA5">
      <w:pPr>
        <w:pStyle w:val="Heading2"/>
        <w:spacing w:before="240" w:after="240"/>
      </w:pPr>
      <w:bookmarkStart w:id="21" w:name="_Toc235141386"/>
      <w:r>
        <w:rPr>
          <w:rFonts w:ascii="Times New Roman" w:eastAsia="Times New Roman" w:hAnsi="Times New Roman"/>
        </w:rPr>
        <w:t>1. Description</w:t>
      </w:r>
      <w:bookmarkEnd w:id="21"/>
    </w:p>
    <w:p w14:paraId="7FD2C5C0" w14:textId="21F75527" w:rsidR="00B313B1" w:rsidRDefault="00E86E52" w:rsidP="007C7DA5">
      <w:pPr>
        <w:spacing w:after="0"/>
        <w:jc w:val="both"/>
      </w:pPr>
      <w:r w:rsidRPr="00E86E52">
        <w:t>I took the assessment as a comparative decision problem and not writing two independent country profiles. I translated the brief into an evidence matrix that comprised of the macro-environment, culture, STP, 7Ps, UK entry, ethics and recommendations. A helpful home-host comparison was provided by Toyota, Japan and the United Kingdom, a registered entry way and a prevailing strain between hybrid might and zero-emission regulation. I collected in layers: academic sources of theory, official sources of policy and statistics, regulator material of ethics, industry evidence of market movement and Toyota sources of observable propositions. I put Gibbs (1988) cycle to investigate the quality of the research process and final judgement.</w:t>
      </w:r>
    </w:p>
    <w:p w14:paraId="53F94E8F" w14:textId="77777777" w:rsidR="00B313B1" w:rsidRDefault="00BB2550" w:rsidP="007C7DA5">
      <w:pPr>
        <w:pStyle w:val="Heading2"/>
        <w:spacing w:before="240" w:after="240"/>
      </w:pPr>
      <w:bookmarkStart w:id="22" w:name="_Toc235141387"/>
      <w:r>
        <w:rPr>
          <w:rFonts w:ascii="Times New Roman" w:eastAsia="Times New Roman" w:hAnsi="Times New Roman"/>
        </w:rPr>
        <w:t>2. Feelings</w:t>
      </w:r>
      <w:bookmarkEnd w:id="22"/>
    </w:p>
    <w:p w14:paraId="1E47AEE0" w14:textId="1774EAEB" w:rsidR="00B313B1" w:rsidRDefault="00E86E52" w:rsidP="007C7DA5">
      <w:pPr>
        <w:spacing w:after="0"/>
        <w:jc w:val="both"/>
      </w:pPr>
      <w:r w:rsidRPr="00E86E52">
        <w:t>Initially I was confident as Toyota has much public information available to it, however there was a risk of regurgitating the story of the company due to the plethora of corporate content. I also had doubts on how to make comparisons between a home market and a host market without making the assumption that all the differences were cultural. The regulatory content was not as straightforward as anticipated since the UK scheme comprises of targets and flexibilities whilst the category of electrification in Japan consists of a number of technologies. The confidence was enhanced by dividing three questions: what Toyota is doing currently, whether the evidence provides that it works and what should change. This did not allow recommendations to be put forward as practice.</w:t>
      </w:r>
    </w:p>
    <w:p w14:paraId="3F0C8292" w14:textId="77777777" w:rsidR="00B313B1" w:rsidRDefault="00BB2550" w:rsidP="007C7DA5">
      <w:pPr>
        <w:pStyle w:val="Heading2"/>
        <w:spacing w:before="240" w:after="240"/>
      </w:pPr>
      <w:bookmarkStart w:id="23" w:name="_Toc235141388"/>
      <w:r>
        <w:rPr>
          <w:rFonts w:ascii="Times New Roman" w:eastAsia="Times New Roman" w:hAnsi="Times New Roman"/>
        </w:rPr>
        <w:t>3. Evaluation</w:t>
      </w:r>
      <w:bookmarkEnd w:id="23"/>
    </w:p>
    <w:p w14:paraId="67188098" w14:textId="77777777" w:rsidR="00E86E52" w:rsidRDefault="00E86E52" w:rsidP="00E86E52">
      <w:pPr>
        <w:spacing w:after="0"/>
        <w:jc w:val="both"/>
      </w:pPr>
      <w:r>
        <w:t xml:space="preserve">The evidence matrix was effective as all the framework findings were required to have a customer or strategic implication. Triangulation was good as well. Toyota sources set finance, warranty, accessibility and retail practices and government, academic and regulator sources put external pressures and limitations to the test. The most insightful observation was the asymmetry in the policy: the multi-pathway ability of Toyota would be more at home in Japan rather than in the UK with its ZEV requirement. Another strength was the introduction of country-specific studies regarding the Japanese hybrid diffusion, the UK charging policy and automotive </w:t>
      </w:r>
      <w:proofErr w:type="spellStart"/>
      <w:r>
        <w:t>omnichannel</w:t>
      </w:r>
      <w:proofErr w:type="spellEnd"/>
      <w:r>
        <w:t xml:space="preserve"> </w:t>
      </w:r>
      <w:proofErr w:type="spellStart"/>
      <w:r>
        <w:t>behaviour</w:t>
      </w:r>
      <w:proofErr w:type="spellEnd"/>
      <w:r>
        <w:t>. These references reduced the reliance of the analysis to the generic marketing theory.</w:t>
      </w:r>
    </w:p>
    <w:p w14:paraId="564E8EC6" w14:textId="320A2927" w:rsidR="00B313B1" w:rsidRDefault="00E86E52" w:rsidP="00E86E52">
      <w:pPr>
        <w:spacing w:after="0"/>
        <w:jc w:val="both"/>
      </w:pPr>
      <w:r>
        <w:t xml:space="preserve">The initial draft was not strong in three aspects. First, some of the 7Ps table employed the term should, which left perceived practice and suggested better confused. Second, the scores of national culture were considered too explicitly as explanations. Third, there were no owners, timeframes and risks of the recommendations. I addressed these shortcomings by setting aside proposals to the implementation section by considering cultural dimensions as a hypothesis and developing a </w:t>
      </w:r>
      <w:proofErr w:type="spellStart"/>
      <w:r>
        <w:t>prioritised</w:t>
      </w:r>
      <w:proofErr w:type="spellEnd"/>
      <w:r>
        <w:t xml:space="preserve"> action table. It was found that the correction enhanced the analytical integrity and usefulness in practice, but some descriptive material had to be eliminated to keep the word count under control.</w:t>
      </w:r>
    </w:p>
    <w:p w14:paraId="1EC836BF" w14:textId="77777777" w:rsidR="00B313B1" w:rsidRDefault="00BB2550" w:rsidP="007C7DA5">
      <w:pPr>
        <w:pStyle w:val="Heading2"/>
        <w:spacing w:before="240" w:after="240"/>
      </w:pPr>
      <w:bookmarkStart w:id="24" w:name="_Toc235141389"/>
      <w:r>
        <w:rPr>
          <w:rFonts w:ascii="Times New Roman" w:eastAsia="Times New Roman" w:hAnsi="Times New Roman"/>
        </w:rPr>
        <w:t>4. Analysis</w:t>
      </w:r>
      <w:bookmarkEnd w:id="24"/>
    </w:p>
    <w:p w14:paraId="4977F574" w14:textId="77777777" w:rsidR="00E86E52" w:rsidRDefault="00E86E52" w:rsidP="00E86E52">
      <w:pPr>
        <w:spacing w:after="0"/>
        <w:jc w:val="both"/>
      </w:pPr>
      <w:r>
        <w:t>It demonstrated that critical analysis is a result of comparison of explanations and evidence, rather than the negative language. To illustrate, the increasing numbers of BEV registrations in the UK can signal opportunity, but forecasts, inequalities in the personal demand and charging indicate that uptake is not an automatic process. On the same note, the fact that Japan has embraced a number of electrified technologies would fit Toyota well, but also could lead to a decrease in the sense of urgency over BEVs. A combination of the two interpretations gave a more defensible approach than the one that chose the pieces of evidence that favored a single conclusion.</w:t>
      </w:r>
    </w:p>
    <w:p w14:paraId="1A1040CE" w14:textId="77777777" w:rsidR="00E86E52" w:rsidRDefault="00E86E52" w:rsidP="00E86E52">
      <w:pPr>
        <w:spacing w:after="0"/>
        <w:jc w:val="both"/>
      </w:pPr>
      <w:r>
        <w:t>I also got to know how to differentiate the legal and my ethical judgment. The ASA declared the Hilux execution as irresponsible in society. It did not give an overall conclusion that the sustainability strategy of Toyota was a lie. Risk and inconsistency were thus discussed using academic greenwashing literature, rather than to give a decision that the regulator failed to do. This difference enhanced precision and proved that critical blame ought to be commensurate to the evidence.</w:t>
      </w:r>
    </w:p>
    <w:p w14:paraId="7C92D442" w14:textId="77777777" w:rsidR="00E86E52" w:rsidRDefault="00E86E52" w:rsidP="00E86E52">
      <w:pPr>
        <w:spacing w:after="0"/>
        <w:jc w:val="both"/>
      </w:pPr>
      <w:r>
        <w:t xml:space="preserve">Another lesson was related to theory. Uppsala and OLI offer a lot of explanation regarding the staged commitment of Toyota in the UK, however, neither of the two fully explains political negotiation, exchange-rate risk or the </w:t>
      </w:r>
      <w:proofErr w:type="spellStart"/>
      <w:r>
        <w:t>signalling</w:t>
      </w:r>
      <w:proofErr w:type="spellEnd"/>
      <w:r>
        <w:t xml:space="preserve"> value of local employment. Hofstede has the ability to arrange questions, but not to substitute the information about the segments. Frameworks were best applied as prisms with limits as opposed to templates that would generate responses. This made me change my method of doing models to testing in which there was a clarification or oversimplification of the case in each model.</w:t>
      </w:r>
    </w:p>
    <w:p w14:paraId="6A2E315E" w14:textId="27E5D560" w:rsidR="00B313B1" w:rsidRDefault="00E86E52" w:rsidP="00E86E52">
      <w:pPr>
        <w:spacing w:after="0"/>
        <w:jc w:val="both"/>
      </w:pPr>
      <w:r>
        <w:t>The 4,400 word limit which had to be managed also altered my opinion regarding relevancy. Since text within tables was counted, I was not able to use frameworks as concise analyses. I was forced to make a choice of which facts changed a marketing decision and to eliminate material that only indicated background reading. This science enhanced synthesis: every retained comparison is now related in evidence, implication and limitation. It also revealed a working conflict. Compares better with detailed tables, dense cells may make it more difficult to read and obscure argument. I thus retained only decision relevant contrasts in the tables and interpreted and contradicted by prose. Next time I will pre-establish section budgets and keep track of the number after each significant revision, as opposed to chopping in an ad hoc manner at the conclusion. This must safeguard depth of analysis and come up with simpler professional communication.</w:t>
      </w:r>
    </w:p>
    <w:p w14:paraId="0928E501" w14:textId="77777777" w:rsidR="00B313B1" w:rsidRDefault="00BB2550" w:rsidP="007C7DA5">
      <w:pPr>
        <w:pStyle w:val="Heading2"/>
        <w:spacing w:before="240" w:after="240"/>
      </w:pPr>
      <w:bookmarkStart w:id="25" w:name="_Toc235141390"/>
      <w:r>
        <w:rPr>
          <w:rFonts w:ascii="Times New Roman" w:eastAsia="Times New Roman" w:hAnsi="Times New Roman"/>
        </w:rPr>
        <w:t>5. Conclusion</w:t>
      </w:r>
      <w:bookmarkEnd w:id="25"/>
    </w:p>
    <w:p w14:paraId="00E60287" w14:textId="1DBF2B76" w:rsidR="00B313B1" w:rsidRDefault="00E86E52" w:rsidP="007C7DA5">
      <w:pPr>
        <w:spacing w:after="0"/>
        <w:jc w:val="both"/>
      </w:pPr>
      <w:r w:rsidRPr="00E86E52">
        <w:t xml:space="preserve">The process that was completed helped me to improve my skills in </w:t>
      </w:r>
      <w:proofErr w:type="spellStart"/>
      <w:r w:rsidRPr="00E86E52">
        <w:t>organising</w:t>
      </w:r>
      <w:proofErr w:type="spellEnd"/>
      <w:r w:rsidRPr="00E86E52">
        <w:t xml:space="preserve"> complex evidence, distinguishing between observation and recommendation and make decisions based on incomplete information. The argument that is the strongest is the selective-adaptation argument since it connects regulation, culture, STP, the 7Ps and implementation. The major weakness is the use of secondary evidence. The conclusions would be reinforced by interviewing customers, observing dealers, pre-testing campaigns and profitability of models. The recommendations also should be financially appraised, which is not available in the evidence.</w:t>
      </w:r>
    </w:p>
    <w:p w14:paraId="12FB9A23" w14:textId="77777777" w:rsidR="00B313B1" w:rsidRDefault="00BB2550" w:rsidP="007C7DA5">
      <w:pPr>
        <w:pStyle w:val="Heading2"/>
        <w:spacing w:before="240" w:after="240"/>
      </w:pPr>
      <w:bookmarkStart w:id="26" w:name="_Toc235141391"/>
      <w:r>
        <w:rPr>
          <w:rFonts w:ascii="Times New Roman" w:eastAsia="Times New Roman" w:hAnsi="Times New Roman"/>
        </w:rPr>
        <w:t>6. Action Plan</w:t>
      </w:r>
      <w:bookmarkEnd w:id="26"/>
    </w:p>
    <w:p w14:paraId="2841AECC" w14:textId="3E88B76D" w:rsidR="00B313B1" w:rsidRDefault="00E86E52" w:rsidP="00332A48">
      <w:pPr>
        <w:spacing w:after="0"/>
        <w:jc w:val="both"/>
      </w:pPr>
      <w:r w:rsidRPr="00E86E52">
        <w:t>To work in the future, I will write a source protocol prior to writing. All claims will be labeled as theory, current fact, company action, independent outcome or interpretation and geography, date and limitation will be recorded. To ensure each of the framework results has a decision implication and counterargument, I will construct an argument map. The culture will be compared to the segment level evidence. The owner, sequence, measure, risk and dependency will always be mentioned in the recommendations. Lastly, I will set aside distinct quality checks that are citation-reference matching, up-to-date information, word count, formatting and ethical language. This method will ensure that the research is more efficient, transparent and actionable by the profession.</w:t>
      </w:r>
      <w:r w:rsidR="00BB2550">
        <w:br w:type="page"/>
      </w:r>
    </w:p>
    <w:p w14:paraId="7ADB8373" w14:textId="77777777" w:rsidR="00B313B1" w:rsidRDefault="00BB2550">
      <w:pPr>
        <w:pStyle w:val="Heading1"/>
        <w:spacing w:before="0" w:after="240"/>
      </w:pPr>
      <w:bookmarkStart w:id="27" w:name="_Toc235141392"/>
      <w:r>
        <w:rPr>
          <w:rFonts w:ascii="Times New Roman" w:eastAsia="Times New Roman" w:hAnsi="Times New Roman"/>
        </w:rPr>
        <w:t>Reference List</w:t>
      </w:r>
      <w:bookmarkEnd w:id="27"/>
    </w:p>
    <w:p w14:paraId="524ECD96" w14:textId="77777777" w:rsidR="00B313B1" w:rsidRDefault="00BB2550" w:rsidP="00E20365">
      <w:pPr>
        <w:spacing w:after="120"/>
        <w:ind w:left="720" w:hanging="720"/>
        <w:jc w:val="both"/>
      </w:pPr>
      <w:r>
        <w:rPr>
          <w:sz w:val="22"/>
        </w:rPr>
        <w:t xml:space="preserve">Advertising Standards Authority (2023) 'ASA ruling on Toyota (GB) plc', 22 November. Available at: </w:t>
      </w:r>
      <w:hyperlink r:id="rId9">
        <w:r>
          <w:rPr>
            <w:sz w:val="22"/>
          </w:rPr>
          <w:t>https://www.asa.org.uk/rulings/toyota--gb--plc-a23-1191673-toyota--gb--plc.html</w:t>
        </w:r>
      </w:hyperlink>
      <w:r>
        <w:rPr>
          <w:sz w:val="22"/>
        </w:rPr>
        <w:t xml:space="preserve"> (Accessed: 16 July 2026).</w:t>
      </w:r>
    </w:p>
    <w:p w14:paraId="3431C23E" w14:textId="77777777" w:rsidR="00B313B1" w:rsidRDefault="00BB2550" w:rsidP="00E20365">
      <w:pPr>
        <w:spacing w:after="120"/>
        <w:ind w:left="720" w:hanging="720"/>
        <w:jc w:val="both"/>
      </w:pPr>
      <w:r>
        <w:rPr>
          <w:sz w:val="22"/>
        </w:rPr>
        <w:t xml:space="preserve">Agency for Natural Resources and Energy (2024) 'Subsidies upgraded for the purchase of clean energy vehicles toward the </w:t>
      </w:r>
      <w:proofErr w:type="spellStart"/>
      <w:r>
        <w:rPr>
          <w:sz w:val="22"/>
        </w:rPr>
        <w:t>realisation</w:t>
      </w:r>
      <w:proofErr w:type="spellEnd"/>
      <w:r>
        <w:rPr>
          <w:sz w:val="22"/>
        </w:rPr>
        <w:t xml:space="preserve"> of GX in the automobile sector'. Available at: </w:t>
      </w:r>
      <w:hyperlink r:id="rId10">
        <w:r>
          <w:rPr>
            <w:sz w:val="22"/>
          </w:rPr>
          <w:t>https://www.enecho.meti.go.jp/en/category/special/article/detail_199.html</w:t>
        </w:r>
      </w:hyperlink>
      <w:r>
        <w:rPr>
          <w:sz w:val="22"/>
        </w:rPr>
        <w:t xml:space="preserve"> (Accessed: 16 July 2026).</w:t>
      </w:r>
    </w:p>
    <w:p w14:paraId="73F59AB0" w14:textId="77777777" w:rsidR="00B313B1" w:rsidRDefault="00BB2550" w:rsidP="00E20365">
      <w:pPr>
        <w:spacing w:after="120"/>
        <w:ind w:left="720" w:hanging="720"/>
        <w:jc w:val="both"/>
      </w:pPr>
      <w:r>
        <w:rPr>
          <w:sz w:val="22"/>
        </w:rPr>
        <w:t xml:space="preserve">Agency for Natural Resources and Energy (2025) The Seventh Strategic Energy Plan. Tokyo: Ministry of Economy, Trade and Industry. Available at: </w:t>
      </w:r>
      <w:hyperlink r:id="rId11">
        <w:r>
          <w:rPr>
            <w:sz w:val="22"/>
          </w:rPr>
          <w:t>https://www.enecho.meti.go.jp/category/others/basic_plan/pdf/2025_strategic_energy_plan.pdf</w:t>
        </w:r>
      </w:hyperlink>
      <w:r>
        <w:rPr>
          <w:sz w:val="22"/>
        </w:rPr>
        <w:t xml:space="preserve"> (Accessed: 16 July 2026).</w:t>
      </w:r>
    </w:p>
    <w:p w14:paraId="303C4DCC" w14:textId="77777777" w:rsidR="00B313B1" w:rsidRDefault="00BB2550" w:rsidP="00E20365">
      <w:pPr>
        <w:spacing w:after="120"/>
        <w:ind w:left="720" w:hanging="720"/>
        <w:jc w:val="both"/>
      </w:pPr>
      <w:r>
        <w:rPr>
          <w:sz w:val="22"/>
        </w:rPr>
        <w:t xml:space="preserve">Albrecht, M.G., Green, M. and Hoffman, L. (2023) Principles of Marketing. Houston, TX: OpenStax. Available at: </w:t>
      </w:r>
      <w:hyperlink r:id="rId12">
        <w:r>
          <w:rPr>
            <w:sz w:val="22"/>
          </w:rPr>
          <w:t>https://openstax.org/details/books/principles-marketing</w:t>
        </w:r>
      </w:hyperlink>
      <w:r>
        <w:rPr>
          <w:sz w:val="22"/>
        </w:rPr>
        <w:t xml:space="preserve"> (Accessed: 16 July 2026).</w:t>
      </w:r>
    </w:p>
    <w:p w14:paraId="14814854" w14:textId="77777777" w:rsidR="00B313B1" w:rsidRDefault="00BB2550" w:rsidP="00E20365">
      <w:pPr>
        <w:spacing w:after="120"/>
        <w:ind w:left="720" w:hanging="720"/>
        <w:jc w:val="both"/>
      </w:pPr>
      <w:r>
        <w:rPr>
          <w:sz w:val="22"/>
        </w:rPr>
        <w:t xml:space="preserve">Committee of Advertising Practice (2025) The CAP Code: The UK Code of Non-broadcast Advertising and Direct and Promotional Marketing. Available at: </w:t>
      </w:r>
      <w:hyperlink r:id="rId13">
        <w:r>
          <w:rPr>
            <w:sz w:val="22"/>
          </w:rPr>
          <w:t>https://www.asa.org.uk/codes-and-rulings/advertising-codes/non-broadcast-code.html</w:t>
        </w:r>
      </w:hyperlink>
      <w:r>
        <w:rPr>
          <w:sz w:val="22"/>
        </w:rPr>
        <w:t xml:space="preserve"> (Accessed: 16 July 2026).</w:t>
      </w:r>
    </w:p>
    <w:p w14:paraId="3EC0815A" w14:textId="77777777" w:rsidR="00B313B1" w:rsidRDefault="00BB2550" w:rsidP="00E20365">
      <w:pPr>
        <w:spacing w:after="120"/>
        <w:ind w:left="720" w:hanging="720"/>
        <w:jc w:val="both"/>
      </w:pPr>
      <w:r>
        <w:rPr>
          <w:sz w:val="22"/>
        </w:rPr>
        <w:t xml:space="preserve">de Freitas </w:t>
      </w:r>
      <w:proofErr w:type="spellStart"/>
      <w:r>
        <w:rPr>
          <w:sz w:val="22"/>
        </w:rPr>
        <w:t>Netto</w:t>
      </w:r>
      <w:proofErr w:type="spellEnd"/>
      <w:r>
        <w:rPr>
          <w:sz w:val="22"/>
        </w:rPr>
        <w:t xml:space="preserve">, S.V., </w:t>
      </w:r>
      <w:proofErr w:type="spellStart"/>
      <w:r>
        <w:rPr>
          <w:sz w:val="22"/>
        </w:rPr>
        <w:t>Sobral</w:t>
      </w:r>
      <w:proofErr w:type="spellEnd"/>
      <w:r>
        <w:rPr>
          <w:sz w:val="22"/>
        </w:rPr>
        <w:t xml:space="preserve">, M.F.F., Ribeiro, A.R.B. and Soares, G.R.L. (2020) 'Concepts and forms of greenwashing: A systematic review', Environmental Sciences Europe, 32, 19. Available at: </w:t>
      </w:r>
      <w:hyperlink r:id="rId14">
        <w:r>
          <w:rPr>
            <w:sz w:val="22"/>
          </w:rPr>
          <w:t>https://doi.org/10.1186/s12302-020-0300-3</w:t>
        </w:r>
      </w:hyperlink>
      <w:r>
        <w:rPr>
          <w:sz w:val="22"/>
        </w:rPr>
        <w:t xml:space="preserve"> (Accessed: 16 July 2026).</w:t>
      </w:r>
    </w:p>
    <w:p w14:paraId="7A2F346E" w14:textId="77777777" w:rsidR="00B313B1" w:rsidRDefault="00BB2550" w:rsidP="00E20365">
      <w:pPr>
        <w:spacing w:after="120"/>
        <w:ind w:left="720" w:hanging="720"/>
        <w:jc w:val="both"/>
      </w:pPr>
      <w:r>
        <w:rPr>
          <w:sz w:val="22"/>
        </w:rPr>
        <w:t xml:space="preserve">Department for Transport (2026a) The Vehicle Emissions Trading Schemes: How to Comply. London: Department for Transport. Available at: </w:t>
      </w:r>
      <w:hyperlink r:id="rId15">
        <w:r>
          <w:rPr>
            <w:sz w:val="22"/>
          </w:rPr>
          <w:t>https://assets.publishing.service.gov.uk/media/6a4233648cbc951a27d80d99/vets-how-to-comply.pdf</w:t>
        </w:r>
      </w:hyperlink>
      <w:r>
        <w:rPr>
          <w:sz w:val="22"/>
        </w:rPr>
        <w:t xml:space="preserve"> (Accessed: 16 July 2026).</w:t>
      </w:r>
    </w:p>
    <w:p w14:paraId="7FFB5EE3" w14:textId="77777777" w:rsidR="00B313B1" w:rsidRDefault="00BB2550" w:rsidP="00E20365">
      <w:pPr>
        <w:spacing w:after="120"/>
        <w:ind w:left="720" w:hanging="720"/>
        <w:jc w:val="both"/>
      </w:pPr>
      <w:r>
        <w:rPr>
          <w:sz w:val="22"/>
        </w:rPr>
        <w:t xml:space="preserve">Department for Transport (2026b) 'Public electric vehicle charging infrastructure statistics: 1 April 2026', 21 May. Available at: </w:t>
      </w:r>
      <w:hyperlink r:id="rId16">
        <w:r>
          <w:rPr>
            <w:sz w:val="22"/>
          </w:rPr>
          <w:t>https://www.gov.uk/government/statistics/electric-vehicle-charging-infrastructure-statistics-1-april-2026/public-electric-vehicle-charging-infrastructure-statistics-1-april-2026</w:t>
        </w:r>
      </w:hyperlink>
      <w:r>
        <w:rPr>
          <w:sz w:val="22"/>
        </w:rPr>
        <w:t xml:space="preserve"> (Accessed: 16 July 2026).</w:t>
      </w:r>
    </w:p>
    <w:p w14:paraId="69741F47" w14:textId="77777777" w:rsidR="00B313B1" w:rsidRDefault="00BB2550" w:rsidP="00E20365">
      <w:pPr>
        <w:spacing w:after="120"/>
        <w:ind w:left="720" w:hanging="720"/>
        <w:jc w:val="both"/>
      </w:pPr>
      <w:proofErr w:type="spellStart"/>
      <w:r>
        <w:rPr>
          <w:sz w:val="22"/>
        </w:rPr>
        <w:t>Gerea</w:t>
      </w:r>
      <w:proofErr w:type="spellEnd"/>
      <w:r>
        <w:rPr>
          <w:sz w:val="22"/>
        </w:rPr>
        <w:t xml:space="preserve">, C., Gonzalez-Lopez, F. and </w:t>
      </w:r>
      <w:proofErr w:type="spellStart"/>
      <w:r>
        <w:rPr>
          <w:sz w:val="22"/>
        </w:rPr>
        <w:t>Herskovic</w:t>
      </w:r>
      <w:proofErr w:type="spellEnd"/>
      <w:r>
        <w:rPr>
          <w:sz w:val="22"/>
        </w:rPr>
        <w:t xml:space="preserve">, V. (2021) 'Omnichannel customer experience and management: An integrative review and research agenda', Sustainability, 13(5), 2824. Available at: </w:t>
      </w:r>
      <w:hyperlink r:id="rId17">
        <w:r>
          <w:rPr>
            <w:sz w:val="22"/>
          </w:rPr>
          <w:t>https://doi.org/10.3390/su13052824</w:t>
        </w:r>
      </w:hyperlink>
      <w:r>
        <w:rPr>
          <w:sz w:val="22"/>
        </w:rPr>
        <w:t xml:space="preserve"> (Accessed: 16 July 2026).</w:t>
      </w:r>
    </w:p>
    <w:p w14:paraId="26E0C787" w14:textId="77777777" w:rsidR="00B313B1" w:rsidRDefault="00BB2550" w:rsidP="00E20365">
      <w:pPr>
        <w:spacing w:after="120"/>
        <w:ind w:left="720" w:hanging="720"/>
        <w:jc w:val="both"/>
      </w:pPr>
      <w:r>
        <w:rPr>
          <w:sz w:val="22"/>
        </w:rPr>
        <w:t xml:space="preserve">Gibbs, G. (1988) Learning by Doing: A Guide to Teaching and Learning Methods. Oxford: Further Education Unit, Oxford Polytechnic. Available at: </w:t>
      </w:r>
      <w:hyperlink r:id="rId18">
        <w:r>
          <w:rPr>
            <w:sz w:val="22"/>
          </w:rPr>
          <w:t>https://thoughtsmostlyaboutlearning.files.wordpress.com/2015/12/learning-by-doing-graham-gibbs.pdf</w:t>
        </w:r>
      </w:hyperlink>
      <w:r>
        <w:rPr>
          <w:sz w:val="22"/>
        </w:rPr>
        <w:t xml:space="preserve"> (Accessed: 16 July 2026).</w:t>
      </w:r>
    </w:p>
    <w:p w14:paraId="18534CA1" w14:textId="77777777" w:rsidR="00B313B1" w:rsidRDefault="00BB2550" w:rsidP="00E20365">
      <w:pPr>
        <w:spacing w:after="120"/>
        <w:ind w:left="720" w:hanging="720"/>
        <w:jc w:val="both"/>
      </w:pPr>
      <w:r>
        <w:rPr>
          <w:sz w:val="22"/>
        </w:rPr>
        <w:t xml:space="preserve">Griffith, D.A. (2021) 'Connecting sustainable marketing and international marketing strategy </w:t>
      </w:r>
      <w:proofErr w:type="spellStart"/>
      <w:r>
        <w:rPr>
          <w:sz w:val="22"/>
        </w:rPr>
        <w:t>standardisation</w:t>
      </w:r>
      <w:proofErr w:type="spellEnd"/>
      <w:r>
        <w:rPr>
          <w:sz w:val="22"/>
        </w:rPr>
        <w:t xml:space="preserve">/adaptation: Research opportunities', Journal of Sustainable Marketing, 2(2). Available at: </w:t>
      </w:r>
      <w:hyperlink r:id="rId19">
        <w:r>
          <w:rPr>
            <w:sz w:val="22"/>
          </w:rPr>
          <w:t>https://luminousinsights.net/insights/content/doi/597021657074350.pdf</w:t>
        </w:r>
      </w:hyperlink>
      <w:r>
        <w:rPr>
          <w:sz w:val="22"/>
        </w:rPr>
        <w:t xml:space="preserve"> (Accessed: 16 July 2026).</w:t>
      </w:r>
    </w:p>
    <w:p w14:paraId="4EAF7402" w14:textId="77777777" w:rsidR="00B313B1" w:rsidRDefault="00BB2550" w:rsidP="00E20365">
      <w:pPr>
        <w:spacing w:after="120"/>
        <w:ind w:left="720" w:hanging="720"/>
        <w:jc w:val="both"/>
      </w:pPr>
      <w:r>
        <w:rPr>
          <w:sz w:val="22"/>
        </w:rPr>
        <w:t xml:space="preserve">International Monetary Fund (2026a) Japan: 2026 Article IV Consultation. IMF Country Report No. 26/75. Washington, DC: International Monetary Fund. Available at: </w:t>
      </w:r>
      <w:hyperlink r:id="rId20">
        <w:r>
          <w:rPr>
            <w:sz w:val="22"/>
          </w:rPr>
          <w:t>https://www.imf.org/-/media/files/publications/cr/2026/english/1jpnea2026001.pdf</w:t>
        </w:r>
      </w:hyperlink>
      <w:r>
        <w:rPr>
          <w:sz w:val="22"/>
        </w:rPr>
        <w:t xml:space="preserve"> (Accessed: 16 July 2026).</w:t>
      </w:r>
    </w:p>
    <w:p w14:paraId="3C02616B" w14:textId="77777777" w:rsidR="00B313B1" w:rsidRDefault="00BB2550" w:rsidP="00E20365">
      <w:pPr>
        <w:spacing w:after="120"/>
        <w:ind w:left="720" w:hanging="720"/>
        <w:jc w:val="both"/>
      </w:pPr>
      <w:r>
        <w:rPr>
          <w:sz w:val="22"/>
        </w:rPr>
        <w:t xml:space="preserve">International Monetary Fund (2026b) 'United Kingdom: Staff concluding statement of the 2026 Article IV mission', 18 May. Available at: </w:t>
      </w:r>
      <w:hyperlink r:id="rId21">
        <w:r>
          <w:rPr>
            <w:sz w:val="22"/>
          </w:rPr>
          <w:t>https://www.imf.org/en/news/articles/2026/05/18/pr26154-united-kingdom-staff-concluding-statement-of-the-2026-article-iv-mission</w:t>
        </w:r>
      </w:hyperlink>
      <w:r>
        <w:rPr>
          <w:sz w:val="22"/>
        </w:rPr>
        <w:t xml:space="preserve"> (Accessed: 16 July 2026).</w:t>
      </w:r>
    </w:p>
    <w:p w14:paraId="426026E7" w14:textId="77777777" w:rsidR="00B313B1" w:rsidRDefault="00BB2550" w:rsidP="00E20365">
      <w:pPr>
        <w:spacing w:after="120"/>
        <w:ind w:left="720" w:hanging="720"/>
        <w:jc w:val="both"/>
      </w:pPr>
      <w:r>
        <w:rPr>
          <w:sz w:val="22"/>
        </w:rPr>
        <w:t xml:space="preserve">KINTO (2026) 'KINTO ONE: Car subscription and leasing service'. Available at: </w:t>
      </w:r>
      <w:hyperlink r:id="rId22">
        <w:r>
          <w:rPr>
            <w:sz w:val="22"/>
          </w:rPr>
          <w:t>https://kinto-jp.com/kinto_one/</w:t>
        </w:r>
      </w:hyperlink>
      <w:r>
        <w:rPr>
          <w:sz w:val="22"/>
        </w:rPr>
        <w:t xml:space="preserve"> (Accessed: 16 July 2026).</w:t>
      </w:r>
    </w:p>
    <w:p w14:paraId="7DC14E5F" w14:textId="77777777" w:rsidR="00B313B1" w:rsidRDefault="00BB2550" w:rsidP="00E20365">
      <w:pPr>
        <w:spacing w:after="120"/>
        <w:ind w:left="720" w:hanging="720"/>
        <w:jc w:val="both"/>
      </w:pPr>
      <w:r>
        <w:rPr>
          <w:sz w:val="22"/>
        </w:rPr>
        <w:t xml:space="preserve">Kraemer, K., Ritz, J. and de Cárdenas López, R. (2018) Practical Application of the Uppsala Internationalization Model: Lessons from 8 Case Studies. Munich Business School Working Paper 2018-04. Available at: </w:t>
      </w:r>
      <w:hyperlink r:id="rId23">
        <w:r>
          <w:rPr>
            <w:sz w:val="22"/>
          </w:rPr>
          <w:t>https://www.munich-business-school.de/fileadmin/MBS_Daten/Downloads/Forschung/Working_Papers/mbs-wp-2018-04.pdf</w:t>
        </w:r>
      </w:hyperlink>
      <w:r>
        <w:rPr>
          <w:sz w:val="22"/>
        </w:rPr>
        <w:t xml:space="preserve"> (Accessed: 16 July 2026).</w:t>
      </w:r>
    </w:p>
    <w:p w14:paraId="7BE88646" w14:textId="77777777" w:rsidR="00B313B1" w:rsidRDefault="00BB2550" w:rsidP="00E20365">
      <w:pPr>
        <w:spacing w:after="120"/>
        <w:ind w:left="720" w:hanging="720"/>
        <w:jc w:val="both"/>
      </w:pPr>
      <w:proofErr w:type="spellStart"/>
      <w:r>
        <w:rPr>
          <w:sz w:val="22"/>
        </w:rPr>
        <w:t>Leonidou</w:t>
      </w:r>
      <w:proofErr w:type="spellEnd"/>
      <w:r>
        <w:rPr>
          <w:sz w:val="22"/>
        </w:rPr>
        <w:t xml:space="preserve">, C.N., </w:t>
      </w:r>
      <w:proofErr w:type="spellStart"/>
      <w:r>
        <w:rPr>
          <w:sz w:val="22"/>
        </w:rPr>
        <w:t>Katsikeas</w:t>
      </w:r>
      <w:proofErr w:type="spellEnd"/>
      <w:r>
        <w:rPr>
          <w:sz w:val="22"/>
        </w:rPr>
        <w:t xml:space="preserve">, C.S. and Morgan, N.A. (2013) 'Greening the marketing mix: Do firms do it and does it pay off?', Journal of the Academy of Marketing Science, 41(2), pp. 151-170. Available at: </w:t>
      </w:r>
      <w:hyperlink r:id="rId24">
        <w:r>
          <w:rPr>
            <w:sz w:val="22"/>
          </w:rPr>
          <w:t>https://eprints.whiterose.ac.uk/id/eprint/85911/</w:t>
        </w:r>
      </w:hyperlink>
      <w:r>
        <w:rPr>
          <w:sz w:val="22"/>
        </w:rPr>
        <w:t xml:space="preserve"> (Accessed: 16 July 2026).</w:t>
      </w:r>
    </w:p>
    <w:p w14:paraId="22741DB3" w14:textId="77777777" w:rsidR="00B313B1" w:rsidRDefault="00BB2550" w:rsidP="00E20365">
      <w:pPr>
        <w:spacing w:after="120"/>
        <w:ind w:left="720" w:hanging="720"/>
        <w:jc w:val="both"/>
      </w:pPr>
      <w:proofErr w:type="spellStart"/>
      <w:r>
        <w:rPr>
          <w:sz w:val="22"/>
        </w:rPr>
        <w:t>Mandler</w:t>
      </w:r>
      <w:proofErr w:type="spellEnd"/>
      <w:r>
        <w:rPr>
          <w:sz w:val="22"/>
        </w:rPr>
        <w:t xml:space="preserve">, T., </w:t>
      </w:r>
      <w:proofErr w:type="spellStart"/>
      <w:r>
        <w:rPr>
          <w:sz w:val="22"/>
        </w:rPr>
        <w:t>Sezen</w:t>
      </w:r>
      <w:proofErr w:type="spellEnd"/>
      <w:r>
        <w:rPr>
          <w:sz w:val="22"/>
        </w:rPr>
        <w:t xml:space="preserve">, B., Chen, J. and </w:t>
      </w:r>
      <w:proofErr w:type="spellStart"/>
      <w:r>
        <w:rPr>
          <w:sz w:val="22"/>
        </w:rPr>
        <w:t>Özsomer</w:t>
      </w:r>
      <w:proofErr w:type="spellEnd"/>
      <w:r>
        <w:rPr>
          <w:sz w:val="22"/>
        </w:rPr>
        <w:t xml:space="preserve">, A. (2021) 'Performance consequences of marketing standardization/adaptation: A systematic literature review and future research agenda', Journal of Business Research, 125, pp. 416-435. Available at: </w:t>
      </w:r>
      <w:hyperlink r:id="rId25">
        <w:r>
          <w:rPr>
            <w:sz w:val="22"/>
          </w:rPr>
          <w:t>https://eprints.whiterose.ac.uk/id/eprint/170999/</w:t>
        </w:r>
      </w:hyperlink>
      <w:r>
        <w:rPr>
          <w:sz w:val="22"/>
        </w:rPr>
        <w:t xml:space="preserve"> (Accessed: 16 July 2026).</w:t>
      </w:r>
    </w:p>
    <w:p w14:paraId="5BA40FA7" w14:textId="77777777" w:rsidR="00B313B1" w:rsidRDefault="00BB2550" w:rsidP="00E20365">
      <w:pPr>
        <w:spacing w:after="120"/>
        <w:ind w:left="720" w:hanging="720"/>
        <w:jc w:val="both"/>
      </w:pPr>
      <w:r>
        <w:rPr>
          <w:sz w:val="22"/>
        </w:rPr>
        <w:t xml:space="preserve">Matsumoto, K., </w:t>
      </w:r>
      <w:proofErr w:type="spellStart"/>
      <w:r>
        <w:rPr>
          <w:sz w:val="22"/>
        </w:rPr>
        <w:t>Nakamine</w:t>
      </w:r>
      <w:proofErr w:type="spellEnd"/>
      <w:r>
        <w:rPr>
          <w:sz w:val="22"/>
        </w:rPr>
        <w:t xml:space="preserve">, Y., Eom, S. and Kato, H. (2021) 'Demographic, social, economic and regional factors affecting the diffusion of hybrid electric vehicles in Japan', Energies, 14(8), 2130. Available at: </w:t>
      </w:r>
      <w:hyperlink r:id="rId26">
        <w:r>
          <w:rPr>
            <w:sz w:val="22"/>
          </w:rPr>
          <w:t>https://doi.org/10.3390/en14082130</w:t>
        </w:r>
      </w:hyperlink>
      <w:r>
        <w:rPr>
          <w:sz w:val="22"/>
        </w:rPr>
        <w:t xml:space="preserve"> (Accessed: 16 July 2026).</w:t>
      </w:r>
    </w:p>
    <w:p w14:paraId="3FF95947" w14:textId="77777777" w:rsidR="00B313B1" w:rsidRDefault="00BB2550" w:rsidP="00E20365">
      <w:pPr>
        <w:spacing w:after="120"/>
        <w:ind w:left="720" w:hanging="720"/>
        <w:jc w:val="both"/>
      </w:pPr>
      <w:r>
        <w:rPr>
          <w:sz w:val="22"/>
        </w:rPr>
        <w:t xml:space="preserve">McSweeney, B. (2023) 'Hofstede's imagined cultures'. SSRN Electronic Journal. Available at: </w:t>
      </w:r>
      <w:hyperlink r:id="rId27">
        <w:r>
          <w:rPr>
            <w:sz w:val="22"/>
          </w:rPr>
          <w:t>https://doi.org/10.2139/ssrn.4564829</w:t>
        </w:r>
      </w:hyperlink>
      <w:r>
        <w:rPr>
          <w:sz w:val="22"/>
        </w:rPr>
        <w:t xml:space="preserve"> (Accessed: 16 July 2026).</w:t>
      </w:r>
    </w:p>
    <w:p w14:paraId="5BE2C9F0" w14:textId="77777777" w:rsidR="00B313B1" w:rsidRDefault="00BB2550" w:rsidP="00E20365">
      <w:pPr>
        <w:spacing w:after="120"/>
        <w:ind w:left="720" w:hanging="720"/>
        <w:jc w:val="both"/>
      </w:pPr>
      <w:r>
        <w:rPr>
          <w:sz w:val="22"/>
        </w:rPr>
        <w:t xml:space="preserve">Munjal, S. (2017) 'The eclectic paradigm: A framework for synthesizing and comparing theories of international business from different disciplines or perspectives', Transnational Corporations, 24(2), pp. 117-124. Available at: </w:t>
      </w:r>
      <w:hyperlink r:id="rId28">
        <w:r>
          <w:rPr>
            <w:sz w:val="22"/>
          </w:rPr>
          <w:t>https://unctad.org/system/files/official-document/diaeia2017d3a6_en.pdf</w:t>
        </w:r>
      </w:hyperlink>
      <w:r>
        <w:rPr>
          <w:sz w:val="22"/>
        </w:rPr>
        <w:t xml:space="preserve"> (Accessed: 16 July 2026).</w:t>
      </w:r>
    </w:p>
    <w:p w14:paraId="2669F187" w14:textId="77777777" w:rsidR="00B313B1" w:rsidRDefault="00BB2550" w:rsidP="00E20365">
      <w:pPr>
        <w:spacing w:after="120"/>
        <w:ind w:left="720" w:hanging="720"/>
        <w:jc w:val="both"/>
      </w:pPr>
      <w:r>
        <w:rPr>
          <w:sz w:val="22"/>
        </w:rPr>
        <w:t xml:space="preserve">Office for National Statistics (2026) 'Consumer price inflation, UK: May 2026'. Available at: </w:t>
      </w:r>
      <w:hyperlink r:id="rId29">
        <w:r>
          <w:rPr>
            <w:sz w:val="22"/>
          </w:rPr>
          <w:t>https://www.ons.gov.uk/economy/inflationandpriceindices/bulletins/consumerpriceinflation/may2026</w:t>
        </w:r>
      </w:hyperlink>
      <w:r>
        <w:rPr>
          <w:sz w:val="22"/>
        </w:rPr>
        <w:t xml:space="preserve"> (Accessed: 16 July 2026).</w:t>
      </w:r>
    </w:p>
    <w:p w14:paraId="49638CC1" w14:textId="77777777" w:rsidR="00B313B1" w:rsidRDefault="00BB2550" w:rsidP="00E20365">
      <w:pPr>
        <w:spacing w:after="120"/>
        <w:ind w:left="720" w:hanging="720"/>
        <w:jc w:val="both"/>
      </w:pPr>
      <w:proofErr w:type="spellStart"/>
      <w:r>
        <w:rPr>
          <w:sz w:val="22"/>
        </w:rPr>
        <w:t>Pamidimukkala</w:t>
      </w:r>
      <w:proofErr w:type="spellEnd"/>
      <w:r>
        <w:rPr>
          <w:sz w:val="22"/>
        </w:rPr>
        <w:t xml:space="preserve">, A., </w:t>
      </w:r>
      <w:proofErr w:type="spellStart"/>
      <w:r>
        <w:rPr>
          <w:sz w:val="22"/>
        </w:rPr>
        <w:t>Kermanshachi</w:t>
      </w:r>
      <w:proofErr w:type="spellEnd"/>
      <w:r>
        <w:rPr>
          <w:sz w:val="22"/>
        </w:rPr>
        <w:t xml:space="preserve">, S., Rosenberger, J.M. and </w:t>
      </w:r>
      <w:proofErr w:type="spellStart"/>
      <w:r>
        <w:rPr>
          <w:sz w:val="22"/>
        </w:rPr>
        <w:t>Hladik</w:t>
      </w:r>
      <w:proofErr w:type="spellEnd"/>
      <w:r>
        <w:rPr>
          <w:sz w:val="22"/>
        </w:rPr>
        <w:t xml:space="preserve">, G. (2024) 'Barriers and motivators to the adoption of electric vehicles: A global review', Green Energy and Intelligent Transportation, 3(2), 100153. Available at: </w:t>
      </w:r>
      <w:hyperlink r:id="rId30">
        <w:r>
          <w:rPr>
            <w:sz w:val="22"/>
          </w:rPr>
          <w:t>https://doi.org/10.1016/j.geits.2024.100153</w:t>
        </w:r>
      </w:hyperlink>
      <w:r>
        <w:rPr>
          <w:sz w:val="22"/>
        </w:rPr>
        <w:t xml:space="preserve"> (Accessed: 16 July 2026).</w:t>
      </w:r>
    </w:p>
    <w:p w14:paraId="0B1B913F" w14:textId="77777777" w:rsidR="00B313B1" w:rsidRDefault="00BB2550" w:rsidP="00E20365">
      <w:pPr>
        <w:spacing w:after="120"/>
        <w:ind w:left="720" w:hanging="720"/>
        <w:jc w:val="both"/>
      </w:pPr>
      <w:r>
        <w:rPr>
          <w:sz w:val="22"/>
        </w:rPr>
        <w:t xml:space="preserve">Statistics Bureau of Japan (2025) 'Current population estimates as of 1 October 2024'. Available at: </w:t>
      </w:r>
      <w:hyperlink r:id="rId31">
        <w:r>
          <w:rPr>
            <w:sz w:val="22"/>
          </w:rPr>
          <w:t>https://www.stat.go.jp/english/data/jinsui/2024np/index.html</w:t>
        </w:r>
      </w:hyperlink>
      <w:r>
        <w:rPr>
          <w:sz w:val="22"/>
        </w:rPr>
        <w:t xml:space="preserve"> (Accessed: 16 July 2026).</w:t>
      </w:r>
    </w:p>
    <w:p w14:paraId="3B9FDC27" w14:textId="77777777" w:rsidR="00B313B1" w:rsidRDefault="00BB2550" w:rsidP="00E20365">
      <w:pPr>
        <w:spacing w:after="120"/>
        <w:ind w:left="720" w:hanging="720"/>
        <w:jc w:val="both"/>
      </w:pPr>
      <w:r>
        <w:rPr>
          <w:sz w:val="22"/>
        </w:rPr>
        <w:t xml:space="preserve">Statistics Bureau of Japan (2026) 'Latest indicators'. Available at: </w:t>
      </w:r>
      <w:hyperlink r:id="rId32">
        <w:r>
          <w:rPr>
            <w:sz w:val="22"/>
          </w:rPr>
          <w:t>https://www.stat.go.jp/english/</w:t>
        </w:r>
      </w:hyperlink>
      <w:r>
        <w:rPr>
          <w:sz w:val="22"/>
        </w:rPr>
        <w:t xml:space="preserve"> (Accessed: 16 July 2026).</w:t>
      </w:r>
    </w:p>
    <w:p w14:paraId="7ECD9BD5" w14:textId="77777777" w:rsidR="00B313B1" w:rsidRDefault="00BB2550" w:rsidP="00E20365">
      <w:pPr>
        <w:spacing w:after="120"/>
        <w:ind w:left="720" w:hanging="720"/>
        <w:jc w:val="both"/>
      </w:pPr>
      <w:r>
        <w:rPr>
          <w:sz w:val="22"/>
        </w:rPr>
        <w:t xml:space="preserve">Sun, J., Sun, S., Chen, B. and Hu, Y. (2024) 'Charging change: Analysing the UK's electric vehicle infrastructure policies and market dynamics', Energy Policy, 191, 114178. Available at: </w:t>
      </w:r>
      <w:hyperlink r:id="rId33">
        <w:r>
          <w:rPr>
            <w:sz w:val="22"/>
          </w:rPr>
          <w:t>https://discovery.ucl.ac.uk/id/eprint/10192944/</w:t>
        </w:r>
      </w:hyperlink>
      <w:r>
        <w:rPr>
          <w:sz w:val="22"/>
        </w:rPr>
        <w:t xml:space="preserve"> (Accessed: 16 July 2026).</w:t>
      </w:r>
    </w:p>
    <w:p w14:paraId="30E02826" w14:textId="77777777" w:rsidR="00B313B1" w:rsidRDefault="00BB2550" w:rsidP="00E20365">
      <w:pPr>
        <w:spacing w:after="120"/>
        <w:ind w:left="720" w:hanging="720"/>
        <w:jc w:val="both"/>
      </w:pPr>
      <w:r>
        <w:rPr>
          <w:sz w:val="22"/>
        </w:rPr>
        <w:t xml:space="preserve">The Culture Factor Group (2026) 'Country comparison tool: Japan and United Kingdom'. Available at: </w:t>
      </w:r>
      <w:hyperlink r:id="rId34">
        <w:r>
          <w:rPr>
            <w:sz w:val="22"/>
          </w:rPr>
          <w:t>https://www.theculturefactor.com/country-comparison-tool</w:t>
        </w:r>
      </w:hyperlink>
      <w:r>
        <w:rPr>
          <w:sz w:val="22"/>
        </w:rPr>
        <w:t xml:space="preserve"> (Accessed: 16 July 2026).</w:t>
      </w:r>
    </w:p>
    <w:p w14:paraId="227117B1" w14:textId="77777777" w:rsidR="00B313B1" w:rsidRDefault="00BB2550" w:rsidP="00E20365">
      <w:pPr>
        <w:spacing w:after="120"/>
        <w:ind w:left="720" w:hanging="720"/>
        <w:jc w:val="both"/>
      </w:pPr>
      <w:proofErr w:type="spellStart"/>
      <w:r>
        <w:rPr>
          <w:sz w:val="22"/>
        </w:rPr>
        <w:t>Tokito</w:t>
      </w:r>
      <w:proofErr w:type="spellEnd"/>
      <w:r>
        <w:rPr>
          <w:sz w:val="22"/>
        </w:rPr>
        <w:t xml:space="preserve">, S. and Nakamoto, Y. (2025) 'Differences in vehicle electrification policies and optimal transition periods across countries', Journal of Industrial Ecology, 29(3), pp. 878-890. Available at: </w:t>
      </w:r>
      <w:hyperlink r:id="rId35">
        <w:r>
          <w:rPr>
            <w:sz w:val="22"/>
          </w:rPr>
          <w:t>https://doi.org/10.1111/jiec.70028</w:t>
        </w:r>
      </w:hyperlink>
      <w:r>
        <w:rPr>
          <w:sz w:val="22"/>
        </w:rPr>
        <w:t xml:space="preserve"> (Accessed: 16 July 2026).</w:t>
      </w:r>
    </w:p>
    <w:p w14:paraId="67A6ABA1" w14:textId="77777777" w:rsidR="00B313B1" w:rsidRDefault="00BB2550" w:rsidP="00E20365">
      <w:pPr>
        <w:spacing w:after="120"/>
        <w:ind w:left="720" w:hanging="720"/>
        <w:jc w:val="both"/>
      </w:pPr>
      <w:r>
        <w:rPr>
          <w:sz w:val="22"/>
        </w:rPr>
        <w:t xml:space="preserve">Toyota (GB) plc (2026a) 'Toyota warranty'. Available at: </w:t>
      </w:r>
      <w:hyperlink r:id="rId36">
        <w:r>
          <w:rPr>
            <w:sz w:val="22"/>
          </w:rPr>
          <w:t>https://www.toyota.co.uk/owners/toyota-warranty</w:t>
        </w:r>
      </w:hyperlink>
      <w:r>
        <w:rPr>
          <w:sz w:val="22"/>
        </w:rPr>
        <w:t xml:space="preserve"> (Accessed: 16 July 2026).</w:t>
      </w:r>
    </w:p>
    <w:p w14:paraId="00132086" w14:textId="77777777" w:rsidR="00B313B1" w:rsidRDefault="00BB2550" w:rsidP="00E20365">
      <w:pPr>
        <w:spacing w:after="120"/>
        <w:ind w:left="720" w:hanging="720"/>
        <w:jc w:val="both"/>
      </w:pPr>
      <w:r>
        <w:rPr>
          <w:sz w:val="22"/>
        </w:rPr>
        <w:t xml:space="preserve">Toyota (GB) plc (2026b) 'Toyota electric cars'. Available at: </w:t>
      </w:r>
      <w:hyperlink r:id="rId37">
        <w:r>
          <w:rPr>
            <w:sz w:val="22"/>
          </w:rPr>
          <w:t>https://www.toyota.co.uk/electric</w:t>
        </w:r>
      </w:hyperlink>
      <w:r>
        <w:rPr>
          <w:sz w:val="22"/>
        </w:rPr>
        <w:t xml:space="preserve"> (Accessed: 16 July 2026).</w:t>
      </w:r>
    </w:p>
    <w:p w14:paraId="78D370C5" w14:textId="77777777" w:rsidR="00B313B1" w:rsidRDefault="00BB2550" w:rsidP="00E20365">
      <w:pPr>
        <w:spacing w:after="120"/>
        <w:ind w:left="720" w:hanging="720"/>
        <w:jc w:val="both"/>
      </w:pPr>
      <w:r>
        <w:rPr>
          <w:sz w:val="22"/>
        </w:rPr>
        <w:t xml:space="preserve">Toyota (GB) plc (2026c) 'Toyota personal finance'. Available at: </w:t>
      </w:r>
      <w:hyperlink r:id="rId38">
        <w:r>
          <w:rPr>
            <w:sz w:val="22"/>
          </w:rPr>
          <w:t>https://www.toyota.co.uk/personal-finance</w:t>
        </w:r>
      </w:hyperlink>
      <w:r>
        <w:rPr>
          <w:sz w:val="22"/>
        </w:rPr>
        <w:t xml:space="preserve"> (Accessed: 16 July 2026).</w:t>
      </w:r>
    </w:p>
    <w:p w14:paraId="629A2955" w14:textId="77777777" w:rsidR="00B313B1" w:rsidRDefault="00BB2550" w:rsidP="00E20365">
      <w:pPr>
        <w:spacing w:after="120"/>
        <w:ind w:left="720" w:hanging="720"/>
        <w:jc w:val="both"/>
      </w:pPr>
      <w:r>
        <w:rPr>
          <w:sz w:val="22"/>
        </w:rPr>
        <w:t xml:space="preserve">Toyota (GB) plc (2026d) 'Explore Toyota new cars'. Available at: </w:t>
      </w:r>
      <w:hyperlink r:id="rId39">
        <w:r>
          <w:rPr>
            <w:sz w:val="22"/>
          </w:rPr>
          <w:t>https://www.toyota.co.uk/new-cars</w:t>
        </w:r>
      </w:hyperlink>
      <w:r>
        <w:rPr>
          <w:sz w:val="22"/>
        </w:rPr>
        <w:t xml:space="preserve"> (Accessed: 16 July 2026).</w:t>
      </w:r>
    </w:p>
    <w:p w14:paraId="4F307B6B" w14:textId="77777777" w:rsidR="00B313B1" w:rsidRDefault="00BB2550" w:rsidP="00E20365">
      <w:pPr>
        <w:spacing w:after="120"/>
        <w:ind w:left="720" w:hanging="720"/>
        <w:jc w:val="both"/>
      </w:pPr>
      <w:r>
        <w:rPr>
          <w:sz w:val="22"/>
        </w:rPr>
        <w:t xml:space="preserve">Toyota Media Site (2015) 'Toyota celebrates 50 years in the UK', 23 July. Available at: </w:t>
      </w:r>
      <w:hyperlink r:id="rId40">
        <w:r>
          <w:rPr>
            <w:sz w:val="22"/>
          </w:rPr>
          <w:t>https://media.toyota.co.uk/toyota-celebrates-50-years-in-the-uk/</w:t>
        </w:r>
      </w:hyperlink>
      <w:r>
        <w:rPr>
          <w:sz w:val="22"/>
        </w:rPr>
        <w:t xml:space="preserve"> (Accessed: 16 July 2026).</w:t>
      </w:r>
    </w:p>
    <w:p w14:paraId="11FB9409" w14:textId="77777777" w:rsidR="00B313B1" w:rsidRDefault="00BB2550" w:rsidP="00E20365">
      <w:pPr>
        <w:spacing w:after="120"/>
        <w:ind w:left="720" w:hanging="720"/>
        <w:jc w:val="both"/>
      </w:pPr>
      <w:r>
        <w:rPr>
          <w:sz w:val="22"/>
        </w:rPr>
        <w:t xml:space="preserve">Toyota Media Site (2024) 'Corolla makes history as Toyota's five millionth UK-built car', 24 October. Available at: </w:t>
      </w:r>
      <w:hyperlink r:id="rId41">
        <w:r>
          <w:rPr>
            <w:sz w:val="22"/>
          </w:rPr>
          <w:t>https://media.toyota.co.uk/corolla-makes-history-as-toyotas-five-millionth-uk-built-car/</w:t>
        </w:r>
      </w:hyperlink>
      <w:r>
        <w:rPr>
          <w:sz w:val="22"/>
        </w:rPr>
        <w:t xml:space="preserve"> (Accessed: 16 July 2026).</w:t>
      </w:r>
    </w:p>
    <w:p w14:paraId="7B6AE0C7" w14:textId="77777777" w:rsidR="00B313B1" w:rsidRDefault="00BB2550" w:rsidP="00E20365">
      <w:pPr>
        <w:spacing w:after="120"/>
        <w:ind w:left="720" w:hanging="720"/>
        <w:jc w:val="both"/>
      </w:pPr>
      <w:r>
        <w:rPr>
          <w:sz w:val="22"/>
        </w:rPr>
        <w:t xml:space="preserve">Toyota Motor Corporation (2026a) 'Toyota car purchase guide'. Available at: </w:t>
      </w:r>
      <w:hyperlink r:id="rId42">
        <w:r>
          <w:rPr>
            <w:sz w:val="22"/>
          </w:rPr>
          <w:t>https://toyota.jp/request/</w:t>
        </w:r>
      </w:hyperlink>
      <w:r>
        <w:rPr>
          <w:sz w:val="22"/>
        </w:rPr>
        <w:t xml:space="preserve"> (Accessed: 16 July 2026).</w:t>
      </w:r>
    </w:p>
    <w:p w14:paraId="4E3E2562" w14:textId="77777777" w:rsidR="00B313B1" w:rsidRDefault="00BB2550" w:rsidP="00E20365">
      <w:pPr>
        <w:spacing w:after="120"/>
        <w:ind w:left="720" w:hanging="720"/>
        <w:jc w:val="both"/>
      </w:pPr>
      <w:r>
        <w:rPr>
          <w:sz w:val="22"/>
        </w:rPr>
        <w:t>Toyota Motor Corporation (2026b) '</w:t>
      </w:r>
      <w:proofErr w:type="spellStart"/>
      <w:r>
        <w:rPr>
          <w:sz w:val="22"/>
        </w:rPr>
        <w:t>Welcab</w:t>
      </w:r>
      <w:proofErr w:type="spellEnd"/>
      <w:r>
        <w:rPr>
          <w:sz w:val="22"/>
        </w:rPr>
        <w:t xml:space="preserve">: Mobility for all'. Available at: </w:t>
      </w:r>
      <w:hyperlink r:id="rId43">
        <w:r>
          <w:rPr>
            <w:sz w:val="22"/>
          </w:rPr>
          <w:t>https://toyota.jp/welcab/about/index.html</w:t>
        </w:r>
      </w:hyperlink>
      <w:r>
        <w:rPr>
          <w:sz w:val="22"/>
        </w:rPr>
        <w:t xml:space="preserve"> (Accessed: 16 July 2026).</w:t>
      </w:r>
    </w:p>
    <w:p w14:paraId="412CFA71" w14:textId="77777777" w:rsidR="00B313B1" w:rsidRDefault="00BB2550" w:rsidP="00E20365">
      <w:pPr>
        <w:spacing w:after="120"/>
        <w:ind w:left="720" w:hanging="720"/>
        <w:jc w:val="both"/>
      </w:pPr>
      <w:r>
        <w:rPr>
          <w:sz w:val="22"/>
        </w:rPr>
        <w:t xml:space="preserve">Toyota Motor Corporation (n.d.) 'E-TOYOTA Life'. Available at: </w:t>
      </w:r>
      <w:hyperlink r:id="rId44">
        <w:r>
          <w:rPr>
            <w:sz w:val="22"/>
          </w:rPr>
          <w:t>https://toyota.jp/info/e-toyota/</w:t>
        </w:r>
      </w:hyperlink>
      <w:r>
        <w:rPr>
          <w:sz w:val="22"/>
        </w:rPr>
        <w:t xml:space="preserve"> (Accessed: 16 July 2026).</w:t>
      </w:r>
    </w:p>
    <w:p w14:paraId="759092B8" w14:textId="77777777" w:rsidR="00B313B1" w:rsidRDefault="00BB2550" w:rsidP="00E20365">
      <w:pPr>
        <w:spacing w:after="120"/>
        <w:ind w:left="720" w:hanging="720"/>
        <w:jc w:val="both"/>
      </w:pPr>
      <w:r>
        <w:rPr>
          <w:sz w:val="22"/>
        </w:rPr>
        <w:t xml:space="preserve">University of Minnesota Libraries Publishing (2017) International Business. Minneapolis, MN: University of Minnesota Libraries Publishing. Available at: </w:t>
      </w:r>
      <w:hyperlink r:id="rId45">
        <w:r>
          <w:rPr>
            <w:sz w:val="22"/>
          </w:rPr>
          <w:t>https://open.lib.umn.edu/internationalbusiness/</w:t>
        </w:r>
      </w:hyperlink>
      <w:r>
        <w:rPr>
          <w:sz w:val="22"/>
        </w:rPr>
        <w:t xml:space="preserve"> (Accessed: 16 July 2026).</w:t>
      </w:r>
    </w:p>
    <w:p w14:paraId="46599C99" w14:textId="77777777" w:rsidR="00B313B1" w:rsidRDefault="00BB2550" w:rsidP="00E20365">
      <w:pPr>
        <w:spacing w:after="120"/>
        <w:ind w:left="720" w:hanging="720"/>
        <w:jc w:val="both"/>
      </w:pPr>
      <w:proofErr w:type="spellStart"/>
      <w:r>
        <w:rPr>
          <w:sz w:val="22"/>
        </w:rPr>
        <w:t>Zaikauskaitė</w:t>
      </w:r>
      <w:proofErr w:type="spellEnd"/>
      <w:r>
        <w:rPr>
          <w:sz w:val="22"/>
        </w:rPr>
        <w:t xml:space="preserve">, L., Butler, G., Helmi, N.F.S., Robinson, C.L., </w:t>
      </w:r>
      <w:proofErr w:type="spellStart"/>
      <w:r>
        <w:rPr>
          <w:sz w:val="22"/>
        </w:rPr>
        <w:t>Treglown</w:t>
      </w:r>
      <w:proofErr w:type="spellEnd"/>
      <w:r>
        <w:rPr>
          <w:sz w:val="22"/>
        </w:rPr>
        <w:t xml:space="preserve">, L., </w:t>
      </w:r>
      <w:proofErr w:type="spellStart"/>
      <w:r>
        <w:rPr>
          <w:sz w:val="22"/>
        </w:rPr>
        <w:t>Tsivrikos</w:t>
      </w:r>
      <w:proofErr w:type="spellEnd"/>
      <w:r>
        <w:rPr>
          <w:sz w:val="22"/>
        </w:rPr>
        <w:t xml:space="preserve">, D. and Devlin, J.T. (2022) 'Hunt-Vitell's general theory of marketing ethics predicts </w:t>
      </w:r>
      <w:proofErr w:type="spellStart"/>
      <w:r>
        <w:rPr>
          <w:sz w:val="22"/>
        </w:rPr>
        <w:t>attitude-behaviour</w:t>
      </w:r>
      <w:proofErr w:type="spellEnd"/>
      <w:r>
        <w:rPr>
          <w:sz w:val="22"/>
        </w:rPr>
        <w:t xml:space="preserve"> gap in pro-environmental domain', Frontiers in Psychology, 13, 732661. Available at: </w:t>
      </w:r>
      <w:hyperlink r:id="rId46">
        <w:r>
          <w:rPr>
            <w:sz w:val="22"/>
          </w:rPr>
          <w:t>https://doi.org/10.3389/fpsyg.2022.732661</w:t>
        </w:r>
      </w:hyperlink>
      <w:r>
        <w:rPr>
          <w:sz w:val="22"/>
        </w:rPr>
        <w:t xml:space="preserve"> (Accessed: 16 July 2026).</w:t>
      </w:r>
    </w:p>
    <w:sectPr w:rsidR="00B313B1">
      <w:footerReference w:type="default" r:id="rId47"/>
      <w:pgSz w:w="12240" w:h="15840"/>
      <w:pgMar w:top="1440" w:right="1440" w:bottom="1440" w:left="1440" w:header="0" w:footer="720" w:gutter="0"/>
      <w:cols w:space="720"/>
      <w:formProt w:val="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82F24E" w14:textId="77777777" w:rsidR="0083362D" w:rsidRDefault="0083362D">
      <w:pPr>
        <w:spacing w:after="0" w:line="240" w:lineRule="auto"/>
      </w:pPr>
      <w:r>
        <w:separator/>
      </w:r>
    </w:p>
  </w:endnote>
  <w:endnote w:type="continuationSeparator" w:id="0">
    <w:p w14:paraId="777A4B68" w14:textId="77777777" w:rsidR="0083362D" w:rsidRDefault="008336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Liberation Sans">
    <w:altName w:val="Arial"/>
    <w:panose1 w:val="020B0604020202020204"/>
    <w:charset w:val="00"/>
    <w:family w:val="swiss"/>
    <w:pitch w:val="variable"/>
  </w:font>
  <w:font w:name="Noto Sans CJK SC">
    <w:panose1 w:val="020B0604020202020204"/>
    <w:charset w:val="00"/>
    <w:family w:val="roman"/>
    <w:notTrueType/>
    <w:pitch w:val="default"/>
  </w:font>
  <w:font w:name="Lohit Devanagari">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32274C8" w14:textId="77777777" w:rsidR="00B313B1" w:rsidRDefault="00BB2550">
    <w:pPr>
      <w:pStyle w:val="Footer"/>
      <w:jc w:val="center"/>
    </w:pPr>
    <w:r>
      <w:rPr>
        <w:sz w:val="20"/>
      </w:rPr>
      <w:t xml:space="preserve">Page </w:t>
    </w:r>
    <w:r>
      <w:fldChar w:fldCharType="begin"/>
    </w:r>
    <w:r>
      <w:instrText xml:space="preserve"> PAGE </w:instrText>
    </w:r>
    <w:r>
      <w:fldChar w:fldCharType="separate"/>
    </w:r>
    <w:r>
      <w:t>25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1FF174D" w14:textId="77777777" w:rsidR="0083362D" w:rsidRDefault="0083362D">
      <w:pPr>
        <w:spacing w:after="0" w:line="240" w:lineRule="auto"/>
      </w:pPr>
      <w:r>
        <w:separator/>
      </w:r>
    </w:p>
  </w:footnote>
  <w:footnote w:type="continuationSeparator" w:id="0">
    <w:p w14:paraId="3A7D829B" w14:textId="77777777" w:rsidR="0083362D" w:rsidRDefault="008336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9871FD"/>
    <w:multiLevelType w:val="multilevel"/>
    <w:tmpl w:val="AE440E96"/>
    <w:lvl w:ilvl="0">
      <w:start w:val="1"/>
      <w:numFmt w:val="decimal"/>
      <w:pStyle w:val="ListNumber3"/>
      <w:lvlText w:val="%1."/>
      <w:lvlJc w:val="left"/>
      <w:pPr>
        <w:tabs>
          <w:tab w:val="num" w:pos="1080"/>
        </w:tabs>
        <w:ind w:left="108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1" w15:restartNumberingAfterBreak="0">
    <w:nsid w:val="2AF7774E"/>
    <w:multiLevelType w:val="multilevel"/>
    <w:tmpl w:val="6D7EDEC0"/>
    <w:lvl w:ilvl="0">
      <w:start w:val="1"/>
      <w:numFmt w:val="decimal"/>
      <w:pStyle w:val="ListNumber2"/>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388171D5"/>
    <w:multiLevelType w:val="multilevel"/>
    <w:tmpl w:val="6C686920"/>
    <w:lvl w:ilvl="0">
      <w:start w:val="1"/>
      <w:numFmt w:val="decimal"/>
      <w:pStyle w:val="ListNumber"/>
      <w:lvlText w:val="%1."/>
      <w:lvlJc w:val="left"/>
      <w:pPr>
        <w:tabs>
          <w:tab w:val="num" w:pos="360"/>
        </w:tabs>
        <w:ind w:left="36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3" w15:restartNumberingAfterBreak="0">
    <w:nsid w:val="3E673E45"/>
    <w:multiLevelType w:val="multilevel"/>
    <w:tmpl w:val="2E0CCFA4"/>
    <w:lvl w:ilvl="0">
      <w:start w:val="1"/>
      <w:numFmt w:val="bullet"/>
      <w:pStyle w:val="ListBullet3"/>
      <w:lvlText w:val=""/>
      <w:lvlJc w:val="left"/>
      <w:pPr>
        <w:tabs>
          <w:tab w:val="num" w:pos="1080"/>
        </w:tabs>
        <w:ind w:left="108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4" w15:restartNumberingAfterBreak="0">
    <w:nsid w:val="49B43343"/>
    <w:multiLevelType w:val="multilevel"/>
    <w:tmpl w:val="BA389CF8"/>
    <w:lvl w:ilvl="0">
      <w:start w:val="1"/>
      <w:numFmt w:val="bullet"/>
      <w:pStyle w:val="ListBullet2"/>
      <w:lvlText w:val=""/>
      <w:lvlJc w:val="left"/>
      <w:pPr>
        <w:tabs>
          <w:tab w:val="num" w:pos="720"/>
        </w:tabs>
        <w:ind w:left="72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5" w15:restartNumberingAfterBreak="0">
    <w:nsid w:val="6D0704D7"/>
    <w:multiLevelType w:val="multilevel"/>
    <w:tmpl w:val="C5027524"/>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6" w15:restartNumberingAfterBreak="0">
    <w:nsid w:val="7C331323"/>
    <w:multiLevelType w:val="multilevel"/>
    <w:tmpl w:val="D19A985C"/>
    <w:lvl w:ilvl="0">
      <w:start w:val="1"/>
      <w:numFmt w:val="bullet"/>
      <w:pStyle w:val="ListBullet"/>
      <w:lvlText w:val=""/>
      <w:lvlJc w:val="left"/>
      <w:pPr>
        <w:tabs>
          <w:tab w:val="num" w:pos="360"/>
        </w:tabs>
        <w:ind w:left="360" w:hanging="360"/>
      </w:pPr>
      <w:rPr>
        <w:rFonts w:ascii="Symbol" w:hAnsi="Symbol" w:cs="Symbol" w:hint="default"/>
      </w:r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num w:numId="1" w16cid:durableId="1563710744">
    <w:abstractNumId w:val="6"/>
  </w:num>
  <w:num w:numId="2" w16cid:durableId="1602177512">
    <w:abstractNumId w:val="4"/>
  </w:num>
  <w:num w:numId="3" w16cid:durableId="1510368483">
    <w:abstractNumId w:val="3"/>
  </w:num>
  <w:num w:numId="4" w16cid:durableId="893155991">
    <w:abstractNumId w:val="2"/>
  </w:num>
  <w:num w:numId="5" w16cid:durableId="964197514">
    <w:abstractNumId w:val="1"/>
  </w:num>
  <w:num w:numId="6" w16cid:durableId="1694066789">
    <w:abstractNumId w:val="0"/>
  </w:num>
  <w:num w:numId="7" w16cid:durableId="2113280222">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autoHyphenation/>
  <w:hyphenationZone w:val="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13B1"/>
    <w:rsid w:val="000A6C3A"/>
    <w:rsid w:val="00156142"/>
    <w:rsid w:val="001564C4"/>
    <w:rsid w:val="00203DFD"/>
    <w:rsid w:val="00226FC1"/>
    <w:rsid w:val="00234F12"/>
    <w:rsid w:val="00293925"/>
    <w:rsid w:val="003128DE"/>
    <w:rsid w:val="00330150"/>
    <w:rsid w:val="00332A48"/>
    <w:rsid w:val="00357DDF"/>
    <w:rsid w:val="004168C2"/>
    <w:rsid w:val="00440E46"/>
    <w:rsid w:val="00491A04"/>
    <w:rsid w:val="00532FAB"/>
    <w:rsid w:val="0058497C"/>
    <w:rsid w:val="005D05A9"/>
    <w:rsid w:val="0064043A"/>
    <w:rsid w:val="006E1062"/>
    <w:rsid w:val="007C7DA5"/>
    <w:rsid w:val="0083362D"/>
    <w:rsid w:val="00865132"/>
    <w:rsid w:val="00B1741B"/>
    <w:rsid w:val="00B313B1"/>
    <w:rsid w:val="00B401C7"/>
    <w:rsid w:val="00B4767E"/>
    <w:rsid w:val="00BB2550"/>
    <w:rsid w:val="00BB76D2"/>
    <w:rsid w:val="00C343EB"/>
    <w:rsid w:val="00C60F46"/>
    <w:rsid w:val="00C83597"/>
    <w:rsid w:val="00CB54F9"/>
    <w:rsid w:val="00CF3A89"/>
    <w:rsid w:val="00D027DB"/>
    <w:rsid w:val="00D91BE2"/>
    <w:rsid w:val="00E20365"/>
    <w:rsid w:val="00E55F9F"/>
    <w:rsid w:val="00E86E52"/>
    <w:rsid w:val="00F63ECB"/>
    <w:rsid w:val="00F83E59"/>
    <w:rsid w:val="00FE4082"/>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CB9E65"/>
  <w15:docId w15:val="{C99F49D3-BE7F-4D32-9A6B-06FD923C5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200" w:line="360" w:lineRule="auto"/>
    </w:pPr>
    <w:rPr>
      <w:rFonts w:ascii="Times New Roman" w:eastAsia="Times New Roman" w:hAnsi="Times New Roman"/>
      <w:color w:val="000000"/>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i/>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618BF"/>
  </w:style>
  <w:style w:type="character" w:customStyle="1" w:styleId="FooterChar">
    <w:name w:val="Footer Char"/>
    <w:basedOn w:val="DefaultParagraphFont"/>
    <w:link w:val="Footer"/>
    <w:uiPriority w:val="99"/>
    <w:qFormat/>
    <w:rsid w:val="00E618BF"/>
  </w:style>
  <w:style w:type="character" w:customStyle="1" w:styleId="Heading1Char">
    <w:name w:val="Heading 1 Char"/>
    <w:basedOn w:val="DefaultParagraphFont"/>
    <w:link w:val="Heading1"/>
    <w:uiPriority w:val="9"/>
    <w:qFormat/>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qFormat/>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qFormat/>
    <w:rsid w:val="00FC693F"/>
    <w:rPr>
      <w:rFonts w:asciiTheme="majorHAnsi" w:eastAsiaTheme="majorEastAsia" w:hAnsiTheme="majorHAnsi" w:cstheme="majorBidi"/>
      <w:b/>
      <w:bCs/>
      <w:color w:val="4F81BD" w:themeColor="accent1"/>
    </w:rPr>
  </w:style>
  <w:style w:type="character" w:customStyle="1" w:styleId="TitleChar">
    <w:name w:val="Title Char"/>
    <w:basedOn w:val="DefaultParagraphFont"/>
    <w:link w:val="Title"/>
    <w:uiPriority w:val="10"/>
    <w:qFormat/>
    <w:rsid w:val="00FC693F"/>
    <w:rPr>
      <w:rFonts w:asciiTheme="majorHAnsi" w:eastAsiaTheme="majorEastAsia" w:hAnsiTheme="majorHAnsi" w:cstheme="majorBidi"/>
      <w:color w:val="17365D" w:themeColor="text2" w:themeShade="BF"/>
      <w:spacing w:val="5"/>
      <w:kern w:val="2"/>
      <w:sz w:val="52"/>
      <w:szCs w:val="52"/>
    </w:rPr>
  </w:style>
  <w:style w:type="character" w:customStyle="1" w:styleId="SubtitleChar">
    <w:name w:val="Subtitle Char"/>
    <w:basedOn w:val="DefaultParagraphFont"/>
    <w:link w:val="Subtitle"/>
    <w:uiPriority w:val="11"/>
    <w:qFormat/>
    <w:rsid w:val="00FC693F"/>
    <w:rPr>
      <w:rFonts w:asciiTheme="majorHAnsi" w:eastAsiaTheme="majorEastAsia" w:hAnsiTheme="majorHAnsi" w:cstheme="majorBidi"/>
      <w:i/>
      <w:iCs/>
      <w:color w:val="4F81BD" w:themeColor="accent1"/>
      <w:spacing w:val="15"/>
      <w:sz w:val="24"/>
      <w:szCs w:val="24"/>
    </w:rPr>
  </w:style>
  <w:style w:type="character" w:customStyle="1" w:styleId="BodyTextChar">
    <w:name w:val="Body Text Char"/>
    <w:basedOn w:val="DefaultParagraphFont"/>
    <w:link w:val="BodyText"/>
    <w:uiPriority w:val="99"/>
    <w:qFormat/>
    <w:rsid w:val="00AA1D8D"/>
  </w:style>
  <w:style w:type="character" w:customStyle="1" w:styleId="BodyText2Char">
    <w:name w:val="Body Text 2 Char"/>
    <w:basedOn w:val="DefaultParagraphFont"/>
    <w:link w:val="BodyText2"/>
    <w:uiPriority w:val="99"/>
    <w:qFormat/>
    <w:rsid w:val="00AA1D8D"/>
  </w:style>
  <w:style w:type="character" w:customStyle="1" w:styleId="BodyText3Char">
    <w:name w:val="Body Text 3 Char"/>
    <w:basedOn w:val="DefaultParagraphFont"/>
    <w:link w:val="BodyText3"/>
    <w:uiPriority w:val="99"/>
    <w:qFormat/>
    <w:rsid w:val="00AA1D8D"/>
    <w:rPr>
      <w:sz w:val="16"/>
      <w:szCs w:val="16"/>
    </w:rPr>
  </w:style>
  <w:style w:type="character" w:customStyle="1" w:styleId="MacroTextChar">
    <w:name w:val="Macro Text Char"/>
    <w:basedOn w:val="DefaultParagraphFont"/>
    <w:link w:val="MacroText"/>
    <w:uiPriority w:val="99"/>
    <w:qFormat/>
    <w:rsid w:val="0029639D"/>
    <w:rPr>
      <w:rFonts w:ascii="Courier" w:hAnsi="Courier"/>
      <w:sz w:val="20"/>
      <w:szCs w:val="20"/>
    </w:rPr>
  </w:style>
  <w:style w:type="character" w:customStyle="1" w:styleId="QuoteChar">
    <w:name w:val="Quote Char"/>
    <w:basedOn w:val="DefaultParagraphFont"/>
    <w:link w:val="Quote"/>
    <w:uiPriority w:val="29"/>
    <w:qFormat/>
    <w:rsid w:val="00FC693F"/>
    <w:rPr>
      <w:i/>
      <w:iCs/>
      <w:color w:val="000000" w:themeColor="text1"/>
    </w:rPr>
  </w:style>
  <w:style w:type="character" w:customStyle="1" w:styleId="Heading4Char">
    <w:name w:val="Heading 4 Char"/>
    <w:basedOn w:val="DefaultParagraphFont"/>
    <w:link w:val="Heading4"/>
    <w:uiPriority w:val="9"/>
    <w:semiHidden/>
    <w:qFormat/>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qFormat/>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qFormat/>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qFormat/>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qFormat/>
    <w:rsid w:val="00FC693F"/>
    <w:rPr>
      <w:rFonts w:asciiTheme="majorHAnsi" w:eastAsiaTheme="majorEastAsia" w:hAnsiTheme="majorHAnsi" w:cstheme="majorBidi"/>
      <w:i/>
      <w:iCs/>
      <w:color w:val="404040" w:themeColor="text1" w:themeTint="BF"/>
      <w:sz w:val="20"/>
      <w:szCs w:val="20"/>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character" w:customStyle="1" w:styleId="IntenseQuoteChar">
    <w:name w:val="Intense Quote Char"/>
    <w:basedOn w:val="DefaultParagraphFont"/>
    <w:link w:val="IntenseQuote"/>
    <w:uiPriority w:val="30"/>
    <w:qFormat/>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character" w:styleId="Hyperlink">
    <w:name w:val="Hyperlink"/>
    <w:uiPriority w:val="99"/>
    <w:rPr>
      <w:color w:val="000080"/>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link w:val="BodyTextChar"/>
    <w:uiPriority w:val="99"/>
    <w:unhideWhenUsed/>
    <w:rsid w:val="00AA1D8D"/>
    <w:pPr>
      <w:spacing w:after="120"/>
    </w:pPr>
  </w:style>
  <w:style w:type="paragraph" w:styleId="List">
    <w:name w:val="List"/>
    <w:basedOn w:val="Normal"/>
    <w:uiPriority w:val="99"/>
    <w:unhideWhenUsed/>
    <w:rsid w:val="00AA1D8D"/>
    <w:pPr>
      <w:ind w:left="360" w:hanging="360"/>
      <w:contextualSpacing/>
    </w:p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paragraph" w:customStyle="1" w:styleId="Index">
    <w:name w:val="Index"/>
    <w:basedOn w:val="Normal"/>
    <w:qFormat/>
    <w:pPr>
      <w:suppressLineNumbers/>
    </w:pPr>
    <w:rPr>
      <w:rFonts w:cs="Lohit Devanagari"/>
    </w:rPr>
  </w:style>
  <w:style w:type="paragraph" w:customStyle="1" w:styleId="HeaderandFooter">
    <w:name w:val="Header and Footer"/>
    <w:basedOn w:val="Normal"/>
    <w:qFormat/>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paragraph" w:styleId="NoSpacing">
    <w:name w:val="No Spacing"/>
    <w:uiPriority w:val="1"/>
    <w:qFormat/>
    <w:rsid w:val="00FC693F"/>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
      <w:sz w:val="52"/>
      <w:szCs w:val="52"/>
    </w:rPr>
  </w:style>
  <w:style w:type="paragraph" w:styleId="Subtitle">
    <w:name w:val="Subtitle"/>
    <w:basedOn w:val="Normal"/>
    <w:next w:val="Normal"/>
    <w:link w:val="SubtitleChar"/>
    <w:uiPriority w:val="11"/>
    <w:qFormat/>
    <w:rsid w:val="00FC693F"/>
    <w:rPr>
      <w:rFonts w:asciiTheme="majorHAnsi" w:eastAsiaTheme="majorEastAsia" w:hAnsiTheme="majorHAnsi" w:cstheme="majorBidi"/>
      <w:i/>
      <w:iCs/>
      <w:color w:val="4F81BD" w:themeColor="accent1"/>
      <w:spacing w:val="15"/>
      <w:szCs w:val="24"/>
    </w:rPr>
  </w:style>
  <w:style w:type="paragraph" w:styleId="ListParagraph">
    <w:name w:val="List Paragraph"/>
    <w:basedOn w:val="Normal"/>
    <w:uiPriority w:val="34"/>
    <w:qFormat/>
    <w:rsid w:val="00FC693F"/>
    <w:pPr>
      <w:ind w:left="720"/>
      <w:contextualSpacing/>
    </w:pPr>
  </w:style>
  <w:style w:type="paragraph" w:styleId="BodyText2">
    <w:name w:val="Body Text 2"/>
    <w:basedOn w:val="Normal"/>
    <w:link w:val="BodyText2Char"/>
    <w:uiPriority w:val="99"/>
    <w:unhideWhenUsed/>
    <w:qFormat/>
    <w:rsid w:val="00AA1D8D"/>
    <w:pPr>
      <w:spacing w:after="120" w:line="480" w:lineRule="auto"/>
    </w:pPr>
  </w:style>
  <w:style w:type="paragraph" w:styleId="BodyText3">
    <w:name w:val="Body Text 3"/>
    <w:basedOn w:val="Normal"/>
    <w:link w:val="BodyText3Char"/>
    <w:uiPriority w:val="99"/>
    <w:unhideWhenUsed/>
    <w:qFormat/>
    <w:rsid w:val="00AA1D8D"/>
    <w:pPr>
      <w:spacing w:after="120"/>
    </w:pPr>
    <w:rPr>
      <w:sz w:val="16"/>
      <w:szCs w:val="16"/>
    </w:rPr>
  </w:style>
  <w:style w:type="paragraph" w:styleId="List2">
    <w:name w:val="List 2"/>
    <w:basedOn w:val="Normal"/>
    <w:uiPriority w:val="99"/>
    <w:unhideWhenUsed/>
    <w:qFormat/>
    <w:rsid w:val="00326F90"/>
    <w:pPr>
      <w:ind w:left="720" w:hanging="360"/>
      <w:contextualSpacing/>
    </w:pPr>
  </w:style>
  <w:style w:type="paragraph" w:styleId="List3">
    <w:name w:val="List 3"/>
    <w:basedOn w:val="Normal"/>
    <w:uiPriority w:val="99"/>
    <w:unhideWhenUsed/>
    <w:qFormat/>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4"/>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6"/>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qFormat/>
    <w:rsid w:val="0029639D"/>
    <w:pPr>
      <w:tabs>
        <w:tab w:val="left" w:pos="576"/>
        <w:tab w:val="left" w:pos="1152"/>
        <w:tab w:val="left" w:pos="1728"/>
        <w:tab w:val="left" w:pos="2304"/>
        <w:tab w:val="left" w:pos="2880"/>
        <w:tab w:val="left" w:pos="3456"/>
        <w:tab w:val="left" w:pos="4032"/>
      </w:tabs>
      <w:spacing w:after="200" w:line="276" w:lineRule="auto"/>
    </w:pPr>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paragraph" w:styleId="IndexHeading">
    <w:name w:val="index heading"/>
    <w:basedOn w:val="Heading"/>
  </w:style>
  <w:style w:type="paragraph" w:styleId="TOCHeading">
    <w:name w:val="TOC Heading"/>
    <w:basedOn w:val="Heading1"/>
    <w:next w:val="Normal"/>
    <w:uiPriority w:val="39"/>
    <w:semiHidden/>
    <w:unhideWhenUsed/>
    <w:qFormat/>
    <w:rsid w:val="00FC693F"/>
    <w:pPr>
      <w:outlineLvl w:val="9"/>
    </w:p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uiPriority w:val="39"/>
    <w:pPr>
      <w:tabs>
        <w:tab w:val="right" w:leader="dot" w:pos="8793"/>
      </w:tabs>
      <w:ind w:left="567"/>
    </w:pPr>
  </w:style>
  <w:style w:type="table" w:styleId="TableGrid">
    <w:name w:val="Table Grid"/>
    <w:basedOn w:val="TableNormal"/>
    <w:uiPriority w:val="59"/>
    <w:rsid w:val="00FC69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000000" w:themeColor="text1"/>
          <w:left w:val="single" w:sz="8" w:space="0" w:color="000000" w:themeColor="text1"/>
          <w:bottom w:val="single" w:sz="8" w:space="0" w:color="000000" w:themeColor="text1"/>
          <w:right w:val="single" w:sz="8" w:space="0" w:color="000000" w:themeColor="text1"/>
          <w:insideH w:val="nil"/>
          <w:insideV w:val="nil"/>
        </w:tcBorders>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000000" w:themeColor="text1"/>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4F81BD" w:themeColor="accent1"/>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0504D" w:themeColor="accent2"/>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9BBB59" w:themeColor="accent3"/>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8064A2" w:themeColor="accent4"/>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4BACC6" w:themeColor="accent5"/>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79646" w:themeColor="accent6"/>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4F81BD" w:themeColor="accent1"/>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C0504D" w:themeColor="accent2"/>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9BBB59" w:themeColor="accent3"/>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8064A2" w:themeColor="accent4"/>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4BACC6" w:themeColor="accent5"/>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F79646" w:themeColor="accent6"/>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58995963">
      <w:bodyDiv w:val="1"/>
      <w:marLeft w:val="0"/>
      <w:marRight w:val="0"/>
      <w:marTop w:val="0"/>
      <w:marBottom w:val="0"/>
      <w:divBdr>
        <w:top w:val="none" w:sz="0" w:space="0" w:color="auto"/>
        <w:left w:val="none" w:sz="0" w:space="0" w:color="auto"/>
        <w:bottom w:val="none" w:sz="0" w:space="0" w:color="auto"/>
        <w:right w:val="none" w:sz="0" w:space="0" w:color="auto"/>
      </w:divBdr>
    </w:div>
    <w:div w:id="16384148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a.org.uk/codes-and-rulings/advertising-codes/non-broadcast-code.html" TargetMode="External"/><Relationship Id="rId18" Type="http://schemas.openxmlformats.org/officeDocument/2006/relationships/hyperlink" Target="https://thoughtsmostlyaboutlearning.files.wordpress.com/2015/12/learning-by-doing-graham-gibbs.pdf" TargetMode="External"/><Relationship Id="rId26" Type="http://schemas.openxmlformats.org/officeDocument/2006/relationships/hyperlink" Target="https://doi.org/10.3390/en14082130" TargetMode="External"/><Relationship Id="rId39" Type="http://schemas.openxmlformats.org/officeDocument/2006/relationships/hyperlink" Target="https://www.toyota.co.uk/new-cars" TargetMode="External"/><Relationship Id="rId21" Type="http://schemas.openxmlformats.org/officeDocument/2006/relationships/hyperlink" Target="https://www.imf.org/en/news/articles/2026/05/18/pr26154-united-kingdom-staff-concluding-statement-of-the-2026-article-iv-mission" TargetMode="External"/><Relationship Id="rId34" Type="http://schemas.openxmlformats.org/officeDocument/2006/relationships/hyperlink" Target="https://www.theculturefactor.com/country-comparison-tool" TargetMode="External"/><Relationship Id="rId42" Type="http://schemas.openxmlformats.org/officeDocument/2006/relationships/hyperlink" Target="https://toyota.jp/request/"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government/statistics/electric-vehicle-charging-infrastructure-statistics-1-april-2026/public-electric-vehicle-charging-infrastructure-statistics-1-april-2026" TargetMode="External"/><Relationship Id="rId29" Type="http://schemas.openxmlformats.org/officeDocument/2006/relationships/hyperlink" Target="https://www.ons.gov.uk/economy/inflationandpriceindices/bulletins/consumerpriceinflation/may2026" TargetMode="External"/><Relationship Id="rId11" Type="http://schemas.openxmlformats.org/officeDocument/2006/relationships/hyperlink" Target="https://www.enecho.meti.go.jp/category/others/basic_plan/pdf/2025_strategic_energy_plan.pdf" TargetMode="External"/><Relationship Id="rId24" Type="http://schemas.openxmlformats.org/officeDocument/2006/relationships/hyperlink" Target="https://eprints.whiterose.ac.uk/id/eprint/85911/" TargetMode="External"/><Relationship Id="rId32" Type="http://schemas.openxmlformats.org/officeDocument/2006/relationships/hyperlink" Target="https://www.stat.go.jp/english/" TargetMode="External"/><Relationship Id="rId37" Type="http://schemas.openxmlformats.org/officeDocument/2006/relationships/hyperlink" Target="https://www.toyota.co.uk/electric" TargetMode="External"/><Relationship Id="rId40" Type="http://schemas.openxmlformats.org/officeDocument/2006/relationships/hyperlink" Target="https://media.toyota.co.uk/toyota-celebrates-50-years-in-the-uk/" TargetMode="External"/><Relationship Id="rId45" Type="http://schemas.openxmlformats.org/officeDocument/2006/relationships/hyperlink" Target="https://open.lib.umn.edu/internationalbusiness/" TargetMode="External"/><Relationship Id="rId5" Type="http://schemas.openxmlformats.org/officeDocument/2006/relationships/webSettings" Target="webSettings.xml"/><Relationship Id="rId15" Type="http://schemas.openxmlformats.org/officeDocument/2006/relationships/hyperlink" Target="https://assets.publishing.service.gov.uk/media/6a4233648cbc951a27d80d99/vets-how-to-comply.pdf" TargetMode="External"/><Relationship Id="rId23" Type="http://schemas.openxmlformats.org/officeDocument/2006/relationships/hyperlink" Target="https://www.munich-business-school.de/fileadmin/MBS_Daten/Downloads/Forschung/Working_Papers/mbs-wp-2018-04.pdf" TargetMode="External"/><Relationship Id="rId28" Type="http://schemas.openxmlformats.org/officeDocument/2006/relationships/hyperlink" Target="https://unctad.org/system/files/official-document/diaeia2017d3a6_en.pdf" TargetMode="External"/><Relationship Id="rId36" Type="http://schemas.openxmlformats.org/officeDocument/2006/relationships/hyperlink" Target="https://www.toyota.co.uk/owners/toyota-warranty" TargetMode="External"/><Relationship Id="rId49" Type="http://schemas.openxmlformats.org/officeDocument/2006/relationships/theme" Target="theme/theme1.xml"/><Relationship Id="rId10" Type="http://schemas.openxmlformats.org/officeDocument/2006/relationships/hyperlink" Target="https://www.enecho.meti.go.jp/en/category/special/article/detail_199.html" TargetMode="External"/><Relationship Id="rId19" Type="http://schemas.openxmlformats.org/officeDocument/2006/relationships/hyperlink" Target="https://luminousinsights.net/insights/content/doi/597021657074350.pdf" TargetMode="External"/><Relationship Id="rId31" Type="http://schemas.openxmlformats.org/officeDocument/2006/relationships/hyperlink" Target="https://www.stat.go.jp/english/data/jinsui/2024np/index.html" TargetMode="External"/><Relationship Id="rId44" Type="http://schemas.openxmlformats.org/officeDocument/2006/relationships/hyperlink" Target="https://toyota.jp/info/e-toyota/" TargetMode="External"/><Relationship Id="rId4" Type="http://schemas.openxmlformats.org/officeDocument/2006/relationships/settings" Target="settings.xml"/><Relationship Id="rId9" Type="http://schemas.openxmlformats.org/officeDocument/2006/relationships/hyperlink" Target="https://www.asa.org.uk/rulings/toyota--gb--plc-a23-1191673-toyota--gb--plc.html" TargetMode="External"/><Relationship Id="rId14" Type="http://schemas.openxmlformats.org/officeDocument/2006/relationships/hyperlink" Target="https://doi.org/10.1186/s12302-020-0300-3" TargetMode="External"/><Relationship Id="rId22" Type="http://schemas.openxmlformats.org/officeDocument/2006/relationships/hyperlink" Target="https://kinto-jp.com/kinto_one/" TargetMode="External"/><Relationship Id="rId27" Type="http://schemas.openxmlformats.org/officeDocument/2006/relationships/hyperlink" Target="https://doi.org/10.2139/ssrn.4564829" TargetMode="External"/><Relationship Id="rId30" Type="http://schemas.openxmlformats.org/officeDocument/2006/relationships/hyperlink" Target="https://doi.org/10.1016/j.geits.2024.100153" TargetMode="External"/><Relationship Id="rId35" Type="http://schemas.openxmlformats.org/officeDocument/2006/relationships/hyperlink" Target="https://doi.org/10.1111/jiec.70028" TargetMode="External"/><Relationship Id="rId43" Type="http://schemas.openxmlformats.org/officeDocument/2006/relationships/hyperlink" Target="https://toyota.jp/welcab/about/index.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openstax.org/details/books/principles-marketing" TargetMode="External"/><Relationship Id="rId17" Type="http://schemas.openxmlformats.org/officeDocument/2006/relationships/hyperlink" Target="https://doi.org/10.3390/su13052824" TargetMode="External"/><Relationship Id="rId25" Type="http://schemas.openxmlformats.org/officeDocument/2006/relationships/hyperlink" Target="https://eprints.whiterose.ac.uk/id/eprint/170999/" TargetMode="External"/><Relationship Id="rId33" Type="http://schemas.openxmlformats.org/officeDocument/2006/relationships/hyperlink" Target="https://discovery.ucl.ac.uk/id/eprint/10192944/" TargetMode="External"/><Relationship Id="rId38" Type="http://schemas.openxmlformats.org/officeDocument/2006/relationships/hyperlink" Target="https://www.toyota.co.uk/personal-finance" TargetMode="External"/><Relationship Id="rId46" Type="http://schemas.openxmlformats.org/officeDocument/2006/relationships/hyperlink" Target="https://doi.org/10.3389/fpsyg.2022.732661" TargetMode="External"/><Relationship Id="rId20" Type="http://schemas.openxmlformats.org/officeDocument/2006/relationships/hyperlink" Target="https://www.imf.org/-/media/files/publications/cr/2026/english/1jpnea2026001.pdf" TargetMode="External"/><Relationship Id="rId41" Type="http://schemas.openxmlformats.org/officeDocument/2006/relationships/hyperlink" Target="https://media.toyota.co.uk/corolla-makes-history-as-toyotas-five-millionth-uk-built-ca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majorFont>
      <a:minorFont>
        <a:latin typeface="Cambria"/>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a:gradFill>
        <a:gradFill>
          <a:gsLst>
            <a:gs pos="0">
              <a:schemeClr val="phClr">
                <a:tint val="100000"/>
                <a:shade val="100000"/>
              </a:schemeClr>
            </a:gs>
            <a:gs pos="100000">
              <a:schemeClr val="phClr">
                <a:tint val="50000"/>
                <a:shade val="100000"/>
              </a:schemeClr>
            </a:gs>
          </a:gsLst>
          <a:lin ang="16200000" scaled="0"/>
          <a:tileRect/>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a:gradFill>
        <a:gradFill>
          <a:gsLst>
            <a:gs pos="0">
              <a:schemeClr val="phClr">
                <a:tint val="80000"/>
              </a:schemeClr>
            </a:gs>
            <a:gs pos="100000">
              <a:schemeClr val="phClr">
                <a:shade val="30000"/>
              </a:schemeClr>
            </a:gs>
          </a:gsLst>
          <a:path path="circle">
            <a:fillToRect l="50000" t="50000" r="50000" b="50000"/>
          </a:path>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7859</Words>
  <Characters>44798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Anik Sikder</cp:lastModifiedBy>
  <cp:revision>13</cp:revision>
  <dcterms:created xsi:type="dcterms:W3CDTF">2026-07-16T18:38:00Z</dcterms:created>
  <dcterms:modified xsi:type="dcterms:W3CDTF">2026-07-19T10:44:00Z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2013-12-23T23:15:00Z</dcterms:created>
  <dc:creator>Student</dc:creator>
  <dc:description>generated by python-docx</dc:description>
  <cp:keywords>Toyota international marketing Japan United Kingdom market entry 7Ps STP</cp:keywords>
  <dc:language>en-US</dc:language>
  <cp:lastModifiedBy/>
  <dcterms:modified xsi:type="dcterms:W3CDTF">2026-07-15T21:32:11Z</dcterms:modified>
  <cp:revision>2</cp:revision>
  <dc:subject>LCMB7026 Individual Report</dc:subject>
  <dc:title>Toyota's International Market Entry Strategy and Marketing Mix in Japan and the United Kingdom</dc:title>
</cp:coreProperties>
</file>