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5DBC8" w14:textId="0412FB8E" w:rsidR="00B5324E" w:rsidRDefault="00B5324E" w:rsidP="00B5324E">
      <w:pPr>
        <w:spacing w:line="360" w:lineRule="auto"/>
      </w:pPr>
      <w:r>
        <w:t>Eden Rich</w:t>
      </w:r>
    </w:p>
    <w:p w14:paraId="321586F2" w14:textId="762F27C6" w:rsidR="00B5324E" w:rsidRDefault="00B5324E" w:rsidP="00B5324E">
      <w:pPr>
        <w:spacing w:line="360" w:lineRule="auto"/>
      </w:pPr>
      <w:r>
        <w:t>HPEN6043</w:t>
      </w:r>
    </w:p>
    <w:p w14:paraId="37757109" w14:textId="2FBD2F05" w:rsidR="00B5324E" w:rsidRDefault="00B5324E" w:rsidP="00B5324E">
      <w:pPr>
        <w:spacing w:line="360" w:lineRule="auto"/>
      </w:pPr>
      <w:r>
        <w:t>Dr. Peter Mitchell</w:t>
      </w:r>
    </w:p>
    <w:p w14:paraId="2C263969" w14:textId="65303490" w:rsidR="00B5324E" w:rsidRDefault="00B5324E" w:rsidP="00B5324E">
      <w:pPr>
        <w:spacing w:line="360" w:lineRule="auto"/>
      </w:pPr>
      <w:r>
        <w:t>February 20, 2026</w:t>
      </w:r>
    </w:p>
    <w:p w14:paraId="6A6A19B7" w14:textId="77777777" w:rsidR="00B5324E" w:rsidRDefault="00B5324E" w:rsidP="00B5324E"/>
    <w:p w14:paraId="305EDDE5" w14:textId="2B37C238" w:rsidR="00C41523" w:rsidRDefault="003F69C4" w:rsidP="005C65FD">
      <w:pPr>
        <w:pStyle w:val="Heading1"/>
        <w:spacing w:line="360" w:lineRule="auto"/>
      </w:pPr>
      <w:r>
        <w:t xml:space="preserve">THE </w:t>
      </w:r>
      <w:r w:rsidR="00A739FC">
        <w:t xml:space="preserve">ANATOMY OF </w:t>
      </w:r>
      <w:r w:rsidR="00A739FC" w:rsidRPr="003F69C4">
        <w:t>SELFHOOD</w:t>
      </w:r>
    </w:p>
    <w:p w14:paraId="3A4FA280" w14:textId="3376654B" w:rsidR="003F69C4" w:rsidRDefault="001126D0" w:rsidP="005C65FD">
      <w:pPr>
        <w:pStyle w:val="Heading2"/>
      </w:pPr>
      <w:r>
        <w:t xml:space="preserve">An Analysis of </w:t>
      </w:r>
      <w:r w:rsidR="006B776B">
        <w:t>the Self</w:t>
      </w:r>
      <w:r>
        <w:t xml:space="preserve"> Between Petrarch and Montaigne</w:t>
      </w:r>
    </w:p>
    <w:p w14:paraId="1487F779" w14:textId="77777777" w:rsidR="005C65FD" w:rsidRDefault="005C65FD" w:rsidP="005C65FD"/>
    <w:p w14:paraId="015E9F69" w14:textId="398D35DB" w:rsidR="00B5324E" w:rsidRPr="00C13AFC" w:rsidRDefault="00343253" w:rsidP="005C65FD">
      <w:r w:rsidRPr="00C13AFC">
        <w:t xml:space="preserve">While Renaissance Humanism famously looked outward to necromance the classical past, its most revolutionary journey was an inward one: the slow, complex construction of the modern self. </w:t>
      </w:r>
      <w:r w:rsidR="00896FF0" w:rsidRPr="00C13AFC">
        <w:t xml:space="preserve">Many scholars </w:t>
      </w:r>
      <w:r w:rsidR="00796B3B">
        <w:t>at</w:t>
      </w:r>
      <w:r w:rsidR="00A97EA3" w:rsidRPr="00C13AFC">
        <w:t xml:space="preserve"> the time t</w:t>
      </w:r>
      <w:r w:rsidR="00896FF0" w:rsidRPr="00C13AFC">
        <w:t xml:space="preserve">ried </w:t>
      </w:r>
      <w:r w:rsidR="00796B3B">
        <w:t>to define</w:t>
      </w:r>
      <w:r w:rsidR="00896FF0" w:rsidRPr="00C13AFC">
        <w:t xml:space="preserve"> the self, the internal “I”, through ideological frameworks borrowed from and synthesised between classical antiquity and post-Medieval Christianity</w:t>
      </w:r>
      <w:r w:rsidR="00796B3B">
        <w:t xml:space="preserve">. But </w:t>
      </w:r>
      <w:r w:rsidR="00B37E70" w:rsidRPr="00C13AFC">
        <w:t xml:space="preserve">it was Petrarch, and later Michel de Montaigne, who </w:t>
      </w:r>
      <w:r w:rsidR="00A97EA3" w:rsidRPr="00C13AFC">
        <w:t xml:space="preserve">would turn radically </w:t>
      </w:r>
      <w:r w:rsidR="00B37E70" w:rsidRPr="00C13AFC">
        <w:t xml:space="preserve">inward </w:t>
      </w:r>
      <w:r w:rsidR="00A97EA3" w:rsidRPr="00C13AFC">
        <w:t>to study, from themselves, the condition</w:t>
      </w:r>
      <w:r w:rsidR="00796B3B">
        <w:t>s</w:t>
      </w:r>
      <w:r w:rsidR="00A97EA3" w:rsidRPr="00C13AFC">
        <w:t xml:space="preserve"> of the self. While</w:t>
      </w:r>
      <w:r w:rsidR="00B37E70" w:rsidRPr="00C13AFC">
        <w:t xml:space="preserve"> Petrarch and Montaigne</w:t>
      </w:r>
      <w:r w:rsidR="00A97EA3" w:rsidRPr="00C13AFC">
        <w:t xml:space="preserve">’s styles and techniques mirror one another, </w:t>
      </w:r>
      <w:r w:rsidR="00B37E70" w:rsidRPr="00C13AFC">
        <w:t>their beliefs of the</w:t>
      </w:r>
      <w:r w:rsidR="00796B3B">
        <w:t xml:space="preserve"> very structure of the self diverge</w:t>
      </w:r>
      <w:r w:rsidR="00B37E70" w:rsidRPr="00C13AFC">
        <w:t xml:space="preserve">. </w:t>
      </w:r>
      <w:r w:rsidR="00A97EA3" w:rsidRPr="00C13AFC">
        <w:t>In this essay,</w:t>
      </w:r>
      <w:r w:rsidR="00B37E70" w:rsidRPr="00C13AFC">
        <w:t xml:space="preserve"> I will perform a literary anatomy of </w:t>
      </w:r>
      <w:r w:rsidR="000756E9" w:rsidRPr="00C13AFC">
        <w:t xml:space="preserve">Petrarch and Montaigne’s </w:t>
      </w:r>
      <w:r w:rsidR="00A97EA3" w:rsidRPr="00C13AFC">
        <w:t>“I”</w:t>
      </w:r>
      <w:r w:rsidR="00E95EA6">
        <w:t>’</w:t>
      </w:r>
      <w:r w:rsidR="000756E9" w:rsidRPr="00C13AFC">
        <w:t xml:space="preserve">s </w:t>
      </w:r>
      <w:r w:rsidR="00A97EA3" w:rsidRPr="00C13AFC">
        <w:t>to explore the development of selfhood in Renaissance Humanism</w:t>
      </w:r>
      <w:r w:rsidR="00B37E70" w:rsidRPr="00C13AFC">
        <w:t>. I will examine how their beliefs of the relationship between the soul and body, and reason and passion, shaped their interpretations of the self, and how time</w:t>
      </w:r>
      <w:r w:rsidR="00A97EA3" w:rsidRPr="00C13AFC">
        <w:t>, space</w:t>
      </w:r>
      <w:r w:rsidR="00B37E70" w:rsidRPr="00C13AFC">
        <w:t xml:space="preserve">, context, and their relationships to </w:t>
      </w:r>
      <w:r w:rsidR="00A97EA3" w:rsidRPr="00C13AFC">
        <w:t>the people around them</w:t>
      </w:r>
      <w:r w:rsidR="00B37E70" w:rsidRPr="00C13AFC">
        <w:t xml:space="preserve"> established and maintained </w:t>
      </w:r>
      <w:r w:rsidR="00A97EA3" w:rsidRPr="00C13AFC">
        <w:t>these beliefs</w:t>
      </w:r>
      <w:r w:rsidR="000756E9" w:rsidRPr="00C13AFC">
        <w:t>.</w:t>
      </w:r>
      <w:r w:rsidR="00B5324E" w:rsidRPr="00C13AFC">
        <w:t xml:space="preserve"> Ultimately, I will attempt to define and dissect the artifice</w:t>
      </w:r>
      <w:r w:rsidR="00C64FD1" w:rsidRPr="00C13AFC">
        <w:t>—</w:t>
      </w:r>
      <w:r w:rsidR="00B5324E" w:rsidRPr="00C13AFC">
        <w:t>the hierarchical, historical performance</w:t>
      </w:r>
      <w:r w:rsidR="00C64FD1" w:rsidRPr="00C13AFC">
        <w:t>—</w:t>
      </w:r>
      <w:r w:rsidR="00B5324E" w:rsidRPr="00C13AFC">
        <w:t xml:space="preserve">of Petrarch’s “I” and the unified, integrated nature of Montaigne’s. </w:t>
      </w:r>
    </w:p>
    <w:p w14:paraId="5C42AC5D" w14:textId="53C1071D" w:rsidR="00113E02" w:rsidRPr="00C13AFC" w:rsidRDefault="0053151E" w:rsidP="005C65FD">
      <w:r w:rsidRPr="00C13AFC">
        <w:tab/>
      </w:r>
      <w:r w:rsidR="005059A2" w:rsidRPr="00C13AFC">
        <w:t xml:space="preserve">To </w:t>
      </w:r>
      <w:r w:rsidR="00796B3B">
        <w:t xml:space="preserve">first </w:t>
      </w:r>
      <w:r w:rsidR="005059A2" w:rsidRPr="00C13AFC">
        <w:t xml:space="preserve">understand the artifice of Petrarch’s self, one must first dissect its core composition: the violent, hierarchical division between the soul and the body. This division </w:t>
      </w:r>
      <w:r w:rsidR="00FB0962" w:rsidRPr="00C13AFC">
        <w:t>marked a pivot from the integrated medieval Aristotelianism.</w:t>
      </w:r>
      <w:r w:rsidR="00206AF6">
        <w:t xml:space="preserve"> In what Margaret King calls his </w:t>
      </w:r>
      <w:r w:rsidR="00206AF6">
        <w:lastRenderedPageBreak/>
        <w:t>“quarrel with Aristotelian philosophy”</w:t>
      </w:r>
      <w:r w:rsidR="00851FB9" w:rsidRPr="00C13AFC">
        <w:rPr>
          <w:rStyle w:val="FootnoteReference"/>
        </w:rPr>
        <w:footnoteReference w:id="1"/>
      </w:r>
      <w:r w:rsidR="00FB0962" w:rsidRPr="00C13AFC">
        <w:t xml:space="preserve"> Petrarch </w:t>
      </w:r>
      <w:r w:rsidR="00796B3B">
        <w:t>resolved to adopt</w:t>
      </w:r>
      <w:r w:rsidR="00FB0962" w:rsidRPr="00C13AFC">
        <w:t xml:space="preserve"> </w:t>
      </w:r>
      <w:r w:rsidR="00796B3B">
        <w:t xml:space="preserve">a </w:t>
      </w:r>
      <w:r w:rsidR="00FB0962" w:rsidRPr="00C13AFC">
        <w:t>Platonic framework where the divine soul is tragically imprisoned within an unreliable body—a philosophy that famously frames life as a practice for death.</w:t>
      </w:r>
      <w:r w:rsidR="003957E5" w:rsidRPr="00C13AFC">
        <w:t xml:space="preserve"> </w:t>
      </w:r>
      <w:r w:rsidR="00FB0962" w:rsidRPr="00C13AFC">
        <w:t>Petrarch synthesise</w:t>
      </w:r>
      <w:r w:rsidR="00A34F43" w:rsidRPr="00C13AFC">
        <w:t>s</w:t>
      </w:r>
      <w:r w:rsidR="00FB0962" w:rsidRPr="00C13AFC">
        <w:t xml:space="preserve"> this </w:t>
      </w:r>
      <w:r w:rsidR="003957E5" w:rsidRPr="00C13AFC">
        <w:t>Platonic dualism</w:t>
      </w:r>
      <w:r w:rsidR="00796B3B">
        <w:t xml:space="preserve"> with</w:t>
      </w:r>
      <w:r w:rsidR="00914095" w:rsidRPr="00C13AFC">
        <w:t xml:space="preserve"> </w:t>
      </w:r>
      <w:r w:rsidR="003957E5" w:rsidRPr="00C13AFC">
        <w:t xml:space="preserve">Augustinian confession (which he inherited from the monk Dionigi </w:t>
      </w:r>
      <w:r w:rsidR="00956123" w:rsidRPr="00C13AFC">
        <w:t>di Borgo San Sepolcro</w:t>
      </w:r>
      <w:r w:rsidR="00FB0962" w:rsidRPr="00C13AFC">
        <w:t>)</w:t>
      </w:r>
      <w:r w:rsidR="00956123" w:rsidRPr="00C13AFC">
        <w:t>,</w:t>
      </w:r>
      <w:r w:rsidR="003957E5" w:rsidRPr="00C13AFC">
        <w:t xml:space="preserve"> and Roman Stoicism. </w:t>
      </w:r>
      <w:r w:rsidR="00914095" w:rsidRPr="00C13AFC">
        <w:t>This created a hierarchical dualism wherein the self becomes a battleground between this immortal, rational soul which strives for God, and the mortal, passionate body rooted to the Earth by worldly desires.</w:t>
      </w:r>
      <w:r w:rsidR="00A34F43" w:rsidRPr="00C13AFC">
        <w:t xml:space="preserve"> </w:t>
      </w:r>
    </w:p>
    <w:p w14:paraId="405B344C" w14:textId="7C58EBDB" w:rsidR="00E200B7" w:rsidRPr="00C13AFC" w:rsidRDefault="00113E02" w:rsidP="005C65FD">
      <w:r w:rsidRPr="00C13AFC">
        <w:tab/>
      </w:r>
      <w:r w:rsidR="00914095" w:rsidRPr="00C13AFC">
        <w:t xml:space="preserve">Petrarch’s </w:t>
      </w:r>
      <w:r w:rsidR="00914095" w:rsidRPr="00C13AFC">
        <w:rPr>
          <w:i/>
          <w:iCs/>
        </w:rPr>
        <w:t>Ascent of Mount Ventoux</w:t>
      </w:r>
      <w:r w:rsidR="00914095" w:rsidRPr="00C13AFC">
        <w:t xml:space="preserve"> turns the scholar’s climb up the 2000 ft mountain into an allegory for his own warring parts, where he personifies his soul and body as being </w:t>
      </w:r>
      <w:r w:rsidR="008455F9" w:rsidRPr="00C13AFC">
        <w:t>joined in a “gruelling war” that has been “raging in the field of [</w:t>
      </w:r>
      <w:r w:rsidR="00796B3B">
        <w:t>his</w:t>
      </w:r>
      <w:r w:rsidR="008455F9" w:rsidRPr="00C13AFC">
        <w:t>] mind.”</w:t>
      </w:r>
      <w:r w:rsidR="00FB6CAC" w:rsidRPr="00C13AFC">
        <w:rPr>
          <w:rStyle w:val="FootnoteReference"/>
        </w:rPr>
        <w:footnoteReference w:id="2"/>
      </w:r>
      <w:r w:rsidR="008455F9" w:rsidRPr="00C13AFC">
        <w:t xml:space="preserve"> </w:t>
      </w:r>
      <w:r w:rsidR="00796B3B">
        <w:t>He</w:t>
      </w:r>
      <w:r w:rsidR="008455F9" w:rsidRPr="00C13AFC">
        <w:t xml:space="preserve"> admits he cannot separate </w:t>
      </w:r>
      <w:r w:rsidR="00796B3B">
        <w:t>the worldly desires he loves,</w:t>
      </w:r>
      <w:r w:rsidR="008455F9" w:rsidRPr="00C13AFC">
        <w:t xml:space="preserve"> to which his soul is forced to submit: “I love what I long not to love [...] Though I hate to do so, though constrained, though sad and sorrowing.”</w:t>
      </w:r>
      <w:r w:rsidR="00FB6CAC" w:rsidRPr="00C13AFC">
        <w:rPr>
          <w:rStyle w:val="FootnoteReference"/>
        </w:rPr>
        <w:footnoteReference w:id="3"/>
      </w:r>
      <w:r w:rsidR="00E200B7" w:rsidRPr="00C13AFC">
        <w:t xml:space="preserve"> Petrarch laments this internal chaos as a personal and spiritual failure, starkly contrasting his own worldly distractions with his brother’s simple devotion to God</w:t>
      </w:r>
      <w:r w:rsidR="00796B3B">
        <w:t xml:space="preserve"> as he successfully ascends Ventoux while Petrarch’s attempts to find an easier route upward lead him back to the bottom</w:t>
      </w:r>
      <w:r w:rsidR="00E200B7" w:rsidRPr="00C13AFC">
        <w:t>. The allegorical climb reveals that even when his “manly resistance” should be focused on the divine, or nothingness, his mind drifts back to his friend and his country.</w:t>
      </w:r>
      <w:r w:rsidR="00FB6CAC" w:rsidRPr="00C13AFC">
        <w:rPr>
          <w:rStyle w:val="FootnoteReference"/>
        </w:rPr>
        <w:footnoteReference w:id="4"/>
      </w:r>
      <w:r w:rsidR="00E200B7" w:rsidRPr="00C13AFC">
        <w:t xml:space="preserve"> For Petrarch, this is a symptom of his soul’s imprisonment. </w:t>
      </w:r>
    </w:p>
    <w:p w14:paraId="37BC5F3A" w14:textId="665DC5EB" w:rsidR="00113E02" w:rsidRPr="00C13AFC" w:rsidRDefault="00113E02" w:rsidP="005C65FD">
      <w:r w:rsidRPr="00C13AFC">
        <w:tab/>
        <w:t>And so, the soul</w:t>
      </w:r>
      <w:r w:rsidR="00974850" w:rsidRPr="00C13AFC">
        <w:t xml:space="preserve"> </w:t>
      </w:r>
      <w:r w:rsidRPr="00C13AFC">
        <w:t>is at war in perpetuum with its embodied reality; the body</w:t>
      </w:r>
      <w:r w:rsidR="00974850" w:rsidRPr="00C13AFC">
        <w:t xml:space="preserve"> </w:t>
      </w:r>
      <w:r w:rsidRPr="00C13AFC">
        <w:t xml:space="preserve">is a rebellious opponent that must be conquered or have </w:t>
      </w:r>
      <w:r w:rsidR="00E95EA6">
        <w:t>its</w:t>
      </w:r>
      <w:r w:rsidRPr="00C13AFC">
        <w:t xml:space="preserve"> confessions extorted, but </w:t>
      </w:r>
      <w:r w:rsidR="00796B3B">
        <w:t xml:space="preserve">it should </w:t>
      </w:r>
      <w:r w:rsidRPr="00C13AFC">
        <w:t xml:space="preserve">never </w:t>
      </w:r>
      <w:r w:rsidR="00796B3B">
        <w:t xml:space="preserve">be </w:t>
      </w:r>
      <w:r w:rsidRPr="00C13AFC">
        <w:t>trusted.</w:t>
      </w:r>
      <w:r w:rsidR="00AE1B7E" w:rsidRPr="00C13AFC">
        <w:t xml:space="preserve"> </w:t>
      </w:r>
      <w:r w:rsidRPr="00C13AFC">
        <w:t xml:space="preserve">Petrarch’s “I” </w:t>
      </w:r>
      <w:r w:rsidR="00AE1B7E" w:rsidRPr="00C13AFC">
        <w:t xml:space="preserve">is thus constructed </w:t>
      </w:r>
      <w:r w:rsidR="00796B3B">
        <w:t>around</w:t>
      </w:r>
      <w:r w:rsidR="00AE1B7E" w:rsidRPr="00C13AFC">
        <w:t xml:space="preserve"> an unwinnable conflict; it </w:t>
      </w:r>
      <w:r w:rsidRPr="00C13AFC">
        <w:t>can never be natural or integrated</w:t>
      </w:r>
      <w:r w:rsidR="00AE1B7E" w:rsidRPr="00C13AFC">
        <w:t>. Therefore</w:t>
      </w:r>
      <w:r w:rsidRPr="00C13AFC">
        <w:t>, it must be artifice</w:t>
      </w:r>
      <w:r w:rsidR="00ED4087" w:rsidRPr="00C13AFC">
        <w:t xml:space="preserve">—a </w:t>
      </w:r>
      <w:r w:rsidRPr="00C13AFC">
        <w:t xml:space="preserve">carefully constructed performance of a </w:t>
      </w:r>
      <w:r w:rsidRPr="00C13AFC">
        <w:lastRenderedPageBreak/>
        <w:t xml:space="preserve">soul struggling against its mortal </w:t>
      </w:r>
      <w:r w:rsidR="00796B3B">
        <w:t>chains</w:t>
      </w:r>
      <w:r w:rsidR="00ED4087" w:rsidRPr="00C13AFC">
        <w:t xml:space="preserve">. This </w:t>
      </w:r>
      <w:r w:rsidRPr="00C13AFC">
        <w:t xml:space="preserve">would establish the terms of self-exploration for Petrarch’s Renaissance humanist posterity. </w:t>
      </w:r>
    </w:p>
    <w:p w14:paraId="2B4CC120" w14:textId="272FC16C" w:rsidR="00D01A18" w:rsidRPr="00C13AFC" w:rsidRDefault="00E200B7" w:rsidP="005C65FD">
      <w:r w:rsidRPr="00C13AFC">
        <w:tab/>
        <w:t>This model of internal warfare is precisely what Michel de Montaigne, inheriting a world transformed by two centuries of humanist thought</w:t>
      </w:r>
      <w:r w:rsidR="00796B3B">
        <w:t xml:space="preserve">, </w:t>
      </w:r>
      <w:r w:rsidRPr="00C13AFC">
        <w:t>systematically dismantles.</w:t>
      </w:r>
      <w:r w:rsidR="00CE2BB4" w:rsidRPr="00C13AFC">
        <w:t xml:space="preserve"> </w:t>
      </w:r>
      <w:r w:rsidR="00444CAB" w:rsidRPr="00C13AFC">
        <w:t xml:space="preserve">While Montaigne nonetheless </w:t>
      </w:r>
      <w:r w:rsidR="00796B3B">
        <w:t>was a Platonic scholar</w:t>
      </w:r>
      <w:r w:rsidR="00444CAB" w:rsidRPr="00C13AFC">
        <w:t xml:space="preserve">, he combines </w:t>
      </w:r>
      <w:r w:rsidR="00796B3B">
        <w:t>the Platonist</w:t>
      </w:r>
      <w:r w:rsidR="00444CAB" w:rsidRPr="00C13AFC">
        <w:t xml:space="preserve"> </w:t>
      </w:r>
      <w:r w:rsidR="00796B3B">
        <w:t xml:space="preserve">framework </w:t>
      </w:r>
      <w:r w:rsidR="00444CAB" w:rsidRPr="00C13AFC">
        <w:t>with Pyrrhonian scepticism—wherein it is believed that one’s opinion is not knowledge—</w:t>
      </w:r>
      <w:r w:rsidR="00796B3B">
        <w:t xml:space="preserve"> and Epicureanism—a belief system wherein happiness is derived from simple, yet distinctly mortal pleasures. This new synthesis </w:t>
      </w:r>
      <w:r w:rsidR="00444CAB" w:rsidRPr="00C13AFC">
        <w:t xml:space="preserve">allowed </w:t>
      </w:r>
      <w:r w:rsidR="00796B3B">
        <w:t>Montaigne</w:t>
      </w:r>
      <w:r w:rsidR="00444CAB" w:rsidRPr="00C13AFC">
        <w:t xml:space="preserve"> to transcend the Petrarchan model</w:t>
      </w:r>
      <w:r w:rsidR="00D01A18" w:rsidRPr="00C13AFC">
        <w:t xml:space="preserve"> </w:t>
      </w:r>
      <w:r w:rsidR="00444CAB" w:rsidRPr="00C13AFC">
        <w:t>of the</w:t>
      </w:r>
      <w:r w:rsidR="00D01A18" w:rsidRPr="00C13AFC">
        <w:t xml:space="preserve"> soul-body</w:t>
      </w:r>
      <w:r w:rsidR="00444CAB" w:rsidRPr="00C13AFC">
        <w:t xml:space="preserve"> hierarchy, to question the very idea of </w:t>
      </w:r>
      <w:r w:rsidR="00796B3B">
        <w:t>hierarchy</w:t>
      </w:r>
      <w:r w:rsidR="00D01A18" w:rsidRPr="00C13AFC">
        <w:t xml:space="preserve"> </w:t>
      </w:r>
      <w:r w:rsidR="00444CAB" w:rsidRPr="00C13AFC">
        <w:t>between body and soul at all.</w:t>
      </w:r>
      <w:r w:rsidR="003C0A40" w:rsidRPr="00C13AFC">
        <w:rPr>
          <w:rStyle w:val="FootnoteReference"/>
        </w:rPr>
        <w:footnoteReference w:id="5"/>
      </w:r>
      <w:r w:rsidR="00444CAB" w:rsidRPr="00C13AFC">
        <w:t xml:space="preserve"> </w:t>
      </w:r>
      <w:r w:rsidRPr="00C13AFC">
        <w:t>Montaigne’s great departure was his profound understanding of how “wonderously corporeal”</w:t>
      </w:r>
      <w:r w:rsidR="00796B3B" w:rsidRPr="00C13AFC">
        <w:rPr>
          <w:rStyle w:val="FootnoteReference"/>
        </w:rPr>
        <w:footnoteReference w:id="6"/>
      </w:r>
      <w:r w:rsidRPr="00C13AFC">
        <w:t xml:space="preserve"> human beings ar</w:t>
      </w:r>
      <w:r w:rsidR="00796B3B">
        <w:t xml:space="preserve">e, where the soul and body are instead united in a </w:t>
      </w:r>
      <w:r w:rsidR="00796B3B" w:rsidRPr="00C13AFC">
        <w:t>“loving marriage.”</w:t>
      </w:r>
      <w:r w:rsidR="00796B3B" w:rsidRPr="00C13AFC">
        <w:rPr>
          <w:rStyle w:val="FootnoteReference"/>
        </w:rPr>
        <w:footnoteReference w:id="7"/>
      </w:r>
      <w:r w:rsidRPr="00C13AFC">
        <w:t xml:space="preserve">. From this insight, </w:t>
      </w:r>
      <w:r w:rsidR="003C0A40" w:rsidRPr="00C13AFC">
        <w:t>Montaigne</w:t>
      </w:r>
      <w:r w:rsidRPr="00C13AFC">
        <w:t xml:space="preserve"> conclud</w:t>
      </w:r>
      <w:r w:rsidR="003C0A40" w:rsidRPr="00C13AFC">
        <w:t>es</w:t>
      </w:r>
      <w:r w:rsidR="00444CAB" w:rsidRPr="00C13AFC">
        <w:t xml:space="preserve"> </w:t>
      </w:r>
      <w:r w:rsidRPr="00C13AFC">
        <w:t xml:space="preserve">that wisdom lay not </w:t>
      </w:r>
      <w:r w:rsidR="00E95EA6">
        <w:t>in</w:t>
      </w:r>
      <w:r w:rsidR="003C0A40" w:rsidRPr="00C13AFC">
        <w:t xml:space="preserve"> the Petrarchan goal of segregating the soul</w:t>
      </w:r>
      <w:r w:rsidRPr="00C13AFC">
        <w:t xml:space="preserve"> but in “keeping the soul and body together in loving harmony.”</w:t>
      </w:r>
      <w:r w:rsidR="003C0A40" w:rsidRPr="00C13AFC">
        <w:rPr>
          <w:rStyle w:val="FootnoteReference"/>
        </w:rPr>
        <w:footnoteReference w:id="8"/>
      </w:r>
      <w:r w:rsidRPr="00C13AFC">
        <w:t xml:space="preserve"> This illustrates that Montaigne </w:t>
      </w:r>
      <w:r w:rsidR="00D01A18" w:rsidRPr="00C13AFC">
        <w:t xml:space="preserve">does not need war, frustration, depression, </w:t>
      </w:r>
      <w:r w:rsidRPr="00C13AFC">
        <w:t>to define his soul, or body, or self</w:t>
      </w:r>
      <w:r w:rsidR="00D01A18" w:rsidRPr="00C13AFC">
        <w:t>, as ostensibly Petrarch does</w:t>
      </w:r>
      <w:r w:rsidRPr="00C13AFC">
        <w:t>.</w:t>
      </w:r>
      <w:r w:rsidR="00D01A18" w:rsidRPr="00C13AFC">
        <w:t xml:space="preserve"> Montaigne is not a warrior of the soul, but a husband to his own being.</w:t>
      </w:r>
      <w:r w:rsidR="00FB0962" w:rsidRPr="00C13AFC">
        <w:t xml:space="preserve"> In embracing this domestic union, he achieves the peace that Petrarch, in his desperate attempt to make his suffering monumental, could never find; Petrarch’s conflict is in his attempt to disconnect from the very human nature that Montaigne learns to call home. </w:t>
      </w:r>
    </w:p>
    <w:p w14:paraId="6CBDB8C8" w14:textId="2AC5F2C9" w:rsidR="00A94A29" w:rsidRPr="00C13AFC" w:rsidRDefault="00D01A18" w:rsidP="005C65FD">
      <w:r w:rsidRPr="00C13AFC">
        <w:tab/>
        <w:t xml:space="preserve">This same dynamic </w:t>
      </w:r>
      <w:r w:rsidR="00956123" w:rsidRPr="00C13AFC">
        <w:t>can be translated into the concepts of “Reason” and “Passion”</w:t>
      </w:r>
      <w:r w:rsidR="0024302B" w:rsidRPr="00C13AFC">
        <w:t xml:space="preserve"> in selfhood.</w:t>
      </w:r>
      <w:r w:rsidR="00956123" w:rsidRPr="00C13AFC">
        <w:t xml:space="preserve"> Reason is a product of the soul, while Passion is a symptom of the body’s corporeality</w:t>
      </w:r>
      <w:r w:rsidR="00FB0962" w:rsidRPr="00C13AFC">
        <w:t>. A</w:t>
      </w:r>
      <w:r w:rsidR="00A94A29" w:rsidRPr="00C13AFC">
        <w:t>nd as</w:t>
      </w:r>
      <w:r w:rsidR="00FB0962" w:rsidRPr="00C13AFC">
        <w:t xml:space="preserve"> with the soul and the body, Petrarch’s relationship with Reason versus </w:t>
      </w:r>
      <w:r w:rsidR="00FB0962" w:rsidRPr="00C13AFC">
        <w:lastRenderedPageBreak/>
        <w:t>Passion pantomimes brutal</w:t>
      </w:r>
      <w:r w:rsidR="00796B3B">
        <w:t>ity</w:t>
      </w:r>
      <w:r w:rsidR="00FB0962" w:rsidRPr="00C13AFC">
        <w:t xml:space="preserve">, while Montaigne’s </w:t>
      </w:r>
      <w:r w:rsidR="0024302B" w:rsidRPr="00C13AFC">
        <w:t>replicates a</w:t>
      </w:r>
      <w:r w:rsidR="00FB0962" w:rsidRPr="00C13AFC">
        <w:t xml:space="preserve"> manageable, if not complex, cohabitation</w:t>
      </w:r>
      <w:r w:rsidR="0024302B" w:rsidRPr="00C13AFC">
        <w:t>,</w:t>
      </w:r>
      <w:r w:rsidR="00FB0962" w:rsidRPr="00C13AFC">
        <w:t xml:space="preserve"> begetting the nature of a well-managed household. </w:t>
      </w:r>
    </w:p>
    <w:p w14:paraId="128ED020" w14:textId="2DBE9008" w:rsidR="00A34F43" w:rsidRPr="00C13AFC" w:rsidRDefault="00A94A29" w:rsidP="005C65FD">
      <w:r w:rsidRPr="00C13AFC">
        <w:tab/>
        <w:t xml:space="preserve">The invasion of Passion upon Reason </w:t>
      </w:r>
      <w:r w:rsidR="00D005E8" w:rsidRPr="00C13AFC">
        <w:t>in Petrarchan</w:t>
      </w:r>
      <w:r w:rsidR="00796B3B">
        <w:t xml:space="preserve"> selfhood</w:t>
      </w:r>
      <w:r w:rsidR="00D005E8" w:rsidRPr="00C13AFC">
        <w:t xml:space="preserve"> </w:t>
      </w:r>
      <w:r w:rsidRPr="00C13AFC">
        <w:t xml:space="preserve">is elevated by the language of sovereignty and violence in his </w:t>
      </w:r>
      <w:r w:rsidRPr="00C13AFC">
        <w:rPr>
          <w:i/>
          <w:iCs/>
        </w:rPr>
        <w:t>Canzoniere</w:t>
      </w:r>
      <w:r w:rsidRPr="00C13AFC">
        <w:t xml:space="preserve">, usurping Reason’s rule and holding the Petrarchan self captive. </w:t>
      </w:r>
      <w:r w:rsidR="00A34F43" w:rsidRPr="00C13AFC">
        <w:t xml:space="preserve">In his poem </w:t>
      </w:r>
      <w:r w:rsidR="00A34F43" w:rsidRPr="00C13AFC">
        <w:rPr>
          <w:i/>
          <w:iCs/>
        </w:rPr>
        <w:t>Voglia mi sprona, Amor mi guida et scorge</w:t>
      </w:r>
      <w:r w:rsidR="00A34F43" w:rsidRPr="00C13AFC">
        <w:t>,</w:t>
      </w:r>
      <w:r w:rsidR="00796B3B">
        <w:t xml:space="preserve"> </w:t>
      </w:r>
      <w:r w:rsidR="00A34F43" w:rsidRPr="00C13AFC">
        <w:t xml:space="preserve">he </w:t>
      </w:r>
      <w:r w:rsidR="00D005E8" w:rsidRPr="00C13AFC">
        <w:t>writes</w:t>
      </w:r>
      <w:r w:rsidR="00A34F43" w:rsidRPr="00C13AFC">
        <w:t>:</w:t>
      </w:r>
    </w:p>
    <w:p w14:paraId="3B0E2915" w14:textId="05628E9D" w:rsidR="00A34F43" w:rsidRPr="00C13AFC" w:rsidRDefault="00A34F43" w:rsidP="00600F13">
      <w:pPr>
        <w:ind w:left="1701"/>
        <w:rPr>
          <w:sz w:val="22"/>
          <w:szCs w:val="22"/>
        </w:rPr>
      </w:pPr>
      <w:r w:rsidRPr="00C13AFC">
        <w:rPr>
          <w:sz w:val="22"/>
          <w:szCs w:val="22"/>
        </w:rPr>
        <w:t>“Desire drives me: Love sees and guides me,</w:t>
      </w:r>
    </w:p>
    <w:p w14:paraId="45FAB053" w14:textId="2417B980" w:rsidR="00A34F43" w:rsidRPr="00C13AFC" w:rsidRDefault="00A34F43" w:rsidP="00600F13">
      <w:pPr>
        <w:ind w:left="1701"/>
        <w:rPr>
          <w:sz w:val="22"/>
          <w:szCs w:val="22"/>
        </w:rPr>
      </w:pPr>
      <w:r w:rsidRPr="00C13AFC">
        <w:rPr>
          <w:sz w:val="22"/>
          <w:szCs w:val="22"/>
        </w:rPr>
        <w:t>Pleasure draws me: Habit carries me on,</w:t>
      </w:r>
    </w:p>
    <w:p w14:paraId="1478EE71" w14:textId="3B87CA1E" w:rsidR="00A34F43" w:rsidRPr="00C13AFC" w:rsidRDefault="00A34F43" w:rsidP="00600F13">
      <w:pPr>
        <w:ind w:left="1701"/>
        <w:rPr>
          <w:sz w:val="22"/>
          <w:szCs w:val="22"/>
        </w:rPr>
      </w:pPr>
      <w:r w:rsidRPr="00C13AFC">
        <w:rPr>
          <w:sz w:val="22"/>
          <w:szCs w:val="22"/>
        </w:rPr>
        <w:t>Hope beguiles me, and he comforts me,</w:t>
      </w:r>
    </w:p>
    <w:p w14:paraId="380C0D69" w14:textId="4CFE6431" w:rsidR="00A34F43" w:rsidRPr="00C13AFC" w:rsidRDefault="00A34F43" w:rsidP="00600F13">
      <w:pPr>
        <w:ind w:left="1701"/>
        <w:rPr>
          <w:sz w:val="22"/>
          <w:szCs w:val="22"/>
        </w:rPr>
      </w:pPr>
      <w:r w:rsidRPr="00C13AFC">
        <w:rPr>
          <w:sz w:val="22"/>
          <w:szCs w:val="22"/>
        </w:rPr>
        <w:t>And holds his hand out to my weary heart</w:t>
      </w:r>
    </w:p>
    <w:p w14:paraId="60B89678" w14:textId="77777777" w:rsidR="00600F13" w:rsidRPr="00C13AFC" w:rsidRDefault="00600F13" w:rsidP="00600F13">
      <w:pPr>
        <w:ind w:left="1701"/>
        <w:rPr>
          <w:sz w:val="10"/>
          <w:szCs w:val="10"/>
        </w:rPr>
      </w:pPr>
    </w:p>
    <w:p w14:paraId="1C49FCEE" w14:textId="062E85C6" w:rsidR="00A34F43" w:rsidRPr="00C13AFC" w:rsidRDefault="00A34F43" w:rsidP="00600F13">
      <w:pPr>
        <w:ind w:left="1701"/>
        <w:rPr>
          <w:sz w:val="22"/>
          <w:szCs w:val="22"/>
        </w:rPr>
      </w:pPr>
      <w:r w:rsidRPr="00C13AFC">
        <w:rPr>
          <w:sz w:val="22"/>
          <w:szCs w:val="22"/>
        </w:rPr>
        <w:t>And the wretch takes it, and does not see</w:t>
      </w:r>
    </w:p>
    <w:p w14:paraId="2F866C26" w14:textId="5447AEE4" w:rsidR="00A34F43" w:rsidRPr="00C13AFC" w:rsidRDefault="00A34F43" w:rsidP="00600F13">
      <w:pPr>
        <w:ind w:left="1701"/>
        <w:rPr>
          <w:sz w:val="22"/>
          <w:szCs w:val="22"/>
        </w:rPr>
      </w:pPr>
      <w:r w:rsidRPr="00C13AFC">
        <w:rPr>
          <w:sz w:val="22"/>
          <w:szCs w:val="22"/>
        </w:rPr>
        <w:t xml:space="preserve">How blind and disloyal is our </w:t>
      </w:r>
      <w:r w:rsidR="00600F13" w:rsidRPr="00C13AFC">
        <w:rPr>
          <w:sz w:val="22"/>
          <w:szCs w:val="22"/>
        </w:rPr>
        <w:t>guide:</w:t>
      </w:r>
    </w:p>
    <w:p w14:paraId="3F874119" w14:textId="505DBCF0" w:rsidR="00A94A29" w:rsidRPr="00C13AFC" w:rsidRDefault="00600F13" w:rsidP="00974850">
      <w:pPr>
        <w:ind w:left="1701"/>
        <w:rPr>
          <w:sz w:val="22"/>
          <w:szCs w:val="22"/>
        </w:rPr>
      </w:pPr>
      <w:r w:rsidRPr="00C13AFC">
        <w:rPr>
          <w:sz w:val="22"/>
          <w:szCs w:val="22"/>
        </w:rPr>
        <w:t>The senses reign, and reason is dead:</w:t>
      </w:r>
      <w:r w:rsidR="00974850" w:rsidRPr="00C13AFC">
        <w:rPr>
          <w:sz w:val="22"/>
          <w:szCs w:val="22"/>
        </w:rPr>
        <w:t>”</w:t>
      </w:r>
      <w:r w:rsidR="003C0A40" w:rsidRPr="00C13AFC">
        <w:rPr>
          <w:rStyle w:val="FootnoteReference"/>
          <w:sz w:val="22"/>
          <w:szCs w:val="22"/>
        </w:rPr>
        <w:footnoteReference w:id="9"/>
      </w:r>
    </w:p>
    <w:p w14:paraId="6EFB9CA2" w14:textId="45C34204" w:rsidR="00600F13" w:rsidRPr="00C13AFC" w:rsidRDefault="00D005E8" w:rsidP="005C65FD">
      <w:r w:rsidRPr="00C13AFC">
        <w:t>Here, Petrarch’s internal state is personified</w:t>
      </w:r>
      <w:r w:rsidR="00974850" w:rsidRPr="00C13AFC">
        <w:t>. The self is a kingdom, and Reason, its rightful ruler, has been executed. An army of</w:t>
      </w:r>
      <w:r w:rsidRPr="00C13AFC">
        <w:t xml:space="preserve"> passions—Desire, Love, Pleasure, Habit, and Hope—</w:t>
      </w:r>
      <w:r w:rsidR="00974850" w:rsidRPr="00C13AFC">
        <w:t>usurp control, and the final line delivers the verdict with brutal finality: “the senses reign, and reason is dead.” While one can read this as poetic hyperbole, when it is held against Petrarch’s other works, it is revealed to be the constitutional basis of the Petrarchan self. To be ruled by passion is to live under blind and illegitimate tyranny, becoming a state of perpetual crisis where the “I” is held captive by its own emotional traitors. To be ruled by “sweet agony” is the only source of his creative performability.</w:t>
      </w:r>
      <w:r w:rsidR="00C261D3" w:rsidRPr="00C13AFC">
        <w:rPr>
          <w:rStyle w:val="FootnoteReference"/>
        </w:rPr>
        <w:footnoteReference w:id="10"/>
      </w:r>
      <w:r w:rsidR="00974850" w:rsidRPr="00C13AFC">
        <w:t xml:space="preserve"> </w:t>
      </w:r>
    </w:p>
    <w:p w14:paraId="1421FB87" w14:textId="0A5E573B" w:rsidR="00897492" w:rsidRPr="00C13AFC" w:rsidRDefault="00974850" w:rsidP="005C65FD">
      <w:r w:rsidRPr="00C13AFC">
        <w:tab/>
        <w:t>And yet, Montaigne proves that Reason and Passion</w:t>
      </w:r>
      <w:r w:rsidR="00C52B6B" w:rsidRPr="00C13AFC">
        <w:t>, as like the body and soul,</w:t>
      </w:r>
      <w:r w:rsidRPr="00C13AFC">
        <w:t xml:space="preserve"> can experience one another without </w:t>
      </w:r>
      <w:r w:rsidR="00C52B6B" w:rsidRPr="00C13AFC">
        <w:t xml:space="preserve">the bulwark of internal conflict upon which Petrarch is increasingly dependent. The metaphysical coup in Petrarch is once more sublimated into a </w:t>
      </w:r>
      <w:r w:rsidR="00C52B6B" w:rsidRPr="00C13AFC">
        <w:lastRenderedPageBreak/>
        <w:t xml:space="preserve">visage of domesticity; in this case, a well-run household. </w:t>
      </w:r>
      <w:r w:rsidR="006849BF" w:rsidRPr="00C13AFC">
        <w:t>Rather than pursuing the Stoic ideal of complete impassivity, Montaigne consciously sides with the “wise Peripatetic,” who “doth not free himself from the perturbations of the mind, but doth moderate them.”</w:t>
      </w:r>
      <w:r w:rsidR="00F96D23" w:rsidRPr="00C13AFC">
        <w:rPr>
          <w:rStyle w:val="FootnoteReference"/>
        </w:rPr>
        <w:footnoteReference w:id="11"/>
      </w:r>
      <w:r w:rsidR="006849BF" w:rsidRPr="00C13AFC">
        <w:t xml:space="preserve"> Passions are no longer then the enemy combatants in need of eradication, but are accepted as powerful, natural forces within the self that require management and guidance. Reason’s own function therefore shifts from that of a tragic king to a prudent manager of an estate, where it must also be kept in check. “Wisdom hath hir excesses,” warns Montaigne according to Charles Taylor, “and no lesse need of moderation, then follie.”</w:t>
      </w:r>
      <w:r w:rsidR="00F96D23" w:rsidRPr="00C13AFC">
        <w:rPr>
          <w:rStyle w:val="FootnoteReference"/>
        </w:rPr>
        <w:footnoteReference w:id="12"/>
      </w:r>
      <w:r w:rsidR="006849BF" w:rsidRPr="00C13AFC">
        <w:t xml:space="preserve"> This is a radical departure from Petrarch’s hierarchical model; it suggests a system of checks and balances equal to each component of the soul and body</w:t>
      </w:r>
      <w:r w:rsidR="00897492" w:rsidRPr="00C13AFC">
        <w:t>, of Reason and Emotion, where the goal is a functional, thriving domestic life, not the absolute, and ultimately impossible, tyranny of one faculty over another. Even Montaigne’s suffering, when it happens, as with his chronic suffering of kidney stones in the latter half of his life, is not an immutable ruler upon his personhood, but yet another part of it</w:t>
      </w:r>
      <w:r w:rsidR="00F96D23" w:rsidRPr="00C13AFC">
        <w:t>.</w:t>
      </w:r>
      <w:r w:rsidR="00F96D23" w:rsidRPr="00C13AFC">
        <w:rPr>
          <w:rStyle w:val="FootnoteReference"/>
        </w:rPr>
        <w:footnoteReference w:id="13"/>
      </w:r>
      <w:r w:rsidR="00F96D23" w:rsidRPr="00C13AFC">
        <w:t xml:space="preserve"> H</w:t>
      </w:r>
      <w:r w:rsidR="00897492" w:rsidRPr="00C13AFC">
        <w:t>is “I” is merely something that can suffer hardships, yet it is not the only thing it does</w:t>
      </w:r>
      <w:r w:rsidR="00FC1CDE" w:rsidRPr="00C13AFC">
        <w:t>; it takes pleasure from walking in his garden as much as it suffers from humours of the kidneys</w:t>
      </w:r>
      <w:r w:rsidR="00897492" w:rsidRPr="00C13AFC">
        <w:t xml:space="preserve">. </w:t>
      </w:r>
    </w:p>
    <w:p w14:paraId="0AE1BDE8" w14:textId="77777777" w:rsidR="002D7ED4" w:rsidRPr="00C13AFC" w:rsidRDefault="00897492" w:rsidP="007A545A">
      <w:r w:rsidRPr="00C13AFC">
        <w:tab/>
        <w:t>Ultimately, humanist anatomy of the self, begun by Petrarch as a political tragedy of usurpation and civil war, finds in Montaigne a resolution as a quiet, complex, and profoundly influential domestic drama</w:t>
      </w:r>
      <w:r w:rsidR="00B771D9" w:rsidRPr="00C13AFC">
        <w:t>; once more, this personifies the contrast between artifice and nature.</w:t>
      </w:r>
    </w:p>
    <w:p w14:paraId="79433C00" w14:textId="2BF38A45" w:rsidR="00FA7016" w:rsidRPr="00C13AFC" w:rsidRDefault="002D7ED4" w:rsidP="007A545A">
      <w:r w:rsidRPr="00C13AFC">
        <w:tab/>
        <w:t xml:space="preserve">Petrarch </w:t>
      </w:r>
      <w:r w:rsidR="007A545A" w:rsidRPr="00C13AFC">
        <w:t>and Montaigne</w:t>
      </w:r>
      <w:r w:rsidR="00122B65" w:rsidRPr="00C13AFC">
        <w:t xml:space="preserve"> construct memory and the narrative of their “I”</w:t>
      </w:r>
      <w:r w:rsidR="00FA7016" w:rsidRPr="00C13AFC">
        <w:t>s in</w:t>
      </w:r>
      <w:r w:rsidR="00C144A0" w:rsidRPr="00C13AFC">
        <w:t xml:space="preserve"> very</w:t>
      </w:r>
      <w:r w:rsidR="00FA7016" w:rsidRPr="00C13AFC">
        <w:t xml:space="preserve"> </w:t>
      </w:r>
      <w:r w:rsidR="00C144A0" w:rsidRPr="00C13AFC">
        <w:t>contrary</w:t>
      </w:r>
      <w:r w:rsidR="00FA7016" w:rsidRPr="00C13AFC">
        <w:t xml:space="preserve"> literary styles: Petrarch </w:t>
      </w:r>
      <w:r w:rsidR="00C144A0" w:rsidRPr="00C13AFC">
        <w:t xml:space="preserve">with the familiar letter, the structure of which was derived from </w:t>
      </w:r>
      <w:r w:rsidR="00341F53" w:rsidRPr="00C13AFC">
        <w:t>Ciceronian letters</w:t>
      </w:r>
      <w:r w:rsidR="00C144A0" w:rsidRPr="00C13AFC">
        <w:t>, and the sonnet, another structurally audacious literary genre; and Montaigne with his own literary invention, the essay.</w:t>
      </w:r>
      <w:r w:rsidR="00267148">
        <w:rPr>
          <w:rStyle w:val="FootnoteReference"/>
        </w:rPr>
        <w:footnoteReference w:id="14"/>
      </w:r>
      <w:r w:rsidR="00C144A0" w:rsidRPr="00C13AFC">
        <w:t xml:space="preserve"> From this alone, one can begin to </w:t>
      </w:r>
      <w:r w:rsidR="00C144A0" w:rsidRPr="00C13AFC">
        <w:lastRenderedPageBreak/>
        <w:t xml:space="preserve">discern the differences then in the approaches each of these men took to deciphering the self: one is structured, chronological, teleological, while the other is new, fluid and entirely self-reliant. </w:t>
      </w:r>
    </w:p>
    <w:p w14:paraId="4C4CFB15" w14:textId="16CD19C1" w:rsidR="00C144A0" w:rsidRPr="00C13AFC" w:rsidRDefault="00C144A0" w:rsidP="00C144A0">
      <w:r w:rsidRPr="00C13AFC">
        <w:tab/>
        <w:t xml:space="preserve">Petrarch uses this structured approach to establish his self as a historical monument, using memory selectively to build an enduring, artificial persona for posterity. One which honours his God. His </w:t>
      </w:r>
      <w:r w:rsidRPr="00C13AFC">
        <w:rPr>
          <w:i/>
          <w:iCs/>
        </w:rPr>
        <w:t>Letter to Posterity</w:t>
      </w:r>
      <w:r w:rsidRPr="00C13AFC">
        <w:t xml:space="preserve"> performs in its word choice Christian modesty</w:t>
      </w:r>
      <w:r w:rsidR="006C489E" w:rsidRPr="00C13AFC">
        <w:t>, where he is merely “one of [our] race”,</w:t>
      </w:r>
      <w:r w:rsidR="00341F53" w:rsidRPr="00C13AFC">
        <w:rPr>
          <w:rStyle w:val="FootnoteReference"/>
        </w:rPr>
        <w:footnoteReference w:id="15"/>
      </w:r>
      <w:r w:rsidR="006C489E" w:rsidRPr="00C13AFC">
        <w:t xml:space="preserve"> </w:t>
      </w:r>
      <w:r w:rsidRPr="00C13AFC">
        <w:t>while the assumption that precedes them</w:t>
      </w:r>
      <w:r w:rsidR="002D7ED4" w:rsidRPr="00C13AFC">
        <w:t xml:space="preserve"> “is immodest in the extreme.”</w:t>
      </w:r>
      <w:r w:rsidR="00341F53" w:rsidRPr="00C13AFC">
        <w:rPr>
          <w:rStyle w:val="FootnoteReference"/>
        </w:rPr>
        <w:footnoteReference w:id="16"/>
      </w:r>
      <w:r w:rsidR="002D7ED4" w:rsidRPr="00C13AFC">
        <w:t xml:space="preserve"> As King rightly notes, Petrarch assumes that his literary works, his ideas, his perceptions, will have enduring value and will “move readers in a different time and place to wonder about their creator.” In the letter, Petrarch offers a “chronologically ordered review of his career”, carefully curating a coherent, heroic journey of </w:t>
      </w:r>
      <w:r w:rsidR="000A2471" w:rsidRPr="00C13AFC">
        <w:t>the</w:t>
      </w:r>
      <w:r w:rsidR="002D7ED4" w:rsidRPr="00C13AFC">
        <w:t xml:space="preserve"> man of letters</w:t>
      </w:r>
      <w:r w:rsidR="006C489E" w:rsidRPr="00C13AFC">
        <w:t xml:space="preserve"> and Christ.</w:t>
      </w:r>
      <w:r w:rsidR="00341F53" w:rsidRPr="00C13AFC">
        <w:rPr>
          <w:rStyle w:val="FootnoteReference"/>
        </w:rPr>
        <w:footnoteReference w:id="17"/>
      </w:r>
      <w:r w:rsidR="006C489E" w:rsidRPr="00C13AFC">
        <w:t xml:space="preserve"> </w:t>
      </w:r>
      <w:r w:rsidR="000A2471" w:rsidRPr="00C13AFC">
        <w:t xml:space="preserve">But the most damning evidence of this artificial construction lies in what Petrarch omits from his account: his two illegitimate children, Giovanni and Francesca, both born before Petrarch wrote this </w:t>
      </w:r>
      <w:r w:rsidR="000A2471" w:rsidRPr="00C13AFC">
        <w:rPr>
          <w:i/>
          <w:iCs/>
        </w:rPr>
        <w:t>To Posterity</w:t>
      </w:r>
      <w:r w:rsidR="000A2471" w:rsidRPr="00C13AFC">
        <w:t xml:space="preserve"> in 1351</w:t>
      </w:r>
      <w:r w:rsidR="00341F53" w:rsidRPr="00C13AFC">
        <w:t>.</w:t>
      </w:r>
      <w:r w:rsidR="00341F53" w:rsidRPr="00C13AFC">
        <w:rPr>
          <w:rStyle w:val="FootnoteReference"/>
        </w:rPr>
        <w:footnoteReference w:id="18"/>
      </w:r>
      <w:r w:rsidR="00341F53" w:rsidRPr="00C13AFC">
        <w:t xml:space="preserve"> Both</w:t>
      </w:r>
      <w:r w:rsidR="000A2471" w:rsidRPr="00C13AFC">
        <w:t xml:space="preserve"> </w:t>
      </w:r>
      <w:r w:rsidR="00341F53" w:rsidRPr="00C13AFC">
        <w:t xml:space="preserve">are </w:t>
      </w:r>
      <w:r w:rsidR="000A2471" w:rsidRPr="00C13AFC">
        <w:t>conveniently expunged from the record to preserve the purity of his historical monument</w:t>
      </w:r>
      <w:r w:rsidR="00341F53" w:rsidRPr="00C13AFC">
        <w:t>; P</w:t>
      </w:r>
      <w:r w:rsidR="000A2471" w:rsidRPr="00C13AFC">
        <w:t xml:space="preserve">etrarch never completed </w:t>
      </w:r>
      <w:r w:rsidR="00267148">
        <w:t>t</w:t>
      </w:r>
      <w:r w:rsidR="000A2471" w:rsidRPr="00C13AFC">
        <w:t>his letter, but would continue to revise it even into the final years of his life two decades later.</w:t>
      </w:r>
      <w:r w:rsidR="00341F53" w:rsidRPr="00C13AFC">
        <w:rPr>
          <w:rStyle w:val="FootnoteReference"/>
        </w:rPr>
        <w:footnoteReference w:id="19"/>
      </w:r>
      <w:r w:rsidR="000A2471" w:rsidRPr="00C13AFC">
        <w:t xml:space="preserve"> </w:t>
      </w:r>
    </w:p>
    <w:p w14:paraId="3D6E981E" w14:textId="5275BFC9" w:rsidR="002D7ED4" w:rsidRPr="00C13AFC" w:rsidRDefault="002D7ED4" w:rsidP="00C144A0">
      <w:r w:rsidRPr="00C13AFC">
        <w:tab/>
        <w:t>However, Montaigne’s fluid, self-reliant f</w:t>
      </w:r>
      <w:r w:rsidR="00E20DEC" w:rsidRPr="00C13AFC">
        <w:t xml:space="preserve">orm dismantles this monumental approach. </w:t>
      </w:r>
      <w:r w:rsidR="00206AF6">
        <w:t>While King highlights Petrarch’s arrogance,</w:t>
      </w:r>
      <w:r w:rsidR="00E20DEC" w:rsidRPr="00C13AFC">
        <w:t xml:space="preserve"> she also intimates </w:t>
      </w:r>
      <w:r w:rsidR="00206AF6">
        <w:t>that Montaigne’s very mode of expression was inseparable from his subject</w:t>
      </w:r>
      <w:r w:rsidR="00E20DEC" w:rsidRPr="00C13AFC">
        <w:t>;</w:t>
      </w:r>
      <w:r w:rsidR="00206AF6">
        <w:t xml:space="preserve"> he could only explore his selfhood through his essays.</w:t>
      </w:r>
      <w:r w:rsidR="00267148">
        <w:rPr>
          <w:rStyle w:val="FootnoteReference"/>
        </w:rPr>
        <w:footnoteReference w:id="20"/>
      </w:r>
      <w:r w:rsidR="00E20DEC" w:rsidRPr="00C13AFC">
        <w:t xml:space="preserve"> </w:t>
      </w:r>
      <w:r w:rsidR="00206AF6">
        <w:t>They</w:t>
      </w:r>
      <w:r w:rsidR="00E20DEC" w:rsidRPr="00C13AFC">
        <w:t xml:space="preserve"> were a vehicle for exploring and </w:t>
      </w:r>
      <w:r w:rsidR="004A4E56" w:rsidRPr="00C13AFC">
        <w:t xml:space="preserve">embracing the wandering and associative style of his thoughts, and an argument against Petrarch’s rigid teleological structure. By being </w:t>
      </w:r>
      <w:r w:rsidR="004A4E56" w:rsidRPr="00C13AFC">
        <w:lastRenderedPageBreak/>
        <w:t>“consubstantial with [its] author”, the essay form paints a portrait valuing the immediate, messy process of living, over some grand curated legacy.</w:t>
      </w:r>
      <w:r w:rsidR="00341F53" w:rsidRPr="00C13AFC">
        <w:rPr>
          <w:rStyle w:val="FootnoteReference"/>
        </w:rPr>
        <w:footnoteReference w:id="21"/>
      </w:r>
      <w:r w:rsidR="004A4E56" w:rsidRPr="00C13AFC">
        <w:t xml:space="preserve"> And it is made possible by Montaigne’s retreat into the </w:t>
      </w:r>
      <w:r w:rsidR="004A4E56" w:rsidRPr="00C13AFC">
        <w:rPr>
          <w:i/>
          <w:iCs/>
        </w:rPr>
        <w:t>arrière-boutique</w:t>
      </w:r>
      <w:r w:rsidR="004A4E56" w:rsidRPr="00C13AFC">
        <w:t>, the private “back shop” of the self</w:t>
      </w:r>
      <w:r w:rsidR="00203C38" w:rsidRPr="00C13AFC">
        <w:t>.</w:t>
      </w:r>
      <w:r w:rsidR="00203C38" w:rsidRPr="00C13AFC">
        <w:rPr>
          <w:rStyle w:val="FootnoteReference"/>
        </w:rPr>
        <w:footnoteReference w:id="22"/>
      </w:r>
      <w:r w:rsidR="00203C38" w:rsidRPr="00C13AFC">
        <w:t xml:space="preserve"> This back shop was free </w:t>
      </w:r>
      <w:r w:rsidR="004A4E56" w:rsidRPr="00C13AFC">
        <w:t>from the performative demands of the world. Montaigne’s innovation enabled him to reach within the deepest parts of himself to</w:t>
      </w:r>
      <w:r w:rsidR="0004481C" w:rsidRPr="00C13AFC">
        <w:t xml:space="preserve"> “assay […] [his] natural […] abilities”</w:t>
      </w:r>
      <w:r w:rsidR="004A4E56" w:rsidRPr="00C13AFC">
        <w:t>, where he was connecting with the most natural, most authentic parts of his self.</w:t>
      </w:r>
      <w:r w:rsidR="00AF3D1D" w:rsidRPr="00C13AFC">
        <w:rPr>
          <w:rStyle w:val="FootnoteReference"/>
        </w:rPr>
        <w:footnoteReference w:id="23"/>
      </w:r>
      <w:r w:rsidR="004A4E56" w:rsidRPr="00C13AFC">
        <w:t xml:space="preserve"> Petrarch’s self was entirely public, defined in his correspondents by his roles and his audiences; and yet Montaigne’s self is fundamentally private, a distinction that lays the groundwork for modern individualism.</w:t>
      </w:r>
    </w:p>
    <w:p w14:paraId="16E52148" w14:textId="457A50FE" w:rsidR="00E20DEC" w:rsidRPr="00C13AFC" w:rsidRDefault="00520647" w:rsidP="00C144A0">
      <w:r w:rsidRPr="00C13AFC">
        <w:tab/>
      </w:r>
      <w:r w:rsidR="004A4E56" w:rsidRPr="00C13AFC">
        <w:t xml:space="preserve">Additionally, </w:t>
      </w:r>
      <w:r w:rsidRPr="00C13AFC">
        <w:t>Petrarch operates in what he saw as the “last age”,</w:t>
      </w:r>
      <w:r w:rsidR="00203C38" w:rsidRPr="00C13AFC">
        <w:rPr>
          <w:rStyle w:val="FootnoteReference"/>
        </w:rPr>
        <w:footnoteReference w:id="24"/>
      </w:r>
      <w:r w:rsidRPr="00C13AFC">
        <w:t xml:space="preserve"> an environment of cultural ruin and textual scarcity, compounded by the perceived punishment of plague, that would take the lives of his beloved Laura and the Cardinal Giovanni Colonna for whom he worked.</w:t>
      </w:r>
      <w:r w:rsidR="00203C38" w:rsidRPr="00C13AFC">
        <w:rPr>
          <w:rStyle w:val="FootnoteReference"/>
        </w:rPr>
        <w:footnoteReference w:id="25"/>
      </w:r>
      <w:r w:rsidRPr="00C13AFC">
        <w:t xml:space="preserve"> Bemoaning the “negligence” of his predecessors</w:t>
      </w:r>
      <w:r w:rsidR="00F671C3" w:rsidRPr="00C13AFC">
        <w:t xml:space="preserve"> who lost the works of antiquity and filled with “bitter indignation of the morals of today”, Petrarch would inhabit the role of cultural hero, his self infused with the monumental project of restoration.</w:t>
      </w:r>
      <w:r w:rsidR="00203C38" w:rsidRPr="00C13AFC">
        <w:rPr>
          <w:rStyle w:val="FootnoteReference"/>
        </w:rPr>
        <w:footnoteReference w:id="26"/>
      </w:r>
      <w:r w:rsidR="00F671C3" w:rsidRPr="00C13AFC">
        <w:t xml:space="preserve"> </w:t>
      </w:r>
      <w:r w:rsidR="00AF3D1D" w:rsidRPr="00C13AFC">
        <w:t>He</w:t>
      </w:r>
      <w:r w:rsidR="00F671C3" w:rsidRPr="00C13AFC">
        <w:t xml:space="preserve"> </w:t>
      </w:r>
      <w:r w:rsidR="00AF3D1D" w:rsidRPr="00C13AFC">
        <w:t>“</w:t>
      </w:r>
      <w:r w:rsidR="00F671C3" w:rsidRPr="00C13AFC">
        <w:t>transformed medieval rhetoric by rediscovering its classical roots and scope, thus enabling practical rhetoricians to remake themselves in something like the Ciceronian image.”</w:t>
      </w:r>
      <w:r w:rsidR="00AF3D1D" w:rsidRPr="00C13AFC">
        <w:rPr>
          <w:rStyle w:val="FootnoteReference"/>
        </w:rPr>
        <w:footnoteReference w:id="27"/>
      </w:r>
      <w:r w:rsidR="00F671C3" w:rsidRPr="00C13AFC">
        <w:t xml:space="preserve"> And this, we can note, is almost exactly what Petrarch would do; his very identity is externally validated through this grand, public project, his relationships are the props in his historical theatre, and the black plague becomes the stakes against which his character is working. Laura is the catalyst for poetic suffering, and her death, likely by the plague, is his “dark night of the soul”; his brother </w:t>
      </w:r>
      <w:r w:rsidR="00F671C3" w:rsidRPr="00C13AFC">
        <w:lastRenderedPageBreak/>
        <w:t xml:space="preserve">Gherardo, an allegorical figure against which Petrarch must measure his own Christian soul; dead authors like Cicero and Homer are a peer group necromanced to become repositories for his own frustrations with his inferior age and inferior self. These external materials—classical texts, idealised love, even a future audience—then compensate </w:t>
      </w:r>
      <w:r w:rsidR="00CC2E95" w:rsidRPr="00C13AFC">
        <w:t xml:space="preserve">for a deficient present and perform the instability this performer of artifice, Petrarch’s “I”, needs to transcend his own time. </w:t>
      </w:r>
    </w:p>
    <w:p w14:paraId="77FFAA42" w14:textId="05EE8832" w:rsidR="00CC2E95" w:rsidRPr="00C13AFC" w:rsidRDefault="00CC2E95" w:rsidP="00C144A0">
      <w:r w:rsidRPr="00C13AFC">
        <w:tab/>
        <w:t xml:space="preserve">Inheriting a world of intellectual abundance two centuries later, Montaigne </w:t>
      </w:r>
      <w:r w:rsidR="008C4657" w:rsidRPr="00C13AFC">
        <w:t>initially attempts to follow the classical and Petrarchan path—to find a stable, timeless self beneath all confusion—but his radical honesty, influenced by Pyrrhonian scepticism, forces him to a revolutionary discovery: the self is not a monument to be constructed, but a natural process of “endless flux and change” to be observed.</w:t>
      </w:r>
      <w:r w:rsidR="00AF3D1D" w:rsidRPr="00C13AFC">
        <w:rPr>
          <w:rStyle w:val="FootnoteReference"/>
        </w:rPr>
        <w:footnoteReference w:id="28"/>
      </w:r>
    </w:p>
    <w:p w14:paraId="27443B68" w14:textId="3AB1F9A5" w:rsidR="00CC2E95" w:rsidRPr="00C13AFC" w:rsidRDefault="008C4657" w:rsidP="00C144A0">
      <w:r w:rsidRPr="00C13AFC">
        <w:tab/>
      </w:r>
      <w:r w:rsidR="00C17FCB" w:rsidRPr="00C13AFC">
        <w:t xml:space="preserve">In Charles Taylor’s book </w:t>
      </w:r>
      <w:r w:rsidR="00C17FCB" w:rsidRPr="00C13AFC">
        <w:rPr>
          <w:i/>
          <w:iCs/>
        </w:rPr>
        <w:t>Sources of the Self</w:t>
      </w:r>
      <w:r w:rsidR="00C17FCB" w:rsidRPr="00C13AFC">
        <w:t>, he appends a quote from Montaigne’s struggle against the truth of the self:</w:t>
      </w:r>
    </w:p>
    <w:p w14:paraId="1B5B6391" w14:textId="77777777" w:rsidR="00C17FCB" w:rsidRPr="00C13AFC" w:rsidRDefault="00C17FCB" w:rsidP="00C144A0">
      <w:pPr>
        <w:rPr>
          <w:sz w:val="6"/>
          <w:szCs w:val="6"/>
        </w:rPr>
      </w:pPr>
    </w:p>
    <w:p w14:paraId="2DA95866" w14:textId="2644D52A" w:rsidR="00203F41" w:rsidRPr="00C13AFC" w:rsidRDefault="00CC2E95" w:rsidP="00C17FCB">
      <w:pPr>
        <w:ind w:left="1418" w:right="1088"/>
      </w:pPr>
      <w:r w:rsidRPr="00C13AFC">
        <w:t>“My spirit […] playing the skittish and loose-broken jade […] begets in me so many extravagant Chimeraes</w:t>
      </w:r>
      <w:r w:rsidR="00203F41" w:rsidRPr="00C13AFC">
        <w:t>, and fantasticall monsters, so orderlesse, and without any reason, one hudling upon another.”</w:t>
      </w:r>
      <w:r w:rsidR="00AF3D1D" w:rsidRPr="00C13AFC">
        <w:rPr>
          <w:rStyle w:val="FootnoteReference"/>
        </w:rPr>
        <w:footnoteReference w:id="29"/>
      </w:r>
    </w:p>
    <w:p w14:paraId="6FC65EEA" w14:textId="77777777" w:rsidR="00C17FCB" w:rsidRPr="00C13AFC" w:rsidRDefault="00C17FCB" w:rsidP="00C17FCB">
      <w:pPr>
        <w:ind w:left="1418" w:right="1088"/>
        <w:rPr>
          <w:sz w:val="6"/>
          <w:szCs w:val="6"/>
        </w:rPr>
      </w:pPr>
    </w:p>
    <w:p w14:paraId="4BD4EE4C" w14:textId="15C97CE4" w:rsidR="00203F41" w:rsidRPr="00C13AFC" w:rsidRDefault="00C17FCB" w:rsidP="00203F41">
      <w:pPr>
        <w:ind w:right="-46"/>
      </w:pPr>
      <w:r w:rsidRPr="00C13AFC">
        <w:t>His response to this chaos was not to impose Petrarchan order, or to resolve and feed into the suffering self, and instead to observe and catalogue it. His studies elucidate that he did not see that this flux was a symptom of failure; it was, in fact, the very essence of the human condition. “There is no permanent existence either in our being or in that of objects,” he concludes, “We ourselves, our faculty of judgement and all mortal things are flowing and rolling ceaselessly.”</w:t>
      </w:r>
      <w:r w:rsidR="00C13AFC" w:rsidRPr="00C13AFC">
        <w:rPr>
          <w:rStyle w:val="FootnoteReference"/>
        </w:rPr>
        <w:footnoteReference w:id="30"/>
      </w:r>
      <w:r w:rsidRPr="00C13AFC">
        <w:t xml:space="preserve"> This realisation becomes the very foundation of his “assaying” project—a direct inversion of Petrarchan monumentalism. </w:t>
      </w:r>
      <w:r w:rsidR="00206AF6">
        <w:t xml:space="preserve">This brings us to the sentiment Montaigne himself makes clear: he </w:t>
      </w:r>
      <w:r w:rsidR="00206AF6">
        <w:lastRenderedPageBreak/>
        <w:t>is the matter of his book.</w:t>
      </w:r>
      <w:r w:rsidR="00C13AFC" w:rsidRPr="00C13AFC">
        <w:rPr>
          <w:rStyle w:val="FootnoteReference"/>
        </w:rPr>
        <w:footnoteReference w:id="31"/>
      </w:r>
      <w:r w:rsidR="00C13AFC" w:rsidRPr="00C13AFC">
        <w:t xml:space="preserve"> </w:t>
      </w:r>
      <w:r w:rsidR="00E95EA6">
        <w:t xml:space="preserve">His only intended audience, if any, is his immediate circle of family and friends. </w:t>
      </w:r>
    </w:p>
    <w:p w14:paraId="4CFA807B" w14:textId="6FEDD0CF" w:rsidR="00AD1F51" w:rsidRPr="00C13AFC" w:rsidRDefault="0004481C" w:rsidP="00203F41">
      <w:pPr>
        <w:ind w:right="-46"/>
      </w:pPr>
      <w:r w:rsidRPr="00C13AFC">
        <w:tab/>
        <w:t>This discovery is the final, decisive break between artifice and nature. Where Petrarch fought to control and purify his narrative for an external audience, Montaigne embraces contradictions and imperfections for an internal one:</w:t>
      </w:r>
      <w:r w:rsidR="00C13AFC" w:rsidRPr="00C13AFC">
        <w:t xml:space="preserve"> the truest, most unvarnished version of</w:t>
      </w:r>
      <w:r w:rsidRPr="00C13AFC">
        <w:t xml:space="preserve"> himself</w:t>
      </w:r>
      <w:r w:rsidR="00AD1F51" w:rsidRPr="00C13AFC">
        <w:t>.</w:t>
      </w:r>
    </w:p>
    <w:p w14:paraId="064F4C33" w14:textId="2C88449E" w:rsidR="00AD1F51" w:rsidRDefault="00AD1F51" w:rsidP="00203F41">
      <w:pPr>
        <w:ind w:right="-46"/>
      </w:pPr>
      <w:r w:rsidRPr="00C13AFC">
        <w:tab/>
        <w:t>The journey from Petrarch to Montaigne personifies a journey from a self defined by external validation</w:t>
      </w:r>
      <w:r w:rsidR="001126D0" w:rsidRPr="00C13AFC">
        <w:t>, Platonised civil wars, and</w:t>
      </w:r>
      <w:r w:rsidRPr="00C13AFC">
        <w:t xml:space="preserve"> profound, </w:t>
      </w:r>
      <w:r w:rsidR="00E95EA6">
        <w:t>stylised</w:t>
      </w:r>
      <w:r w:rsidRPr="00C13AFC">
        <w:t xml:space="preserve"> suffering</w:t>
      </w:r>
      <w:r w:rsidR="001126D0" w:rsidRPr="00C13AFC">
        <w:t>,</w:t>
      </w:r>
      <w:r w:rsidRPr="00C13AFC">
        <w:t xml:space="preserve"> to one defined by internal exploration</w:t>
      </w:r>
      <w:r w:rsidR="001126D0" w:rsidRPr="00C13AFC">
        <w:t xml:space="preserve"> and an eternal</w:t>
      </w:r>
      <w:r w:rsidR="00851FB9" w:rsidRPr="00C13AFC">
        <w:t xml:space="preserve"> nature.</w:t>
      </w:r>
      <w:r w:rsidRPr="00C13AFC">
        <w:t xml:space="preserve"> In his final years, Petrarch was still polishing his </w:t>
      </w:r>
      <w:r w:rsidRPr="00C13AFC">
        <w:rPr>
          <w:i/>
          <w:iCs/>
        </w:rPr>
        <w:t>Letter To Posterity</w:t>
      </w:r>
      <w:r w:rsidRPr="00C13AFC">
        <w:t>, desperate to control how h</w:t>
      </w:r>
      <w:r w:rsidR="00851FB9" w:rsidRPr="00C13AFC">
        <w:t>is artifice</w:t>
      </w:r>
      <w:r w:rsidRPr="00C13AFC">
        <w:t xml:space="preserve">—we cannot know if he found peace. But Montaigne, embracing the endless flux of his own corporeal nature, offers </w:t>
      </w:r>
      <w:r w:rsidR="00851FB9" w:rsidRPr="00C13AFC">
        <w:t>a different</w:t>
      </w:r>
      <w:r w:rsidRPr="00C13AFC">
        <w:t xml:space="preserve"> conclusion: “It is to an absolute perfection, and as it were divine for a man to know how to enjoy his being loyally.”</w:t>
      </w:r>
      <w:r w:rsidR="00C13AFC" w:rsidRPr="00C13AFC">
        <w:rPr>
          <w:rStyle w:val="FootnoteReference"/>
        </w:rPr>
        <w:footnoteReference w:id="32"/>
      </w:r>
    </w:p>
    <w:p w14:paraId="005E50F2" w14:textId="77777777" w:rsidR="006B776B" w:rsidRDefault="006B776B" w:rsidP="00203F41">
      <w:pPr>
        <w:ind w:right="-46"/>
      </w:pPr>
    </w:p>
    <w:p w14:paraId="5D922325" w14:textId="56070DF7" w:rsidR="006B776B" w:rsidRDefault="006B776B" w:rsidP="00203F41">
      <w:pPr>
        <w:ind w:right="-46"/>
      </w:pPr>
      <w:r w:rsidRPr="006B776B">
        <w:rPr>
          <w:b/>
          <w:bCs/>
        </w:rPr>
        <w:t>WORD COUNT</w:t>
      </w:r>
      <w:r>
        <w:t>: 24</w:t>
      </w:r>
      <w:r w:rsidR="00832039">
        <w:t>67</w:t>
      </w:r>
      <w:r>
        <w:t xml:space="preserve"> words</w:t>
      </w:r>
    </w:p>
    <w:p w14:paraId="42198374" w14:textId="77777777" w:rsidR="00C13AFC" w:rsidRDefault="00C13AFC" w:rsidP="00203F41">
      <w:pPr>
        <w:ind w:right="-46"/>
      </w:pPr>
    </w:p>
    <w:p w14:paraId="68057781" w14:textId="400C8439" w:rsidR="00C13AFC" w:rsidRPr="00C13AFC" w:rsidRDefault="00C13AFC" w:rsidP="00203F41">
      <w:pPr>
        <w:ind w:right="-46"/>
        <w:rPr>
          <w:b/>
          <w:bCs/>
          <w:sz w:val="32"/>
          <w:szCs w:val="32"/>
        </w:rPr>
      </w:pPr>
      <w:r w:rsidRPr="00C13AFC">
        <w:rPr>
          <w:b/>
          <w:bCs/>
          <w:sz w:val="32"/>
          <w:szCs w:val="32"/>
        </w:rPr>
        <w:t>BIBLIOGRAPHY</w:t>
      </w:r>
    </w:p>
    <w:p w14:paraId="3E1EBF6B" w14:textId="674F0EE8" w:rsidR="00C13AFC" w:rsidRDefault="00C13AFC" w:rsidP="00203F41">
      <w:pPr>
        <w:ind w:right="-46"/>
      </w:pPr>
      <w:r>
        <w:t>Baldwin, G. “</w:t>
      </w:r>
      <w:r w:rsidRPr="00F96D23">
        <w:t>Individual and Self in the Late Renaissance</w:t>
      </w:r>
      <w:r>
        <w:t>”</w:t>
      </w:r>
      <w:r>
        <w:t xml:space="preserve">, </w:t>
      </w:r>
      <w:r w:rsidRPr="00C13AFC">
        <w:rPr>
          <w:i/>
          <w:iCs/>
        </w:rPr>
        <w:t>The Historical Journal,</w:t>
      </w:r>
      <w:r>
        <w:t xml:space="preserve"> vol. 44, no. 2. (Cambridge University Press: 2001) </w:t>
      </w:r>
      <w:hyperlink r:id="rId6" w:history="1">
        <w:r w:rsidRPr="000A1A20">
          <w:rPr>
            <w:rStyle w:val="Hyperlink"/>
          </w:rPr>
          <w:t>http://www.jstor.org/stable/3133611</w:t>
        </w:r>
      </w:hyperlink>
    </w:p>
    <w:p w14:paraId="234E75CA" w14:textId="0832F059" w:rsidR="00C13AFC" w:rsidRDefault="00C13AFC" w:rsidP="00203F41">
      <w:pPr>
        <w:ind w:right="-46"/>
      </w:pPr>
      <w:r w:rsidRPr="00C13AFC">
        <w:rPr>
          <w:i/>
          <w:iCs/>
        </w:rPr>
        <w:t>Michel de Montaigne: The Complete Essays</w:t>
      </w:r>
      <w:r w:rsidRPr="00C13AFC">
        <w:t xml:space="preserve">, trans. and ed. with an Introduction and Notes by M. A. Screech (London: Penguin Random House, 2003) </w:t>
      </w:r>
    </w:p>
    <w:p w14:paraId="7D84F754" w14:textId="71114A72" w:rsidR="00C13AFC" w:rsidRDefault="00C13AFC" w:rsidP="00203F41">
      <w:pPr>
        <w:ind w:right="-46"/>
      </w:pPr>
      <w:r>
        <w:lastRenderedPageBreak/>
        <w:t xml:space="preserve">Martin, J. </w:t>
      </w:r>
      <w:r w:rsidRPr="00AF3D1D">
        <w:rPr>
          <w:i/>
          <w:iCs/>
        </w:rPr>
        <w:t xml:space="preserve">Inventing Sincerity, Refashioning Prudence: The Discovery of the Individual in Renaissance Europe </w:t>
      </w:r>
      <w:r>
        <w:t xml:space="preserve">in </w:t>
      </w:r>
      <w:r w:rsidRPr="00AF3D1D">
        <w:rPr>
          <w:i/>
          <w:iCs/>
        </w:rPr>
        <w:t>The American Historical Review</w:t>
      </w:r>
      <w:r>
        <w:t xml:space="preserve">, vol 102, no. 5 (1997) </w:t>
      </w:r>
      <w:hyperlink r:id="rId7" w:history="1">
        <w:r w:rsidRPr="000A1A20">
          <w:rPr>
            <w:rStyle w:val="Hyperlink"/>
          </w:rPr>
          <w:t>https://doi.org/10.2307/2171065</w:t>
        </w:r>
      </w:hyperlink>
    </w:p>
    <w:p w14:paraId="6C28FAD4" w14:textId="5CA0E370" w:rsidR="00C13AFC" w:rsidRDefault="00C13AFC" w:rsidP="00203F41">
      <w:pPr>
        <w:ind w:right="-46"/>
      </w:pPr>
      <w:r w:rsidRPr="00C13AFC">
        <w:rPr>
          <w:i/>
          <w:iCs/>
        </w:rPr>
        <w:t>Petrarch: Selections from the ‘Canzoniere’ and Other Works</w:t>
      </w:r>
      <w:r w:rsidRPr="00C13AFC">
        <w:t>, trans. and ed. with an Introduction and Notes by Mark Musa, (Oxford: Oxford University Press, 1985</w:t>
      </w:r>
      <w:r>
        <w:t>)</w:t>
      </w:r>
    </w:p>
    <w:p w14:paraId="53CF68FE" w14:textId="459BEC64" w:rsidR="00C13AFC" w:rsidRDefault="00C13AFC" w:rsidP="00203F41">
      <w:pPr>
        <w:ind w:right="-46"/>
      </w:pPr>
      <w:r w:rsidRPr="00C13AFC">
        <w:t>Petrarch</w:t>
      </w:r>
      <w:r>
        <w:t xml:space="preserve">, </w:t>
      </w:r>
      <w:r w:rsidRPr="00C13AFC">
        <w:t xml:space="preserve">“Desire drives me: Love sees and guides me” </w:t>
      </w:r>
      <w:r w:rsidRPr="00C13AFC">
        <w:rPr>
          <w:i/>
          <w:iCs/>
        </w:rPr>
        <w:t>The Complete Canzoniere</w:t>
      </w:r>
      <w:r w:rsidRPr="00C13AFC">
        <w:t>, translated by A.S. Kline</w:t>
      </w:r>
      <w:r>
        <w:t>. (PoetryinTranslation.com: 2002) &lt;</w:t>
      </w:r>
      <w:r w:rsidRPr="00C13AFC">
        <w:t xml:space="preserve"> </w:t>
      </w:r>
      <w:hyperlink r:id="rId8" w:history="1">
        <w:r w:rsidRPr="000A1A20">
          <w:rPr>
            <w:rStyle w:val="Hyperlink"/>
          </w:rPr>
          <w:t>https://www.poetryintranslation.com/PITBR/Italian/PetrarchCanzoniere184-244.php?textLinkTarget=ZGVzaXJlK2RyaXZlcyttZQ==#anchor_Toc11161972</w:t>
        </w:r>
      </w:hyperlink>
      <w:r>
        <w:t xml:space="preserve"> &gt;</w:t>
      </w:r>
    </w:p>
    <w:p w14:paraId="10BCB6A2" w14:textId="425C2851" w:rsidR="00C13AFC" w:rsidRDefault="00C13AFC" w:rsidP="00203F41">
      <w:pPr>
        <w:ind w:right="-46"/>
      </w:pPr>
      <w:r w:rsidRPr="00C13AFC">
        <w:rPr>
          <w:i/>
          <w:iCs/>
        </w:rPr>
        <w:t>Renaissance Humanism: An Anthology of Sources</w:t>
      </w:r>
      <w:r w:rsidRPr="00C13AFC">
        <w:t>, ed. and trans., with an Introduction, by Margaret L. King (Indianapolis, Ind.; Cambridge: Hackett, 2014)</w:t>
      </w:r>
    </w:p>
    <w:p w14:paraId="5B7DDD88" w14:textId="06A89B07" w:rsidR="00C13AFC" w:rsidRDefault="00C13AFC" w:rsidP="00203F41">
      <w:pPr>
        <w:ind w:right="-46"/>
      </w:pPr>
      <w:r>
        <w:t xml:space="preserve">Taylor, C. </w:t>
      </w:r>
      <w:r w:rsidRPr="00F96D23">
        <w:rPr>
          <w:i/>
          <w:iCs/>
        </w:rPr>
        <w:t>Sources of the Self: Making of the Modern Identity</w:t>
      </w:r>
      <w:r>
        <w:t>, (Massachusetts: Harvard University Press, 2001)</w:t>
      </w:r>
    </w:p>
    <w:p w14:paraId="4B7D5F4E" w14:textId="23BE1AF7" w:rsidR="00C13AFC" w:rsidRDefault="00C13AFC" w:rsidP="00203F41">
      <w:pPr>
        <w:ind w:right="-46"/>
      </w:pPr>
      <w:r w:rsidRPr="00AF3D1D">
        <w:t xml:space="preserve">Weinstein, Donald. </w:t>
      </w:r>
      <w:r w:rsidRPr="00AF3D1D">
        <w:rPr>
          <w:i/>
          <w:iCs/>
        </w:rPr>
        <w:t>Review of In Whose Image and Likeness? Interpretations of Renaissance Humanism, by Jerrold E. Seigel and Nancy S. Struever</w:t>
      </w:r>
      <w:r w:rsidRPr="00AF3D1D">
        <w:t xml:space="preserve">. Journal of the History of Ideas </w:t>
      </w:r>
      <w:r>
        <w:t xml:space="preserve">vol. </w:t>
      </w:r>
      <w:r w:rsidRPr="00AF3D1D">
        <w:t xml:space="preserve">33, no. 1 (1972): 165–76. </w:t>
      </w:r>
      <w:hyperlink r:id="rId9" w:history="1">
        <w:r w:rsidRPr="000A1A20">
          <w:rPr>
            <w:rStyle w:val="Hyperlink"/>
          </w:rPr>
          <w:t>https://doi.org/10.2307/2709064</w:t>
        </w:r>
      </w:hyperlink>
    </w:p>
    <w:p w14:paraId="158C4C69" w14:textId="77777777" w:rsidR="00C13AFC" w:rsidRPr="006849BF" w:rsidRDefault="00C13AFC" w:rsidP="00203F41">
      <w:pPr>
        <w:ind w:right="-46"/>
      </w:pPr>
    </w:p>
    <w:sectPr w:rsidR="00C13AFC" w:rsidRPr="006849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B4E3E" w14:textId="77777777" w:rsidR="00962612" w:rsidRDefault="00962612" w:rsidP="003957E5">
      <w:pPr>
        <w:spacing w:line="240" w:lineRule="auto"/>
      </w:pPr>
      <w:r>
        <w:separator/>
      </w:r>
    </w:p>
  </w:endnote>
  <w:endnote w:type="continuationSeparator" w:id="0">
    <w:p w14:paraId="05F977EE" w14:textId="77777777" w:rsidR="00962612" w:rsidRDefault="00962612" w:rsidP="003957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lfaen">
    <w:panose1 w:val="010A0502050306030303"/>
    <w:charset w:val="00"/>
    <w:family w:val="roman"/>
    <w:pitch w:val="variable"/>
    <w:sig w:usb0="04000687" w:usb1="00000000" w:usb2="00000000" w:usb3="00000000" w:csb0="0000009F" w:csb1="00000000"/>
  </w:font>
  <w:font w:name="Adobe Devanagari">
    <w:panose1 w:val="020B0604020202020204"/>
    <w:charset w:val="00"/>
    <w:family w:val="roman"/>
    <w:pitch w:val="variable"/>
    <w:sig w:usb0="00008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14210" w14:textId="77777777" w:rsidR="00962612" w:rsidRDefault="00962612" w:rsidP="003957E5">
      <w:pPr>
        <w:spacing w:line="240" w:lineRule="auto"/>
      </w:pPr>
      <w:r>
        <w:separator/>
      </w:r>
    </w:p>
  </w:footnote>
  <w:footnote w:type="continuationSeparator" w:id="0">
    <w:p w14:paraId="45195250" w14:textId="77777777" w:rsidR="00962612" w:rsidRDefault="00962612" w:rsidP="003957E5">
      <w:pPr>
        <w:spacing w:line="240" w:lineRule="auto"/>
      </w:pPr>
      <w:r>
        <w:continuationSeparator/>
      </w:r>
    </w:p>
  </w:footnote>
  <w:footnote w:id="1">
    <w:p w14:paraId="28FF7BB9" w14:textId="0E6F8085" w:rsidR="00851FB9" w:rsidRPr="00FB6CAC" w:rsidRDefault="00851FB9">
      <w:pPr>
        <w:pStyle w:val="FootnoteText"/>
        <w:rPr>
          <w:rFonts w:ascii="Sylfaen" w:hAnsi="Sylfaen"/>
        </w:rPr>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 ed. and trans., with an Introduction, by Margaret L. King (Indianapolis, Ind.; Cambridge: Hackett, 2014), p</w:t>
      </w:r>
      <w:r>
        <w:rPr>
          <w:rFonts w:ascii="Sylfaen" w:hAnsi="Sylfaen" w:cs="Adobe Devanagari"/>
          <w:bCs/>
        </w:rPr>
        <w:t xml:space="preserve">. </w:t>
      </w:r>
      <w:r w:rsidR="00FB6CAC">
        <w:rPr>
          <w:rFonts w:ascii="Sylfaen" w:hAnsi="Sylfaen" w:cs="Adobe Devanagari"/>
          <w:bCs/>
        </w:rPr>
        <w:t>37</w:t>
      </w:r>
    </w:p>
  </w:footnote>
  <w:footnote w:id="2">
    <w:p w14:paraId="796CBA6E" w14:textId="1D331FA4" w:rsidR="00FB6CAC" w:rsidRDefault="00FB6CAC">
      <w:pPr>
        <w:pStyle w:val="FootnoteText"/>
      </w:pPr>
      <w:r>
        <w:rPr>
          <w:rStyle w:val="FootnoteReference"/>
        </w:rPr>
        <w:footnoteRef/>
      </w:r>
      <w:r>
        <w:t xml:space="preserve"> </w:t>
      </w:r>
      <w:r w:rsidRPr="00FB6CAC">
        <w:rPr>
          <w:i/>
          <w:iCs/>
        </w:rPr>
        <w:t>Petrarch: Selections from the ‘Canzoniere’ and Other Works</w:t>
      </w:r>
      <w:r w:rsidRPr="00FB6CAC">
        <w:t>, trans. and ed. with an Introduction and Notes by Mark Musa,</w:t>
      </w:r>
      <w:r>
        <w:t xml:space="preserve"> (Oxford: Oxford University Press, 1985</w:t>
      </w:r>
      <w:r w:rsidRPr="00FB6CAC">
        <w:t>), p</w:t>
      </w:r>
      <w:r>
        <w:t>. 16</w:t>
      </w:r>
    </w:p>
  </w:footnote>
  <w:footnote w:id="3">
    <w:p w14:paraId="4444643D" w14:textId="46B8C256" w:rsidR="00FB6CAC" w:rsidRDefault="00FB6CAC">
      <w:pPr>
        <w:pStyle w:val="FootnoteText"/>
      </w:pPr>
      <w:r>
        <w:rPr>
          <w:rStyle w:val="FootnoteReference"/>
        </w:rPr>
        <w:footnoteRef/>
      </w:r>
      <w:r>
        <w:t xml:space="preserve"> </w:t>
      </w:r>
      <w:r w:rsidRPr="00FB6CAC">
        <w:rPr>
          <w:i/>
          <w:iCs/>
        </w:rPr>
        <w:t>Petrarch: Selections from the ‘Canzoniere’ and Other Works</w:t>
      </w:r>
      <w:r w:rsidRPr="00FB6CAC">
        <w:t>, p</w:t>
      </w:r>
      <w:r>
        <w:t>. 16</w:t>
      </w:r>
    </w:p>
  </w:footnote>
  <w:footnote w:id="4">
    <w:p w14:paraId="732DE9BB" w14:textId="702D4458" w:rsidR="00FB6CAC" w:rsidRPr="00FB6CAC" w:rsidRDefault="00FB6CAC">
      <w:pPr>
        <w:pStyle w:val="FootnoteText"/>
      </w:pPr>
      <w:r>
        <w:rPr>
          <w:rStyle w:val="FootnoteReference"/>
        </w:rPr>
        <w:footnoteRef/>
      </w:r>
      <w:r>
        <w:t xml:space="preserve"> </w:t>
      </w:r>
      <w:r w:rsidRPr="00FB6CAC">
        <w:rPr>
          <w:i/>
          <w:iCs/>
        </w:rPr>
        <w:t>Petrarch: Selections from the ‘Canzoniere’ and Other Works</w:t>
      </w:r>
      <w:r>
        <w:t>, p. 15</w:t>
      </w:r>
    </w:p>
  </w:footnote>
  <w:footnote w:id="5">
    <w:p w14:paraId="4D5CA8C0" w14:textId="0F8D597D" w:rsidR="003C0A40" w:rsidRDefault="003C0A40">
      <w:pPr>
        <w:pStyle w:val="FootnoteText"/>
      </w:pPr>
      <w:r>
        <w:rPr>
          <w:rStyle w:val="FootnoteReference"/>
        </w:rPr>
        <w:footnoteRef/>
      </w:r>
      <w:r>
        <w:t xml:space="preserve"> </w:t>
      </w:r>
      <w:r>
        <w:t xml:space="preserve">M.A. Screech, Introduction to </w:t>
      </w:r>
      <w:r w:rsidRPr="00FB6CAC">
        <w:rPr>
          <w:i/>
          <w:iCs/>
        </w:rPr>
        <w:t>Michel de Montaign</w:t>
      </w:r>
      <w:r>
        <w:rPr>
          <w:i/>
          <w:iCs/>
        </w:rPr>
        <w:t>e:</w:t>
      </w:r>
      <w:r>
        <w:t xml:space="preserve"> </w:t>
      </w:r>
      <w:r w:rsidRPr="00FB6CAC">
        <w:rPr>
          <w:i/>
          <w:iCs/>
        </w:rPr>
        <w:t>The Complete Essay</w:t>
      </w:r>
      <w:r>
        <w:rPr>
          <w:i/>
          <w:iCs/>
        </w:rPr>
        <w:t>s,</w:t>
      </w:r>
      <w:r>
        <w:t xml:space="preserve"> p. </w:t>
      </w:r>
      <w:r>
        <w:t>23</w:t>
      </w:r>
    </w:p>
  </w:footnote>
  <w:footnote w:id="6">
    <w:p w14:paraId="10A516B9" w14:textId="77777777" w:rsidR="00796B3B" w:rsidRDefault="00796B3B" w:rsidP="00796B3B">
      <w:pPr>
        <w:pStyle w:val="FootnoteText"/>
      </w:pPr>
      <w:r>
        <w:rPr>
          <w:rStyle w:val="FootnoteReference"/>
        </w:rPr>
        <w:footnoteRef/>
      </w:r>
      <w:r>
        <w:t xml:space="preserve"> M.A. Screech, Introduction to </w:t>
      </w:r>
      <w:r w:rsidRPr="00FB6CAC">
        <w:rPr>
          <w:i/>
          <w:iCs/>
        </w:rPr>
        <w:t>Michel de Montaign</w:t>
      </w:r>
      <w:r>
        <w:rPr>
          <w:i/>
          <w:iCs/>
        </w:rPr>
        <w:t>e:</w:t>
      </w:r>
      <w:r>
        <w:t xml:space="preserve"> </w:t>
      </w:r>
      <w:r w:rsidRPr="00FB6CAC">
        <w:rPr>
          <w:i/>
          <w:iCs/>
        </w:rPr>
        <w:t>The Complete Essay</w:t>
      </w:r>
      <w:r>
        <w:rPr>
          <w:i/>
          <w:iCs/>
        </w:rPr>
        <w:t>s,</w:t>
      </w:r>
      <w:r>
        <w:t xml:space="preserve"> p. 34</w:t>
      </w:r>
    </w:p>
  </w:footnote>
  <w:footnote w:id="7">
    <w:p w14:paraId="5EE296AB" w14:textId="77777777" w:rsidR="00796B3B" w:rsidRDefault="00796B3B" w:rsidP="00796B3B">
      <w:pPr>
        <w:pStyle w:val="FootnoteText"/>
      </w:pPr>
      <w:r>
        <w:rPr>
          <w:rStyle w:val="FootnoteReference"/>
        </w:rPr>
        <w:footnoteRef/>
      </w:r>
      <w:r>
        <w:t xml:space="preserve"> M.A. Screech, Introduction to </w:t>
      </w:r>
      <w:r w:rsidRPr="002C286A">
        <w:rPr>
          <w:i/>
          <w:iCs/>
        </w:rPr>
        <w:t>Michel de Montaigne:</w:t>
      </w:r>
      <w:r>
        <w:t xml:space="preserve"> </w:t>
      </w:r>
      <w:r w:rsidRPr="00FB6CAC">
        <w:rPr>
          <w:i/>
          <w:iCs/>
        </w:rPr>
        <w:t>The Complete Essays</w:t>
      </w:r>
      <w:r>
        <w:t>, trans. and ed. with an Introduction and Notes by M. A. Screech (London: Penguin Random House, 2003) &lt;</w:t>
      </w:r>
      <w:r w:rsidRPr="003C0A40">
        <w:t xml:space="preserve"> https://openlibrary.org/books/OL24314780M/The_Complete_Essays</w:t>
      </w:r>
      <w:r>
        <w:t>&gt; Accessed: February 23, 2026. p. 33</w:t>
      </w:r>
    </w:p>
  </w:footnote>
  <w:footnote w:id="8">
    <w:p w14:paraId="011E2D96" w14:textId="630D0562" w:rsidR="003C0A40" w:rsidRDefault="003C0A40">
      <w:pPr>
        <w:pStyle w:val="FootnoteText"/>
      </w:pPr>
      <w:r>
        <w:rPr>
          <w:rStyle w:val="FootnoteReference"/>
        </w:rPr>
        <w:footnoteRef/>
      </w:r>
      <w:r>
        <w:t xml:space="preserve"> </w:t>
      </w:r>
      <w:r>
        <w:t xml:space="preserve">M.A. Screech, Introduction to </w:t>
      </w:r>
      <w:r w:rsidRPr="00FB6CAC">
        <w:rPr>
          <w:i/>
          <w:iCs/>
        </w:rPr>
        <w:t>Michel de Montaign</w:t>
      </w:r>
      <w:r>
        <w:rPr>
          <w:i/>
          <w:iCs/>
        </w:rPr>
        <w:t>e:</w:t>
      </w:r>
      <w:r>
        <w:t xml:space="preserve"> </w:t>
      </w:r>
      <w:r w:rsidRPr="00FB6CAC">
        <w:rPr>
          <w:i/>
          <w:iCs/>
        </w:rPr>
        <w:t>The Complete Essay</w:t>
      </w:r>
      <w:r>
        <w:rPr>
          <w:i/>
          <w:iCs/>
        </w:rPr>
        <w:t>s,</w:t>
      </w:r>
      <w:r>
        <w:t xml:space="preserve"> p. 3</w:t>
      </w:r>
      <w:r>
        <w:t>3</w:t>
      </w:r>
    </w:p>
  </w:footnote>
  <w:footnote w:id="9">
    <w:p w14:paraId="37263228" w14:textId="09F536B6" w:rsidR="003C0A40" w:rsidRDefault="003C0A40">
      <w:pPr>
        <w:pStyle w:val="FootnoteText"/>
      </w:pPr>
      <w:r>
        <w:rPr>
          <w:rStyle w:val="FootnoteReference"/>
        </w:rPr>
        <w:footnoteRef/>
      </w:r>
      <w:r>
        <w:t xml:space="preserve"> Petrarch in “</w:t>
      </w:r>
      <w:r w:rsidR="00C261D3">
        <w:t>Desire drives me: Love sees and guides me</w:t>
      </w:r>
      <w:r>
        <w:t xml:space="preserve">” </w:t>
      </w:r>
      <w:r w:rsidRPr="00C261D3">
        <w:rPr>
          <w:i/>
          <w:iCs/>
        </w:rPr>
        <w:t>The Complete Canzoniere</w:t>
      </w:r>
      <w:r w:rsidR="00C261D3">
        <w:t>, translated by A.S. Kline. Accessed via &lt;</w:t>
      </w:r>
      <w:r w:rsidR="00C261D3" w:rsidRPr="00C261D3">
        <w:t xml:space="preserve"> </w:t>
      </w:r>
      <w:hyperlink r:id="rId1" w:history="1">
        <w:r w:rsidR="00C261D3" w:rsidRPr="000A1A20">
          <w:rPr>
            <w:rStyle w:val="Hyperlink"/>
          </w:rPr>
          <w:t>https://www.poetryintranslation.com/PITBR/Italian/PetrarchCanzoniere184-244.php?textLinkTarget=ZGVzaXJlK2RyaXZlcyttZQ==#anchor_Toc11161972</w:t>
        </w:r>
      </w:hyperlink>
      <w:r w:rsidR="00C261D3">
        <w:t xml:space="preserve"> &gt; Accessed: Feb 21, 2026</w:t>
      </w:r>
    </w:p>
  </w:footnote>
  <w:footnote w:id="10">
    <w:p w14:paraId="6EC87562" w14:textId="351621D2" w:rsidR="00C261D3" w:rsidRDefault="00C261D3">
      <w:pPr>
        <w:pStyle w:val="FootnoteText"/>
      </w:pPr>
      <w:r>
        <w:rPr>
          <w:rStyle w:val="FootnoteReference"/>
        </w:rPr>
        <w:footnoteRef/>
      </w:r>
      <w:r>
        <w:t xml:space="preserve"> </w:t>
      </w:r>
      <w:r w:rsidR="00F96D23" w:rsidRPr="00F96D23">
        <w:rPr>
          <w:i/>
          <w:iCs/>
        </w:rPr>
        <w:t>The Complete Canzoniere</w:t>
      </w:r>
      <w:r w:rsidR="00F96D23">
        <w:t>, p. 292</w:t>
      </w:r>
    </w:p>
  </w:footnote>
  <w:footnote w:id="11">
    <w:p w14:paraId="4E944C66" w14:textId="0F01B9D3" w:rsidR="00F96D23" w:rsidRDefault="00F96D23">
      <w:pPr>
        <w:pStyle w:val="FootnoteText"/>
      </w:pPr>
      <w:r>
        <w:rPr>
          <w:rStyle w:val="FootnoteReference"/>
        </w:rPr>
        <w:footnoteRef/>
      </w:r>
      <w:r>
        <w:t xml:space="preserve"> Baldwin, G. “</w:t>
      </w:r>
      <w:r w:rsidRPr="00F96D23">
        <w:t>Individual and Self in the Late Renaissance</w:t>
      </w:r>
      <w:r>
        <w:t xml:space="preserve">” in The Historical Journal, vol. 44, no. 2. (Cambridge University Press: 2001) </w:t>
      </w:r>
      <w:hyperlink r:id="rId2" w:history="1">
        <w:r w:rsidRPr="000A1A20">
          <w:rPr>
            <w:rStyle w:val="Hyperlink"/>
          </w:rPr>
          <w:t>http://www.jstor.org/stable/3133611</w:t>
        </w:r>
      </w:hyperlink>
      <w:r>
        <w:t xml:space="preserve"> Accessed: Feb 23, 2026. p. 350</w:t>
      </w:r>
    </w:p>
  </w:footnote>
  <w:footnote w:id="12">
    <w:p w14:paraId="671BD26C" w14:textId="6AAC8596" w:rsidR="00F96D23" w:rsidRDefault="00F96D23">
      <w:pPr>
        <w:pStyle w:val="FootnoteText"/>
      </w:pPr>
      <w:r>
        <w:rPr>
          <w:rStyle w:val="FootnoteReference"/>
        </w:rPr>
        <w:footnoteRef/>
      </w:r>
      <w:r>
        <w:t xml:space="preserve"> Taylor, C. </w:t>
      </w:r>
      <w:r w:rsidRPr="00F96D23">
        <w:rPr>
          <w:i/>
          <w:iCs/>
        </w:rPr>
        <w:t>Sources of the Self: Making of the Modern Identity</w:t>
      </w:r>
      <w:r>
        <w:t>, (Massachusetts: Harvard University Press, 2001) p. 180</w:t>
      </w:r>
    </w:p>
  </w:footnote>
  <w:footnote w:id="13">
    <w:p w14:paraId="60453844" w14:textId="2EC4A9E4" w:rsidR="00F96D23" w:rsidRDefault="00F96D23">
      <w:pPr>
        <w:pStyle w:val="FootnoteText"/>
      </w:pPr>
      <w:r>
        <w:rPr>
          <w:rStyle w:val="FootnoteReference"/>
        </w:rPr>
        <w:footnoteRef/>
      </w:r>
      <w:r>
        <w:t xml:space="preserve"> </w:t>
      </w:r>
      <w:r w:rsidRPr="00FB6CAC">
        <w:rPr>
          <w:i/>
          <w:iCs/>
        </w:rPr>
        <w:t>Michel de Montaign</w:t>
      </w:r>
      <w:r>
        <w:rPr>
          <w:i/>
          <w:iCs/>
        </w:rPr>
        <w:t>e:</w:t>
      </w:r>
      <w:r>
        <w:t xml:space="preserve"> </w:t>
      </w:r>
      <w:r w:rsidRPr="00FB6CAC">
        <w:rPr>
          <w:i/>
          <w:iCs/>
        </w:rPr>
        <w:t>The Complete Essay</w:t>
      </w:r>
      <w:r>
        <w:rPr>
          <w:i/>
          <w:iCs/>
        </w:rPr>
        <w:t>s,</w:t>
      </w:r>
      <w:r>
        <w:t xml:space="preserve"> p. 1095</w:t>
      </w:r>
    </w:p>
  </w:footnote>
  <w:footnote w:id="14">
    <w:p w14:paraId="390C5515" w14:textId="22CEF05B" w:rsidR="00267148" w:rsidRDefault="00267148">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w:t>
      </w:r>
      <w:r>
        <w:rPr>
          <w:rFonts w:ascii="Sylfaen" w:hAnsi="Sylfaen" w:cs="Adobe Devanagari"/>
          <w:bCs/>
        </w:rPr>
        <w:t>5</w:t>
      </w:r>
    </w:p>
  </w:footnote>
  <w:footnote w:id="15">
    <w:p w14:paraId="2B62E59E" w14:textId="64062299" w:rsidR="00341F53" w:rsidRDefault="00341F53">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40</w:t>
      </w:r>
    </w:p>
  </w:footnote>
  <w:footnote w:id="16">
    <w:p w14:paraId="7A9277F6" w14:textId="3A81CE4A" w:rsidR="00341F53" w:rsidRDefault="00341F53">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37</w:t>
      </w:r>
    </w:p>
  </w:footnote>
  <w:footnote w:id="17">
    <w:p w14:paraId="05F1511E" w14:textId="3C16E764" w:rsidR="00341F53" w:rsidRDefault="00341F53">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36</w:t>
      </w:r>
    </w:p>
  </w:footnote>
  <w:footnote w:id="18">
    <w:p w14:paraId="087BCCB1" w14:textId="3D9075CA" w:rsidR="00341F53" w:rsidRDefault="00341F53">
      <w:pPr>
        <w:pStyle w:val="FootnoteText"/>
      </w:pPr>
      <w:r>
        <w:rPr>
          <w:rStyle w:val="FootnoteReference"/>
        </w:rPr>
        <w:footnoteRef/>
      </w:r>
      <w:r>
        <w:t xml:space="preserve"> A Chronology of Petrarch in </w:t>
      </w:r>
      <w:r w:rsidRPr="00341F53">
        <w:rPr>
          <w:i/>
          <w:iCs/>
        </w:rPr>
        <w:t>Petrarch: The Complete Canzoniere and Other Works</w:t>
      </w:r>
      <w:r>
        <w:t>,</w:t>
      </w:r>
      <w:r w:rsidR="00203C38">
        <w:t xml:space="preserve"> Mark Musa,</w:t>
      </w:r>
      <w:r>
        <w:t xml:space="preserve"> pp. xxvii-xxviii</w:t>
      </w:r>
    </w:p>
  </w:footnote>
  <w:footnote w:id="19">
    <w:p w14:paraId="541A09DD" w14:textId="54D623D8" w:rsidR="00341F53" w:rsidRDefault="00341F53">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w:t>
      </w:r>
      <w:r w:rsidR="00203C38">
        <w:rPr>
          <w:rFonts w:ascii="Sylfaen" w:hAnsi="Sylfaen" w:cs="Adobe Devanagari"/>
          <w:bCs/>
        </w:rPr>
        <w:t>39</w:t>
      </w:r>
    </w:p>
  </w:footnote>
  <w:footnote w:id="20">
    <w:p w14:paraId="0A4B71AB" w14:textId="59B42DC0" w:rsidR="00267148" w:rsidRDefault="00267148">
      <w:pPr>
        <w:pStyle w:val="FootnoteText"/>
      </w:pPr>
      <w:r>
        <w:rPr>
          <w:rStyle w:val="FootnoteReference"/>
        </w:rPr>
        <w:footnoteRef/>
      </w:r>
      <w: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w:t>
      </w:r>
      <w:r>
        <w:rPr>
          <w:rFonts w:ascii="Sylfaen" w:hAnsi="Sylfaen" w:cs="Adobe Devanagari"/>
          <w:bCs/>
        </w:rPr>
        <w:t>5</w:t>
      </w:r>
    </w:p>
  </w:footnote>
  <w:footnote w:id="21">
    <w:p w14:paraId="274A0AC3" w14:textId="4C2CC91C" w:rsidR="00341F53" w:rsidRDefault="00341F53">
      <w:pPr>
        <w:pStyle w:val="FootnoteText"/>
      </w:pPr>
      <w:r>
        <w:rPr>
          <w:rStyle w:val="FootnoteReference"/>
        </w:rPr>
        <w:footnoteRef/>
      </w:r>
      <w:r>
        <w:t xml:space="preserve"> </w:t>
      </w:r>
      <w:r w:rsidR="00203C38" w:rsidRPr="00F96D23">
        <w:rPr>
          <w:i/>
          <w:iCs/>
        </w:rPr>
        <w:t>Sources of the Self: Making of the Modern Identity</w:t>
      </w:r>
      <w:r w:rsidR="00203C38">
        <w:t xml:space="preserve">, </w:t>
      </w:r>
      <w:r w:rsidR="00203C38">
        <w:t>p. 183</w:t>
      </w:r>
    </w:p>
  </w:footnote>
  <w:footnote w:id="22">
    <w:p w14:paraId="7795F834" w14:textId="7EBA8C8C" w:rsidR="00203C38" w:rsidRDefault="00203C38">
      <w:pPr>
        <w:pStyle w:val="FootnoteText"/>
      </w:pPr>
      <w:r>
        <w:rPr>
          <w:rStyle w:val="FootnoteReference"/>
        </w:rPr>
        <w:footnoteRef/>
      </w:r>
      <w:r>
        <w:t xml:space="preserve"> Martin, J. </w:t>
      </w:r>
      <w:r w:rsidRPr="00AF3D1D">
        <w:rPr>
          <w:i/>
          <w:iCs/>
        </w:rPr>
        <w:t>Inventing Sincerity, Refashioning Prudence: The Discovery of the Individual in Renaissance Europe</w:t>
      </w:r>
      <w:r w:rsidR="00AF3D1D" w:rsidRPr="00AF3D1D">
        <w:rPr>
          <w:i/>
          <w:iCs/>
        </w:rPr>
        <w:t xml:space="preserve"> </w:t>
      </w:r>
      <w:r w:rsidR="00AF3D1D">
        <w:t>in</w:t>
      </w:r>
      <w:r>
        <w:t xml:space="preserve"> </w:t>
      </w:r>
      <w:r w:rsidRPr="00AF3D1D">
        <w:rPr>
          <w:i/>
          <w:iCs/>
        </w:rPr>
        <w:t>The American Historical Review</w:t>
      </w:r>
      <w:r>
        <w:t xml:space="preserve">, vol 102, no. 5 (1997) </w:t>
      </w:r>
      <w:hyperlink r:id="rId3" w:history="1">
        <w:r w:rsidRPr="000A1A20">
          <w:rPr>
            <w:rStyle w:val="Hyperlink"/>
          </w:rPr>
          <w:t>https://doi.org/10.2307/2171065</w:t>
        </w:r>
      </w:hyperlink>
      <w:r>
        <w:t xml:space="preserve"> Accessed: Feb 20, 2026, p. </w:t>
      </w:r>
      <w:r w:rsidR="00AF3D1D">
        <w:t>1334</w:t>
      </w:r>
    </w:p>
  </w:footnote>
  <w:footnote w:id="23">
    <w:p w14:paraId="33D022A4" w14:textId="1A81A389" w:rsidR="00AF3D1D" w:rsidRDefault="00AF3D1D">
      <w:pPr>
        <w:pStyle w:val="FootnoteText"/>
      </w:pPr>
      <w:r>
        <w:rPr>
          <w:rStyle w:val="FootnoteReference"/>
        </w:rPr>
        <w:footnoteRef/>
      </w:r>
      <w:r>
        <w:t xml:space="preserve"> </w:t>
      </w:r>
      <w:r w:rsidRPr="00FB6CAC">
        <w:rPr>
          <w:i/>
          <w:iCs/>
        </w:rPr>
        <w:t>Michel de Montaign</w:t>
      </w:r>
      <w:r>
        <w:rPr>
          <w:i/>
          <w:iCs/>
        </w:rPr>
        <w:t>e:</w:t>
      </w:r>
      <w:r>
        <w:t xml:space="preserve"> </w:t>
      </w:r>
      <w:r w:rsidRPr="00FB6CAC">
        <w:rPr>
          <w:i/>
          <w:iCs/>
        </w:rPr>
        <w:t>The Complete Essay</w:t>
      </w:r>
      <w:r>
        <w:rPr>
          <w:i/>
          <w:iCs/>
        </w:rPr>
        <w:t>s,</w:t>
      </w:r>
      <w:r>
        <w:t xml:space="preserve"> p. </w:t>
      </w:r>
      <w:r>
        <w:t>438</w:t>
      </w:r>
    </w:p>
  </w:footnote>
  <w:footnote w:id="24">
    <w:p w14:paraId="4AA8C74A" w14:textId="2114E6F9" w:rsidR="00203C38" w:rsidRDefault="00203C38">
      <w:pPr>
        <w:pStyle w:val="FootnoteText"/>
      </w:pPr>
      <w:r>
        <w:rPr>
          <w:rStyle w:val="FootnoteReference"/>
        </w:rPr>
        <w:footnoteRef/>
      </w:r>
      <w:r>
        <w:t xml:space="preserve"> </w:t>
      </w:r>
      <w:r w:rsidRPr="00203C38">
        <w:rPr>
          <w:i/>
          <w:iCs/>
        </w:rPr>
        <w:t>Renaissance Humanism: An Anthology of Sources,</w:t>
      </w:r>
      <w:r>
        <w:t xml:space="preserve"> p. 10</w:t>
      </w:r>
    </w:p>
  </w:footnote>
  <w:footnote w:id="25">
    <w:p w14:paraId="5DF589CA" w14:textId="68C68BD7" w:rsidR="00203C38" w:rsidRDefault="00203C38">
      <w:pPr>
        <w:pStyle w:val="FootnoteText"/>
      </w:pPr>
      <w:r>
        <w:rPr>
          <w:rStyle w:val="FootnoteReference"/>
        </w:rPr>
        <w:footnoteRef/>
      </w:r>
      <w:r>
        <w:t xml:space="preserve"> Mark Musa, Introduction in </w:t>
      </w:r>
      <w:r w:rsidRPr="00341F53">
        <w:rPr>
          <w:i/>
          <w:iCs/>
        </w:rPr>
        <w:t>Petrarch: The Complete Canzoniere and Other Works</w:t>
      </w:r>
      <w:r w:rsidRPr="00203C38">
        <w:t>,</w:t>
      </w:r>
      <w:r>
        <w:t xml:space="preserve"> p.</w:t>
      </w:r>
      <w:r w:rsidR="00AF3D1D">
        <w:t xml:space="preserve"> </w:t>
      </w:r>
      <w:r>
        <w:t>xii</w:t>
      </w:r>
    </w:p>
  </w:footnote>
  <w:footnote w:id="26">
    <w:p w14:paraId="0064817B" w14:textId="71474B05" w:rsidR="00203C38" w:rsidRDefault="00203C38">
      <w:pPr>
        <w:pStyle w:val="FootnoteText"/>
      </w:pPr>
      <w:r>
        <w:rPr>
          <w:rStyle w:val="FootnoteReference"/>
        </w:rPr>
        <w:footnoteRef/>
      </w:r>
      <w:r>
        <w:t xml:space="preserve"> </w:t>
      </w:r>
      <w:r w:rsidRPr="00203C38">
        <w:rPr>
          <w:i/>
          <w:iCs/>
        </w:rPr>
        <w:t>Renaissance Humanism: An Anthology of Sources,</w:t>
      </w:r>
      <w:r>
        <w:t xml:space="preserve"> p. </w:t>
      </w:r>
      <w:r>
        <w:t>8</w:t>
      </w:r>
    </w:p>
  </w:footnote>
  <w:footnote w:id="27">
    <w:p w14:paraId="61C74469" w14:textId="6BCB1746" w:rsidR="00AF3D1D" w:rsidRDefault="00AF3D1D">
      <w:pPr>
        <w:pStyle w:val="FootnoteText"/>
      </w:pPr>
      <w:r>
        <w:rPr>
          <w:rStyle w:val="FootnoteReference"/>
        </w:rPr>
        <w:footnoteRef/>
      </w:r>
      <w:r>
        <w:t xml:space="preserve"> </w:t>
      </w:r>
      <w:r w:rsidRPr="00AF3D1D">
        <w:t xml:space="preserve">Weinstein, Donald. </w:t>
      </w:r>
      <w:r w:rsidRPr="00AF3D1D">
        <w:rPr>
          <w:i/>
          <w:iCs/>
        </w:rPr>
        <w:t>Review of In Whose Image and Likeness? Interpretations of Renaissance Humanism, by Jerrold E. Seigel and Nancy S. Struever</w:t>
      </w:r>
      <w:r w:rsidRPr="00AF3D1D">
        <w:t xml:space="preserve">. Journal of the History of Ideas </w:t>
      </w:r>
      <w:r>
        <w:t xml:space="preserve">vol. </w:t>
      </w:r>
      <w:r w:rsidRPr="00AF3D1D">
        <w:t xml:space="preserve">33, no. 1 (1972): 165–76. </w:t>
      </w:r>
      <w:hyperlink r:id="rId4" w:history="1">
        <w:r w:rsidRPr="000A1A20">
          <w:rPr>
            <w:rStyle w:val="Hyperlink"/>
          </w:rPr>
          <w:t>https://doi.org/10.2307/2709064</w:t>
        </w:r>
      </w:hyperlink>
      <w:r w:rsidRPr="00AF3D1D">
        <w:t>.</w:t>
      </w:r>
      <w:r>
        <w:t xml:space="preserve"> Accessed: Feb 24, 2026. p. 169</w:t>
      </w:r>
    </w:p>
  </w:footnote>
  <w:footnote w:id="28">
    <w:p w14:paraId="2AEB9D17" w14:textId="461A1734" w:rsidR="00AF3D1D" w:rsidRDefault="00AF3D1D">
      <w:pPr>
        <w:pStyle w:val="FootnoteText"/>
      </w:pPr>
      <w:r>
        <w:rPr>
          <w:rStyle w:val="FootnoteReference"/>
        </w:rPr>
        <w:footnoteRef/>
      </w:r>
      <w:r>
        <w:t xml:space="preserve"> </w:t>
      </w:r>
      <w:r w:rsidR="00C13AFC">
        <w:t xml:space="preserve">M.A. Screech, Introduction to </w:t>
      </w:r>
      <w:r w:rsidR="00C13AFC" w:rsidRPr="00FB6CAC">
        <w:rPr>
          <w:i/>
          <w:iCs/>
        </w:rPr>
        <w:t>Michel de Montaign</w:t>
      </w:r>
      <w:r w:rsidR="00C13AFC">
        <w:rPr>
          <w:i/>
          <w:iCs/>
        </w:rPr>
        <w:t>e:</w:t>
      </w:r>
      <w:r w:rsidR="00C13AFC">
        <w:t xml:space="preserve"> </w:t>
      </w:r>
      <w:r w:rsidR="00C13AFC" w:rsidRPr="00FB6CAC">
        <w:rPr>
          <w:i/>
          <w:iCs/>
        </w:rPr>
        <w:t>The Complete Essay</w:t>
      </w:r>
      <w:r w:rsidR="00C13AFC">
        <w:rPr>
          <w:i/>
          <w:iCs/>
        </w:rPr>
        <w:t>s,</w:t>
      </w:r>
      <w:r w:rsidR="00C13AFC">
        <w:t xml:space="preserve"> </w:t>
      </w:r>
      <w:r>
        <w:t>p. 9</w:t>
      </w:r>
    </w:p>
  </w:footnote>
  <w:footnote w:id="29">
    <w:p w14:paraId="39B281FA" w14:textId="06F3CE22" w:rsidR="00AF3D1D" w:rsidRDefault="00AF3D1D">
      <w:pPr>
        <w:pStyle w:val="FootnoteText"/>
      </w:pPr>
      <w:r>
        <w:rPr>
          <w:rStyle w:val="FootnoteReference"/>
        </w:rPr>
        <w:footnoteRef/>
      </w:r>
      <w:r>
        <w:t xml:space="preserve"> </w:t>
      </w:r>
      <w:r w:rsidRPr="00AF3D1D">
        <w:rPr>
          <w:i/>
          <w:iCs/>
        </w:rPr>
        <w:t>Sources of the Self</w:t>
      </w:r>
      <w:r>
        <w:t>, p. 178</w:t>
      </w:r>
    </w:p>
  </w:footnote>
  <w:footnote w:id="30">
    <w:p w14:paraId="1BDBB90B" w14:textId="1CF90A28" w:rsidR="00C13AFC" w:rsidRDefault="00C13AFC">
      <w:pPr>
        <w:pStyle w:val="FootnoteText"/>
      </w:pPr>
      <w:r>
        <w:rPr>
          <w:rStyle w:val="FootnoteReference"/>
        </w:rPr>
        <w:footnoteRef/>
      </w:r>
      <w:r>
        <w:t xml:space="preserve"> </w:t>
      </w:r>
      <w:r w:rsidRPr="00FB6CAC">
        <w:rPr>
          <w:i/>
          <w:iCs/>
        </w:rPr>
        <w:t>Michel de Montaign</w:t>
      </w:r>
      <w:r>
        <w:rPr>
          <w:i/>
          <w:iCs/>
        </w:rPr>
        <w:t>e:</w:t>
      </w:r>
      <w:r>
        <w:t xml:space="preserve"> </w:t>
      </w:r>
      <w:r w:rsidRPr="00FB6CAC">
        <w:rPr>
          <w:i/>
          <w:iCs/>
        </w:rPr>
        <w:t>The Complete Essay</w:t>
      </w:r>
      <w:r>
        <w:rPr>
          <w:i/>
          <w:iCs/>
        </w:rPr>
        <w:t>s,</w:t>
      </w:r>
      <w:r>
        <w:t xml:space="preserve"> p</w:t>
      </w:r>
      <w:r>
        <w:t>p. 628-629</w:t>
      </w:r>
    </w:p>
  </w:footnote>
  <w:footnote w:id="31">
    <w:p w14:paraId="5D4CA017" w14:textId="4948C52D" w:rsidR="00C13AFC" w:rsidRDefault="00C13AFC">
      <w:pPr>
        <w:pStyle w:val="FootnoteText"/>
      </w:pPr>
      <w:r>
        <w:rPr>
          <w:rStyle w:val="FootnoteReference"/>
        </w:rPr>
        <w:footnoteRef/>
      </w:r>
      <w:r>
        <w:t xml:space="preserve"> </w:t>
      </w:r>
      <w:r>
        <w:t xml:space="preserve">M.A. Screech, Introduction to </w:t>
      </w:r>
      <w:r w:rsidRPr="00FB6CAC">
        <w:rPr>
          <w:i/>
          <w:iCs/>
        </w:rPr>
        <w:t>Michel de Montaign</w:t>
      </w:r>
      <w:r>
        <w:rPr>
          <w:i/>
          <w:iCs/>
        </w:rPr>
        <w:t>e:</w:t>
      </w:r>
      <w:r>
        <w:t xml:space="preserve"> </w:t>
      </w:r>
      <w:r w:rsidRPr="00FB6CAC">
        <w:rPr>
          <w:i/>
          <w:iCs/>
        </w:rPr>
        <w:t>The Complete Essay</w:t>
      </w:r>
      <w:r>
        <w:rPr>
          <w:i/>
          <w:iCs/>
        </w:rPr>
        <w:t>s,</w:t>
      </w:r>
      <w:r>
        <w:t xml:space="preserve"> p.</w:t>
      </w:r>
      <w:r>
        <w:t xml:space="preserve"> 7</w:t>
      </w:r>
    </w:p>
  </w:footnote>
  <w:footnote w:id="32">
    <w:p w14:paraId="50038E0C" w14:textId="070DAC15" w:rsidR="00C13AFC" w:rsidRDefault="00C13AFC">
      <w:pPr>
        <w:pStyle w:val="FootnoteText"/>
      </w:pPr>
      <w:r>
        <w:rPr>
          <w:rStyle w:val="FootnoteReference"/>
        </w:rPr>
        <w:footnoteRef/>
      </w:r>
      <w:r>
        <w:t xml:space="preserve"> </w:t>
      </w:r>
      <w:r w:rsidRPr="00C13AFC">
        <w:rPr>
          <w:i/>
          <w:iCs/>
        </w:rPr>
        <w:t>Sources of the Self</w:t>
      </w:r>
      <w:r>
        <w:t>, p. 183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9FC"/>
    <w:rsid w:val="00007C02"/>
    <w:rsid w:val="0004481C"/>
    <w:rsid w:val="000756E9"/>
    <w:rsid w:val="000A1556"/>
    <w:rsid w:val="000A2471"/>
    <w:rsid w:val="001126D0"/>
    <w:rsid w:val="00113E02"/>
    <w:rsid w:val="00122B65"/>
    <w:rsid w:val="00203C38"/>
    <w:rsid w:val="00203F41"/>
    <w:rsid w:val="00206AF6"/>
    <w:rsid w:val="00223042"/>
    <w:rsid w:val="00242FC6"/>
    <w:rsid w:val="0024302B"/>
    <w:rsid w:val="00267148"/>
    <w:rsid w:val="002B6204"/>
    <w:rsid w:val="002C286A"/>
    <w:rsid w:val="002D7ED4"/>
    <w:rsid w:val="002E364A"/>
    <w:rsid w:val="00341F53"/>
    <w:rsid w:val="00343253"/>
    <w:rsid w:val="003957E5"/>
    <w:rsid w:val="003C0A40"/>
    <w:rsid w:val="003F69C4"/>
    <w:rsid w:val="00444CAB"/>
    <w:rsid w:val="004A4E56"/>
    <w:rsid w:val="005059A2"/>
    <w:rsid w:val="00510FD8"/>
    <w:rsid w:val="00520647"/>
    <w:rsid w:val="00522C72"/>
    <w:rsid w:val="0053151E"/>
    <w:rsid w:val="00596253"/>
    <w:rsid w:val="005A41E8"/>
    <w:rsid w:val="005B3581"/>
    <w:rsid w:val="005C65FD"/>
    <w:rsid w:val="00600F13"/>
    <w:rsid w:val="006179F5"/>
    <w:rsid w:val="00655B70"/>
    <w:rsid w:val="006718B0"/>
    <w:rsid w:val="006849BF"/>
    <w:rsid w:val="006B776B"/>
    <w:rsid w:val="006C489E"/>
    <w:rsid w:val="0070317D"/>
    <w:rsid w:val="00726396"/>
    <w:rsid w:val="00732260"/>
    <w:rsid w:val="00796B3B"/>
    <w:rsid w:val="007A545A"/>
    <w:rsid w:val="007F1AB4"/>
    <w:rsid w:val="00832039"/>
    <w:rsid w:val="00832ADC"/>
    <w:rsid w:val="008455F9"/>
    <w:rsid w:val="00851FB9"/>
    <w:rsid w:val="00896FF0"/>
    <w:rsid w:val="00897492"/>
    <w:rsid w:val="008A007F"/>
    <w:rsid w:val="008B451B"/>
    <w:rsid w:val="008C4657"/>
    <w:rsid w:val="008C4E24"/>
    <w:rsid w:val="008C5AA7"/>
    <w:rsid w:val="00904714"/>
    <w:rsid w:val="00914095"/>
    <w:rsid w:val="00927B6A"/>
    <w:rsid w:val="009402FD"/>
    <w:rsid w:val="00956123"/>
    <w:rsid w:val="00962612"/>
    <w:rsid w:val="00974850"/>
    <w:rsid w:val="0098433C"/>
    <w:rsid w:val="009E1709"/>
    <w:rsid w:val="009F30BA"/>
    <w:rsid w:val="00A34F43"/>
    <w:rsid w:val="00A739FC"/>
    <w:rsid w:val="00A94A29"/>
    <w:rsid w:val="00A97EA3"/>
    <w:rsid w:val="00AD1F51"/>
    <w:rsid w:val="00AE1B7E"/>
    <w:rsid w:val="00AE786A"/>
    <w:rsid w:val="00AF3D1D"/>
    <w:rsid w:val="00B37E70"/>
    <w:rsid w:val="00B5324E"/>
    <w:rsid w:val="00B771D9"/>
    <w:rsid w:val="00B85D03"/>
    <w:rsid w:val="00BC3984"/>
    <w:rsid w:val="00BD5DB9"/>
    <w:rsid w:val="00C13AFC"/>
    <w:rsid w:val="00C13F9C"/>
    <w:rsid w:val="00C144A0"/>
    <w:rsid w:val="00C17FCB"/>
    <w:rsid w:val="00C261D3"/>
    <w:rsid w:val="00C41523"/>
    <w:rsid w:val="00C52B6B"/>
    <w:rsid w:val="00C64FD1"/>
    <w:rsid w:val="00CC2E95"/>
    <w:rsid w:val="00CE2BB4"/>
    <w:rsid w:val="00D005E8"/>
    <w:rsid w:val="00D01A18"/>
    <w:rsid w:val="00D35B28"/>
    <w:rsid w:val="00D81C9F"/>
    <w:rsid w:val="00E200B7"/>
    <w:rsid w:val="00E20DEC"/>
    <w:rsid w:val="00E76E2E"/>
    <w:rsid w:val="00E95EA6"/>
    <w:rsid w:val="00ED4087"/>
    <w:rsid w:val="00F02946"/>
    <w:rsid w:val="00F671C3"/>
    <w:rsid w:val="00F96D23"/>
    <w:rsid w:val="00FA7016"/>
    <w:rsid w:val="00FB0962"/>
    <w:rsid w:val="00FB6CAC"/>
    <w:rsid w:val="00FC1CDE"/>
    <w:rsid w:val="00FE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BC48087"/>
  <w15:chartTrackingRefBased/>
  <w15:docId w15:val="{2D972391-39C5-DD4A-A0BC-B9A825D6F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9FC"/>
    <w:pPr>
      <w:spacing w:after="0"/>
      <w:jc w:val="both"/>
    </w:pPr>
    <w:rPr>
      <w:rFonts w:ascii="Times New Roman" w:hAnsi="Times New Roman" w:cs="Times New Roman"/>
    </w:rPr>
  </w:style>
  <w:style w:type="paragraph" w:styleId="Heading1">
    <w:name w:val="heading 1"/>
    <w:basedOn w:val="Normal"/>
    <w:next w:val="Normal"/>
    <w:link w:val="Heading1Char"/>
    <w:uiPriority w:val="9"/>
    <w:qFormat/>
    <w:rsid w:val="003F69C4"/>
    <w:pPr>
      <w:jc w:val="center"/>
      <w:outlineLvl w:val="0"/>
    </w:pPr>
    <w:rPr>
      <w:b/>
      <w:bCs/>
      <w:sz w:val="36"/>
      <w:szCs w:val="36"/>
    </w:rPr>
  </w:style>
  <w:style w:type="paragraph" w:styleId="Heading2">
    <w:name w:val="heading 2"/>
    <w:basedOn w:val="Normal"/>
    <w:next w:val="Normal"/>
    <w:link w:val="Heading2Char"/>
    <w:uiPriority w:val="9"/>
    <w:unhideWhenUsed/>
    <w:qFormat/>
    <w:rsid w:val="005C65FD"/>
    <w:pPr>
      <w:spacing w:line="360" w:lineRule="auto"/>
      <w:jc w:val="center"/>
      <w:outlineLvl w:val="1"/>
    </w:pPr>
    <w:rPr>
      <w:sz w:val="26"/>
      <w:szCs w:val="26"/>
    </w:rPr>
  </w:style>
  <w:style w:type="paragraph" w:styleId="Heading3">
    <w:name w:val="heading 3"/>
    <w:basedOn w:val="Normal"/>
    <w:next w:val="Normal"/>
    <w:link w:val="Heading3Char"/>
    <w:uiPriority w:val="9"/>
    <w:semiHidden/>
    <w:unhideWhenUsed/>
    <w:qFormat/>
    <w:rsid w:val="00A739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9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9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9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9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9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9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line="240" w:lineRule="auto"/>
      <w:contextualSpacing/>
      <w:jc w:val="center"/>
    </w:pPr>
    <w:rPr>
      <w:rFonts w:eastAsiaTheme="majorEastAsia"/>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3F69C4"/>
    <w:rPr>
      <w:rFonts w:ascii="Times New Roman" w:hAnsi="Times New Roman" w:cs="Times New Roman"/>
      <w:b/>
      <w:bCs/>
      <w:sz w:val="36"/>
      <w:szCs w:val="36"/>
    </w:rPr>
  </w:style>
  <w:style w:type="character" w:customStyle="1" w:styleId="Heading2Char">
    <w:name w:val="Heading 2 Char"/>
    <w:basedOn w:val="DefaultParagraphFont"/>
    <w:link w:val="Heading2"/>
    <w:uiPriority w:val="9"/>
    <w:rsid w:val="005C65FD"/>
    <w:rPr>
      <w:rFonts w:ascii="Times New Roman" w:hAnsi="Times New Roman" w:cs="Times New Roman"/>
      <w:sz w:val="26"/>
      <w:szCs w:val="26"/>
    </w:rPr>
  </w:style>
  <w:style w:type="character" w:customStyle="1" w:styleId="Heading3Char">
    <w:name w:val="Heading 3 Char"/>
    <w:basedOn w:val="DefaultParagraphFont"/>
    <w:link w:val="Heading3"/>
    <w:uiPriority w:val="9"/>
    <w:semiHidden/>
    <w:rsid w:val="00A73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9FC"/>
    <w:rPr>
      <w:rFonts w:eastAsiaTheme="majorEastAsia" w:cstheme="majorBidi"/>
      <w:color w:val="272727" w:themeColor="text1" w:themeTint="D8"/>
    </w:rPr>
  </w:style>
  <w:style w:type="paragraph" w:styleId="Subtitle">
    <w:name w:val="Subtitle"/>
    <w:basedOn w:val="Normal"/>
    <w:next w:val="Normal"/>
    <w:link w:val="SubtitleChar"/>
    <w:uiPriority w:val="11"/>
    <w:qFormat/>
    <w:rsid w:val="00A73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9FC"/>
    <w:pPr>
      <w:spacing w:before="160"/>
      <w:jc w:val="center"/>
    </w:pPr>
    <w:rPr>
      <w:i/>
      <w:iCs/>
      <w:color w:val="404040" w:themeColor="text1" w:themeTint="BF"/>
    </w:rPr>
  </w:style>
  <w:style w:type="character" w:customStyle="1" w:styleId="QuoteChar">
    <w:name w:val="Quote Char"/>
    <w:basedOn w:val="DefaultParagraphFont"/>
    <w:link w:val="Quote"/>
    <w:uiPriority w:val="29"/>
    <w:rsid w:val="00A739FC"/>
    <w:rPr>
      <w:i/>
      <w:iCs/>
      <w:color w:val="404040" w:themeColor="text1" w:themeTint="BF"/>
    </w:rPr>
  </w:style>
  <w:style w:type="paragraph" w:styleId="ListParagraph">
    <w:name w:val="List Paragraph"/>
    <w:basedOn w:val="Normal"/>
    <w:uiPriority w:val="34"/>
    <w:qFormat/>
    <w:rsid w:val="00A739FC"/>
    <w:pPr>
      <w:ind w:left="720"/>
      <w:contextualSpacing/>
    </w:pPr>
  </w:style>
  <w:style w:type="character" w:styleId="IntenseEmphasis">
    <w:name w:val="Intense Emphasis"/>
    <w:basedOn w:val="DefaultParagraphFont"/>
    <w:uiPriority w:val="21"/>
    <w:qFormat/>
    <w:rsid w:val="00A739FC"/>
    <w:rPr>
      <w:i/>
      <w:iCs/>
      <w:color w:val="0F4761" w:themeColor="accent1" w:themeShade="BF"/>
    </w:rPr>
  </w:style>
  <w:style w:type="paragraph" w:styleId="IntenseQuote">
    <w:name w:val="Intense Quote"/>
    <w:basedOn w:val="Normal"/>
    <w:next w:val="Normal"/>
    <w:link w:val="IntenseQuoteChar"/>
    <w:uiPriority w:val="30"/>
    <w:qFormat/>
    <w:rsid w:val="00A739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9FC"/>
    <w:rPr>
      <w:i/>
      <w:iCs/>
      <w:color w:val="0F4761" w:themeColor="accent1" w:themeShade="BF"/>
    </w:rPr>
  </w:style>
  <w:style w:type="character" w:styleId="IntenseReference">
    <w:name w:val="Intense Reference"/>
    <w:basedOn w:val="DefaultParagraphFont"/>
    <w:uiPriority w:val="32"/>
    <w:qFormat/>
    <w:rsid w:val="00A739FC"/>
    <w:rPr>
      <w:b/>
      <w:bCs/>
      <w:smallCaps/>
      <w:color w:val="0F4761" w:themeColor="accent1" w:themeShade="BF"/>
      <w:spacing w:val="5"/>
    </w:rPr>
  </w:style>
  <w:style w:type="paragraph" w:styleId="Header">
    <w:name w:val="header"/>
    <w:basedOn w:val="Normal"/>
    <w:link w:val="HeaderChar"/>
    <w:uiPriority w:val="99"/>
    <w:unhideWhenUsed/>
    <w:rsid w:val="003957E5"/>
    <w:pPr>
      <w:tabs>
        <w:tab w:val="center" w:pos="4513"/>
        <w:tab w:val="right" w:pos="9026"/>
      </w:tabs>
      <w:spacing w:line="240" w:lineRule="auto"/>
    </w:pPr>
  </w:style>
  <w:style w:type="character" w:customStyle="1" w:styleId="HeaderChar">
    <w:name w:val="Header Char"/>
    <w:basedOn w:val="DefaultParagraphFont"/>
    <w:link w:val="Header"/>
    <w:uiPriority w:val="99"/>
    <w:rsid w:val="003957E5"/>
    <w:rPr>
      <w:rFonts w:ascii="Times New Roman" w:hAnsi="Times New Roman" w:cs="Times New Roman"/>
    </w:rPr>
  </w:style>
  <w:style w:type="paragraph" w:styleId="Footer">
    <w:name w:val="footer"/>
    <w:basedOn w:val="Normal"/>
    <w:link w:val="FooterChar"/>
    <w:uiPriority w:val="99"/>
    <w:unhideWhenUsed/>
    <w:rsid w:val="003957E5"/>
    <w:pPr>
      <w:tabs>
        <w:tab w:val="center" w:pos="4513"/>
        <w:tab w:val="right" w:pos="9026"/>
      </w:tabs>
      <w:spacing w:line="240" w:lineRule="auto"/>
    </w:pPr>
  </w:style>
  <w:style w:type="character" w:customStyle="1" w:styleId="FooterChar">
    <w:name w:val="Footer Char"/>
    <w:basedOn w:val="DefaultParagraphFont"/>
    <w:link w:val="Footer"/>
    <w:uiPriority w:val="99"/>
    <w:rsid w:val="003957E5"/>
    <w:rPr>
      <w:rFonts w:ascii="Times New Roman" w:hAnsi="Times New Roman" w:cs="Times New Roman"/>
    </w:rPr>
  </w:style>
  <w:style w:type="paragraph" w:styleId="FootnoteText">
    <w:name w:val="footnote text"/>
    <w:basedOn w:val="Normal"/>
    <w:link w:val="FootnoteTextChar"/>
    <w:semiHidden/>
    <w:unhideWhenUsed/>
    <w:rsid w:val="00851FB9"/>
    <w:pPr>
      <w:spacing w:line="240" w:lineRule="auto"/>
    </w:pPr>
    <w:rPr>
      <w:sz w:val="20"/>
      <w:szCs w:val="20"/>
    </w:rPr>
  </w:style>
  <w:style w:type="character" w:customStyle="1" w:styleId="FootnoteTextChar">
    <w:name w:val="Footnote Text Char"/>
    <w:basedOn w:val="DefaultParagraphFont"/>
    <w:link w:val="FootnoteText"/>
    <w:semiHidden/>
    <w:rsid w:val="00851FB9"/>
    <w:rPr>
      <w:rFonts w:ascii="Times New Roman" w:hAnsi="Times New Roman" w:cs="Times New Roman"/>
      <w:sz w:val="20"/>
      <w:szCs w:val="20"/>
    </w:rPr>
  </w:style>
  <w:style w:type="character" w:styleId="FootnoteReference">
    <w:name w:val="footnote reference"/>
    <w:basedOn w:val="DefaultParagraphFont"/>
    <w:semiHidden/>
    <w:unhideWhenUsed/>
    <w:rsid w:val="00851FB9"/>
    <w:rPr>
      <w:vertAlign w:val="superscript"/>
    </w:rPr>
  </w:style>
  <w:style w:type="character" w:styleId="Hyperlink">
    <w:name w:val="Hyperlink"/>
    <w:basedOn w:val="DefaultParagraphFont"/>
    <w:uiPriority w:val="99"/>
    <w:unhideWhenUsed/>
    <w:rsid w:val="00C261D3"/>
    <w:rPr>
      <w:color w:val="467886" w:themeColor="hyperlink"/>
      <w:u w:val="single"/>
    </w:rPr>
  </w:style>
  <w:style w:type="character" w:styleId="UnresolvedMention">
    <w:name w:val="Unresolved Mention"/>
    <w:basedOn w:val="DefaultParagraphFont"/>
    <w:uiPriority w:val="99"/>
    <w:semiHidden/>
    <w:unhideWhenUsed/>
    <w:rsid w:val="00C26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intranslation.com/PITBR/Italian/PetrarchCanzoniere184-244.php?textLinkTarget=ZGVzaXJlK2RyaXZlcyttZQ==#anchor_Toc11161972" TargetMode="External"/><Relationship Id="rId3" Type="http://schemas.openxmlformats.org/officeDocument/2006/relationships/webSettings" Target="webSettings.xml"/><Relationship Id="rId7" Type="http://schemas.openxmlformats.org/officeDocument/2006/relationships/hyperlink" Target="https://doi.org/10.2307/217106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313361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2307/270906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2171065" TargetMode="External"/><Relationship Id="rId2" Type="http://schemas.openxmlformats.org/officeDocument/2006/relationships/hyperlink" Target="http://www.jstor.org/stable/3133611" TargetMode="External"/><Relationship Id="rId1" Type="http://schemas.openxmlformats.org/officeDocument/2006/relationships/hyperlink" Target="https://www.poetryintranslation.com/PITBR/Italian/PetrarchCanzoniere184-244.php?textLinkTarget=ZGVzaXJlK2RyaXZlcyttZQ==#anchor_Toc11161972" TargetMode="External"/><Relationship Id="rId4" Type="http://schemas.openxmlformats.org/officeDocument/2006/relationships/hyperlink" Target="https://doi.org/10.2307/2709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10</Pages>
  <Words>2721</Words>
  <Characters>14780</Characters>
  <Application>Microsoft Office Word</Application>
  <DocSecurity>0</DocSecurity>
  <Lines>220</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18</cp:revision>
  <cp:lastPrinted>2026-03-04T14:37:00Z</cp:lastPrinted>
  <dcterms:created xsi:type="dcterms:W3CDTF">2026-03-04T14:37:00Z</dcterms:created>
  <dcterms:modified xsi:type="dcterms:W3CDTF">2026-03-04T20:15:00Z</dcterms:modified>
</cp:coreProperties>
</file>