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9DAB3" w14:textId="05DADBA4" w:rsidR="00EA57A8" w:rsidRPr="004A1E15" w:rsidRDefault="004A1E15">
      <w:pPr>
        <w:pBdr>
          <w:top w:val="single" w:sz="6" w:space="12" w:color="BBBBBB"/>
          <w:left w:val="single" w:sz="6" w:space="12" w:color="BBBBBB"/>
          <w:bottom w:val="single" w:sz="6" w:space="12" w:color="BBBBBB"/>
          <w:right w:val="single" w:sz="6" w:space="12" w:color="BBBBBB"/>
        </w:pBdr>
        <w:spacing w:before="240" w:after="240"/>
        <w:jc w:val="center"/>
        <w:rPr>
          <w:b/>
          <w:bCs/>
          <w:color w:val="000000" w:themeColor="text1"/>
          <w:sz w:val="48"/>
          <w:szCs w:val="48"/>
        </w:rPr>
      </w:pPr>
      <w:r w:rsidRPr="004A1E15">
        <w:rPr>
          <w:b/>
          <w:bCs/>
          <w:i/>
          <w:iCs/>
          <w:color w:val="000000" w:themeColor="text1"/>
          <w:sz w:val="48"/>
          <w:szCs w:val="48"/>
        </w:rPr>
        <w:t>University Of Wales Trinity Saint David</w:t>
      </w:r>
    </w:p>
    <w:p w14:paraId="10C7E29E" w14:textId="77777777" w:rsidR="00EA57A8" w:rsidRPr="004A1E15" w:rsidRDefault="00EA57A8">
      <w:pPr>
        <w:spacing w:after="240"/>
        <w:jc w:val="center"/>
        <w:rPr>
          <w:color w:val="000000" w:themeColor="text1"/>
        </w:rPr>
      </w:pPr>
    </w:p>
    <w:p w14:paraId="5F4D75DA" w14:textId="77777777" w:rsidR="00EA57A8" w:rsidRDefault="00000000">
      <w:pPr>
        <w:spacing w:after="120"/>
        <w:jc w:val="center"/>
      </w:pPr>
      <w:r>
        <w:rPr>
          <w:b/>
          <w:bCs/>
          <w:sz w:val="26"/>
          <w:szCs w:val="26"/>
        </w:rPr>
        <w:t>Master of Business Administration</w:t>
      </w:r>
    </w:p>
    <w:p w14:paraId="39AF1DB6" w14:textId="77777777" w:rsidR="00EA57A8" w:rsidRDefault="00000000">
      <w:pPr>
        <w:spacing w:after="480"/>
        <w:jc w:val="center"/>
      </w:pPr>
      <w:r>
        <w:t>Marketing Management (LCMB7024)</w:t>
      </w:r>
    </w:p>
    <w:p w14:paraId="0E13B014" w14:textId="77777777" w:rsidR="00EA57A8" w:rsidRDefault="00000000">
      <w:pPr>
        <w:spacing w:after="100"/>
        <w:jc w:val="center"/>
      </w:pPr>
      <w:r>
        <w:rPr>
          <w:b/>
          <w:bCs/>
          <w:sz w:val="36"/>
          <w:szCs w:val="36"/>
        </w:rPr>
        <w:t>Portfolio: Developing a Sustainable Brand Extension for IKEA</w:t>
      </w:r>
    </w:p>
    <w:p w14:paraId="2456A464" w14:textId="5CDE0687" w:rsidR="00EA57A8" w:rsidRDefault="00000000">
      <w:pPr>
        <w:spacing w:after="520"/>
        <w:jc w:val="center"/>
      </w:pPr>
      <w:r>
        <w:rPr>
          <w:sz w:val="28"/>
          <w:szCs w:val="28"/>
        </w:rPr>
        <w:t>‘IKEA Circular’ — a Furniture-Subscription Service</w:t>
      </w:r>
      <w:r w:rsidR="004A1E15">
        <w:rPr>
          <w:sz w:val="28"/>
          <w:szCs w:val="28"/>
        </w:rPr>
        <w:t xml:space="preserve"> </w:t>
      </w:r>
    </w:p>
    <w:p w14:paraId="2AED61DA" w14:textId="77E665D8" w:rsidR="00EA57A8" w:rsidRDefault="00000000">
      <w:pPr>
        <w:spacing w:after="120"/>
        <w:jc w:val="center"/>
      </w:pPr>
      <w:r>
        <w:t xml:space="preserve">Lecturer: </w:t>
      </w:r>
      <w:r w:rsidR="004A1E15">
        <w:t>Haoran Liu</w:t>
      </w:r>
    </w:p>
    <w:p w14:paraId="6FCFB3A5" w14:textId="2324F85C" w:rsidR="00EA57A8" w:rsidRDefault="00000000">
      <w:pPr>
        <w:spacing w:after="120"/>
        <w:jc w:val="center"/>
      </w:pPr>
      <w:r>
        <w:t xml:space="preserve">Student name: </w:t>
      </w:r>
      <w:r w:rsidR="004A1E15">
        <w:t>Het Patel</w:t>
      </w:r>
    </w:p>
    <w:p w14:paraId="0E2BBDC6" w14:textId="7988918D" w:rsidR="00EA57A8" w:rsidRDefault="00000000">
      <w:pPr>
        <w:spacing w:after="120"/>
        <w:jc w:val="center"/>
      </w:pPr>
      <w:r>
        <w:t xml:space="preserve">Student ID: </w:t>
      </w:r>
      <w:r w:rsidR="004A1E15">
        <w:t>2520734</w:t>
      </w:r>
    </w:p>
    <w:p w14:paraId="3F6C2F96" w14:textId="62770C71" w:rsidR="004A1E15" w:rsidRDefault="004A1E15" w:rsidP="004A1E15">
      <w:pPr>
        <w:spacing w:after="120"/>
      </w:pPr>
      <w:r>
        <w:t xml:space="preserve">  </w:t>
      </w:r>
    </w:p>
    <w:p w14:paraId="3507A696" w14:textId="5D724BAE" w:rsidR="00EA57A8" w:rsidRDefault="00EA57A8" w:rsidP="004A1E15">
      <w:pPr>
        <w:spacing w:after="120"/>
        <w:jc w:val="center"/>
      </w:pPr>
    </w:p>
    <w:p w14:paraId="018EA3FC" w14:textId="77777777" w:rsidR="00EA57A8" w:rsidRDefault="00000000">
      <w:r>
        <w:br w:type="page"/>
      </w:r>
    </w:p>
    <w:p w14:paraId="5835A5B4" w14:textId="77777777" w:rsidR="00EA57A8" w:rsidRDefault="00000000">
      <w:pPr>
        <w:spacing w:after="160"/>
      </w:pPr>
      <w:r>
        <w:rPr>
          <w:b/>
          <w:bCs/>
          <w:color w:val="1A1A1A"/>
          <w:sz w:val="28"/>
          <w:szCs w:val="28"/>
        </w:rPr>
        <w:lastRenderedPageBreak/>
        <w:t>Contents</w:t>
      </w:r>
    </w:p>
    <w:sdt>
      <w:sdtPr>
        <w:alias w:val="Contents"/>
        <w:id w:val="1157044732"/>
      </w:sdtPr>
      <w:sdtContent>
        <w:p w14:paraId="1D22DC36" w14:textId="77777777" w:rsidR="004A1E15" w:rsidRDefault="00000000">
          <w:pPr>
            <w:pStyle w:val="TOC1"/>
            <w:tabs>
              <w:tab w:val="right" w:leader="dot" w:pos="9016"/>
            </w:tabs>
            <w:rPr>
              <w:rFonts w:hint="eastAsia"/>
              <w:noProof/>
            </w:rPr>
          </w:pPr>
          <w:r>
            <w:fldChar w:fldCharType="begin"/>
          </w:r>
          <w:r>
            <w:instrText>TOC \h \o "1-1"</w:instrText>
          </w:r>
          <w:r>
            <w:fldChar w:fldCharType="separate"/>
          </w:r>
          <w:hyperlink w:anchor="_Toc237605938" w:history="1">
            <w:r w:rsidR="004A1E15" w:rsidRPr="003D7EDC">
              <w:rPr>
                <w:rStyle w:val="Hyperlink"/>
                <w:noProof/>
              </w:rPr>
              <w:t>Introduction</w:t>
            </w:r>
            <w:r w:rsidR="004A1E15">
              <w:rPr>
                <w:rFonts w:hint="eastAsia"/>
                <w:noProof/>
              </w:rPr>
              <w:tab/>
            </w:r>
            <w:r w:rsidR="004A1E15">
              <w:rPr>
                <w:rFonts w:hint="eastAsia"/>
                <w:noProof/>
              </w:rPr>
              <w:fldChar w:fldCharType="begin"/>
            </w:r>
            <w:r w:rsidR="004A1E15">
              <w:rPr>
                <w:rFonts w:hint="eastAsia"/>
                <w:noProof/>
              </w:rPr>
              <w:instrText xml:space="preserve"> </w:instrText>
            </w:r>
            <w:r w:rsidR="004A1E15">
              <w:rPr>
                <w:noProof/>
              </w:rPr>
              <w:instrText>PAGEREF _Toc237605938 \h</w:instrText>
            </w:r>
            <w:r w:rsidR="004A1E15">
              <w:rPr>
                <w:rFonts w:hint="eastAsia"/>
                <w:noProof/>
              </w:rPr>
              <w:instrText xml:space="preserve"> </w:instrText>
            </w:r>
            <w:r w:rsidR="004A1E15">
              <w:rPr>
                <w:rFonts w:hint="eastAsia"/>
                <w:noProof/>
              </w:rPr>
            </w:r>
            <w:r w:rsidR="004A1E15">
              <w:rPr>
                <w:rFonts w:hint="eastAsia"/>
                <w:noProof/>
              </w:rPr>
              <w:fldChar w:fldCharType="separate"/>
            </w:r>
            <w:r w:rsidR="004A1E15">
              <w:rPr>
                <w:noProof/>
              </w:rPr>
              <w:t>1</w:t>
            </w:r>
            <w:r w:rsidR="004A1E15">
              <w:rPr>
                <w:rFonts w:hint="eastAsia"/>
                <w:noProof/>
              </w:rPr>
              <w:fldChar w:fldCharType="end"/>
            </w:r>
          </w:hyperlink>
        </w:p>
        <w:p w14:paraId="5D66BF2F" w14:textId="77777777" w:rsidR="004A1E15" w:rsidRDefault="004A1E15">
          <w:pPr>
            <w:pStyle w:val="TOC1"/>
            <w:tabs>
              <w:tab w:val="right" w:leader="dot" w:pos="9016"/>
            </w:tabs>
            <w:rPr>
              <w:rFonts w:hint="eastAsia"/>
              <w:noProof/>
            </w:rPr>
          </w:pPr>
          <w:hyperlink w:anchor="_Toc237605939" w:history="1">
            <w:r w:rsidRPr="003D7EDC">
              <w:rPr>
                <w:rStyle w:val="Hyperlink"/>
                <w:noProof/>
              </w:rPr>
              <w:t>Element 1: Sustainable Brand Extension Poster</w:t>
            </w:r>
            <w:r>
              <w:rPr>
                <w:rFonts w:hint="eastAsia"/>
                <w:noProof/>
              </w:rPr>
              <w:tab/>
            </w:r>
            <w:r>
              <w:rPr>
                <w:rFonts w:hint="eastAsia"/>
                <w:noProof/>
              </w:rPr>
              <w:fldChar w:fldCharType="begin"/>
            </w:r>
            <w:r>
              <w:rPr>
                <w:rFonts w:hint="eastAsia"/>
                <w:noProof/>
              </w:rPr>
              <w:instrText xml:space="preserve"> </w:instrText>
            </w:r>
            <w:r>
              <w:rPr>
                <w:noProof/>
              </w:rPr>
              <w:instrText>PAGEREF _Toc237605939 \h</w:instrText>
            </w:r>
            <w:r>
              <w:rPr>
                <w:rFonts w:hint="eastAsia"/>
                <w:noProof/>
              </w:rPr>
              <w:instrText xml:space="preserve"> </w:instrText>
            </w:r>
            <w:r>
              <w:rPr>
                <w:rFonts w:hint="eastAsia"/>
                <w:noProof/>
              </w:rPr>
            </w:r>
            <w:r>
              <w:rPr>
                <w:rFonts w:hint="eastAsia"/>
                <w:noProof/>
              </w:rPr>
              <w:fldChar w:fldCharType="separate"/>
            </w:r>
            <w:r>
              <w:rPr>
                <w:noProof/>
              </w:rPr>
              <w:t>1</w:t>
            </w:r>
            <w:r>
              <w:rPr>
                <w:rFonts w:hint="eastAsia"/>
                <w:noProof/>
              </w:rPr>
              <w:fldChar w:fldCharType="end"/>
            </w:r>
          </w:hyperlink>
        </w:p>
        <w:p w14:paraId="49C1576C" w14:textId="77777777" w:rsidR="004A1E15" w:rsidRDefault="004A1E15">
          <w:pPr>
            <w:pStyle w:val="TOC1"/>
            <w:tabs>
              <w:tab w:val="right" w:leader="dot" w:pos="9016"/>
            </w:tabs>
            <w:rPr>
              <w:rFonts w:hint="eastAsia"/>
              <w:noProof/>
            </w:rPr>
          </w:pPr>
          <w:hyperlink w:anchor="_Toc237605940" w:history="1">
            <w:r w:rsidRPr="003D7EDC">
              <w:rPr>
                <w:rStyle w:val="Hyperlink"/>
                <w:noProof/>
              </w:rPr>
              <w:t>Element 2: Segmentation, Targeting, Differentiation and Positioning</w:t>
            </w:r>
            <w:r>
              <w:rPr>
                <w:rFonts w:hint="eastAsia"/>
                <w:noProof/>
              </w:rPr>
              <w:tab/>
            </w:r>
            <w:r>
              <w:rPr>
                <w:rFonts w:hint="eastAsia"/>
                <w:noProof/>
              </w:rPr>
              <w:fldChar w:fldCharType="begin"/>
            </w:r>
            <w:r>
              <w:rPr>
                <w:rFonts w:hint="eastAsia"/>
                <w:noProof/>
              </w:rPr>
              <w:instrText xml:space="preserve"> </w:instrText>
            </w:r>
            <w:r>
              <w:rPr>
                <w:noProof/>
              </w:rPr>
              <w:instrText>PAGEREF _Toc237605940 \h</w:instrText>
            </w:r>
            <w:r>
              <w:rPr>
                <w:rFonts w:hint="eastAsia"/>
                <w:noProof/>
              </w:rPr>
              <w:instrText xml:space="preserve"> </w:instrText>
            </w:r>
            <w:r>
              <w:rPr>
                <w:rFonts w:hint="eastAsia"/>
                <w:noProof/>
              </w:rPr>
            </w:r>
            <w:r>
              <w:rPr>
                <w:rFonts w:hint="eastAsia"/>
                <w:noProof/>
              </w:rPr>
              <w:fldChar w:fldCharType="separate"/>
            </w:r>
            <w:r>
              <w:rPr>
                <w:noProof/>
              </w:rPr>
              <w:t>1</w:t>
            </w:r>
            <w:r>
              <w:rPr>
                <w:rFonts w:hint="eastAsia"/>
                <w:noProof/>
              </w:rPr>
              <w:fldChar w:fldCharType="end"/>
            </w:r>
          </w:hyperlink>
        </w:p>
        <w:p w14:paraId="1943B2E9" w14:textId="77777777" w:rsidR="004A1E15" w:rsidRDefault="004A1E15">
          <w:pPr>
            <w:pStyle w:val="TOC1"/>
            <w:tabs>
              <w:tab w:val="right" w:leader="dot" w:pos="9016"/>
            </w:tabs>
            <w:rPr>
              <w:rFonts w:hint="eastAsia"/>
              <w:noProof/>
            </w:rPr>
          </w:pPr>
          <w:hyperlink w:anchor="_Toc237605941" w:history="1">
            <w:r w:rsidRPr="003D7EDC">
              <w:rPr>
                <w:rStyle w:val="Hyperlink"/>
                <w:noProof/>
              </w:rPr>
              <w:t>Element 3: The Marketing Mix</w:t>
            </w:r>
            <w:r>
              <w:rPr>
                <w:rFonts w:hint="eastAsia"/>
                <w:noProof/>
              </w:rPr>
              <w:tab/>
            </w:r>
            <w:r>
              <w:rPr>
                <w:rFonts w:hint="eastAsia"/>
                <w:noProof/>
              </w:rPr>
              <w:fldChar w:fldCharType="begin"/>
            </w:r>
            <w:r>
              <w:rPr>
                <w:rFonts w:hint="eastAsia"/>
                <w:noProof/>
              </w:rPr>
              <w:instrText xml:space="preserve"> </w:instrText>
            </w:r>
            <w:r>
              <w:rPr>
                <w:noProof/>
              </w:rPr>
              <w:instrText>PAGEREF _Toc237605941 \h</w:instrText>
            </w:r>
            <w:r>
              <w:rPr>
                <w:rFonts w:hint="eastAsia"/>
                <w:noProof/>
              </w:rPr>
              <w:instrText xml:space="preserve"> </w:instrText>
            </w:r>
            <w:r>
              <w:rPr>
                <w:rFonts w:hint="eastAsia"/>
                <w:noProof/>
              </w:rPr>
            </w:r>
            <w:r>
              <w:rPr>
                <w:rFonts w:hint="eastAsia"/>
                <w:noProof/>
              </w:rPr>
              <w:fldChar w:fldCharType="separate"/>
            </w:r>
            <w:r>
              <w:rPr>
                <w:noProof/>
              </w:rPr>
              <w:t>1</w:t>
            </w:r>
            <w:r>
              <w:rPr>
                <w:rFonts w:hint="eastAsia"/>
                <w:noProof/>
              </w:rPr>
              <w:fldChar w:fldCharType="end"/>
            </w:r>
          </w:hyperlink>
        </w:p>
        <w:p w14:paraId="553364F7" w14:textId="77777777" w:rsidR="004A1E15" w:rsidRDefault="004A1E15">
          <w:pPr>
            <w:pStyle w:val="TOC1"/>
            <w:tabs>
              <w:tab w:val="right" w:leader="dot" w:pos="9016"/>
            </w:tabs>
            <w:rPr>
              <w:rFonts w:hint="eastAsia"/>
              <w:noProof/>
            </w:rPr>
          </w:pPr>
          <w:hyperlink w:anchor="_Toc237605942" w:history="1">
            <w:r w:rsidRPr="003D7EDC">
              <w:rPr>
                <w:rStyle w:val="Hyperlink"/>
                <w:noProof/>
              </w:rPr>
              <w:t>Element 4: Reflection</w:t>
            </w:r>
            <w:r>
              <w:rPr>
                <w:rFonts w:hint="eastAsia"/>
                <w:noProof/>
              </w:rPr>
              <w:tab/>
            </w:r>
            <w:r>
              <w:rPr>
                <w:rFonts w:hint="eastAsia"/>
                <w:noProof/>
              </w:rPr>
              <w:fldChar w:fldCharType="begin"/>
            </w:r>
            <w:r>
              <w:rPr>
                <w:rFonts w:hint="eastAsia"/>
                <w:noProof/>
              </w:rPr>
              <w:instrText xml:space="preserve"> </w:instrText>
            </w:r>
            <w:r>
              <w:rPr>
                <w:noProof/>
              </w:rPr>
              <w:instrText>PAGEREF _Toc237605942 \h</w:instrText>
            </w:r>
            <w:r>
              <w:rPr>
                <w:rFonts w:hint="eastAsia"/>
                <w:noProof/>
              </w:rPr>
              <w:instrText xml:space="preserve"> </w:instrText>
            </w:r>
            <w:r>
              <w:rPr>
                <w:rFonts w:hint="eastAsia"/>
                <w:noProof/>
              </w:rPr>
            </w:r>
            <w:r>
              <w:rPr>
                <w:rFonts w:hint="eastAsia"/>
                <w:noProof/>
              </w:rPr>
              <w:fldChar w:fldCharType="separate"/>
            </w:r>
            <w:r>
              <w:rPr>
                <w:noProof/>
              </w:rPr>
              <w:t>1</w:t>
            </w:r>
            <w:r>
              <w:rPr>
                <w:rFonts w:hint="eastAsia"/>
                <w:noProof/>
              </w:rPr>
              <w:fldChar w:fldCharType="end"/>
            </w:r>
          </w:hyperlink>
        </w:p>
        <w:p w14:paraId="2FB54D25" w14:textId="77777777" w:rsidR="004A1E15" w:rsidRDefault="004A1E15">
          <w:pPr>
            <w:pStyle w:val="TOC1"/>
            <w:tabs>
              <w:tab w:val="right" w:leader="dot" w:pos="9016"/>
            </w:tabs>
            <w:rPr>
              <w:rFonts w:hint="eastAsia"/>
              <w:noProof/>
            </w:rPr>
          </w:pPr>
          <w:hyperlink w:anchor="_Toc237605943" w:history="1">
            <w:r w:rsidRPr="003D7EDC">
              <w:rPr>
                <w:rStyle w:val="Hyperlink"/>
                <w:noProof/>
              </w:rPr>
              <w:t>References</w:t>
            </w:r>
            <w:r>
              <w:rPr>
                <w:rFonts w:hint="eastAsia"/>
                <w:noProof/>
              </w:rPr>
              <w:tab/>
            </w:r>
            <w:r>
              <w:rPr>
                <w:rFonts w:hint="eastAsia"/>
                <w:noProof/>
              </w:rPr>
              <w:fldChar w:fldCharType="begin"/>
            </w:r>
            <w:r>
              <w:rPr>
                <w:rFonts w:hint="eastAsia"/>
                <w:noProof/>
              </w:rPr>
              <w:instrText xml:space="preserve"> </w:instrText>
            </w:r>
            <w:r>
              <w:rPr>
                <w:noProof/>
              </w:rPr>
              <w:instrText>PAGEREF _Toc237605943 \h</w:instrText>
            </w:r>
            <w:r>
              <w:rPr>
                <w:rFonts w:hint="eastAsia"/>
                <w:noProof/>
              </w:rPr>
              <w:instrText xml:space="preserve"> </w:instrText>
            </w:r>
            <w:r>
              <w:rPr>
                <w:rFonts w:hint="eastAsia"/>
                <w:noProof/>
              </w:rPr>
            </w:r>
            <w:r>
              <w:rPr>
                <w:rFonts w:hint="eastAsia"/>
                <w:noProof/>
              </w:rPr>
              <w:fldChar w:fldCharType="separate"/>
            </w:r>
            <w:r>
              <w:rPr>
                <w:noProof/>
              </w:rPr>
              <w:t>1</w:t>
            </w:r>
            <w:r>
              <w:rPr>
                <w:rFonts w:hint="eastAsia"/>
                <w:noProof/>
              </w:rPr>
              <w:fldChar w:fldCharType="end"/>
            </w:r>
          </w:hyperlink>
        </w:p>
        <w:p w14:paraId="595D501E" w14:textId="77777777" w:rsidR="00EA57A8" w:rsidRDefault="00000000">
          <w:r>
            <w:fldChar w:fldCharType="end"/>
          </w:r>
        </w:p>
      </w:sdtContent>
    </w:sdt>
    <w:p w14:paraId="6BD77A45" w14:textId="77777777" w:rsidR="00EA57A8" w:rsidRDefault="00000000">
      <w:r>
        <w:br w:type="page"/>
      </w:r>
    </w:p>
    <w:p w14:paraId="447A8E12" w14:textId="77777777" w:rsidR="00EA57A8" w:rsidRDefault="00000000">
      <w:pPr>
        <w:pStyle w:val="Heading1"/>
      </w:pPr>
      <w:bookmarkStart w:id="0" w:name="_Toc237605938"/>
      <w:r>
        <w:lastRenderedPageBreak/>
        <w:t>Introduction</w:t>
      </w:r>
      <w:bookmarkEnd w:id="0"/>
    </w:p>
    <w:p w14:paraId="2CA91CAF" w14:textId="77777777" w:rsidR="00EA57A8" w:rsidRDefault="00000000">
      <w:pPr>
        <w:spacing w:after="200"/>
        <w:jc w:val="both"/>
      </w:pPr>
      <w:r>
        <w:t>This portfolio is written from the perspective of a marketing consultant engaged to develop a brand-led growth strategy for IKEA, the Swedish home-furnishing retailer. Within Kotler’s brand-development framework the proposal is a brand extension: the established IKEA name is applied to a new service category rather than a new product line (Armstrong, Balasubramanian and Kotler, 2023). The proposed extension, referred to throughout as ‘IKEA Circular’, is a consumer furniture-subscription service that rents, maintains, refurbishes and re-rents home furniture, operationalising IKEA’s stated ambition to become a fully circular, climate-positive business by 2030 (IKEA, 2024). The purpose of the report is to justify this extension and to set out how it would be segmented, positioned and delivered. It first presents the pitch poster (Element 1); it then develops a segmentation, targeting, differentiation and positioning analysis (Element 2); justifies a seven-element marketing mix (Element 3); and closes with a structured reflection on the process (Element 4).</w:t>
      </w:r>
    </w:p>
    <w:p w14:paraId="6EBE3EBD" w14:textId="77777777" w:rsidR="00EA57A8" w:rsidRDefault="00000000">
      <w:pPr>
        <w:pStyle w:val="Heading1"/>
      </w:pPr>
      <w:bookmarkStart w:id="1" w:name="_Toc237605939"/>
      <w:r>
        <w:t>Element 1: Sustainable Brand Extension Poster</w:t>
      </w:r>
      <w:bookmarkEnd w:id="1"/>
    </w:p>
    <w:p w14:paraId="1379B859" w14:textId="77777777" w:rsidR="00EA57A8" w:rsidRDefault="00000000">
      <w:pPr>
        <w:spacing w:after="200"/>
        <w:jc w:val="both"/>
      </w:pPr>
      <w:r>
        <w:t>The poster in Figure 1 was designed as a three- to five-minute pitch addressed simultaneously to potential investors and to customers. It states the sustainability rationale for the extension together with a brief introduction to the company, explains why the proposition suits current market conditions and the growing pressure for sustainable products, and shows how the extension advances IKEA’s circular goals.</w:t>
      </w:r>
    </w:p>
    <w:p w14:paraId="3FA1E029" w14:textId="77777777" w:rsidR="00EA57A8" w:rsidRDefault="00000000">
      <w:pPr>
        <w:spacing w:before="120" w:after="80"/>
        <w:jc w:val="center"/>
      </w:pPr>
      <w:r>
        <w:rPr>
          <w:noProof/>
        </w:rPr>
        <w:lastRenderedPageBreak/>
        <w:drawing>
          <wp:inline distT="0" distB="0" distL="0" distR="0" wp14:anchorId="0F91F940" wp14:editId="6E13C737">
            <wp:extent cx="4305300" cy="6086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305300" cy="6086475"/>
                    </a:xfrm>
                    <a:prstGeom prst="rect">
                      <a:avLst/>
                    </a:prstGeom>
                  </pic:spPr>
                </pic:pic>
              </a:graphicData>
            </a:graphic>
          </wp:inline>
        </w:drawing>
      </w:r>
    </w:p>
    <w:p w14:paraId="402156B7" w14:textId="77777777" w:rsidR="00EA57A8" w:rsidRDefault="00000000">
      <w:pPr>
        <w:spacing w:after="200"/>
        <w:jc w:val="center"/>
      </w:pPr>
      <w:r>
        <w:rPr>
          <w:i/>
          <w:iCs/>
          <w:color w:val="555555"/>
          <w:sz w:val="20"/>
          <w:szCs w:val="20"/>
        </w:rPr>
        <w:t>Figure 1. ‘IKEA Circular’ sustainable brand extension poster (author’s own; concept proposal, not an official IKEA product).</w:t>
      </w:r>
    </w:p>
    <w:p w14:paraId="5A0891CE" w14:textId="77777777" w:rsidR="00EA57A8" w:rsidRDefault="00000000">
      <w:pPr>
        <w:pStyle w:val="Heading1"/>
      </w:pPr>
      <w:bookmarkStart w:id="2" w:name="_Toc237605940"/>
      <w:r>
        <w:t>Element 2: Segmentation, Targeting, Differentiation and Positioning</w:t>
      </w:r>
      <w:bookmarkEnd w:id="2"/>
    </w:p>
    <w:p w14:paraId="15CE782F" w14:textId="77777777" w:rsidR="00EA57A8" w:rsidRDefault="00000000">
      <w:pPr>
        <w:spacing w:after="200"/>
        <w:jc w:val="both"/>
      </w:pPr>
      <w:r>
        <w:rPr>
          <w:b/>
          <w:bCs/>
        </w:rPr>
        <w:t xml:space="preserve">Segmentation. </w:t>
      </w:r>
      <w:r>
        <w:t xml:space="preserve">Strategy begins by dividing a heterogeneous market into groups that respond similarly to a given offer (Armstrong, Balasubramanian and Kotler, 2023). Geographically, IKEA Circular would launch in dense, high-rent European and </w:t>
      </w:r>
      <w:proofErr w:type="gramStart"/>
      <w:r>
        <w:t>North-American</w:t>
      </w:r>
      <w:proofErr w:type="gramEnd"/>
      <w:r>
        <w:t xml:space="preserve"> cities where residential mobility is high and storage is scarce. Demographically, the most promising cohort is urban renters and early-career professionals aged roughly 20–35, groups that already dominate residential-rental </w:t>
      </w:r>
      <w:r>
        <w:lastRenderedPageBreak/>
        <w:t xml:space="preserve">demand because they value flexibility over ownership (Future Market Insights, 2025). </w:t>
      </w:r>
      <w:proofErr w:type="spellStart"/>
      <w:r>
        <w:t>Psychographically</w:t>
      </w:r>
      <w:proofErr w:type="spellEnd"/>
      <w:r>
        <w:t xml:space="preserve">, the target holds pro-environmental values and treats consumption as a form of identity </w:t>
      </w:r>
      <w:proofErr w:type="gramStart"/>
      <w:r>
        <w:t>expression, yet</w:t>
      </w:r>
      <w:proofErr w:type="gramEnd"/>
      <w:r>
        <w:t xml:space="preserve"> is time-poor and convenience-seeking. Behaviourally, it is defined by frequent relocation, openness to access-over-ownership models and a willingness to pay a modest sustainability premium: PwC (2024) reports that consumers will pay on average 9.7% more for sustainably produced goods, while Simon-Kucher (2024) finds that 54% now accept a green premium, up from 35% two years earlier. The parallel second-hand furniture market, valued at around USD 34 billion in 2023 and projected to reach USD 56.7 billion by 2030, confirms that demand for extended-life furniture is expanding rather than niche (Grand View Research, 2024).</w:t>
      </w:r>
    </w:p>
    <w:p w14:paraId="2CE56F94" w14:textId="77777777" w:rsidR="00EA57A8" w:rsidRDefault="00000000">
      <w:pPr>
        <w:spacing w:after="200"/>
        <w:jc w:val="both"/>
      </w:pPr>
      <w:r>
        <w:t>A purely demographic or attitudinal reading would nonetheless mislead. The same studies expose an attitude–behaviour, or ‘value–action’, gap in which stated willingness to pay often fails to convert into purchase once price and effort become salient; indeed, Simon-Kucher (2024) records a recent fall in the perceived importance of sustainability under inflationary pressure. Segmentation for IKEA Circular should therefore weight observed behaviour — actual mobility and prior rental activity — above attitudinal claims, because the latter systematically over-predict green demand.</w:t>
      </w:r>
    </w:p>
    <w:p w14:paraId="78F645B2" w14:textId="77777777" w:rsidR="00EA57A8" w:rsidRDefault="00000000">
      <w:pPr>
        <w:spacing w:after="200"/>
        <w:jc w:val="both"/>
      </w:pPr>
      <w:r>
        <w:rPr>
          <w:b/>
          <w:bCs/>
        </w:rPr>
        <w:t xml:space="preserve">Targeting. </w:t>
      </w:r>
      <w:r>
        <w:t>A differentiated strategy is recommended, concentrating initially on the urban, environmentally engaged renter rather than IKEA’s entire customer base. This segment is sizeable, growing and reachable through digital channels, and its low-commitment lifestyle fits a subscription logic. Concentrated targeting also contains operational risk: reverse logistics and refurbishment are costly, so a geographically bounded launch allows unit economics to be proven before scaling. Digital targeting through IKEA’s app and loyalty data would reach this cohort precisely and at low cost, while the in-store experience converts interest into subscription. Crucially, extending an established, trusted brand into this segment lowers perceived risk relative to launching a stand-alone green brand, because consumers transfer equity and trust from the parent, and extension success is driven principally by parent-brand equity and perceived fit (Aaker and Keller, 1990; Hill and Lee, 2015; Peng et al., 2023). A secondary segment of small businesses and student-accommodation providers could be addressed later, mirroring the business-to-business leasing IKEA has already tested, but the consumer segment should anchor the launch.</w:t>
      </w:r>
    </w:p>
    <w:p w14:paraId="1ADCC211" w14:textId="77777777" w:rsidR="00EA57A8" w:rsidRDefault="00000000">
      <w:pPr>
        <w:spacing w:after="200"/>
        <w:jc w:val="both"/>
      </w:pPr>
      <w:r>
        <w:rPr>
          <w:b/>
          <w:bCs/>
        </w:rPr>
        <w:lastRenderedPageBreak/>
        <w:t xml:space="preserve">Differentiation. </w:t>
      </w:r>
      <w:r>
        <w:t xml:space="preserve">IKEA Circular would compete against three groups: traditional and ‘fast-furniture’ retailers such as Wayfair and Amazon; specialist furniture-rental firms such as CORT, Feather and </w:t>
      </w:r>
      <w:proofErr w:type="spellStart"/>
      <w:r>
        <w:t>Furlenco</w:t>
      </w:r>
      <w:proofErr w:type="spellEnd"/>
      <w:r>
        <w:t>; and peer-to-peer resale platforms (Future Market Insights, 2025). Against fast furniture it differentiates on circularity and flexible cost; against pure-play rental start-ups it differentiates on IKEA’s design equity, global scale, price leadership and physical store network, which few rivals can match. This differentiation is reinforced by existing circular infrastructure — IKEA’s Buyback and Resell service repurchased over 495,000 used products in 2024 — signalling genuine capability rather than a bolt-on claim (IKEA, 2024). Credibility matters because consumers with high environmental involvement scrutinise green extensions sceptically and penalise those that appear opportunistic (Hesse et al., 2022). A genuine strategic tension is cannibalisation: subscriptions may displace outright sales of the same ranges, so the extension must be positioned to convert non-buyers — renters who would otherwise avoid ownership — rather than simply migrate existing purchasers to lower-margin contracts.</w:t>
      </w:r>
    </w:p>
    <w:p w14:paraId="220DB828" w14:textId="77777777" w:rsidR="00EA57A8" w:rsidRDefault="00000000">
      <w:pPr>
        <w:spacing w:after="200"/>
        <w:jc w:val="both"/>
      </w:pPr>
      <w:r>
        <w:rPr>
          <w:b/>
          <w:bCs/>
        </w:rPr>
        <w:t xml:space="preserve">Positioning. </w:t>
      </w:r>
      <w:r>
        <w:t>The extension should occupy the position of ‘effortless, affordable, guilt-free furnishing’, the space where sustainability meets convenience and value — dimensions on which competitors typically trade off against one another. A perceptual map plotting price against circular credibility would locate fast furniture as cheap but linear, boutique sustainable brands as credible but expensive, and IKEA Circular as the accessible and credible middle. The positioning statement is therefore: for mobile urban households who want a well-designed home without waste, IKEA Circular provides a flexible furniture subscription that keeps products in use and out of landfill, backed by IKEA’s design, price and circular expertise. Positioning against the value–action gap also means competing on convenience as much as on ethics, since the target will not sacrifice ease or affordability for sustainability alone, and the position must be substantiated rather than merely asserted — a constraint to which the marketing mix now turns. Because the offer is a service, positioning also rests on reliability and experience as much as on product features, which raises the stakes for consistent delivery.</w:t>
      </w:r>
    </w:p>
    <w:p w14:paraId="035E8FEE" w14:textId="77777777" w:rsidR="00EA57A8" w:rsidRDefault="00000000">
      <w:pPr>
        <w:pStyle w:val="Heading1"/>
      </w:pPr>
      <w:bookmarkStart w:id="3" w:name="_Toc237605941"/>
      <w:r>
        <w:lastRenderedPageBreak/>
        <w:t>Element 3: The Marketing Mix</w:t>
      </w:r>
      <w:bookmarkEnd w:id="3"/>
    </w:p>
    <w:p w14:paraId="5DC4562E" w14:textId="77777777" w:rsidR="00EA57A8" w:rsidRDefault="00000000">
      <w:pPr>
        <w:spacing w:after="200"/>
        <w:jc w:val="both"/>
      </w:pPr>
      <w:r>
        <w:t xml:space="preserve">Because IKEA Circular is a service rather than a tangible product, the classic four-P mix is insufficient; the extended seven-P framework — adding people, process and physical evidence — is the appropriate lens for a service offering (Booms and Bitner, 1981). The four Ps have long been criticised as producer-oriented and static (Grönroos, 1994; Goi, 2009), and sustainability sharpens that critique by requiring each element to be re-engineered around environmental and social value rather than transaction volume (Dangelico and </w:t>
      </w:r>
      <w:proofErr w:type="spellStart"/>
      <w:r>
        <w:t>Vocalelli</w:t>
      </w:r>
      <w:proofErr w:type="spellEnd"/>
      <w:r>
        <w:t>, 2017). Each element below is therefore justified against the circular objective rather than merely described.</w:t>
      </w:r>
    </w:p>
    <w:p w14:paraId="502B0FCE" w14:textId="77777777" w:rsidR="00EA57A8" w:rsidRDefault="00000000">
      <w:pPr>
        <w:spacing w:after="200"/>
        <w:jc w:val="both"/>
      </w:pPr>
      <w:r>
        <w:rPr>
          <w:b/>
          <w:bCs/>
        </w:rPr>
        <w:t xml:space="preserve">Product. </w:t>
      </w:r>
      <w:r>
        <w:t xml:space="preserve">The core offer is access to furniture as a service: customers subscribe to items that IKEA maintains, upgrades, collects, refurbishes and re-rents. Value shifts from ownership to guaranteed function and flexibility, which aligns commercial incentives with durability rather than planned obsolescence, because when revenue depends on a product performing over many cycles the firm is motivated to design for longevity and repair (Dangelico and </w:t>
      </w:r>
      <w:proofErr w:type="spellStart"/>
      <w:r>
        <w:t>Vocalelli</w:t>
      </w:r>
      <w:proofErr w:type="spellEnd"/>
      <w:r>
        <w:t>, 2017). This depends on circular product design, and IKEA’s target of making all products from renewable and recycled materials and designing them to be reused and refurbished by 2030 is the enabling condition (IKEA, 2024). The concept is not speculative: IKEA has trialled furniture leasing since 2019 and ran a business-to-business version in several European markets (IKEA, 2019). The principal risk is fit, since a poorly executed extension can damage the parent brand, so the range must remain unmistakably ‘IKEA’ in design and price (Aaker and Keller, 1990; Jain, 2024). Modularity and standardised components are therefore commercial necessities as much as design choices, since they make repair, part-replacement and refurbishment economic at scale.</w:t>
      </w:r>
    </w:p>
    <w:p w14:paraId="1F0A3DA9" w14:textId="77777777" w:rsidR="00EA57A8" w:rsidRDefault="00000000">
      <w:pPr>
        <w:spacing w:after="200"/>
        <w:jc w:val="both"/>
      </w:pPr>
      <w:r>
        <w:rPr>
          <w:b/>
          <w:bCs/>
        </w:rPr>
        <w:t xml:space="preserve">Price. </w:t>
      </w:r>
      <w:r>
        <w:t xml:space="preserve">Pricing moves from a one-off transaction to a recurring monthly subscription, improving customer lifetime value and smoothing revenue. Subscription economics also introduce a cannibalisation risk that must be modelled explicitly: if existing buyers migrate to rental, short-term revenue per item may fall even as lifetime value rises, so pricing and target segment must be set to grow the market rather than merely reprice it (Simon-Kucher, 2024). Evidence that consumers will pay a 9.7% sustainability premium supports a modest uplift (PwC, 2024), yet the value–action gap cautions against over-pricing: the offer must read as cheaper or more flexible than ownership </w:t>
      </w:r>
      <w:r>
        <w:lastRenderedPageBreak/>
        <w:t>over the relevant horizon, or the environmentally engaged but price-sensitive target will defect (Simon-Kucher, 2024). Transparent tiered pricing — shorter leases for students, longer terms for professionals — matches the behavioural segmentation and counters the perception that ‘green’ simply means ‘expensive’.</w:t>
      </w:r>
    </w:p>
    <w:p w14:paraId="66EC3E7B" w14:textId="77777777" w:rsidR="00EA57A8" w:rsidRDefault="00000000">
      <w:pPr>
        <w:spacing w:after="200"/>
        <w:jc w:val="both"/>
      </w:pPr>
      <w:r>
        <w:rPr>
          <w:b/>
          <w:bCs/>
        </w:rPr>
        <w:t xml:space="preserve">Place. </w:t>
      </w:r>
      <w:r>
        <w:t>Distribution combines IKEA’s large-format stores, e-commerce and, critically, a reverse-logistics network to collect, inspect and redistribute returned items. The existing estate of more than 480 stores across 63 markets provides collection and refurbishment nodes that pure-play rental rivals cannot easily replicate (Marquis, 2025). The proximity of refurbishment capacity to demand determines whether the model is genuinely circular or merely relocates waste, a point developed under process. Distribution is not environmentally neutral, however: last-mile collection, transport and warehousing generate emissions that can erode the circular benefit, so route density and local refurbishment matter as much as store coverage, and the IKEA app would carry the subscription relationship by scheduling collections and returns.</w:t>
      </w:r>
    </w:p>
    <w:p w14:paraId="1025D678" w14:textId="77777777" w:rsidR="00EA57A8" w:rsidRDefault="00000000">
      <w:pPr>
        <w:spacing w:after="200"/>
        <w:jc w:val="both"/>
      </w:pPr>
      <w:r>
        <w:rPr>
          <w:b/>
          <w:bCs/>
        </w:rPr>
        <w:t xml:space="preserve">Promotion. </w:t>
      </w:r>
      <w:r>
        <w:t>Communication is the highest-risk element. Consumers increasingly interrogate green claims — Simon-Kucher (2024) reports that around 70% research such claims before buying, rising to roughly 80% where greenwashing is suspected — and only a minority trust brand sustainability messaging. Promotion must therefore be evidence-led, citing measurable outcomes such as products kept in use and materials recovered, rather than vague ‘eco’ language. It is also a compliance matter: the European Union’s Empowering Consumers for the Green Transition Directive, applicable from September 2026, prohibits generic environmental claims and offset-based ‘climate-neutral’ product claims (European Union, 2024), and although the more far-reaching Green Claims Directive stalled in 2025, the substantiation bar is rising regardless (Latham and Watkins, 2025). Specific, substantiated messaging is thus simultaneously a trust strategy and a legal necessity. Framing matters too: leading with concrete customer benefits — flexibility, affordability and convenience — while treating sustainability as a reinforcing message is more likely to convert the price-sensitive target than moral appeals alone.</w:t>
      </w:r>
    </w:p>
    <w:p w14:paraId="16A16EA5" w14:textId="77777777" w:rsidR="00EA57A8" w:rsidRDefault="00000000">
      <w:pPr>
        <w:spacing w:after="200"/>
        <w:jc w:val="both"/>
      </w:pPr>
      <w:r>
        <w:rPr>
          <w:b/>
          <w:bCs/>
        </w:rPr>
        <w:t xml:space="preserve">People. </w:t>
      </w:r>
      <w:r>
        <w:t xml:space="preserve">In a service, front-line and refurbishment staff co-produce the experience (Booms and Bitner, 1981). Employees who assess condition, repair items and advise subscribers directly shape perceived quality and credibility, so investment in training </w:t>
      </w:r>
      <w:r>
        <w:lastRenderedPageBreak/>
        <w:t>and in internal engagement with the circular mission is essential; weak execution here is a common reason product-service systems fail to deliver either satisfaction or environmental benefit.</w:t>
      </w:r>
    </w:p>
    <w:p w14:paraId="4A1E7A7F" w14:textId="77777777" w:rsidR="00EA57A8" w:rsidRDefault="00000000">
      <w:pPr>
        <w:spacing w:after="200"/>
        <w:jc w:val="both"/>
      </w:pPr>
      <w:r>
        <w:rPr>
          <w:b/>
          <w:bCs/>
        </w:rPr>
        <w:t xml:space="preserve">Process. </w:t>
      </w:r>
      <w:r>
        <w:t xml:space="preserve">Process is the element on which the sustainability </w:t>
      </w:r>
      <w:proofErr w:type="gramStart"/>
      <w:r>
        <w:t>claim</w:t>
      </w:r>
      <w:proofErr w:type="gramEnd"/>
      <w:r>
        <w:t xml:space="preserve"> ultimately rests. A credible loop requires efficient collection, cleaning, repair, condition-grading and re-rental, with routing to recycling only at genuine end of life. Digital tracking of each item’s condition, repairs and cycles would optimise the loop and generate the verifiable data that substantiated promotion and forthcoming regulation now require. Analysts caution that not every product-as-a-service model is circular; if refurbishment, transport and storage emissions exceed the impact of ownership, the environmental benefit is illusory (Trellis, 2026). Lifecycle impact must therefore be measured and reported, or the extension risks the credibility problem that has met other </w:t>
      </w:r>
      <w:proofErr w:type="gramStart"/>
      <w:r>
        <w:t>brands’</w:t>
      </w:r>
      <w:proofErr w:type="gramEnd"/>
      <w:r>
        <w:t xml:space="preserve"> contested sustainability accounting, such as the debate over LEGO’s ‘mass-balance’ materials claims (Wenzel, 2024).</w:t>
      </w:r>
    </w:p>
    <w:p w14:paraId="0E4E29B7" w14:textId="77777777" w:rsidR="00EA57A8" w:rsidRDefault="00000000">
      <w:pPr>
        <w:spacing w:after="200"/>
        <w:jc w:val="both"/>
      </w:pPr>
      <w:r>
        <w:rPr>
          <w:b/>
          <w:bCs/>
        </w:rPr>
        <w:t xml:space="preserve">Physical evidence. </w:t>
      </w:r>
      <w:r>
        <w:t>Because a service is intangible, tangible cues signal quality: refurbished items delivered in visibly excellent condition, transparent condition grades, recyclable packaging, a well-designed app that shows each item’s environmental ‘</w:t>
      </w:r>
      <w:proofErr w:type="gramStart"/>
      <w:r>
        <w:t>savings’, and</w:t>
      </w:r>
      <w:proofErr w:type="gramEnd"/>
      <w:r>
        <w:t xml:space="preserve"> dedicated circular zones in store. Such cues reduce perceived risk and make the abstract promise of circularity concrete.</w:t>
      </w:r>
    </w:p>
    <w:p w14:paraId="67A30135" w14:textId="77777777" w:rsidR="00EA57A8" w:rsidRDefault="00000000">
      <w:pPr>
        <w:spacing w:after="200"/>
        <w:jc w:val="both"/>
      </w:pPr>
      <w:r>
        <w:t>Taken together the seven elements are mutually reinforcing: circular design enables subscription pricing, which relies on reverse logistics and process integrity, delivered by trained people and made believable through substantiated promotion and tangible evidence. The mix is coherent only while process integrity is maintained; without it, the strategy collapses into greenwashing and the credibility advantage of extending the IKEA brand is lost. The mix therefore also exposes the proposal’s central limitation: its environmental credibility is wholly contingent on operational execution, and the very reverse-logistics network that makes the model circular could, if poorly run, render it neither profitable nor genuinely sustainable.</w:t>
      </w:r>
    </w:p>
    <w:p w14:paraId="73724324" w14:textId="77777777" w:rsidR="00EA57A8" w:rsidRDefault="00000000">
      <w:pPr>
        <w:pStyle w:val="Heading1"/>
      </w:pPr>
      <w:bookmarkStart w:id="4" w:name="_Toc237605942"/>
      <w:r>
        <w:lastRenderedPageBreak/>
        <w:t>Element 4: Reflection</w:t>
      </w:r>
      <w:bookmarkEnd w:id="4"/>
    </w:p>
    <w:p w14:paraId="0186A3B5" w14:textId="77777777" w:rsidR="00EA57A8" w:rsidRDefault="00000000">
      <w:pPr>
        <w:spacing w:after="200"/>
        <w:jc w:val="both"/>
      </w:pPr>
      <w:r>
        <w:t>This reflection follows Gibbs’ (1988) reflective cycle — description, feelings, evaluation, analysis, conclusion and action plan — which itself builds on Kolb’s (1984) theory that knowledge is created by transforming experience.</w:t>
      </w:r>
    </w:p>
    <w:p w14:paraId="25431253" w14:textId="77777777" w:rsidR="00EA57A8" w:rsidRDefault="00000000">
      <w:pPr>
        <w:spacing w:after="200"/>
        <w:jc w:val="both"/>
      </w:pPr>
      <w:r>
        <w:rPr>
          <w:b/>
          <w:bCs/>
        </w:rPr>
        <w:t xml:space="preserve">Description. </w:t>
      </w:r>
      <w:r>
        <w:t>I acted as a marketing consultant to develop and pitch a sustainable brand extension, producing a poster, preparing a short presentation and building the supporting segmentation, positioning and marketing-mix analysis.</w:t>
      </w:r>
    </w:p>
    <w:p w14:paraId="1922BD24" w14:textId="77777777" w:rsidR="00EA57A8" w:rsidRDefault="00000000">
      <w:pPr>
        <w:spacing w:after="200"/>
        <w:jc w:val="both"/>
      </w:pPr>
      <w:r>
        <w:rPr>
          <w:b/>
          <w:bCs/>
        </w:rPr>
        <w:t xml:space="preserve">Feelings. </w:t>
      </w:r>
      <w:r>
        <w:t>At the outset I felt uncertain, particularly about choosing a defensible extension and about presenting persuasively to an imagined audience of investors and customers. As the evidence base grew my confidence increased, although condensing a complex strategy into a three-minute poster remained daunting.</w:t>
      </w:r>
    </w:p>
    <w:p w14:paraId="64BEDBE4" w14:textId="77777777" w:rsidR="00EA57A8" w:rsidRDefault="00000000">
      <w:pPr>
        <w:spacing w:after="200"/>
        <w:jc w:val="both"/>
      </w:pPr>
      <w:r>
        <w:rPr>
          <w:b/>
          <w:bCs/>
        </w:rPr>
        <w:t xml:space="preserve">Evaluation. </w:t>
      </w:r>
      <w:r>
        <w:t>The strongest part of the process was integrating real market evidence — willingness-to-pay data, market forecasts and IKEA’s own circular targets — into a single coherent argument. The weakest was time management: I underestimated how long reconciling conflicting sources would take, and my first poster draft carried far too much text for a visual medium.</w:t>
      </w:r>
    </w:p>
    <w:p w14:paraId="090698CE" w14:textId="77777777" w:rsidR="00EA57A8" w:rsidRDefault="00000000">
      <w:pPr>
        <w:spacing w:after="200"/>
        <w:jc w:val="both"/>
      </w:pPr>
      <w:r>
        <w:rPr>
          <w:b/>
          <w:bCs/>
        </w:rPr>
        <w:t xml:space="preserve">Analysis. </w:t>
      </w:r>
      <w:r>
        <w:t>Reflecting more deeply, the poster taught me that persuasive communication is a distinct skill from analytical writing; an audience needs one clear visual message, whereas my instinct was to include every argument. The research also changed my thinking. I began by assuming that consumer enthusiasm for sustainability would guarantee demand, but evidence on the value–action gap (Simon-Kucher, 2024) and on greenwashing scepticism (Hesse et al., 2022) forced a more critical and balanced position. That shift from advocacy towards evaluation is precisely the higher-order thinking expected at postgraduate level, and it improved the quality of my recommendations. Working within a strict word limit was itself instructive, forcing me to prioritise the most decision-relevant evidence and to cut interesting but peripheral material.</w:t>
      </w:r>
    </w:p>
    <w:p w14:paraId="5D20BFE5" w14:textId="77777777" w:rsidR="00EA57A8" w:rsidRDefault="00000000">
      <w:pPr>
        <w:spacing w:after="200"/>
        <w:jc w:val="both"/>
      </w:pPr>
      <w:r>
        <w:rPr>
          <w:b/>
          <w:bCs/>
        </w:rPr>
        <w:t xml:space="preserve">Conclusion. </w:t>
      </w:r>
      <w:r>
        <w:t xml:space="preserve">I learned that a strong marketing strategy depends less on an attractive idea than on evidence, internal coherence and credibility, and that critical scepticism strengthens rather than weakens a proposal. I also recognised a limitation of Gibbs’ model itself, which centres on the practitioner’s own perspective and can drift towards </w:t>
      </w:r>
      <w:r>
        <w:lastRenderedPageBreak/>
        <w:t>description, so I deliberately pushed the analysis stage towards evaluation (Rolfe, Jasper and Freshwater, 2011).</w:t>
      </w:r>
    </w:p>
    <w:p w14:paraId="4C6EA2B6" w14:textId="77777777" w:rsidR="00EA57A8" w:rsidRDefault="00000000">
      <w:pPr>
        <w:spacing w:after="200"/>
        <w:jc w:val="both"/>
      </w:pPr>
      <w:r>
        <w:rPr>
          <w:b/>
          <w:bCs/>
        </w:rPr>
        <w:t xml:space="preserve">Action plan. </w:t>
      </w:r>
      <w:r>
        <w:t xml:space="preserve">In future projects I will storyboard visual deliverables before writing, allocate more time to reconciling contradictory sources, and rehearse presentations against a strict time limit. I will also continue to test my assumptions against </w:t>
      </w:r>
      <w:proofErr w:type="gramStart"/>
      <w:r>
        <w:t>counter-evidence</w:t>
      </w:r>
      <w:proofErr w:type="gramEnd"/>
      <w:r>
        <w:t xml:space="preserve"> rather than seeking only confirming data. Collectively, these developments in research, critical analysis, visual communication and self-management transfer directly to professional marketing practice, where persuasive, evidence-based and ethically defensible recommendations are essential.</w:t>
      </w:r>
    </w:p>
    <w:p w14:paraId="4B64F6E2" w14:textId="77777777" w:rsidR="00EA57A8" w:rsidRDefault="00000000">
      <w:pPr>
        <w:pStyle w:val="Heading1"/>
      </w:pPr>
      <w:bookmarkStart w:id="5" w:name="_Toc237605943"/>
      <w:r>
        <w:t>References</w:t>
      </w:r>
      <w:bookmarkEnd w:id="5"/>
    </w:p>
    <w:p w14:paraId="7B6022FA" w14:textId="77777777" w:rsidR="00EA57A8" w:rsidRDefault="00000000">
      <w:pPr>
        <w:spacing w:after="160"/>
        <w:ind w:left="720" w:hanging="720"/>
      </w:pPr>
      <w:r>
        <w:rPr>
          <w:i/>
          <w:iCs/>
        </w:rPr>
        <w:t xml:space="preserve">Aaker, D.A. and Keller, K.L. (1990) ‘Consumer evaluations of brand extensions’, Journal of Marketing, </w:t>
      </w:r>
      <w:r>
        <w:t>54(1), pp. 27–41.</w:t>
      </w:r>
    </w:p>
    <w:p w14:paraId="322AB9B9" w14:textId="77777777" w:rsidR="00EA57A8" w:rsidRDefault="00000000">
      <w:pPr>
        <w:spacing w:after="160"/>
        <w:ind w:left="720" w:hanging="720"/>
      </w:pPr>
      <w:r>
        <w:t xml:space="preserve">Armstrong, G., Balasubramanian, S. and Kotler, P. (2023) </w:t>
      </w:r>
      <w:r>
        <w:rPr>
          <w:i/>
          <w:iCs/>
        </w:rPr>
        <w:t xml:space="preserve">Principles of Marketing. </w:t>
      </w:r>
      <w:r>
        <w:t xml:space="preserve">19th </w:t>
      </w:r>
      <w:proofErr w:type="spellStart"/>
      <w:r>
        <w:t>edn</w:t>
      </w:r>
      <w:proofErr w:type="spellEnd"/>
      <w:r>
        <w:t>. Harlow: Pearson.</w:t>
      </w:r>
    </w:p>
    <w:p w14:paraId="2C23AD13" w14:textId="77777777" w:rsidR="00EA57A8" w:rsidRDefault="00000000">
      <w:pPr>
        <w:spacing w:after="160"/>
        <w:ind w:left="720" w:hanging="720"/>
      </w:pPr>
      <w:r>
        <w:t xml:space="preserve">Booms, B.H. and Bitner, M.J. (1981) ‘Marketing strategies and organisation structures for service firms’, in Donnelly, J.H. and George, W.R. (eds.) </w:t>
      </w:r>
      <w:r>
        <w:rPr>
          <w:i/>
          <w:iCs/>
        </w:rPr>
        <w:t xml:space="preserve">Marketing of Services. </w:t>
      </w:r>
      <w:r>
        <w:t>Chicago: American Marketing Association, pp. 47–51.</w:t>
      </w:r>
    </w:p>
    <w:p w14:paraId="6FB37496" w14:textId="77777777" w:rsidR="00EA57A8" w:rsidRDefault="00000000">
      <w:pPr>
        <w:spacing w:after="160"/>
        <w:ind w:left="720" w:hanging="720"/>
      </w:pPr>
      <w:r>
        <w:t xml:space="preserve">Dangelico, R.M. and </w:t>
      </w:r>
      <w:proofErr w:type="spellStart"/>
      <w:r>
        <w:t>Vocalelli</w:t>
      </w:r>
      <w:proofErr w:type="spellEnd"/>
      <w:r>
        <w:t xml:space="preserve">, D. (2017) ‘“Green marketing”: an analysis of definitions, strategy steps, and tools through a systematic review of the literature’, </w:t>
      </w:r>
      <w:r>
        <w:rPr>
          <w:i/>
          <w:iCs/>
        </w:rPr>
        <w:t xml:space="preserve">Journal of Cleaner Production, </w:t>
      </w:r>
      <w:r>
        <w:t>165, pp. 1263–1279.</w:t>
      </w:r>
    </w:p>
    <w:p w14:paraId="528C91A8" w14:textId="77777777" w:rsidR="00EA57A8" w:rsidRDefault="00000000">
      <w:pPr>
        <w:spacing w:after="160"/>
        <w:ind w:left="720" w:hanging="720"/>
      </w:pPr>
      <w:r>
        <w:t xml:space="preserve">European Union (2024) </w:t>
      </w:r>
      <w:r>
        <w:rPr>
          <w:i/>
          <w:iCs/>
        </w:rPr>
        <w:t xml:space="preserve">Directive (EU) 2024/825 of the European Parliament and of the Council of 28 February 2024 … as regards empowering consumers for the green transition. </w:t>
      </w:r>
      <w:r>
        <w:t>Available at: https://eur-lex.europa.eu/eli/dir/2024/825/oj (Accessed: 29 July 2026).</w:t>
      </w:r>
    </w:p>
    <w:p w14:paraId="75BCBAE9" w14:textId="77777777" w:rsidR="00EA57A8" w:rsidRDefault="00000000">
      <w:pPr>
        <w:spacing w:after="160"/>
        <w:ind w:left="720" w:hanging="720"/>
      </w:pPr>
      <w:r>
        <w:t xml:space="preserve">Fortune Business Insights (2025) </w:t>
      </w:r>
      <w:r>
        <w:rPr>
          <w:i/>
          <w:iCs/>
        </w:rPr>
        <w:t xml:space="preserve">Furniture Rental Service Market Size, Share &amp; COVID-19 Impact Analysis, 2025–2032. </w:t>
      </w:r>
      <w:r>
        <w:t>Available at: https://www.fortunebusinessinsights.com/furniture-rental-service-market-106643 (Accessed: 29 July 2026).</w:t>
      </w:r>
    </w:p>
    <w:p w14:paraId="645B7786" w14:textId="77777777" w:rsidR="00EA57A8" w:rsidRDefault="00000000">
      <w:pPr>
        <w:spacing w:after="160"/>
        <w:ind w:left="720" w:hanging="720"/>
      </w:pPr>
      <w:r>
        <w:lastRenderedPageBreak/>
        <w:t xml:space="preserve">Future Market Insights (2025) </w:t>
      </w:r>
      <w:r>
        <w:rPr>
          <w:i/>
          <w:iCs/>
        </w:rPr>
        <w:t xml:space="preserve">Furniture Rental Market Size, Growth Trends &amp; Forecast to 2035. </w:t>
      </w:r>
      <w:r>
        <w:t>Available at: https://www.futuremarketinsights.com/reports/furniture-rental-market (Accessed: 29 July 2026).</w:t>
      </w:r>
    </w:p>
    <w:p w14:paraId="24054BB0" w14:textId="77777777" w:rsidR="00EA57A8" w:rsidRDefault="00000000">
      <w:pPr>
        <w:spacing w:after="160"/>
        <w:ind w:left="720" w:hanging="720"/>
      </w:pPr>
      <w:r>
        <w:t xml:space="preserve">Gibbs, G. (1988) </w:t>
      </w:r>
      <w:r>
        <w:rPr>
          <w:i/>
          <w:iCs/>
        </w:rPr>
        <w:t xml:space="preserve">Learning by Doing: A Guide to Teaching and Learning Methods. </w:t>
      </w:r>
      <w:r>
        <w:t>Oxford: Further Education Unit, Oxford Polytechnic.</w:t>
      </w:r>
    </w:p>
    <w:p w14:paraId="7A356A03" w14:textId="77777777" w:rsidR="00EA57A8" w:rsidRDefault="00000000">
      <w:pPr>
        <w:spacing w:after="160"/>
        <w:ind w:left="720" w:hanging="720"/>
      </w:pPr>
      <w:r>
        <w:t xml:space="preserve">Goi, C.L. (2009) ‘A review of marketing mix: 4Ps or more?’, </w:t>
      </w:r>
      <w:r>
        <w:rPr>
          <w:i/>
          <w:iCs/>
        </w:rPr>
        <w:t xml:space="preserve">International Journal of Marketing Studies, </w:t>
      </w:r>
      <w:r>
        <w:t>1(1), pp. 2–15.</w:t>
      </w:r>
    </w:p>
    <w:p w14:paraId="6E30F571" w14:textId="77777777" w:rsidR="00EA57A8" w:rsidRDefault="00000000">
      <w:pPr>
        <w:spacing w:after="160"/>
        <w:ind w:left="720" w:hanging="720"/>
      </w:pPr>
      <w:r>
        <w:t xml:space="preserve">Grand View Research (2024) </w:t>
      </w:r>
      <w:r>
        <w:rPr>
          <w:i/>
          <w:iCs/>
        </w:rPr>
        <w:t xml:space="preserve">Second-hand Furniture Market Size, Share &amp; Trends Analysis Report, 2024–2030. </w:t>
      </w:r>
      <w:r>
        <w:t>Available at: https://www.grandviewresearch.com/industry-analysis/second-hand-furniture-market-report (Accessed: 29 July 2026).</w:t>
      </w:r>
    </w:p>
    <w:p w14:paraId="6744CFBB" w14:textId="77777777" w:rsidR="00EA57A8" w:rsidRDefault="00000000">
      <w:pPr>
        <w:spacing w:after="160"/>
        <w:ind w:left="720" w:hanging="720"/>
      </w:pPr>
      <w:r>
        <w:t xml:space="preserve">Grönroos, C. (1994) ‘From marketing mix to relationship marketing: towards a paradigm shift in marketing’, </w:t>
      </w:r>
      <w:r>
        <w:rPr>
          <w:i/>
          <w:iCs/>
        </w:rPr>
        <w:t xml:space="preserve">Asia-Australia Marketing Journal, </w:t>
      </w:r>
      <w:r>
        <w:t>2(1), pp. 9–29.</w:t>
      </w:r>
    </w:p>
    <w:p w14:paraId="55E2377D" w14:textId="77777777" w:rsidR="00EA57A8" w:rsidRDefault="00000000">
      <w:pPr>
        <w:spacing w:after="160"/>
        <w:ind w:left="720" w:hanging="720"/>
      </w:pPr>
      <w:r>
        <w:t xml:space="preserve">Hesse, A., </w:t>
      </w:r>
      <w:proofErr w:type="spellStart"/>
      <w:r>
        <w:t>Bündgen</w:t>
      </w:r>
      <w:proofErr w:type="spellEnd"/>
      <w:r>
        <w:t xml:space="preserve">, K., Claren, S. and Frank, S. (2022) ‘Practices of brand extensions and how consumers respond to FMCG giants’ greening attempts’, </w:t>
      </w:r>
      <w:r>
        <w:rPr>
          <w:i/>
          <w:iCs/>
        </w:rPr>
        <w:t xml:space="preserve">Journal of Brand Management. </w:t>
      </w:r>
      <w:r>
        <w:t>doi:10.1057/s41262-022-00274-w.</w:t>
      </w:r>
    </w:p>
    <w:p w14:paraId="6277883B" w14:textId="77777777" w:rsidR="00EA57A8" w:rsidRDefault="00000000">
      <w:pPr>
        <w:spacing w:after="160"/>
        <w:ind w:left="720" w:hanging="720"/>
      </w:pPr>
      <w:r>
        <w:t xml:space="preserve">Hill, J. and Lee, H. (2015) ‘Sustainable brand extensions of fast fashion retailers’, </w:t>
      </w:r>
      <w:r>
        <w:rPr>
          <w:i/>
          <w:iCs/>
        </w:rPr>
        <w:t xml:space="preserve">Journal of Fashion Marketing and Management, </w:t>
      </w:r>
      <w:r>
        <w:t>19(2), pp. 205–222.</w:t>
      </w:r>
    </w:p>
    <w:p w14:paraId="1EB226C3" w14:textId="77777777" w:rsidR="00EA57A8" w:rsidRDefault="00000000">
      <w:pPr>
        <w:spacing w:after="160"/>
        <w:ind w:left="720" w:hanging="720"/>
      </w:pPr>
      <w:r>
        <w:t xml:space="preserve">IKEA (2019) </w:t>
      </w:r>
      <w:r>
        <w:rPr>
          <w:i/>
          <w:iCs/>
        </w:rPr>
        <w:t xml:space="preserve">IKEA to test furniture leasing. </w:t>
      </w:r>
      <w:r>
        <w:t>Newsroom. Available at: https://www.ikea.com/us/en/newsroom/corporate-news/ (Accessed: 29 July 2026).</w:t>
      </w:r>
    </w:p>
    <w:p w14:paraId="3385CCD3" w14:textId="77777777" w:rsidR="00EA57A8" w:rsidRDefault="00000000">
      <w:pPr>
        <w:spacing w:after="160"/>
        <w:ind w:left="720" w:hanging="720"/>
      </w:pPr>
      <w:r>
        <w:t xml:space="preserve">IKEA (2024) </w:t>
      </w:r>
      <w:r>
        <w:rPr>
          <w:i/>
          <w:iCs/>
        </w:rPr>
        <w:t xml:space="preserve">Transitioning towards a circular business. </w:t>
      </w:r>
      <w:r>
        <w:t>Available at: https://www.ikea.com/ (Accessed: 29 July 2026).</w:t>
      </w:r>
    </w:p>
    <w:p w14:paraId="2F0F8728" w14:textId="77777777" w:rsidR="00EA57A8" w:rsidRDefault="00000000">
      <w:pPr>
        <w:spacing w:after="160"/>
        <w:ind w:left="720" w:hanging="720"/>
      </w:pPr>
      <w:r>
        <w:t xml:space="preserve">Jain, D. (2024) ‘Brand extension failure and parent brand penalty: the role of implicit theories’, </w:t>
      </w:r>
      <w:r>
        <w:rPr>
          <w:i/>
          <w:iCs/>
        </w:rPr>
        <w:t xml:space="preserve">Journal of Consumer Psychology, </w:t>
      </w:r>
      <w:r>
        <w:t>34(1), pp. 49–65. doi:10.1002/jcpy.1343.</w:t>
      </w:r>
    </w:p>
    <w:p w14:paraId="01C0CE78" w14:textId="77777777" w:rsidR="00EA57A8" w:rsidRDefault="00000000">
      <w:pPr>
        <w:spacing w:after="160"/>
        <w:ind w:left="720" w:hanging="720"/>
      </w:pPr>
      <w:r>
        <w:t xml:space="preserve">Kolb, D.A. (1984) </w:t>
      </w:r>
      <w:r>
        <w:rPr>
          <w:i/>
          <w:iCs/>
        </w:rPr>
        <w:t xml:space="preserve">Experiential Learning: Experience as the Source of Learning and Development. </w:t>
      </w:r>
      <w:r>
        <w:t>Englewood Cliffs, NJ: Prentice-Hall.</w:t>
      </w:r>
    </w:p>
    <w:p w14:paraId="5CBD8944" w14:textId="77777777" w:rsidR="00EA57A8" w:rsidRDefault="00000000">
      <w:pPr>
        <w:spacing w:after="160"/>
        <w:ind w:left="720" w:hanging="720"/>
      </w:pPr>
      <w:r>
        <w:lastRenderedPageBreak/>
        <w:t xml:space="preserve">Latham and Watkins (2025) </w:t>
      </w:r>
      <w:r>
        <w:rPr>
          <w:i/>
          <w:iCs/>
        </w:rPr>
        <w:t xml:space="preserve">European Commission announces intention to withdraw EU Green Claims Directive proposal. </w:t>
      </w:r>
      <w:r>
        <w:t>Available at: https://www.lw.com/en/insights/european-commission-announces-intention-to-withdraw-eu-green-claims-directive-proposal (Accessed: 29 July 2026).</w:t>
      </w:r>
    </w:p>
    <w:p w14:paraId="6E47CDF8" w14:textId="77777777" w:rsidR="00EA57A8" w:rsidRDefault="00000000">
      <w:pPr>
        <w:spacing w:after="160"/>
        <w:ind w:left="720" w:hanging="720"/>
      </w:pPr>
      <w:r>
        <w:t xml:space="preserve">Marquis, C. (2025) ‘IKEA’s circular economy: redefining sustainability in the furniture industry’, </w:t>
      </w:r>
      <w:r>
        <w:rPr>
          <w:i/>
          <w:iCs/>
        </w:rPr>
        <w:t xml:space="preserve">Forbes, </w:t>
      </w:r>
      <w:r>
        <w:t>14 January. Available at: https://www.forbes.com/ (Accessed: 29 July 2026).</w:t>
      </w:r>
    </w:p>
    <w:p w14:paraId="53B592E3" w14:textId="77777777" w:rsidR="00EA57A8" w:rsidRDefault="00000000">
      <w:pPr>
        <w:spacing w:after="160"/>
        <w:ind w:left="720" w:hanging="720"/>
      </w:pPr>
      <w:r>
        <w:t xml:space="preserve">Peng, C., </w:t>
      </w:r>
      <w:proofErr w:type="spellStart"/>
      <w:r>
        <w:t>Bijmolt</w:t>
      </w:r>
      <w:proofErr w:type="spellEnd"/>
      <w:r>
        <w:t xml:space="preserve">, T.H.A., </w:t>
      </w:r>
      <w:proofErr w:type="spellStart"/>
      <w:r>
        <w:t>Völckner</w:t>
      </w:r>
      <w:proofErr w:type="spellEnd"/>
      <w:r>
        <w:t xml:space="preserve">, F. and Zhao, H. (2023) ‘A meta-analysis of brand extension success: the effects of parent brand equity and extension fit’, </w:t>
      </w:r>
      <w:r>
        <w:rPr>
          <w:i/>
          <w:iCs/>
        </w:rPr>
        <w:t xml:space="preserve">Journal of Marketing. </w:t>
      </w:r>
      <w:r>
        <w:t>doi:10.1177/00222429231164654.</w:t>
      </w:r>
    </w:p>
    <w:p w14:paraId="77D0E89A" w14:textId="77777777" w:rsidR="00EA57A8" w:rsidRDefault="00000000">
      <w:pPr>
        <w:spacing w:after="160"/>
        <w:ind w:left="720" w:hanging="720"/>
      </w:pPr>
      <w:r>
        <w:t xml:space="preserve">PwC (2024) </w:t>
      </w:r>
      <w:r>
        <w:rPr>
          <w:i/>
          <w:iCs/>
        </w:rPr>
        <w:t xml:space="preserve">Voice of the Consumer Survey 2024. </w:t>
      </w:r>
      <w:r>
        <w:t>Available at: https://www.pwc.com/gx/en/news-room/press-releases/2024/pwc-2024-voice-of-consumer-survey.html (Accessed: 29 July 2026).</w:t>
      </w:r>
    </w:p>
    <w:p w14:paraId="2478497E" w14:textId="77777777" w:rsidR="00EA57A8" w:rsidRDefault="00000000">
      <w:pPr>
        <w:spacing w:after="160"/>
        <w:ind w:left="720" w:hanging="720"/>
      </w:pPr>
      <w:r>
        <w:t xml:space="preserve">Rolfe, G., Jasper, M. and Freshwater, D. (2011) </w:t>
      </w:r>
      <w:r>
        <w:rPr>
          <w:i/>
          <w:iCs/>
        </w:rPr>
        <w:t xml:space="preserve">Critical Reflection in Practice: Generating Knowledge for Care. </w:t>
      </w:r>
      <w:r>
        <w:t xml:space="preserve">2nd </w:t>
      </w:r>
      <w:proofErr w:type="spellStart"/>
      <w:r>
        <w:t>edn</w:t>
      </w:r>
      <w:proofErr w:type="spellEnd"/>
      <w:r>
        <w:t>. Basingstoke: Palgrave Macmillan.</w:t>
      </w:r>
    </w:p>
    <w:p w14:paraId="35A82FD4" w14:textId="77777777" w:rsidR="00EA57A8" w:rsidRDefault="00000000">
      <w:pPr>
        <w:spacing w:after="160"/>
        <w:ind w:left="720" w:hanging="720"/>
      </w:pPr>
      <w:r>
        <w:t xml:space="preserve">Simon-Kucher (2024) </w:t>
      </w:r>
      <w:r>
        <w:rPr>
          <w:i/>
          <w:iCs/>
        </w:rPr>
        <w:t xml:space="preserve">Global Sustainability Study 2024. </w:t>
      </w:r>
      <w:r>
        <w:t>Available at: https://www.simon-kucher.com/en/insights/global-sustainability-study-2024 (Accessed: 29 July 2026).</w:t>
      </w:r>
    </w:p>
    <w:p w14:paraId="103FB5AE" w14:textId="77777777" w:rsidR="00EA57A8" w:rsidRDefault="00000000">
      <w:pPr>
        <w:spacing w:after="160"/>
        <w:ind w:left="720" w:hanging="720"/>
      </w:pPr>
      <w:r>
        <w:t xml:space="preserve">Trellis (2026) </w:t>
      </w:r>
      <w:r>
        <w:rPr>
          <w:i/>
          <w:iCs/>
        </w:rPr>
        <w:t xml:space="preserve">Furniture as a service — PaaS or fail? </w:t>
      </w:r>
      <w:r>
        <w:t>Available at: https://trellis.net/article/furniture-service-paas-or-fail/ (Accessed: 29 July 2026).</w:t>
      </w:r>
    </w:p>
    <w:p w14:paraId="772989A2" w14:textId="77777777" w:rsidR="00EA57A8" w:rsidRDefault="00000000">
      <w:pPr>
        <w:spacing w:after="160"/>
        <w:ind w:left="720" w:hanging="720"/>
      </w:pPr>
      <w:r>
        <w:t xml:space="preserve">Wenzel, E. (2024) ‘Lego’s sustainability shift draws questions, doubts’, </w:t>
      </w:r>
      <w:r>
        <w:rPr>
          <w:i/>
          <w:iCs/>
        </w:rPr>
        <w:t xml:space="preserve">Trellis, </w:t>
      </w:r>
      <w:r>
        <w:t>10 September. Available at: https://trellis.net/article/legos-sustainability-shift-draws-questions-doubts/ (Accessed: 29 July 2026).</w:t>
      </w:r>
    </w:p>
    <w:sectPr w:rsidR="00EA57A8">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000021" w14:textId="77777777" w:rsidR="00C10226" w:rsidRDefault="00C10226">
      <w:pPr>
        <w:spacing w:line="240" w:lineRule="auto"/>
      </w:pPr>
      <w:r>
        <w:separator/>
      </w:r>
    </w:p>
  </w:endnote>
  <w:endnote w:type="continuationSeparator" w:id="0">
    <w:p w14:paraId="63EADF84" w14:textId="77777777" w:rsidR="00C10226" w:rsidRDefault="00C102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Aptos">
    <w:altName w:val="Calibri"/>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29914" w14:textId="77777777" w:rsidR="00EA57A8" w:rsidRDefault="00000000">
    <w:pPr>
      <w:jc w:val="center"/>
    </w:pPr>
    <w:r>
      <w:rPr>
        <w:color w:val="777777"/>
        <w:sz w:val="20"/>
        <w:szCs w:val="20"/>
      </w:rPr>
      <w:fldChar w:fldCharType="begin"/>
    </w:r>
    <w:r>
      <w:rPr>
        <w:color w:val="777777"/>
        <w:sz w:val="20"/>
        <w:szCs w:val="20"/>
      </w:rPr>
      <w:instrText>PAGE</w:instrText>
    </w:r>
    <w:r>
      <w:rPr>
        <w:color w:val="777777"/>
        <w:sz w:val="20"/>
        <w:szCs w:val="20"/>
      </w:rPr>
      <w:fldChar w:fldCharType="separate"/>
    </w:r>
    <w:r w:rsidR="004A1E15">
      <w:rPr>
        <w:noProof/>
        <w:color w:val="777777"/>
        <w:sz w:val="20"/>
        <w:szCs w:val="20"/>
      </w:rPr>
      <w:t>1</w:t>
    </w:r>
    <w:r>
      <w:rPr>
        <w:color w:val="777777"/>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506F0" w14:textId="77777777" w:rsidR="00C10226" w:rsidRDefault="00C10226">
      <w:pPr>
        <w:spacing w:line="240" w:lineRule="auto"/>
      </w:pPr>
      <w:r>
        <w:separator/>
      </w:r>
    </w:p>
  </w:footnote>
  <w:footnote w:type="continuationSeparator" w:id="0">
    <w:p w14:paraId="5E54F249" w14:textId="77777777" w:rsidR="00C10226" w:rsidRDefault="00C102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5E17E0"/>
    <w:multiLevelType w:val="hybridMultilevel"/>
    <w:tmpl w:val="B34620CC"/>
    <w:lvl w:ilvl="0" w:tplc="7F2E861C">
      <w:start w:val="1"/>
      <w:numFmt w:val="bullet"/>
      <w:lvlText w:val="●"/>
      <w:lvlJc w:val="left"/>
      <w:pPr>
        <w:ind w:left="720" w:hanging="360"/>
      </w:pPr>
    </w:lvl>
    <w:lvl w:ilvl="1" w:tplc="546E6DFA">
      <w:start w:val="1"/>
      <w:numFmt w:val="bullet"/>
      <w:lvlText w:val="○"/>
      <w:lvlJc w:val="left"/>
      <w:pPr>
        <w:ind w:left="1440" w:hanging="360"/>
      </w:pPr>
    </w:lvl>
    <w:lvl w:ilvl="2" w:tplc="AC6E7980">
      <w:start w:val="1"/>
      <w:numFmt w:val="bullet"/>
      <w:lvlText w:val="■"/>
      <w:lvlJc w:val="left"/>
      <w:pPr>
        <w:ind w:left="2160" w:hanging="360"/>
      </w:pPr>
    </w:lvl>
    <w:lvl w:ilvl="3" w:tplc="9D346A5E">
      <w:start w:val="1"/>
      <w:numFmt w:val="bullet"/>
      <w:lvlText w:val="●"/>
      <w:lvlJc w:val="left"/>
      <w:pPr>
        <w:ind w:left="2880" w:hanging="360"/>
      </w:pPr>
    </w:lvl>
    <w:lvl w:ilvl="4" w:tplc="13DC2B8E">
      <w:start w:val="1"/>
      <w:numFmt w:val="bullet"/>
      <w:lvlText w:val="○"/>
      <w:lvlJc w:val="left"/>
      <w:pPr>
        <w:ind w:left="3600" w:hanging="360"/>
      </w:pPr>
    </w:lvl>
    <w:lvl w:ilvl="5" w:tplc="55480356">
      <w:start w:val="1"/>
      <w:numFmt w:val="bullet"/>
      <w:lvlText w:val="■"/>
      <w:lvlJc w:val="left"/>
      <w:pPr>
        <w:ind w:left="4320" w:hanging="360"/>
      </w:pPr>
    </w:lvl>
    <w:lvl w:ilvl="6" w:tplc="68D083E0">
      <w:start w:val="1"/>
      <w:numFmt w:val="bullet"/>
      <w:lvlText w:val="●"/>
      <w:lvlJc w:val="left"/>
      <w:pPr>
        <w:ind w:left="5040" w:hanging="360"/>
      </w:pPr>
    </w:lvl>
    <w:lvl w:ilvl="7" w:tplc="9EDC0BD0">
      <w:start w:val="1"/>
      <w:numFmt w:val="bullet"/>
      <w:lvlText w:val="●"/>
      <w:lvlJc w:val="left"/>
      <w:pPr>
        <w:ind w:left="5760" w:hanging="360"/>
      </w:pPr>
    </w:lvl>
    <w:lvl w:ilvl="8" w:tplc="698A542E">
      <w:start w:val="1"/>
      <w:numFmt w:val="bullet"/>
      <w:lvlText w:val="●"/>
      <w:lvlJc w:val="left"/>
      <w:pPr>
        <w:ind w:left="6480" w:hanging="360"/>
      </w:pPr>
    </w:lvl>
  </w:abstractNum>
  <w:num w:numId="1" w16cid:durableId="73401059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7A8"/>
    <w:rsid w:val="004A1E15"/>
    <w:rsid w:val="00C10226"/>
    <w:rsid w:val="00E40E63"/>
    <w:rsid w:val="00EA57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C29EC"/>
  <w15:docId w15:val="{348AF42A-CCA4-40F1-9596-53DD6A46C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keepNext/>
      <w:spacing w:before="320" w:after="160"/>
      <w:outlineLvl w:val="0"/>
    </w:pPr>
    <w:rPr>
      <w:b/>
      <w:bCs/>
      <w:color w:val="1A1A1A"/>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4A1E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3444</Words>
  <Characters>19631</Characters>
  <Application>Microsoft Office Word</Application>
  <DocSecurity>0</DocSecurity>
  <Lines>163</Lines>
  <Paragraphs>46</Paragraphs>
  <ScaleCrop>false</ScaleCrop>
  <Company/>
  <LinksUpToDate>false</LinksUpToDate>
  <CharactersWithSpaces>23029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Portfolio</dc:title>
  <dc:creator>Portfolio</dc:creator>
  <cp:lastModifiedBy>Karankumar Rameshbhai Chaudhary (2538332)</cp:lastModifiedBy>
  <cp:revision>2</cp:revision>
  <dcterms:created xsi:type="dcterms:W3CDTF">2026-08-14T12:24:00Z</dcterms:created>
  <dcterms:modified xsi:type="dcterms:W3CDTF">2026-08-14T12:24:00Z</dcterms:modified>
</cp:coreProperties>
</file>