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33D52E" w14:textId="71A8E42B" w:rsidR="00A046BD" w:rsidRDefault="00731975" w:rsidP="003278CF">
      <w:pPr>
        <w:spacing w:line="360" w:lineRule="auto"/>
        <w:jc w:val="both"/>
        <w:rPr>
          <w:rFonts w:ascii="Arial" w:hAnsi="Arial" w:cs="Arial"/>
          <w:sz w:val="22"/>
          <w:szCs w:val="22"/>
        </w:rPr>
      </w:pPr>
      <w:r>
        <w:rPr>
          <w:rFonts w:ascii="Arial" w:hAnsi="Arial" w:cs="Arial"/>
          <w:noProof/>
          <w:sz w:val="22"/>
          <w:szCs w:val="22"/>
        </w:rPr>
        <w:drawing>
          <wp:anchor distT="0" distB="0" distL="114300" distR="114300" simplePos="0" relativeHeight="251680768" behindDoc="0" locked="0" layoutInCell="1" allowOverlap="1" wp14:anchorId="05F148FF" wp14:editId="39865648">
            <wp:simplePos x="0" y="0"/>
            <wp:positionH relativeFrom="column">
              <wp:posOffset>0</wp:posOffset>
            </wp:positionH>
            <wp:positionV relativeFrom="paragraph">
              <wp:posOffset>341630</wp:posOffset>
            </wp:positionV>
            <wp:extent cx="5438140" cy="1329055"/>
            <wp:effectExtent l="0" t="0" r="0" b="0"/>
            <wp:wrapSquare wrapText="bothSides"/>
            <wp:docPr id="1730210640"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38140" cy="1329055"/>
                    </a:xfrm>
                    <a:prstGeom prst="rect">
                      <a:avLst/>
                    </a:prstGeom>
                    <a:noFill/>
                  </pic:spPr>
                </pic:pic>
              </a:graphicData>
            </a:graphic>
            <wp14:sizeRelH relativeFrom="page">
              <wp14:pctWidth>0</wp14:pctWidth>
            </wp14:sizeRelH>
            <wp14:sizeRelV relativeFrom="page">
              <wp14:pctHeight>0</wp14:pctHeight>
            </wp14:sizeRelV>
          </wp:anchor>
        </w:drawing>
      </w:r>
    </w:p>
    <w:p w14:paraId="3638C8C4" w14:textId="679E799E" w:rsidR="00DD7297" w:rsidRPr="00DD7297" w:rsidRDefault="00DD7297" w:rsidP="00B64383">
      <w:pPr>
        <w:spacing w:line="360" w:lineRule="auto"/>
        <w:jc w:val="center"/>
        <w:rPr>
          <w:rFonts w:ascii="Arial" w:hAnsi="Arial" w:cs="Arial"/>
          <w:sz w:val="22"/>
          <w:szCs w:val="22"/>
          <w:lang w:bidi="en-GB"/>
        </w:rPr>
      </w:pPr>
      <w:r w:rsidRPr="00DD7297">
        <w:rPr>
          <w:rFonts w:ascii="Arial" w:hAnsi="Arial" w:cs="Arial"/>
          <w:sz w:val="22"/>
          <w:szCs w:val="22"/>
          <w:lang w:bidi="en-GB"/>
        </w:rPr>
        <w:t xml:space="preserve">Institute of </w:t>
      </w:r>
      <w:r w:rsidR="00B64383" w:rsidRPr="00DD7297">
        <w:rPr>
          <w:rFonts w:ascii="Arial" w:hAnsi="Arial" w:cs="Arial"/>
          <w:sz w:val="22"/>
          <w:szCs w:val="22"/>
          <w:lang w:bidi="en-GB"/>
        </w:rPr>
        <w:t>Inner-City</w:t>
      </w:r>
      <w:r w:rsidRPr="00DD7297">
        <w:rPr>
          <w:rFonts w:ascii="Arial" w:hAnsi="Arial" w:cs="Arial"/>
          <w:sz w:val="22"/>
          <w:szCs w:val="22"/>
          <w:lang w:bidi="en-GB"/>
        </w:rPr>
        <w:t xml:space="preserve"> Learning</w:t>
      </w:r>
    </w:p>
    <w:p w14:paraId="38494C0F" w14:textId="77777777" w:rsidR="00DD7297" w:rsidRPr="00DD7297" w:rsidRDefault="00DD7297" w:rsidP="00B64383">
      <w:pPr>
        <w:spacing w:line="360" w:lineRule="auto"/>
        <w:jc w:val="center"/>
        <w:rPr>
          <w:rFonts w:ascii="Arial" w:hAnsi="Arial" w:cs="Arial"/>
          <w:sz w:val="22"/>
          <w:szCs w:val="22"/>
          <w:lang w:bidi="en-GB"/>
        </w:rPr>
      </w:pPr>
    </w:p>
    <w:p w14:paraId="6EF7A7CC" w14:textId="77777777" w:rsidR="00DD7297" w:rsidRPr="00DD7297" w:rsidRDefault="00DD7297" w:rsidP="00B64383">
      <w:pPr>
        <w:spacing w:line="360" w:lineRule="auto"/>
        <w:jc w:val="center"/>
        <w:rPr>
          <w:rFonts w:ascii="Arial" w:hAnsi="Arial" w:cs="Arial"/>
          <w:sz w:val="22"/>
          <w:szCs w:val="22"/>
          <w:lang w:bidi="en-GB"/>
        </w:rPr>
      </w:pPr>
    </w:p>
    <w:p w14:paraId="2DED40D6" w14:textId="77777777" w:rsidR="00DD7297" w:rsidRPr="00DD7297" w:rsidRDefault="00DD7297" w:rsidP="00B64383">
      <w:pPr>
        <w:spacing w:line="360" w:lineRule="auto"/>
        <w:jc w:val="center"/>
        <w:rPr>
          <w:rFonts w:ascii="Arial" w:hAnsi="Arial" w:cs="Arial"/>
          <w:sz w:val="22"/>
          <w:szCs w:val="22"/>
          <w:lang w:bidi="en-GB"/>
        </w:rPr>
      </w:pPr>
      <w:r w:rsidRPr="00DD7297">
        <w:rPr>
          <w:rFonts w:ascii="Arial" w:hAnsi="Arial" w:cs="Arial"/>
          <w:sz w:val="22"/>
          <w:szCs w:val="22"/>
          <w:lang w:bidi="en-GB"/>
        </w:rPr>
        <w:t xml:space="preserve">MSc Public Health and </w:t>
      </w:r>
      <w:r w:rsidRPr="00DD7297">
        <w:rPr>
          <w:rFonts w:ascii="Arial" w:hAnsi="Arial" w:cs="Arial"/>
          <w:sz w:val="22"/>
          <w:szCs w:val="22"/>
          <w:lang w:bidi="en-GB"/>
        </w:rPr>
        <w:br/>
        <w:t>Social Care in Practice</w:t>
      </w:r>
    </w:p>
    <w:p w14:paraId="01DD11CF" w14:textId="77777777" w:rsidR="00DD7297" w:rsidRPr="00DD7297" w:rsidRDefault="00DD7297" w:rsidP="00B64383">
      <w:pPr>
        <w:spacing w:line="360" w:lineRule="auto"/>
        <w:rPr>
          <w:rFonts w:ascii="Arial" w:hAnsi="Arial" w:cs="Arial"/>
          <w:sz w:val="22"/>
          <w:szCs w:val="22"/>
          <w:lang w:bidi="en-GB"/>
        </w:rPr>
      </w:pPr>
      <w:r w:rsidRPr="00DD7297">
        <w:rPr>
          <w:rFonts w:ascii="Arial" w:hAnsi="Arial" w:cs="Arial"/>
          <w:sz w:val="22"/>
          <w:szCs w:val="22"/>
          <w:lang w:bidi="en-GB"/>
        </w:rPr>
        <w:br/>
      </w:r>
    </w:p>
    <w:p w14:paraId="1900F14B" w14:textId="4C5816C1" w:rsidR="00DD7297" w:rsidRPr="00DD7297" w:rsidRDefault="002A0459" w:rsidP="0098251E">
      <w:pPr>
        <w:spacing w:line="360" w:lineRule="auto"/>
        <w:jc w:val="center"/>
        <w:rPr>
          <w:rFonts w:ascii="Arial" w:hAnsi="Arial" w:cs="Arial"/>
          <w:b/>
          <w:bCs/>
          <w:sz w:val="22"/>
          <w:szCs w:val="22"/>
          <w:lang w:bidi="en-GB"/>
        </w:rPr>
      </w:pPr>
      <w:bookmarkStart w:id="0" w:name="_Hlk131690384"/>
      <w:r w:rsidRPr="002A0459">
        <w:rPr>
          <w:rFonts w:ascii="Arial" w:hAnsi="Arial" w:cs="Arial"/>
          <w:b/>
          <w:bCs/>
          <w:sz w:val="22"/>
          <w:szCs w:val="22"/>
          <w:lang w:bidi="en-GB"/>
        </w:rPr>
        <w:t>Public Health and Social Care Barriers Influencing Adolescents' Access to Child and Adolescent Mental Health Services (CAMHS) in the United Kingdom: A Systematic Literature Review</w:t>
      </w:r>
    </w:p>
    <w:p w14:paraId="54357B7A" w14:textId="2B923937" w:rsidR="00DD7297" w:rsidRPr="0098251E" w:rsidRDefault="0098251E" w:rsidP="0098251E">
      <w:pPr>
        <w:spacing w:line="360" w:lineRule="auto"/>
        <w:jc w:val="center"/>
        <w:rPr>
          <w:rFonts w:ascii="Arial" w:hAnsi="Arial" w:cs="Arial"/>
          <w:b/>
          <w:bCs/>
          <w:sz w:val="48"/>
          <w:szCs w:val="48"/>
          <w:lang w:bidi="en-GB"/>
        </w:rPr>
      </w:pPr>
      <w:r w:rsidRPr="0098251E">
        <w:rPr>
          <w:rFonts w:ascii="Arial" w:hAnsi="Arial" w:cs="Arial"/>
          <w:b/>
          <w:bCs/>
          <w:sz w:val="48"/>
          <w:szCs w:val="48"/>
          <w:lang w:bidi="en-GB"/>
        </w:rPr>
        <w:t xml:space="preserve">NAME: </w:t>
      </w:r>
      <w:r w:rsidR="0035389D" w:rsidRPr="0098251E">
        <w:rPr>
          <w:rFonts w:ascii="Arial" w:hAnsi="Arial" w:cs="Arial"/>
          <w:b/>
          <w:bCs/>
          <w:sz w:val="48"/>
          <w:szCs w:val="48"/>
          <w:lang w:bidi="en-GB"/>
        </w:rPr>
        <w:t>ROSENA LUCY</w:t>
      </w:r>
    </w:p>
    <w:p w14:paraId="4303F2E5" w14:textId="700ECD2C" w:rsidR="0098251E" w:rsidRDefault="0098251E" w:rsidP="0098251E">
      <w:pPr>
        <w:spacing w:line="360" w:lineRule="auto"/>
        <w:jc w:val="center"/>
        <w:rPr>
          <w:rFonts w:ascii="Arial" w:hAnsi="Arial" w:cs="Arial"/>
          <w:b/>
          <w:bCs/>
          <w:sz w:val="48"/>
          <w:szCs w:val="48"/>
          <w:lang w:bidi="en-GB"/>
        </w:rPr>
      </w:pPr>
      <w:r w:rsidRPr="0098251E">
        <w:rPr>
          <w:rFonts w:ascii="Arial" w:hAnsi="Arial" w:cs="Arial"/>
          <w:b/>
          <w:bCs/>
          <w:sz w:val="48"/>
          <w:szCs w:val="48"/>
          <w:lang w:bidi="en-GB"/>
        </w:rPr>
        <w:t>STUDENT NO</w:t>
      </w:r>
      <w:r w:rsidR="00442CBB">
        <w:rPr>
          <w:rFonts w:ascii="Arial" w:hAnsi="Arial" w:cs="Arial"/>
          <w:b/>
          <w:bCs/>
          <w:sz w:val="48"/>
          <w:szCs w:val="48"/>
          <w:lang w:bidi="en-GB"/>
        </w:rPr>
        <w:t>:</w:t>
      </w:r>
      <w:r w:rsidRPr="0098251E">
        <w:rPr>
          <w:rFonts w:ascii="Arial" w:hAnsi="Arial" w:cs="Arial"/>
          <w:b/>
          <w:bCs/>
          <w:sz w:val="48"/>
          <w:szCs w:val="48"/>
          <w:lang w:bidi="en-GB"/>
        </w:rPr>
        <w:t xml:space="preserve"> 2210256</w:t>
      </w:r>
    </w:p>
    <w:p w14:paraId="3D90A60A" w14:textId="215B1F2C" w:rsidR="00AE40F8" w:rsidRDefault="00AE40F8" w:rsidP="00AE40F8">
      <w:pPr>
        <w:spacing w:line="360" w:lineRule="auto"/>
        <w:jc w:val="center"/>
        <w:rPr>
          <w:rFonts w:ascii="Arial" w:hAnsi="Arial" w:cs="Arial"/>
          <w:b/>
          <w:bCs/>
          <w:sz w:val="48"/>
          <w:szCs w:val="48"/>
          <w:lang w:bidi="en-GB"/>
        </w:rPr>
      </w:pPr>
      <w:r w:rsidRPr="00AE40F8">
        <w:rPr>
          <w:rFonts w:ascii="Arial" w:hAnsi="Arial" w:cs="Arial"/>
          <w:b/>
          <w:bCs/>
          <w:sz w:val="48"/>
          <w:szCs w:val="48"/>
          <w:lang w:bidi="en-GB"/>
        </w:rPr>
        <w:t>S</w:t>
      </w:r>
      <w:r w:rsidR="00A062A2">
        <w:rPr>
          <w:rFonts w:ascii="Arial" w:hAnsi="Arial" w:cs="Arial"/>
          <w:b/>
          <w:bCs/>
          <w:sz w:val="48"/>
          <w:szCs w:val="48"/>
          <w:lang w:bidi="en-GB"/>
        </w:rPr>
        <w:t xml:space="preserve">UPERVISOR </w:t>
      </w:r>
      <w:r w:rsidRPr="00AE40F8">
        <w:rPr>
          <w:rFonts w:ascii="Arial" w:hAnsi="Arial" w:cs="Arial"/>
          <w:b/>
          <w:bCs/>
          <w:sz w:val="48"/>
          <w:szCs w:val="48"/>
          <w:lang w:bidi="en-GB"/>
        </w:rPr>
        <w:t xml:space="preserve"> N</w:t>
      </w:r>
      <w:r w:rsidR="00A062A2">
        <w:rPr>
          <w:rFonts w:ascii="Arial" w:hAnsi="Arial" w:cs="Arial"/>
          <w:b/>
          <w:bCs/>
          <w:sz w:val="48"/>
          <w:szCs w:val="48"/>
          <w:lang w:bidi="en-GB"/>
        </w:rPr>
        <w:t>AME</w:t>
      </w:r>
      <w:r w:rsidR="00442CBB">
        <w:rPr>
          <w:rFonts w:ascii="Arial" w:hAnsi="Arial" w:cs="Arial"/>
          <w:b/>
          <w:bCs/>
          <w:sz w:val="48"/>
          <w:szCs w:val="48"/>
          <w:lang w:bidi="en-GB"/>
        </w:rPr>
        <w:t>: JUNAID</w:t>
      </w:r>
      <w:r w:rsidR="00DF3FBB" w:rsidRPr="00DF3FBB">
        <w:rPr>
          <w:rFonts w:ascii="Arial" w:eastAsia="Times New Roman" w:hAnsi="Arial" w:cs="Arial"/>
          <w:kern w:val="0"/>
          <w:sz w:val="22"/>
          <w:szCs w:val="22"/>
          <w14:ligatures w14:val="none"/>
        </w:rPr>
        <w:t xml:space="preserve"> </w:t>
      </w:r>
      <w:r w:rsidR="00DF3FBB" w:rsidRPr="00DF3FBB">
        <w:rPr>
          <w:rFonts w:ascii="Arial" w:hAnsi="Arial" w:cs="Arial"/>
          <w:b/>
          <w:bCs/>
          <w:sz w:val="48"/>
          <w:szCs w:val="48"/>
          <w:lang w:bidi="en-GB"/>
        </w:rPr>
        <w:t>S</w:t>
      </w:r>
      <w:r w:rsidR="00DF3FBB">
        <w:rPr>
          <w:rFonts w:ascii="Arial" w:hAnsi="Arial" w:cs="Arial"/>
          <w:b/>
          <w:bCs/>
          <w:sz w:val="48"/>
          <w:szCs w:val="48"/>
          <w:lang w:bidi="en-GB"/>
        </w:rPr>
        <w:t>HA</w:t>
      </w:r>
      <w:r w:rsidR="00601ECC">
        <w:rPr>
          <w:rFonts w:ascii="Arial" w:hAnsi="Arial" w:cs="Arial"/>
          <w:b/>
          <w:bCs/>
          <w:sz w:val="48"/>
          <w:szCs w:val="48"/>
          <w:lang w:bidi="en-GB"/>
        </w:rPr>
        <w:t>IKH</w:t>
      </w:r>
    </w:p>
    <w:p w14:paraId="404051F2" w14:textId="77777777" w:rsidR="00FA5617" w:rsidRPr="00FA5617" w:rsidRDefault="00FA5617" w:rsidP="00FA5617">
      <w:pPr>
        <w:spacing w:line="360" w:lineRule="auto"/>
        <w:jc w:val="center"/>
        <w:rPr>
          <w:rFonts w:ascii="Arial" w:hAnsi="Arial" w:cs="Arial"/>
          <w:b/>
          <w:bCs/>
          <w:lang w:bidi="en-GB"/>
        </w:rPr>
      </w:pPr>
      <w:r w:rsidRPr="00FA5617">
        <w:rPr>
          <w:rFonts w:ascii="Arial" w:hAnsi="Arial" w:cs="Arial"/>
          <w:b/>
          <w:bCs/>
          <w:lang w:bidi="en-GB"/>
        </w:rPr>
        <w:t>Dissertation submitted as part of the requirements for the award of MSc Public Health and Social Care in Practice</w:t>
      </w:r>
    </w:p>
    <w:p w14:paraId="7E948BA6" w14:textId="77777777" w:rsidR="00FA5617" w:rsidRPr="00FA5617" w:rsidRDefault="00FA5617" w:rsidP="00FA5617">
      <w:pPr>
        <w:spacing w:line="360" w:lineRule="auto"/>
        <w:jc w:val="center"/>
        <w:rPr>
          <w:rFonts w:ascii="Arial" w:hAnsi="Arial" w:cs="Arial"/>
          <w:b/>
          <w:bCs/>
          <w:lang w:bidi="en-GB"/>
        </w:rPr>
      </w:pPr>
    </w:p>
    <w:p w14:paraId="23BE5E3C" w14:textId="14097C3A" w:rsidR="00FA5617" w:rsidRDefault="005F0530" w:rsidP="006F571E">
      <w:pPr>
        <w:spacing w:line="360" w:lineRule="auto"/>
        <w:jc w:val="center"/>
        <w:rPr>
          <w:rFonts w:ascii="Arial" w:hAnsi="Arial" w:cs="Arial"/>
          <w:b/>
          <w:bCs/>
          <w:lang w:bidi="en-GB"/>
        </w:rPr>
      </w:pPr>
      <w:r>
        <w:rPr>
          <w:rFonts w:ascii="Arial" w:hAnsi="Arial" w:cs="Arial"/>
          <w:b/>
          <w:bCs/>
          <w:lang w:bidi="en-GB"/>
        </w:rPr>
        <w:t>08</w:t>
      </w:r>
      <w:r w:rsidR="00FA5617" w:rsidRPr="00FA5617">
        <w:rPr>
          <w:rFonts w:ascii="Arial" w:hAnsi="Arial" w:cs="Arial"/>
          <w:b/>
          <w:bCs/>
          <w:lang w:bidi="en-GB"/>
        </w:rPr>
        <w:t>/</w:t>
      </w:r>
      <w:r w:rsidR="00E03CD2">
        <w:rPr>
          <w:rFonts w:ascii="Arial" w:hAnsi="Arial" w:cs="Arial"/>
          <w:b/>
          <w:bCs/>
          <w:lang w:bidi="en-GB"/>
        </w:rPr>
        <w:t>2026</w:t>
      </w:r>
    </w:p>
    <w:p w14:paraId="62D98D32" w14:textId="77777777" w:rsidR="006F571E" w:rsidRDefault="006F571E" w:rsidP="006F571E">
      <w:pPr>
        <w:spacing w:line="360" w:lineRule="auto"/>
        <w:jc w:val="center"/>
        <w:rPr>
          <w:rFonts w:ascii="Arial" w:hAnsi="Arial" w:cs="Arial"/>
          <w:b/>
          <w:bCs/>
          <w:lang w:bidi="en-GB"/>
        </w:rPr>
      </w:pPr>
    </w:p>
    <w:p w14:paraId="6746788C" w14:textId="77777777" w:rsidR="006F571E" w:rsidRDefault="006F571E" w:rsidP="006F571E">
      <w:pPr>
        <w:spacing w:line="360" w:lineRule="auto"/>
        <w:jc w:val="center"/>
        <w:rPr>
          <w:rFonts w:ascii="Arial" w:hAnsi="Arial" w:cs="Arial"/>
          <w:b/>
          <w:bCs/>
          <w:lang w:bidi="en-GB"/>
        </w:rPr>
      </w:pPr>
    </w:p>
    <w:p w14:paraId="65B8D6BE" w14:textId="77777777" w:rsidR="006F571E" w:rsidRDefault="006F571E" w:rsidP="006F571E">
      <w:pPr>
        <w:spacing w:line="360" w:lineRule="auto"/>
        <w:jc w:val="center"/>
        <w:rPr>
          <w:rFonts w:ascii="Arial" w:hAnsi="Arial" w:cs="Arial"/>
          <w:b/>
          <w:bCs/>
          <w:lang w:bidi="en-GB"/>
        </w:rPr>
      </w:pPr>
    </w:p>
    <w:p w14:paraId="4C34515C" w14:textId="77777777" w:rsidR="006F571E" w:rsidRPr="00CE29E9" w:rsidRDefault="006F571E" w:rsidP="006F571E">
      <w:pPr>
        <w:jc w:val="center"/>
        <w:rPr>
          <w:rFonts w:ascii="Arial" w:eastAsia="Times New Roman" w:hAnsi="Arial" w:cs="Arial"/>
          <w:b/>
          <w:sz w:val="28"/>
          <w:szCs w:val="28"/>
        </w:rPr>
      </w:pPr>
      <w:r w:rsidRPr="00CE29E9">
        <w:rPr>
          <w:rFonts w:ascii="Arial" w:eastAsia="Times New Roman" w:hAnsi="Arial" w:cs="Arial"/>
          <w:b/>
          <w:sz w:val="28"/>
          <w:szCs w:val="28"/>
        </w:rPr>
        <w:lastRenderedPageBreak/>
        <w:t>DECLARATION</w:t>
      </w:r>
    </w:p>
    <w:p w14:paraId="0E2210B7" w14:textId="77777777" w:rsidR="006F571E" w:rsidRPr="00AA1F5A" w:rsidRDefault="006F571E" w:rsidP="006F571E">
      <w:pPr>
        <w:rPr>
          <w:rFonts w:ascii="Arial" w:eastAsia="Times New Roman" w:hAnsi="Arial" w:cs="Arial"/>
        </w:rPr>
      </w:pPr>
    </w:p>
    <w:p w14:paraId="4BE7EB3C" w14:textId="0BB098E9" w:rsidR="006F571E" w:rsidRPr="00EA4708" w:rsidRDefault="006F571E" w:rsidP="006F571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EA4708">
        <w:rPr>
          <w:rFonts w:ascii="Arial" w:eastAsia="Arial Unicode MS" w:hAnsi="Arial" w:cs="Arial"/>
          <w:bCs/>
        </w:rPr>
        <w:t xml:space="preserve">I, </w:t>
      </w:r>
      <w:r w:rsidR="004E7704">
        <w:rPr>
          <w:rFonts w:ascii="Arial" w:eastAsia="Arial Unicode MS" w:hAnsi="Arial" w:cs="Arial"/>
          <w:bCs/>
          <w:i/>
          <w:iCs/>
        </w:rPr>
        <w:t xml:space="preserve">Rosena Lucy, </w:t>
      </w:r>
      <w:r w:rsidRPr="00EA4708">
        <w:rPr>
          <w:rFonts w:ascii="Arial" w:eastAsia="Arial Unicode MS" w:hAnsi="Arial" w:cs="Arial"/>
          <w:bCs/>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p>
    <w:p w14:paraId="1B3843D3" w14:textId="77777777" w:rsidR="006F571E" w:rsidRPr="00EA4708" w:rsidRDefault="006F571E" w:rsidP="006F571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588EC620" w14:textId="5AAC8B2C" w:rsidR="006F571E" w:rsidRPr="00EA4708" w:rsidRDefault="003F547B" w:rsidP="006F571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EA4708">
        <w:rPr>
          <w:rFonts w:ascii="Arial" w:eastAsia="Arial Unicode MS" w:hAnsi="Arial" w:cs="Arial"/>
          <w:bCs/>
        </w:rPr>
        <w:t>Signature:</w:t>
      </w:r>
      <w:r>
        <w:rPr>
          <w:rFonts w:ascii="Arial" w:eastAsia="Arial Unicode MS" w:hAnsi="Arial" w:cs="Arial"/>
          <w:bCs/>
        </w:rPr>
        <w:t xml:space="preserve"> Rosena Lucy</w:t>
      </w:r>
      <w:r w:rsidR="006F571E" w:rsidRPr="00EA4708">
        <w:rPr>
          <w:rFonts w:ascii="Arial" w:eastAsia="Arial Unicode MS" w:hAnsi="Arial" w:cs="Arial"/>
          <w:bCs/>
        </w:rPr>
        <w:t>..................................................</w:t>
      </w:r>
    </w:p>
    <w:p w14:paraId="7853969C" w14:textId="77777777" w:rsidR="006F571E" w:rsidRPr="00EA4708" w:rsidRDefault="006F571E" w:rsidP="006F571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39C5C879" w14:textId="51C69332" w:rsidR="006F571E" w:rsidRPr="00EA4708" w:rsidRDefault="006F571E" w:rsidP="006F571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r w:rsidRPr="00EA4708">
        <w:rPr>
          <w:rFonts w:ascii="Arial" w:eastAsia="Arial Unicode MS" w:hAnsi="Arial" w:cs="Arial"/>
          <w:bCs/>
        </w:rPr>
        <w:t>Date: ……</w:t>
      </w:r>
      <w:r w:rsidR="003F547B">
        <w:rPr>
          <w:rFonts w:ascii="Arial" w:eastAsia="Arial Unicode MS" w:hAnsi="Arial" w:cs="Arial"/>
          <w:bCs/>
        </w:rPr>
        <w:t>1/07/2026</w:t>
      </w:r>
      <w:r w:rsidRPr="00EA4708">
        <w:rPr>
          <w:rFonts w:ascii="Arial" w:eastAsia="Arial Unicode MS" w:hAnsi="Arial" w:cs="Arial"/>
          <w:bCs/>
        </w:rPr>
        <w:t>…………………………............................</w:t>
      </w:r>
    </w:p>
    <w:p w14:paraId="73A88FB6" w14:textId="77777777" w:rsidR="006F571E" w:rsidRPr="00EA4708" w:rsidRDefault="006F571E" w:rsidP="006F571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rPr>
      </w:pPr>
    </w:p>
    <w:p w14:paraId="249E3D71" w14:textId="77777777" w:rsidR="006F571E" w:rsidRDefault="006F571E" w:rsidP="006F571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p>
    <w:p w14:paraId="65A7E97F" w14:textId="77777777" w:rsidR="006F571E" w:rsidRDefault="006F571E" w:rsidP="006F571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p>
    <w:p w14:paraId="75B597FB" w14:textId="77777777" w:rsidR="006F571E" w:rsidRDefault="006F571E" w:rsidP="006F571E">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
          <w:sz w:val="28"/>
          <w:szCs w:val="28"/>
        </w:rPr>
      </w:pPr>
    </w:p>
    <w:p w14:paraId="70857DB4" w14:textId="77777777" w:rsidR="006F571E" w:rsidRPr="006F571E" w:rsidRDefault="006F571E" w:rsidP="006F571E">
      <w:pPr>
        <w:spacing w:line="360" w:lineRule="auto"/>
        <w:jc w:val="center"/>
        <w:rPr>
          <w:rFonts w:ascii="Arial" w:hAnsi="Arial" w:cs="Arial"/>
          <w:b/>
          <w:bCs/>
          <w:lang w:bidi="en-GB"/>
        </w:rPr>
      </w:pPr>
    </w:p>
    <w:p w14:paraId="220AF3BB" w14:textId="77777777" w:rsidR="00FA5617" w:rsidRPr="00AE40F8" w:rsidRDefault="00FA5617" w:rsidP="00AE40F8">
      <w:pPr>
        <w:spacing w:line="360" w:lineRule="auto"/>
        <w:jc w:val="center"/>
        <w:rPr>
          <w:rFonts w:ascii="Arial" w:hAnsi="Arial" w:cs="Arial"/>
          <w:b/>
          <w:bCs/>
          <w:sz w:val="48"/>
          <w:szCs w:val="48"/>
          <w:lang w:bidi="en-GB"/>
        </w:rPr>
      </w:pPr>
    </w:p>
    <w:p w14:paraId="7DDDADA2" w14:textId="77777777" w:rsidR="00B771C5" w:rsidRPr="0098251E" w:rsidRDefault="00B771C5" w:rsidP="0098251E">
      <w:pPr>
        <w:spacing w:line="360" w:lineRule="auto"/>
        <w:jc w:val="center"/>
        <w:rPr>
          <w:rFonts w:ascii="Arial" w:hAnsi="Arial" w:cs="Arial"/>
          <w:b/>
          <w:bCs/>
          <w:sz w:val="48"/>
          <w:szCs w:val="48"/>
          <w:lang w:bidi="en-GB"/>
        </w:rPr>
      </w:pPr>
    </w:p>
    <w:p w14:paraId="476A2D2F" w14:textId="77777777" w:rsidR="0035389D" w:rsidRPr="00DD7297" w:rsidRDefault="0035389D" w:rsidP="00B64383">
      <w:pPr>
        <w:spacing w:line="360" w:lineRule="auto"/>
        <w:rPr>
          <w:rFonts w:ascii="Arial" w:hAnsi="Arial" w:cs="Arial"/>
          <w:b/>
          <w:bCs/>
          <w:sz w:val="22"/>
          <w:szCs w:val="22"/>
          <w:lang w:bidi="en-GB"/>
        </w:rPr>
      </w:pPr>
    </w:p>
    <w:p w14:paraId="22CECEC4" w14:textId="77777777" w:rsidR="00DD7297" w:rsidRPr="00DD7297" w:rsidRDefault="00DD7297" w:rsidP="00DD7297">
      <w:pPr>
        <w:spacing w:line="360" w:lineRule="auto"/>
        <w:jc w:val="both"/>
        <w:rPr>
          <w:rFonts w:ascii="Arial" w:hAnsi="Arial" w:cs="Arial"/>
          <w:b/>
          <w:bCs/>
          <w:sz w:val="22"/>
          <w:szCs w:val="22"/>
          <w:lang w:bidi="en-GB"/>
        </w:rPr>
      </w:pPr>
    </w:p>
    <w:p w14:paraId="72DEE7B4" w14:textId="77777777" w:rsidR="00DD7297" w:rsidRPr="00DD7297" w:rsidRDefault="00DD7297" w:rsidP="00DD7297">
      <w:pPr>
        <w:spacing w:line="360" w:lineRule="auto"/>
        <w:jc w:val="both"/>
        <w:rPr>
          <w:rFonts w:ascii="Arial" w:hAnsi="Arial" w:cs="Arial"/>
          <w:sz w:val="22"/>
          <w:szCs w:val="22"/>
          <w:lang w:bidi="en-GB"/>
        </w:rPr>
      </w:pPr>
    </w:p>
    <w:bookmarkEnd w:id="0"/>
    <w:p w14:paraId="6C6BCE90" w14:textId="77777777" w:rsidR="00DD7297" w:rsidRPr="00DD7297" w:rsidRDefault="00DD7297" w:rsidP="00DD7297">
      <w:pPr>
        <w:spacing w:line="360" w:lineRule="auto"/>
        <w:jc w:val="both"/>
        <w:rPr>
          <w:rFonts w:ascii="Arial" w:hAnsi="Arial" w:cs="Arial"/>
          <w:sz w:val="22"/>
          <w:szCs w:val="22"/>
          <w:lang w:bidi="en-GB"/>
        </w:rPr>
      </w:pPr>
    </w:p>
    <w:p w14:paraId="4156BEE3" w14:textId="77777777" w:rsidR="003278CF" w:rsidRDefault="003278CF" w:rsidP="003278CF">
      <w:pPr>
        <w:spacing w:line="360" w:lineRule="auto"/>
        <w:jc w:val="both"/>
        <w:rPr>
          <w:rFonts w:ascii="Arial" w:hAnsi="Arial" w:cs="Arial"/>
          <w:sz w:val="22"/>
          <w:szCs w:val="22"/>
        </w:rPr>
      </w:pPr>
    </w:p>
    <w:p w14:paraId="09F2D052" w14:textId="77777777" w:rsidR="003278CF" w:rsidRDefault="003278CF" w:rsidP="003278CF">
      <w:pPr>
        <w:spacing w:line="360" w:lineRule="auto"/>
        <w:jc w:val="both"/>
        <w:rPr>
          <w:rFonts w:ascii="Arial" w:hAnsi="Arial" w:cs="Arial"/>
          <w:sz w:val="22"/>
          <w:szCs w:val="22"/>
        </w:rPr>
      </w:pPr>
    </w:p>
    <w:p w14:paraId="6D6F6A0B" w14:textId="77777777" w:rsidR="003278CF" w:rsidRDefault="003278CF" w:rsidP="003278CF">
      <w:pPr>
        <w:spacing w:line="360" w:lineRule="auto"/>
        <w:jc w:val="both"/>
        <w:rPr>
          <w:rFonts w:ascii="Arial" w:hAnsi="Arial" w:cs="Arial"/>
          <w:sz w:val="22"/>
          <w:szCs w:val="22"/>
        </w:rPr>
      </w:pPr>
    </w:p>
    <w:p w14:paraId="5D71192C" w14:textId="77777777" w:rsidR="003278CF" w:rsidRDefault="003278CF" w:rsidP="003278CF">
      <w:pPr>
        <w:spacing w:line="360" w:lineRule="auto"/>
        <w:jc w:val="both"/>
        <w:rPr>
          <w:rFonts w:ascii="Arial" w:hAnsi="Arial" w:cs="Arial"/>
          <w:sz w:val="22"/>
          <w:szCs w:val="22"/>
        </w:rPr>
      </w:pPr>
    </w:p>
    <w:p w14:paraId="5B381C4F" w14:textId="77777777" w:rsidR="003278CF" w:rsidRDefault="003278CF" w:rsidP="003278CF">
      <w:pPr>
        <w:spacing w:line="360" w:lineRule="auto"/>
        <w:jc w:val="both"/>
        <w:rPr>
          <w:rFonts w:ascii="Arial" w:hAnsi="Arial" w:cs="Arial"/>
          <w:sz w:val="22"/>
          <w:szCs w:val="22"/>
        </w:rPr>
      </w:pPr>
    </w:p>
    <w:p w14:paraId="191B0A16" w14:textId="77777777" w:rsidR="00255BFC" w:rsidRPr="00255BFC" w:rsidRDefault="00255BFC" w:rsidP="00255BFC">
      <w:pPr>
        <w:spacing w:line="360" w:lineRule="auto"/>
        <w:jc w:val="both"/>
        <w:rPr>
          <w:rFonts w:ascii="Arial" w:hAnsi="Arial" w:cs="Arial"/>
          <w:b/>
          <w:bCs/>
          <w:sz w:val="22"/>
          <w:szCs w:val="22"/>
        </w:rPr>
      </w:pPr>
      <w:r w:rsidRPr="00255BFC">
        <w:rPr>
          <w:rFonts w:ascii="Arial" w:hAnsi="Arial" w:cs="Arial"/>
          <w:b/>
          <w:bCs/>
          <w:sz w:val="22"/>
          <w:szCs w:val="22"/>
        </w:rPr>
        <w:lastRenderedPageBreak/>
        <w:t>Acknowledgements</w:t>
      </w:r>
    </w:p>
    <w:p w14:paraId="3D5EB5D9" w14:textId="696EDCFF" w:rsidR="00255BFC" w:rsidRPr="00255BFC" w:rsidRDefault="00255BFC" w:rsidP="00255BFC">
      <w:pPr>
        <w:spacing w:line="360" w:lineRule="auto"/>
        <w:jc w:val="both"/>
        <w:rPr>
          <w:rFonts w:ascii="Arial" w:hAnsi="Arial" w:cs="Arial"/>
          <w:sz w:val="22"/>
          <w:szCs w:val="22"/>
        </w:rPr>
      </w:pPr>
      <w:r w:rsidRPr="00255BFC">
        <w:rPr>
          <w:rFonts w:ascii="Arial" w:hAnsi="Arial" w:cs="Arial"/>
          <w:sz w:val="22"/>
          <w:szCs w:val="22"/>
        </w:rPr>
        <w:t>I would like to express my sincere gratitude to Almighty God for granting me the strength, wisdom, good health and perseverance to complete this master’s degree and this dissertation. Throughout this journey, His guidance, mercy and blessings have sustained me during both the rewarding and the challenging moments.</w:t>
      </w:r>
    </w:p>
    <w:p w14:paraId="75732716" w14:textId="5D2111E7" w:rsidR="00255BFC" w:rsidRPr="00255BFC" w:rsidRDefault="00255BFC" w:rsidP="00255BFC">
      <w:pPr>
        <w:spacing w:line="360" w:lineRule="auto"/>
        <w:jc w:val="both"/>
        <w:rPr>
          <w:rFonts w:ascii="Arial" w:hAnsi="Arial" w:cs="Arial"/>
          <w:sz w:val="22"/>
          <w:szCs w:val="22"/>
        </w:rPr>
      </w:pPr>
      <w:r w:rsidRPr="00255BFC">
        <w:rPr>
          <w:rFonts w:ascii="Arial" w:hAnsi="Arial" w:cs="Arial"/>
          <w:sz w:val="22"/>
          <w:szCs w:val="22"/>
        </w:rPr>
        <w:t>My deepest appreciation goes to my dissertation supervisor, Junaid Shaikh, for his invaluable guidance, constructive feedback, patience and continuous encouragement throughout this research. His expertise, understanding and unwavering support have been instrumental in the successful completion of this dissertation. I am especially grateful for his kindness and flexibility during periods when I was unwell or when my personal circumstances meant that I was unable to attend supervision meetings at the scheduled times. Despite these challenges, he always showed understanding, accommodated my situation whenever possible and continued to support me throughout my research journey. His encouragement, compassion and belief in my abilities gave me the confidence and motivation to persevere and complete this dissertation.</w:t>
      </w:r>
    </w:p>
    <w:p w14:paraId="5DAF6E5A" w14:textId="77777777" w:rsidR="00255BFC" w:rsidRPr="00255BFC" w:rsidRDefault="00255BFC" w:rsidP="00255BFC">
      <w:pPr>
        <w:spacing w:line="360" w:lineRule="auto"/>
        <w:jc w:val="both"/>
        <w:rPr>
          <w:rFonts w:ascii="Arial" w:hAnsi="Arial" w:cs="Arial"/>
          <w:sz w:val="22"/>
          <w:szCs w:val="22"/>
        </w:rPr>
      </w:pPr>
      <w:r w:rsidRPr="00255BFC">
        <w:rPr>
          <w:rFonts w:ascii="Arial" w:hAnsi="Arial" w:cs="Arial"/>
          <w:sz w:val="22"/>
          <w:szCs w:val="22"/>
        </w:rPr>
        <w:t>I would also like to express my sincere appreciation to Hamdi Hussain, the Moodle Leader, for his continuous support, guidance and commitment throughout the programme. My heartfelt thanks also go to my lecturers, Betsy, Joanne Devis and Fahad, whose knowledge, encouragement and dedication have contributed significantly to my academic and professional development. I am truly grateful for the expertise, guidance and support that each of you provided throughout my studies.</w:t>
      </w:r>
    </w:p>
    <w:p w14:paraId="2E295A2C" w14:textId="77777777" w:rsidR="00255BFC" w:rsidRPr="00255BFC" w:rsidRDefault="00255BFC" w:rsidP="00255BFC">
      <w:pPr>
        <w:spacing w:line="360" w:lineRule="auto"/>
        <w:jc w:val="both"/>
        <w:rPr>
          <w:rFonts w:ascii="Arial" w:hAnsi="Arial" w:cs="Arial"/>
          <w:sz w:val="22"/>
          <w:szCs w:val="22"/>
        </w:rPr>
      </w:pPr>
      <w:r w:rsidRPr="00255BFC">
        <w:rPr>
          <w:rFonts w:ascii="Arial" w:hAnsi="Arial" w:cs="Arial"/>
          <w:sz w:val="22"/>
          <w:szCs w:val="22"/>
        </w:rPr>
        <w:t xml:space="preserve">My sincere thanks also go to my presentation group members, </w:t>
      </w:r>
      <w:proofErr w:type="spellStart"/>
      <w:r w:rsidRPr="00255BFC">
        <w:rPr>
          <w:rFonts w:ascii="Arial" w:hAnsi="Arial" w:cs="Arial"/>
          <w:sz w:val="22"/>
          <w:szCs w:val="22"/>
        </w:rPr>
        <w:t>Nadeie</w:t>
      </w:r>
      <w:proofErr w:type="spellEnd"/>
      <w:r w:rsidRPr="00255BFC">
        <w:rPr>
          <w:rFonts w:ascii="Arial" w:hAnsi="Arial" w:cs="Arial"/>
          <w:sz w:val="22"/>
          <w:szCs w:val="22"/>
        </w:rPr>
        <w:t xml:space="preserve"> </w:t>
      </w:r>
      <w:proofErr w:type="spellStart"/>
      <w:r w:rsidRPr="00255BFC">
        <w:rPr>
          <w:rFonts w:ascii="Arial" w:hAnsi="Arial" w:cs="Arial"/>
          <w:sz w:val="22"/>
          <w:szCs w:val="22"/>
        </w:rPr>
        <w:t>Seaied</w:t>
      </w:r>
      <w:proofErr w:type="spellEnd"/>
      <w:r w:rsidRPr="00255BFC">
        <w:rPr>
          <w:rFonts w:ascii="Arial" w:hAnsi="Arial" w:cs="Arial"/>
          <w:sz w:val="22"/>
          <w:szCs w:val="22"/>
        </w:rPr>
        <w:t xml:space="preserve">, </w:t>
      </w:r>
      <w:proofErr w:type="spellStart"/>
      <w:r w:rsidRPr="00255BFC">
        <w:rPr>
          <w:rFonts w:ascii="Arial" w:hAnsi="Arial" w:cs="Arial"/>
          <w:sz w:val="22"/>
          <w:szCs w:val="22"/>
        </w:rPr>
        <w:t>Ashlene</w:t>
      </w:r>
      <w:proofErr w:type="spellEnd"/>
      <w:r w:rsidRPr="00255BFC">
        <w:rPr>
          <w:rFonts w:ascii="Arial" w:hAnsi="Arial" w:cs="Arial"/>
          <w:sz w:val="22"/>
          <w:szCs w:val="22"/>
        </w:rPr>
        <w:t xml:space="preserve"> Barnes and Mohammad Ilyas, for their teamwork, collaboration and encouragement during our presentations and group activities. Sharing ideas, learning together and supporting one another made the learning experience enjoyable and enriched my understanding throughout the programme.</w:t>
      </w:r>
    </w:p>
    <w:p w14:paraId="03751DE8" w14:textId="77777777" w:rsidR="00255BFC" w:rsidRPr="00255BFC" w:rsidRDefault="00255BFC" w:rsidP="00255BFC">
      <w:pPr>
        <w:spacing w:line="360" w:lineRule="auto"/>
        <w:jc w:val="both"/>
        <w:rPr>
          <w:rFonts w:ascii="Arial" w:hAnsi="Arial" w:cs="Arial"/>
          <w:sz w:val="22"/>
          <w:szCs w:val="22"/>
        </w:rPr>
      </w:pPr>
      <w:r w:rsidRPr="00255BFC">
        <w:rPr>
          <w:rFonts w:ascii="Arial" w:hAnsi="Arial" w:cs="Arial"/>
          <w:sz w:val="22"/>
          <w:szCs w:val="22"/>
        </w:rPr>
        <w:t>My greatest gratitude is reserved for my beloved children, Mehdi, Abbas, Rukia and Sakina. Your love, patience, understanding and sacrifices have been my greatest source of strength and inspiration throughout this journey. I will never forget the many occasions when you walked home from school in the rain, cold and snow so that I could attend my afternoon university classes. Your selflessness, resilience and unwavering support allowed me to continue pursuing my education despite the many challenges we faced together. This achievement belongs not only to me but also to each one of you.</w:t>
      </w:r>
    </w:p>
    <w:p w14:paraId="3F09118B" w14:textId="65622F76" w:rsidR="00255BFC" w:rsidRPr="00255BFC" w:rsidRDefault="00255BFC" w:rsidP="00255BFC">
      <w:pPr>
        <w:spacing w:line="360" w:lineRule="auto"/>
        <w:jc w:val="both"/>
        <w:rPr>
          <w:rFonts w:ascii="Arial" w:hAnsi="Arial" w:cs="Arial"/>
          <w:sz w:val="22"/>
          <w:szCs w:val="22"/>
        </w:rPr>
      </w:pPr>
      <w:r w:rsidRPr="00255BFC">
        <w:rPr>
          <w:rFonts w:ascii="Arial" w:hAnsi="Arial" w:cs="Arial"/>
          <w:sz w:val="22"/>
          <w:szCs w:val="22"/>
        </w:rPr>
        <w:lastRenderedPageBreak/>
        <w:t xml:space="preserve">I would also like to express my heartfelt appreciation to my family and relatives for their constant love, prayers, encouragement and practical support throughout my studies. During the month of Ramadan, when balancing fasting, university work and family responsibilities became particularly demanding, your kindness in preparing meals, </w:t>
      </w:r>
      <w:r w:rsidR="00DD22C8" w:rsidRPr="00255BFC">
        <w:rPr>
          <w:rFonts w:ascii="Arial" w:hAnsi="Arial" w:cs="Arial"/>
          <w:sz w:val="22"/>
          <w:szCs w:val="22"/>
        </w:rPr>
        <w:t>helping</w:t>
      </w:r>
      <w:r w:rsidRPr="00255BFC">
        <w:rPr>
          <w:rFonts w:ascii="Arial" w:hAnsi="Arial" w:cs="Arial"/>
          <w:sz w:val="22"/>
          <w:szCs w:val="22"/>
        </w:rPr>
        <w:t xml:space="preserve"> and helping with daily responsibilities enabled me to continue my studies during periods of exhaustion. Your generosity, understanding and unwavering support will always hold a special place in my heart.</w:t>
      </w:r>
    </w:p>
    <w:p w14:paraId="59F2C72E" w14:textId="77777777" w:rsidR="00255BFC" w:rsidRPr="00255BFC" w:rsidRDefault="00255BFC" w:rsidP="00255BFC">
      <w:pPr>
        <w:spacing w:line="360" w:lineRule="auto"/>
        <w:jc w:val="both"/>
        <w:rPr>
          <w:rFonts w:ascii="Arial" w:hAnsi="Arial" w:cs="Arial"/>
          <w:sz w:val="22"/>
          <w:szCs w:val="22"/>
        </w:rPr>
      </w:pPr>
      <w:r w:rsidRPr="00255BFC">
        <w:rPr>
          <w:rFonts w:ascii="Arial" w:hAnsi="Arial" w:cs="Arial"/>
          <w:sz w:val="22"/>
          <w:szCs w:val="22"/>
        </w:rPr>
        <w:t>Finally, I would like to express my sincere gratitude to the University of Wales Trinity Saint David for providing a welcoming, supportive and inclusive learning environment throughout my studies. I am especially grateful for the excellent facilities, learning resources and comfortable teaching environment, which enabled me to continue my studies despite living with a long-term back condition. The University's commitment to creating an accessible and supportive environment made it possible for me to attend classes and continue my academic journey during periods of pain and physical difficulty. I am truly thankful for the support, encouragement and opportunities that enabled me to achieve this important milestone.</w:t>
      </w:r>
    </w:p>
    <w:p w14:paraId="51D006B4" w14:textId="77777777" w:rsidR="00255BFC" w:rsidRPr="00255BFC" w:rsidRDefault="00255BFC" w:rsidP="00255BFC">
      <w:pPr>
        <w:spacing w:line="360" w:lineRule="auto"/>
        <w:jc w:val="both"/>
        <w:rPr>
          <w:rFonts w:ascii="Arial" w:hAnsi="Arial" w:cs="Arial"/>
          <w:sz w:val="22"/>
          <w:szCs w:val="22"/>
        </w:rPr>
      </w:pPr>
      <w:r w:rsidRPr="00255BFC">
        <w:rPr>
          <w:rFonts w:ascii="Arial" w:hAnsi="Arial" w:cs="Arial"/>
          <w:sz w:val="22"/>
          <w:szCs w:val="22"/>
        </w:rPr>
        <w:t>To everyone who, in one way or another, supported, encouraged, prayed for and believed in me throughout this remarkable journey, I extend my heartfelt thanks. Your kindness, generosity and encouragement have played an important role in helping me achieve this milestone, and I will always be sincerely grateful.</w:t>
      </w:r>
    </w:p>
    <w:p w14:paraId="112F1B0D" w14:textId="77777777" w:rsidR="003278CF" w:rsidRDefault="003278CF" w:rsidP="003278CF">
      <w:pPr>
        <w:spacing w:line="360" w:lineRule="auto"/>
        <w:jc w:val="both"/>
        <w:rPr>
          <w:rFonts w:ascii="Arial" w:hAnsi="Arial" w:cs="Arial"/>
          <w:sz w:val="22"/>
          <w:szCs w:val="22"/>
        </w:rPr>
      </w:pPr>
    </w:p>
    <w:p w14:paraId="08C776BE" w14:textId="77777777" w:rsidR="003278CF" w:rsidRDefault="003278CF" w:rsidP="003278CF">
      <w:pPr>
        <w:spacing w:line="360" w:lineRule="auto"/>
        <w:jc w:val="both"/>
        <w:rPr>
          <w:rFonts w:ascii="Arial" w:hAnsi="Arial" w:cs="Arial"/>
          <w:sz w:val="22"/>
          <w:szCs w:val="22"/>
        </w:rPr>
      </w:pPr>
    </w:p>
    <w:p w14:paraId="467C007E" w14:textId="77777777" w:rsidR="003278CF" w:rsidRDefault="003278CF" w:rsidP="003278CF">
      <w:pPr>
        <w:spacing w:line="360" w:lineRule="auto"/>
        <w:jc w:val="both"/>
        <w:rPr>
          <w:rFonts w:ascii="Arial" w:hAnsi="Arial" w:cs="Arial"/>
          <w:sz w:val="22"/>
          <w:szCs w:val="22"/>
        </w:rPr>
      </w:pPr>
    </w:p>
    <w:p w14:paraId="0C7082BD" w14:textId="77777777" w:rsidR="003278CF" w:rsidRDefault="003278CF" w:rsidP="003278CF">
      <w:pPr>
        <w:spacing w:line="360" w:lineRule="auto"/>
        <w:jc w:val="both"/>
        <w:rPr>
          <w:rFonts w:ascii="Arial" w:hAnsi="Arial" w:cs="Arial"/>
          <w:sz w:val="22"/>
          <w:szCs w:val="22"/>
        </w:rPr>
      </w:pPr>
    </w:p>
    <w:p w14:paraId="64B41349" w14:textId="77777777" w:rsidR="003278CF" w:rsidRDefault="003278CF" w:rsidP="003278CF">
      <w:pPr>
        <w:spacing w:line="360" w:lineRule="auto"/>
        <w:jc w:val="both"/>
        <w:rPr>
          <w:rFonts w:ascii="Arial" w:hAnsi="Arial" w:cs="Arial"/>
          <w:sz w:val="22"/>
          <w:szCs w:val="22"/>
        </w:rPr>
      </w:pPr>
    </w:p>
    <w:p w14:paraId="2FD951E8" w14:textId="77777777" w:rsidR="003278CF" w:rsidRDefault="003278CF" w:rsidP="003278CF">
      <w:pPr>
        <w:spacing w:line="360" w:lineRule="auto"/>
        <w:jc w:val="both"/>
        <w:rPr>
          <w:rFonts w:ascii="Arial" w:hAnsi="Arial" w:cs="Arial"/>
          <w:sz w:val="22"/>
          <w:szCs w:val="22"/>
        </w:rPr>
      </w:pPr>
    </w:p>
    <w:p w14:paraId="7E22B739" w14:textId="77777777" w:rsidR="003278CF" w:rsidRDefault="003278CF" w:rsidP="003278CF">
      <w:pPr>
        <w:spacing w:line="360" w:lineRule="auto"/>
        <w:jc w:val="both"/>
        <w:rPr>
          <w:rFonts w:ascii="Arial" w:hAnsi="Arial" w:cs="Arial"/>
          <w:sz w:val="22"/>
          <w:szCs w:val="22"/>
        </w:rPr>
      </w:pPr>
    </w:p>
    <w:p w14:paraId="58378940" w14:textId="77777777" w:rsidR="003278CF" w:rsidRDefault="003278CF" w:rsidP="003278CF">
      <w:pPr>
        <w:spacing w:line="360" w:lineRule="auto"/>
        <w:jc w:val="both"/>
        <w:rPr>
          <w:rFonts w:ascii="Arial" w:hAnsi="Arial" w:cs="Arial"/>
          <w:sz w:val="22"/>
          <w:szCs w:val="22"/>
        </w:rPr>
      </w:pPr>
    </w:p>
    <w:p w14:paraId="45F2D188" w14:textId="77777777" w:rsidR="003278CF" w:rsidRDefault="003278CF" w:rsidP="003278CF">
      <w:pPr>
        <w:spacing w:line="360" w:lineRule="auto"/>
        <w:jc w:val="both"/>
        <w:rPr>
          <w:rFonts w:ascii="Arial" w:hAnsi="Arial" w:cs="Arial"/>
          <w:sz w:val="22"/>
          <w:szCs w:val="22"/>
        </w:rPr>
      </w:pPr>
    </w:p>
    <w:p w14:paraId="022BBE17" w14:textId="77777777" w:rsidR="003278CF" w:rsidRDefault="003278CF" w:rsidP="003278CF">
      <w:pPr>
        <w:spacing w:line="360" w:lineRule="auto"/>
        <w:jc w:val="both"/>
        <w:rPr>
          <w:rFonts w:ascii="Arial" w:hAnsi="Arial" w:cs="Arial"/>
          <w:sz w:val="22"/>
          <w:szCs w:val="22"/>
        </w:rPr>
      </w:pPr>
    </w:p>
    <w:p w14:paraId="1859EE38" w14:textId="77777777" w:rsidR="003278CF" w:rsidRDefault="003278CF" w:rsidP="003278CF">
      <w:pPr>
        <w:spacing w:line="360" w:lineRule="auto"/>
        <w:jc w:val="both"/>
        <w:rPr>
          <w:rFonts w:ascii="Arial" w:hAnsi="Arial" w:cs="Arial"/>
          <w:sz w:val="22"/>
          <w:szCs w:val="22"/>
        </w:rPr>
      </w:pPr>
    </w:p>
    <w:p w14:paraId="201F50CC" w14:textId="77777777" w:rsidR="00A046BD" w:rsidRPr="003278CF" w:rsidRDefault="00A046BD" w:rsidP="003278CF">
      <w:pPr>
        <w:spacing w:line="360" w:lineRule="auto"/>
        <w:jc w:val="both"/>
        <w:rPr>
          <w:rFonts w:ascii="Arial" w:hAnsi="Arial" w:cs="Arial"/>
          <w:sz w:val="22"/>
          <w:szCs w:val="22"/>
        </w:rPr>
      </w:pPr>
    </w:p>
    <w:p w14:paraId="5AB7A758" w14:textId="77777777" w:rsidR="008B1AF9" w:rsidRPr="003278CF" w:rsidRDefault="008B1AF9" w:rsidP="003278CF">
      <w:pPr>
        <w:spacing w:line="360" w:lineRule="auto"/>
        <w:jc w:val="both"/>
        <w:rPr>
          <w:rFonts w:ascii="Arial" w:hAnsi="Arial" w:cs="Arial"/>
          <w:b/>
          <w:bCs/>
          <w:sz w:val="22"/>
          <w:szCs w:val="22"/>
        </w:rPr>
      </w:pPr>
      <w:r w:rsidRPr="003278CF">
        <w:rPr>
          <w:rFonts w:ascii="Arial" w:hAnsi="Arial" w:cs="Arial"/>
          <w:b/>
          <w:bCs/>
          <w:sz w:val="22"/>
          <w:szCs w:val="22"/>
        </w:rPr>
        <w:lastRenderedPageBreak/>
        <w:t>Abstract</w:t>
      </w:r>
    </w:p>
    <w:p w14:paraId="529BCCEF" w14:textId="77777777" w:rsidR="008B1AF9" w:rsidRPr="003278CF" w:rsidRDefault="008B1AF9" w:rsidP="003278CF">
      <w:pPr>
        <w:spacing w:line="360" w:lineRule="auto"/>
        <w:jc w:val="both"/>
        <w:rPr>
          <w:rFonts w:ascii="Arial" w:hAnsi="Arial" w:cs="Arial"/>
          <w:b/>
          <w:bCs/>
          <w:sz w:val="22"/>
          <w:szCs w:val="22"/>
        </w:rPr>
      </w:pPr>
      <w:r w:rsidRPr="003278CF">
        <w:rPr>
          <w:rFonts w:ascii="Arial" w:hAnsi="Arial" w:cs="Arial"/>
          <w:b/>
          <w:bCs/>
          <w:sz w:val="22"/>
          <w:szCs w:val="22"/>
        </w:rPr>
        <w:t>Background</w:t>
      </w:r>
    </w:p>
    <w:p w14:paraId="3E11D13B" w14:textId="77777777" w:rsidR="008B1AF9" w:rsidRPr="003278CF" w:rsidRDefault="008B1AF9" w:rsidP="003278CF">
      <w:pPr>
        <w:spacing w:line="360" w:lineRule="auto"/>
        <w:jc w:val="both"/>
        <w:rPr>
          <w:rFonts w:ascii="Arial" w:hAnsi="Arial" w:cs="Arial"/>
          <w:sz w:val="22"/>
          <w:szCs w:val="22"/>
        </w:rPr>
      </w:pPr>
      <w:r w:rsidRPr="003278CF">
        <w:rPr>
          <w:rFonts w:ascii="Arial" w:hAnsi="Arial" w:cs="Arial"/>
          <w:sz w:val="22"/>
          <w:szCs w:val="22"/>
        </w:rPr>
        <w:t>Adolescent mental health difficulties are increasing across the United Kingdom, placing increasing pressure on Child and Adolescent Mental Health Services (CAMHS). Despite policy commitments to early intervention and equitable service provision, many adolescents continue to experience structural, socioeconomic and socio-cultural barriers that limit timely access to appropriate mental health care. Understanding these barriers is essential for informing public health policy, social care practice and mental health service delivery, with the aim of reducing inequalities in access to mental health support.</w:t>
      </w:r>
    </w:p>
    <w:p w14:paraId="4C948732" w14:textId="77777777" w:rsidR="008B1AF9" w:rsidRPr="003278CF" w:rsidRDefault="008B1AF9" w:rsidP="003278CF">
      <w:pPr>
        <w:spacing w:line="360" w:lineRule="auto"/>
        <w:jc w:val="both"/>
        <w:rPr>
          <w:rFonts w:ascii="Arial" w:hAnsi="Arial" w:cs="Arial"/>
          <w:b/>
          <w:bCs/>
          <w:sz w:val="22"/>
          <w:szCs w:val="22"/>
        </w:rPr>
      </w:pPr>
      <w:r w:rsidRPr="003278CF">
        <w:rPr>
          <w:rFonts w:ascii="Arial" w:hAnsi="Arial" w:cs="Arial"/>
          <w:b/>
          <w:bCs/>
          <w:sz w:val="22"/>
          <w:szCs w:val="22"/>
        </w:rPr>
        <w:t>Methods</w:t>
      </w:r>
    </w:p>
    <w:p w14:paraId="79135CEE" w14:textId="77777777" w:rsidR="008B1AF9" w:rsidRPr="003278CF" w:rsidRDefault="008B1AF9" w:rsidP="003278CF">
      <w:pPr>
        <w:spacing w:line="360" w:lineRule="auto"/>
        <w:jc w:val="both"/>
        <w:rPr>
          <w:rFonts w:ascii="Arial" w:hAnsi="Arial" w:cs="Arial"/>
          <w:sz w:val="22"/>
          <w:szCs w:val="22"/>
        </w:rPr>
      </w:pPr>
      <w:r w:rsidRPr="003278CF">
        <w:rPr>
          <w:rFonts w:ascii="Arial" w:hAnsi="Arial" w:cs="Arial"/>
          <w:sz w:val="22"/>
          <w:szCs w:val="22"/>
        </w:rPr>
        <w:t>A systematic literature review was undertaken using the Population–Exposure–Outcome (PEO) framework to guide the search strategy. Searches were conducted across six electronic databases and relevant grey literature sources. Following the application of predefined inclusion and exclusion criteria, 10 studies were included in the review. The methodological quality of the included studies was critically appraised using the Critical Appraisal Skills Programme (CASP) Qualitative Checklist and the Coughlan framework. The findings were synthesised using thematic analysis.</w:t>
      </w:r>
    </w:p>
    <w:p w14:paraId="76E11982" w14:textId="77777777" w:rsidR="008B1AF9" w:rsidRPr="003278CF" w:rsidRDefault="008B1AF9" w:rsidP="003278CF">
      <w:pPr>
        <w:spacing w:line="360" w:lineRule="auto"/>
        <w:jc w:val="both"/>
        <w:rPr>
          <w:rFonts w:ascii="Arial" w:hAnsi="Arial" w:cs="Arial"/>
          <w:b/>
          <w:bCs/>
          <w:sz w:val="22"/>
          <w:szCs w:val="22"/>
        </w:rPr>
      </w:pPr>
      <w:r w:rsidRPr="003278CF">
        <w:rPr>
          <w:rFonts w:ascii="Arial" w:hAnsi="Arial" w:cs="Arial"/>
          <w:b/>
          <w:bCs/>
          <w:sz w:val="22"/>
          <w:szCs w:val="22"/>
        </w:rPr>
        <w:t>Results</w:t>
      </w:r>
    </w:p>
    <w:p w14:paraId="349C8497" w14:textId="77777777" w:rsidR="008B1AF9" w:rsidRDefault="008B1AF9" w:rsidP="003278CF">
      <w:pPr>
        <w:spacing w:line="360" w:lineRule="auto"/>
        <w:jc w:val="both"/>
        <w:rPr>
          <w:rFonts w:ascii="Arial" w:hAnsi="Arial" w:cs="Arial"/>
          <w:sz w:val="22"/>
          <w:szCs w:val="22"/>
        </w:rPr>
      </w:pPr>
      <w:r w:rsidRPr="003278CF">
        <w:rPr>
          <w:rFonts w:ascii="Arial" w:hAnsi="Arial" w:cs="Arial"/>
          <w:sz w:val="22"/>
          <w:szCs w:val="22"/>
        </w:rPr>
        <w:t>Three overarching themes were identified: macro-systemic rationing and institutional gatekeeping; socioeconomic stratification and structural determinants; and relational stigma, intersectional vulnerability and distrust. Key barriers included restrictive referral thresholds, long waiting times, workforce shortages, fragmented transitions between Child and Adolescent Mental Health Services (CAMHS) and Adult Mental Health Services (AMHS), geographical inequalities, transport barriers, digital exclusion, stigma, confidentiality concerns and limited cultural responsiveness. Collectively, the findings demonstrated that access to and utilisation of CAMHS are shaped by interacting organisational, socioeconomic and socio-cultural determinants rather than by clinical need alone, creating cumulative barriers and contributing to persistent inequalities in timely access to mental health care.</w:t>
      </w:r>
    </w:p>
    <w:p w14:paraId="65BFA312" w14:textId="77777777" w:rsidR="003278CF" w:rsidRDefault="003278CF" w:rsidP="003278CF">
      <w:pPr>
        <w:spacing w:line="360" w:lineRule="auto"/>
        <w:jc w:val="both"/>
        <w:rPr>
          <w:rFonts w:ascii="Arial" w:hAnsi="Arial" w:cs="Arial"/>
          <w:sz w:val="22"/>
          <w:szCs w:val="22"/>
        </w:rPr>
      </w:pPr>
    </w:p>
    <w:p w14:paraId="3B0969E4" w14:textId="77777777" w:rsidR="003278CF" w:rsidRDefault="003278CF" w:rsidP="003278CF">
      <w:pPr>
        <w:spacing w:line="360" w:lineRule="auto"/>
        <w:jc w:val="both"/>
        <w:rPr>
          <w:rFonts w:ascii="Arial" w:hAnsi="Arial" w:cs="Arial"/>
          <w:sz w:val="22"/>
          <w:szCs w:val="22"/>
        </w:rPr>
      </w:pPr>
    </w:p>
    <w:p w14:paraId="122EDD7D" w14:textId="77777777" w:rsidR="003278CF" w:rsidRDefault="003278CF" w:rsidP="003278CF">
      <w:pPr>
        <w:spacing w:line="360" w:lineRule="auto"/>
        <w:jc w:val="both"/>
        <w:rPr>
          <w:rFonts w:ascii="Arial" w:hAnsi="Arial" w:cs="Arial"/>
          <w:sz w:val="22"/>
          <w:szCs w:val="22"/>
        </w:rPr>
      </w:pPr>
    </w:p>
    <w:p w14:paraId="64BC9BCC" w14:textId="77777777" w:rsidR="003278CF" w:rsidRPr="003278CF" w:rsidRDefault="003278CF" w:rsidP="003278CF">
      <w:pPr>
        <w:spacing w:line="360" w:lineRule="auto"/>
        <w:jc w:val="both"/>
        <w:rPr>
          <w:rFonts w:ascii="Arial" w:hAnsi="Arial" w:cs="Arial"/>
          <w:sz w:val="22"/>
          <w:szCs w:val="22"/>
        </w:rPr>
      </w:pPr>
    </w:p>
    <w:p w14:paraId="73977223" w14:textId="77777777" w:rsidR="008B1AF9" w:rsidRPr="003278CF" w:rsidRDefault="008B1AF9" w:rsidP="003278CF">
      <w:pPr>
        <w:spacing w:line="360" w:lineRule="auto"/>
        <w:jc w:val="both"/>
        <w:rPr>
          <w:rFonts w:ascii="Arial" w:hAnsi="Arial" w:cs="Arial"/>
          <w:b/>
          <w:bCs/>
          <w:sz w:val="22"/>
          <w:szCs w:val="22"/>
        </w:rPr>
      </w:pPr>
      <w:r w:rsidRPr="003278CF">
        <w:rPr>
          <w:rFonts w:ascii="Arial" w:hAnsi="Arial" w:cs="Arial"/>
          <w:b/>
          <w:bCs/>
          <w:sz w:val="22"/>
          <w:szCs w:val="22"/>
        </w:rPr>
        <w:lastRenderedPageBreak/>
        <w:t>Conclusion</w:t>
      </w:r>
    </w:p>
    <w:p w14:paraId="1402AE64" w14:textId="77777777" w:rsidR="008B1AF9" w:rsidRPr="003278CF" w:rsidRDefault="008B1AF9" w:rsidP="003278CF">
      <w:pPr>
        <w:spacing w:line="360" w:lineRule="auto"/>
        <w:jc w:val="both"/>
        <w:rPr>
          <w:rFonts w:ascii="Arial" w:hAnsi="Arial" w:cs="Arial"/>
          <w:sz w:val="22"/>
          <w:szCs w:val="22"/>
        </w:rPr>
      </w:pPr>
      <w:r w:rsidRPr="003278CF">
        <w:rPr>
          <w:rFonts w:ascii="Arial" w:hAnsi="Arial" w:cs="Arial"/>
          <w:sz w:val="22"/>
          <w:szCs w:val="22"/>
        </w:rPr>
        <w:t>This review highlights persistent inequalities in adolescents’ access to CAMHS and demonstrates the need for more inclusive and longitudinal research. It recommends strengthening early intervention through community and school-based mental health services, expanding the CAMHS workforce, improving transitions between child and adult mental health services, promoting culturally responsive practice and reducing socioeconomic barriers to care. Collectively, these measures have the potential to improve equitable access to mental health services, inform public health policy and social care practice, and improve mental health outcomes for adolescents in the United Kingdom.</w:t>
      </w:r>
    </w:p>
    <w:p w14:paraId="6EA7D72D" w14:textId="77777777" w:rsidR="00A046BD" w:rsidRDefault="00A046BD" w:rsidP="00CB7D00"/>
    <w:p w14:paraId="12725A14" w14:textId="77777777" w:rsidR="00A046BD" w:rsidRDefault="00A046BD" w:rsidP="00CB7D00"/>
    <w:p w14:paraId="53B730DB" w14:textId="77777777" w:rsidR="00A046BD" w:rsidRDefault="00A046BD" w:rsidP="00CB7D00"/>
    <w:p w14:paraId="0E312903" w14:textId="77777777" w:rsidR="00A046BD" w:rsidRDefault="00A046BD" w:rsidP="00CB7D00"/>
    <w:p w14:paraId="6854B7E4" w14:textId="77777777" w:rsidR="00A046BD" w:rsidRDefault="00A046BD" w:rsidP="00CB7D00"/>
    <w:p w14:paraId="76CA59C3" w14:textId="77777777" w:rsidR="00A046BD" w:rsidRDefault="00A046BD" w:rsidP="00CB7D00"/>
    <w:p w14:paraId="4AC6CC78" w14:textId="77777777" w:rsidR="00A046BD" w:rsidRDefault="00A046BD" w:rsidP="00CB7D00"/>
    <w:p w14:paraId="368A2D8B" w14:textId="77777777" w:rsidR="00A046BD" w:rsidRDefault="00A046BD" w:rsidP="00CB7D00"/>
    <w:p w14:paraId="5B794719" w14:textId="77777777" w:rsidR="00A046BD" w:rsidRDefault="00A046BD" w:rsidP="00CB7D00"/>
    <w:p w14:paraId="3E8482B6" w14:textId="77777777" w:rsidR="00A046BD" w:rsidRDefault="00A046BD" w:rsidP="00CB7D00"/>
    <w:p w14:paraId="5757072C" w14:textId="77777777" w:rsidR="00A046BD" w:rsidRDefault="00A046BD" w:rsidP="00CB7D00"/>
    <w:p w14:paraId="6236E8AA" w14:textId="77777777" w:rsidR="00A046BD" w:rsidRDefault="00A046BD" w:rsidP="00CB7D00"/>
    <w:p w14:paraId="6A91A28A" w14:textId="77777777" w:rsidR="00A046BD" w:rsidRDefault="00A046BD" w:rsidP="00CB7D00"/>
    <w:p w14:paraId="0344B221" w14:textId="77777777" w:rsidR="00A046BD" w:rsidRDefault="00A046BD" w:rsidP="00CB7D00"/>
    <w:p w14:paraId="232073C6" w14:textId="77777777" w:rsidR="00A046BD" w:rsidRDefault="00A046BD" w:rsidP="00CB7D00"/>
    <w:p w14:paraId="1A69708B" w14:textId="77777777" w:rsidR="00A046BD" w:rsidRDefault="00A046BD" w:rsidP="00CB7D00"/>
    <w:p w14:paraId="14592357" w14:textId="77777777" w:rsidR="00A046BD" w:rsidRDefault="00A046BD" w:rsidP="00CB7D00"/>
    <w:p w14:paraId="2C1FD1BB" w14:textId="77777777" w:rsidR="00A046BD" w:rsidRDefault="00A046BD" w:rsidP="00CB7D00"/>
    <w:p w14:paraId="1B9F1704" w14:textId="77777777" w:rsidR="00A046BD" w:rsidRDefault="00A046BD" w:rsidP="00CB7D00"/>
    <w:p w14:paraId="3A052F86" w14:textId="77777777" w:rsidR="00A046BD" w:rsidRDefault="00A046BD" w:rsidP="00CB7D00"/>
    <w:sdt>
      <w:sdtPr>
        <w:rPr>
          <w:rFonts w:asciiTheme="minorHAnsi" w:eastAsiaTheme="minorHAnsi" w:hAnsiTheme="minorHAnsi" w:cstheme="minorBidi"/>
          <w:color w:val="auto"/>
          <w:kern w:val="2"/>
          <w:sz w:val="24"/>
          <w:szCs w:val="24"/>
          <w:lang w:val="en-GB"/>
          <w14:ligatures w14:val="standardContextual"/>
        </w:rPr>
        <w:id w:val="-1131778562"/>
        <w:docPartObj>
          <w:docPartGallery w:val="Table of Contents"/>
          <w:docPartUnique/>
        </w:docPartObj>
      </w:sdtPr>
      <w:sdtEndPr>
        <w:rPr>
          <w:b/>
          <w:bCs/>
          <w:noProof/>
        </w:rPr>
      </w:sdtEndPr>
      <w:sdtContent>
        <w:p w14:paraId="05A2C234" w14:textId="120ED674" w:rsidR="00A92E9A" w:rsidRDefault="00A92E9A">
          <w:pPr>
            <w:pStyle w:val="TOCHeading"/>
          </w:pPr>
          <w:r>
            <w:t>Contents</w:t>
          </w:r>
        </w:p>
        <w:p w14:paraId="4EBFAC5A" w14:textId="4486F3F1" w:rsidR="00A92E9A" w:rsidRDefault="00A92E9A">
          <w:pPr>
            <w:pStyle w:val="TOC2"/>
            <w:tabs>
              <w:tab w:val="right" w:leader="dot" w:pos="9016"/>
            </w:tabs>
            <w:rPr>
              <w:noProof/>
            </w:rPr>
          </w:pPr>
          <w:r>
            <w:fldChar w:fldCharType="begin"/>
          </w:r>
          <w:r>
            <w:instrText xml:space="preserve"> TOC \o "1-3" \h \z \u </w:instrText>
          </w:r>
          <w:r>
            <w:fldChar w:fldCharType="separate"/>
          </w:r>
          <w:hyperlink w:anchor="_Toc233828669" w:history="1">
            <w:r w:rsidRPr="00B57FE3">
              <w:rPr>
                <w:rStyle w:val="Hyperlink"/>
                <w:noProof/>
              </w:rPr>
              <w:t>CHAPTER ONE</w:t>
            </w:r>
            <w:r>
              <w:rPr>
                <w:noProof/>
                <w:webHidden/>
              </w:rPr>
              <w:tab/>
            </w:r>
            <w:r>
              <w:rPr>
                <w:noProof/>
                <w:webHidden/>
              </w:rPr>
              <w:fldChar w:fldCharType="begin"/>
            </w:r>
            <w:r>
              <w:rPr>
                <w:noProof/>
                <w:webHidden/>
              </w:rPr>
              <w:instrText xml:space="preserve"> PAGEREF _Toc233828669 \h </w:instrText>
            </w:r>
            <w:r>
              <w:rPr>
                <w:noProof/>
                <w:webHidden/>
              </w:rPr>
            </w:r>
            <w:r>
              <w:rPr>
                <w:noProof/>
                <w:webHidden/>
              </w:rPr>
              <w:fldChar w:fldCharType="separate"/>
            </w:r>
            <w:r w:rsidR="000B2F3A">
              <w:rPr>
                <w:noProof/>
                <w:webHidden/>
              </w:rPr>
              <w:t>3</w:t>
            </w:r>
            <w:r>
              <w:rPr>
                <w:noProof/>
                <w:webHidden/>
              </w:rPr>
              <w:fldChar w:fldCharType="end"/>
            </w:r>
          </w:hyperlink>
        </w:p>
        <w:p w14:paraId="2A43E08C" w14:textId="7B9DFA00" w:rsidR="00A92E9A" w:rsidRDefault="00A92E9A">
          <w:pPr>
            <w:pStyle w:val="TOC2"/>
            <w:tabs>
              <w:tab w:val="right" w:leader="dot" w:pos="9016"/>
            </w:tabs>
            <w:rPr>
              <w:noProof/>
            </w:rPr>
          </w:pPr>
          <w:hyperlink w:anchor="_Toc233828670" w:history="1">
            <w:r w:rsidRPr="00B57FE3">
              <w:rPr>
                <w:rStyle w:val="Hyperlink"/>
                <w:noProof/>
              </w:rPr>
              <w:t>1.1 Introduction</w:t>
            </w:r>
            <w:r>
              <w:rPr>
                <w:noProof/>
                <w:webHidden/>
              </w:rPr>
              <w:tab/>
            </w:r>
            <w:r>
              <w:rPr>
                <w:noProof/>
                <w:webHidden/>
              </w:rPr>
              <w:fldChar w:fldCharType="begin"/>
            </w:r>
            <w:r>
              <w:rPr>
                <w:noProof/>
                <w:webHidden/>
              </w:rPr>
              <w:instrText xml:space="preserve"> PAGEREF _Toc233828670 \h </w:instrText>
            </w:r>
            <w:r>
              <w:rPr>
                <w:noProof/>
                <w:webHidden/>
              </w:rPr>
            </w:r>
            <w:r>
              <w:rPr>
                <w:noProof/>
                <w:webHidden/>
              </w:rPr>
              <w:fldChar w:fldCharType="separate"/>
            </w:r>
            <w:r w:rsidR="000B2F3A">
              <w:rPr>
                <w:noProof/>
                <w:webHidden/>
              </w:rPr>
              <w:t>3</w:t>
            </w:r>
            <w:r>
              <w:rPr>
                <w:noProof/>
                <w:webHidden/>
              </w:rPr>
              <w:fldChar w:fldCharType="end"/>
            </w:r>
          </w:hyperlink>
        </w:p>
        <w:p w14:paraId="090A36BA" w14:textId="14A23878" w:rsidR="00A92E9A" w:rsidRDefault="00A92E9A">
          <w:pPr>
            <w:pStyle w:val="TOC2"/>
            <w:tabs>
              <w:tab w:val="right" w:leader="dot" w:pos="9016"/>
            </w:tabs>
            <w:rPr>
              <w:noProof/>
            </w:rPr>
          </w:pPr>
          <w:hyperlink w:anchor="_Toc233828671" w:history="1">
            <w:r w:rsidRPr="00B57FE3">
              <w:rPr>
                <w:rStyle w:val="Hyperlink"/>
                <w:noProof/>
              </w:rPr>
              <w:t>1.2 Background and Current Context</w:t>
            </w:r>
            <w:r>
              <w:rPr>
                <w:noProof/>
                <w:webHidden/>
              </w:rPr>
              <w:tab/>
            </w:r>
            <w:r>
              <w:rPr>
                <w:noProof/>
                <w:webHidden/>
              </w:rPr>
              <w:fldChar w:fldCharType="begin"/>
            </w:r>
            <w:r>
              <w:rPr>
                <w:noProof/>
                <w:webHidden/>
              </w:rPr>
              <w:instrText xml:space="preserve"> PAGEREF _Toc233828671 \h </w:instrText>
            </w:r>
            <w:r>
              <w:rPr>
                <w:noProof/>
                <w:webHidden/>
              </w:rPr>
            </w:r>
            <w:r>
              <w:rPr>
                <w:noProof/>
                <w:webHidden/>
              </w:rPr>
              <w:fldChar w:fldCharType="separate"/>
            </w:r>
            <w:r w:rsidR="000B2F3A">
              <w:rPr>
                <w:noProof/>
                <w:webHidden/>
              </w:rPr>
              <w:t>4</w:t>
            </w:r>
            <w:r>
              <w:rPr>
                <w:noProof/>
                <w:webHidden/>
              </w:rPr>
              <w:fldChar w:fldCharType="end"/>
            </w:r>
          </w:hyperlink>
        </w:p>
        <w:p w14:paraId="67E22535" w14:textId="4382FC97" w:rsidR="00A92E9A" w:rsidRDefault="00A92E9A">
          <w:pPr>
            <w:pStyle w:val="TOC2"/>
            <w:tabs>
              <w:tab w:val="right" w:leader="dot" w:pos="9016"/>
            </w:tabs>
            <w:rPr>
              <w:noProof/>
            </w:rPr>
          </w:pPr>
          <w:hyperlink w:anchor="_Toc233828672" w:history="1">
            <w:r w:rsidRPr="00B57FE3">
              <w:rPr>
                <w:rStyle w:val="Hyperlink"/>
                <w:noProof/>
              </w:rPr>
              <w:t>1.3 Rationale for Research</w:t>
            </w:r>
            <w:r>
              <w:rPr>
                <w:noProof/>
                <w:webHidden/>
              </w:rPr>
              <w:tab/>
            </w:r>
            <w:r>
              <w:rPr>
                <w:noProof/>
                <w:webHidden/>
              </w:rPr>
              <w:fldChar w:fldCharType="begin"/>
            </w:r>
            <w:r>
              <w:rPr>
                <w:noProof/>
                <w:webHidden/>
              </w:rPr>
              <w:instrText xml:space="preserve"> PAGEREF _Toc233828672 \h </w:instrText>
            </w:r>
            <w:r>
              <w:rPr>
                <w:noProof/>
                <w:webHidden/>
              </w:rPr>
            </w:r>
            <w:r>
              <w:rPr>
                <w:noProof/>
                <w:webHidden/>
              </w:rPr>
              <w:fldChar w:fldCharType="separate"/>
            </w:r>
            <w:r w:rsidR="000B2F3A">
              <w:rPr>
                <w:noProof/>
                <w:webHidden/>
              </w:rPr>
              <w:t>6</w:t>
            </w:r>
            <w:r>
              <w:rPr>
                <w:noProof/>
                <w:webHidden/>
              </w:rPr>
              <w:fldChar w:fldCharType="end"/>
            </w:r>
          </w:hyperlink>
        </w:p>
        <w:p w14:paraId="69BA3F76" w14:textId="72478C26" w:rsidR="00A92E9A" w:rsidRDefault="00A92E9A">
          <w:pPr>
            <w:pStyle w:val="TOC2"/>
            <w:tabs>
              <w:tab w:val="right" w:leader="dot" w:pos="9016"/>
            </w:tabs>
            <w:rPr>
              <w:noProof/>
            </w:rPr>
          </w:pPr>
          <w:hyperlink w:anchor="_Toc233828673" w:history="1">
            <w:r w:rsidRPr="00B57FE3">
              <w:rPr>
                <w:rStyle w:val="Hyperlink"/>
                <w:noProof/>
              </w:rPr>
              <w:t>1.4 Research Question</w:t>
            </w:r>
            <w:r>
              <w:rPr>
                <w:noProof/>
                <w:webHidden/>
              </w:rPr>
              <w:tab/>
            </w:r>
            <w:r>
              <w:rPr>
                <w:noProof/>
                <w:webHidden/>
              </w:rPr>
              <w:fldChar w:fldCharType="begin"/>
            </w:r>
            <w:r>
              <w:rPr>
                <w:noProof/>
                <w:webHidden/>
              </w:rPr>
              <w:instrText xml:space="preserve"> PAGEREF _Toc233828673 \h </w:instrText>
            </w:r>
            <w:r>
              <w:rPr>
                <w:noProof/>
                <w:webHidden/>
              </w:rPr>
            </w:r>
            <w:r>
              <w:rPr>
                <w:noProof/>
                <w:webHidden/>
              </w:rPr>
              <w:fldChar w:fldCharType="separate"/>
            </w:r>
            <w:r w:rsidR="000B2F3A">
              <w:rPr>
                <w:noProof/>
                <w:webHidden/>
              </w:rPr>
              <w:t>7</w:t>
            </w:r>
            <w:r>
              <w:rPr>
                <w:noProof/>
                <w:webHidden/>
              </w:rPr>
              <w:fldChar w:fldCharType="end"/>
            </w:r>
          </w:hyperlink>
        </w:p>
        <w:p w14:paraId="29219093" w14:textId="346E5B46" w:rsidR="00A92E9A" w:rsidRDefault="00A92E9A">
          <w:pPr>
            <w:pStyle w:val="TOC2"/>
            <w:tabs>
              <w:tab w:val="right" w:leader="dot" w:pos="9016"/>
            </w:tabs>
            <w:rPr>
              <w:noProof/>
            </w:rPr>
          </w:pPr>
          <w:hyperlink w:anchor="_Toc233828674" w:history="1">
            <w:r w:rsidRPr="00B57FE3">
              <w:rPr>
                <w:rStyle w:val="Hyperlink"/>
                <w:noProof/>
              </w:rPr>
              <w:t>1.5 Research Aim</w:t>
            </w:r>
            <w:r>
              <w:rPr>
                <w:noProof/>
                <w:webHidden/>
              </w:rPr>
              <w:tab/>
            </w:r>
            <w:r>
              <w:rPr>
                <w:noProof/>
                <w:webHidden/>
              </w:rPr>
              <w:fldChar w:fldCharType="begin"/>
            </w:r>
            <w:r>
              <w:rPr>
                <w:noProof/>
                <w:webHidden/>
              </w:rPr>
              <w:instrText xml:space="preserve"> PAGEREF _Toc233828674 \h </w:instrText>
            </w:r>
            <w:r>
              <w:rPr>
                <w:noProof/>
                <w:webHidden/>
              </w:rPr>
            </w:r>
            <w:r>
              <w:rPr>
                <w:noProof/>
                <w:webHidden/>
              </w:rPr>
              <w:fldChar w:fldCharType="separate"/>
            </w:r>
            <w:r w:rsidR="000B2F3A">
              <w:rPr>
                <w:noProof/>
                <w:webHidden/>
              </w:rPr>
              <w:t>7</w:t>
            </w:r>
            <w:r>
              <w:rPr>
                <w:noProof/>
                <w:webHidden/>
              </w:rPr>
              <w:fldChar w:fldCharType="end"/>
            </w:r>
          </w:hyperlink>
        </w:p>
        <w:p w14:paraId="07B410CD" w14:textId="6ED7FEB3" w:rsidR="00A92E9A" w:rsidRDefault="00A92E9A">
          <w:pPr>
            <w:pStyle w:val="TOC2"/>
            <w:tabs>
              <w:tab w:val="right" w:leader="dot" w:pos="9016"/>
            </w:tabs>
            <w:rPr>
              <w:noProof/>
            </w:rPr>
          </w:pPr>
          <w:hyperlink w:anchor="_Toc233828675" w:history="1">
            <w:r w:rsidRPr="00B57FE3">
              <w:rPr>
                <w:rStyle w:val="Hyperlink"/>
                <w:noProof/>
              </w:rPr>
              <w:t>1.6 Research Objectives</w:t>
            </w:r>
            <w:r>
              <w:rPr>
                <w:noProof/>
                <w:webHidden/>
              </w:rPr>
              <w:tab/>
            </w:r>
            <w:r>
              <w:rPr>
                <w:noProof/>
                <w:webHidden/>
              </w:rPr>
              <w:fldChar w:fldCharType="begin"/>
            </w:r>
            <w:r>
              <w:rPr>
                <w:noProof/>
                <w:webHidden/>
              </w:rPr>
              <w:instrText xml:space="preserve"> PAGEREF _Toc233828675 \h </w:instrText>
            </w:r>
            <w:r>
              <w:rPr>
                <w:noProof/>
                <w:webHidden/>
              </w:rPr>
            </w:r>
            <w:r>
              <w:rPr>
                <w:noProof/>
                <w:webHidden/>
              </w:rPr>
              <w:fldChar w:fldCharType="separate"/>
            </w:r>
            <w:r w:rsidR="000B2F3A">
              <w:rPr>
                <w:noProof/>
                <w:webHidden/>
              </w:rPr>
              <w:t>7</w:t>
            </w:r>
            <w:r>
              <w:rPr>
                <w:noProof/>
                <w:webHidden/>
              </w:rPr>
              <w:fldChar w:fldCharType="end"/>
            </w:r>
          </w:hyperlink>
        </w:p>
        <w:p w14:paraId="21F54132" w14:textId="5D47544B" w:rsidR="00A92E9A" w:rsidRDefault="00A92E9A">
          <w:pPr>
            <w:pStyle w:val="TOC2"/>
            <w:tabs>
              <w:tab w:val="right" w:leader="dot" w:pos="9016"/>
            </w:tabs>
            <w:rPr>
              <w:noProof/>
            </w:rPr>
          </w:pPr>
          <w:hyperlink w:anchor="_Toc233828676" w:history="1">
            <w:r w:rsidRPr="00B57FE3">
              <w:rPr>
                <w:rStyle w:val="Hyperlink"/>
                <w:noProof/>
              </w:rPr>
              <w:t>1.7 Chapter Summary</w:t>
            </w:r>
            <w:r>
              <w:rPr>
                <w:noProof/>
                <w:webHidden/>
              </w:rPr>
              <w:tab/>
            </w:r>
            <w:r>
              <w:rPr>
                <w:noProof/>
                <w:webHidden/>
              </w:rPr>
              <w:fldChar w:fldCharType="begin"/>
            </w:r>
            <w:r>
              <w:rPr>
                <w:noProof/>
                <w:webHidden/>
              </w:rPr>
              <w:instrText xml:space="preserve"> PAGEREF _Toc233828676 \h </w:instrText>
            </w:r>
            <w:r>
              <w:rPr>
                <w:noProof/>
                <w:webHidden/>
              </w:rPr>
            </w:r>
            <w:r>
              <w:rPr>
                <w:noProof/>
                <w:webHidden/>
              </w:rPr>
              <w:fldChar w:fldCharType="separate"/>
            </w:r>
            <w:r w:rsidR="000B2F3A">
              <w:rPr>
                <w:noProof/>
                <w:webHidden/>
              </w:rPr>
              <w:t>8</w:t>
            </w:r>
            <w:r>
              <w:rPr>
                <w:noProof/>
                <w:webHidden/>
              </w:rPr>
              <w:fldChar w:fldCharType="end"/>
            </w:r>
          </w:hyperlink>
        </w:p>
        <w:p w14:paraId="58D2E1E5" w14:textId="183F6CAB" w:rsidR="00A92E9A" w:rsidRDefault="00A92E9A">
          <w:pPr>
            <w:pStyle w:val="TOC1"/>
            <w:tabs>
              <w:tab w:val="right" w:leader="dot" w:pos="9016"/>
            </w:tabs>
            <w:rPr>
              <w:noProof/>
            </w:rPr>
          </w:pPr>
          <w:hyperlink w:anchor="_Toc233828677" w:history="1">
            <w:r w:rsidRPr="00B57FE3">
              <w:rPr>
                <w:rStyle w:val="Hyperlink"/>
                <w:noProof/>
              </w:rPr>
              <w:t>CHAPTER TWO</w:t>
            </w:r>
            <w:r>
              <w:rPr>
                <w:noProof/>
                <w:webHidden/>
              </w:rPr>
              <w:tab/>
            </w:r>
            <w:r>
              <w:rPr>
                <w:noProof/>
                <w:webHidden/>
              </w:rPr>
              <w:fldChar w:fldCharType="begin"/>
            </w:r>
            <w:r>
              <w:rPr>
                <w:noProof/>
                <w:webHidden/>
              </w:rPr>
              <w:instrText xml:space="preserve"> PAGEREF _Toc233828677 \h </w:instrText>
            </w:r>
            <w:r>
              <w:rPr>
                <w:noProof/>
                <w:webHidden/>
              </w:rPr>
            </w:r>
            <w:r>
              <w:rPr>
                <w:noProof/>
                <w:webHidden/>
              </w:rPr>
              <w:fldChar w:fldCharType="separate"/>
            </w:r>
            <w:r w:rsidR="000B2F3A">
              <w:rPr>
                <w:noProof/>
                <w:webHidden/>
              </w:rPr>
              <w:t>8</w:t>
            </w:r>
            <w:r>
              <w:rPr>
                <w:noProof/>
                <w:webHidden/>
              </w:rPr>
              <w:fldChar w:fldCharType="end"/>
            </w:r>
          </w:hyperlink>
        </w:p>
        <w:p w14:paraId="2D30FA04" w14:textId="18D87308" w:rsidR="00A92E9A" w:rsidRDefault="00A92E9A">
          <w:pPr>
            <w:pStyle w:val="TOC2"/>
            <w:tabs>
              <w:tab w:val="right" w:leader="dot" w:pos="9016"/>
            </w:tabs>
            <w:rPr>
              <w:noProof/>
            </w:rPr>
          </w:pPr>
          <w:hyperlink w:anchor="_Toc233828678" w:history="1">
            <w:r w:rsidRPr="00B57FE3">
              <w:rPr>
                <w:rStyle w:val="Hyperlink"/>
                <w:noProof/>
              </w:rPr>
              <w:t>2.1 Introduction to Literature Review Chapter</w:t>
            </w:r>
            <w:r>
              <w:rPr>
                <w:noProof/>
                <w:webHidden/>
              </w:rPr>
              <w:tab/>
            </w:r>
            <w:r>
              <w:rPr>
                <w:noProof/>
                <w:webHidden/>
              </w:rPr>
              <w:fldChar w:fldCharType="begin"/>
            </w:r>
            <w:r>
              <w:rPr>
                <w:noProof/>
                <w:webHidden/>
              </w:rPr>
              <w:instrText xml:space="preserve"> PAGEREF _Toc233828678 \h </w:instrText>
            </w:r>
            <w:r>
              <w:rPr>
                <w:noProof/>
                <w:webHidden/>
              </w:rPr>
            </w:r>
            <w:r>
              <w:rPr>
                <w:noProof/>
                <w:webHidden/>
              </w:rPr>
              <w:fldChar w:fldCharType="separate"/>
            </w:r>
            <w:r w:rsidR="000B2F3A">
              <w:rPr>
                <w:noProof/>
                <w:webHidden/>
              </w:rPr>
              <w:t>8</w:t>
            </w:r>
            <w:r>
              <w:rPr>
                <w:noProof/>
                <w:webHidden/>
              </w:rPr>
              <w:fldChar w:fldCharType="end"/>
            </w:r>
          </w:hyperlink>
        </w:p>
        <w:p w14:paraId="4AF42D8A" w14:textId="1EC8B060" w:rsidR="00A92E9A" w:rsidRDefault="00A92E9A">
          <w:pPr>
            <w:pStyle w:val="TOC2"/>
            <w:tabs>
              <w:tab w:val="right" w:leader="dot" w:pos="9016"/>
            </w:tabs>
            <w:rPr>
              <w:noProof/>
            </w:rPr>
          </w:pPr>
          <w:hyperlink w:anchor="_Toc233828679" w:history="1">
            <w:r w:rsidRPr="00B57FE3">
              <w:rPr>
                <w:rStyle w:val="Hyperlink"/>
                <w:noProof/>
              </w:rPr>
              <w:t>2.2.1 Scope, Volume and Nature of Existing Research</w:t>
            </w:r>
            <w:r>
              <w:rPr>
                <w:noProof/>
                <w:webHidden/>
              </w:rPr>
              <w:tab/>
            </w:r>
            <w:r>
              <w:rPr>
                <w:noProof/>
                <w:webHidden/>
              </w:rPr>
              <w:fldChar w:fldCharType="begin"/>
            </w:r>
            <w:r>
              <w:rPr>
                <w:noProof/>
                <w:webHidden/>
              </w:rPr>
              <w:instrText xml:space="preserve"> PAGEREF _Toc233828679 \h </w:instrText>
            </w:r>
            <w:r>
              <w:rPr>
                <w:noProof/>
                <w:webHidden/>
              </w:rPr>
            </w:r>
            <w:r>
              <w:rPr>
                <w:noProof/>
                <w:webHidden/>
              </w:rPr>
              <w:fldChar w:fldCharType="separate"/>
            </w:r>
            <w:r w:rsidR="000B2F3A">
              <w:rPr>
                <w:noProof/>
                <w:webHidden/>
              </w:rPr>
              <w:t>9</w:t>
            </w:r>
            <w:r>
              <w:rPr>
                <w:noProof/>
                <w:webHidden/>
              </w:rPr>
              <w:fldChar w:fldCharType="end"/>
            </w:r>
          </w:hyperlink>
        </w:p>
        <w:p w14:paraId="1483E8EB" w14:textId="1FC5B036" w:rsidR="00A92E9A" w:rsidRDefault="00A92E9A">
          <w:pPr>
            <w:pStyle w:val="TOC2"/>
            <w:tabs>
              <w:tab w:val="right" w:leader="dot" w:pos="9016"/>
            </w:tabs>
            <w:rPr>
              <w:noProof/>
            </w:rPr>
          </w:pPr>
          <w:hyperlink w:anchor="_Toc233828680" w:history="1">
            <w:r w:rsidRPr="00B57FE3">
              <w:rPr>
                <w:rStyle w:val="Hyperlink"/>
                <w:noProof/>
              </w:rPr>
              <w:t>2.2.2 Structural and Systemic Capacity Barriers</w:t>
            </w:r>
            <w:r>
              <w:rPr>
                <w:noProof/>
                <w:webHidden/>
              </w:rPr>
              <w:tab/>
            </w:r>
            <w:r>
              <w:rPr>
                <w:noProof/>
                <w:webHidden/>
              </w:rPr>
              <w:fldChar w:fldCharType="begin"/>
            </w:r>
            <w:r>
              <w:rPr>
                <w:noProof/>
                <w:webHidden/>
              </w:rPr>
              <w:instrText xml:space="preserve"> PAGEREF _Toc233828680 \h </w:instrText>
            </w:r>
            <w:r>
              <w:rPr>
                <w:noProof/>
                <w:webHidden/>
              </w:rPr>
            </w:r>
            <w:r>
              <w:rPr>
                <w:noProof/>
                <w:webHidden/>
              </w:rPr>
              <w:fldChar w:fldCharType="separate"/>
            </w:r>
            <w:r w:rsidR="000B2F3A">
              <w:rPr>
                <w:noProof/>
                <w:webHidden/>
              </w:rPr>
              <w:t>10</w:t>
            </w:r>
            <w:r>
              <w:rPr>
                <w:noProof/>
                <w:webHidden/>
              </w:rPr>
              <w:fldChar w:fldCharType="end"/>
            </w:r>
          </w:hyperlink>
        </w:p>
        <w:p w14:paraId="238B346C" w14:textId="42061E6B" w:rsidR="00A92E9A" w:rsidRDefault="00A92E9A">
          <w:pPr>
            <w:pStyle w:val="TOC2"/>
            <w:tabs>
              <w:tab w:val="right" w:leader="dot" w:pos="9016"/>
            </w:tabs>
            <w:rPr>
              <w:noProof/>
            </w:rPr>
          </w:pPr>
          <w:hyperlink w:anchor="_Toc233828681" w:history="1">
            <w:r w:rsidRPr="00B57FE3">
              <w:rPr>
                <w:rStyle w:val="Hyperlink"/>
                <w:noProof/>
              </w:rPr>
              <w:t>2.2.3 Socio-Cultural and Individual-Level Deterrents</w:t>
            </w:r>
            <w:r>
              <w:rPr>
                <w:noProof/>
                <w:webHidden/>
              </w:rPr>
              <w:tab/>
            </w:r>
            <w:r>
              <w:rPr>
                <w:noProof/>
                <w:webHidden/>
              </w:rPr>
              <w:fldChar w:fldCharType="begin"/>
            </w:r>
            <w:r>
              <w:rPr>
                <w:noProof/>
                <w:webHidden/>
              </w:rPr>
              <w:instrText xml:space="preserve"> PAGEREF _Toc233828681 \h </w:instrText>
            </w:r>
            <w:r>
              <w:rPr>
                <w:noProof/>
                <w:webHidden/>
              </w:rPr>
            </w:r>
            <w:r>
              <w:rPr>
                <w:noProof/>
                <w:webHidden/>
              </w:rPr>
              <w:fldChar w:fldCharType="separate"/>
            </w:r>
            <w:r w:rsidR="000B2F3A">
              <w:rPr>
                <w:noProof/>
                <w:webHidden/>
              </w:rPr>
              <w:t>11</w:t>
            </w:r>
            <w:r>
              <w:rPr>
                <w:noProof/>
                <w:webHidden/>
              </w:rPr>
              <w:fldChar w:fldCharType="end"/>
            </w:r>
          </w:hyperlink>
        </w:p>
        <w:p w14:paraId="2E66DDCA" w14:textId="7B313F45" w:rsidR="00A92E9A" w:rsidRDefault="00A92E9A">
          <w:pPr>
            <w:pStyle w:val="TOC2"/>
            <w:tabs>
              <w:tab w:val="right" w:leader="dot" w:pos="9016"/>
            </w:tabs>
            <w:rPr>
              <w:noProof/>
            </w:rPr>
          </w:pPr>
          <w:hyperlink w:anchor="_Toc233828682" w:history="1">
            <w:r w:rsidRPr="00B57FE3">
              <w:rPr>
                <w:rStyle w:val="Hyperlink"/>
                <w:noProof/>
              </w:rPr>
              <w:t>2.2.4 Intersectionality and Geographic Disparities</w:t>
            </w:r>
            <w:r>
              <w:rPr>
                <w:noProof/>
                <w:webHidden/>
              </w:rPr>
              <w:tab/>
            </w:r>
            <w:r>
              <w:rPr>
                <w:noProof/>
                <w:webHidden/>
              </w:rPr>
              <w:fldChar w:fldCharType="begin"/>
            </w:r>
            <w:r>
              <w:rPr>
                <w:noProof/>
                <w:webHidden/>
              </w:rPr>
              <w:instrText xml:space="preserve"> PAGEREF _Toc233828682 \h </w:instrText>
            </w:r>
            <w:r>
              <w:rPr>
                <w:noProof/>
                <w:webHidden/>
              </w:rPr>
            </w:r>
            <w:r>
              <w:rPr>
                <w:noProof/>
                <w:webHidden/>
              </w:rPr>
              <w:fldChar w:fldCharType="separate"/>
            </w:r>
            <w:r w:rsidR="000B2F3A">
              <w:rPr>
                <w:noProof/>
                <w:webHidden/>
              </w:rPr>
              <w:t>12</w:t>
            </w:r>
            <w:r>
              <w:rPr>
                <w:noProof/>
                <w:webHidden/>
              </w:rPr>
              <w:fldChar w:fldCharType="end"/>
            </w:r>
          </w:hyperlink>
        </w:p>
        <w:p w14:paraId="3B575DF5" w14:textId="7D2557C7" w:rsidR="00A92E9A" w:rsidRDefault="00A92E9A">
          <w:pPr>
            <w:pStyle w:val="TOC2"/>
            <w:tabs>
              <w:tab w:val="right" w:leader="dot" w:pos="9016"/>
            </w:tabs>
            <w:rPr>
              <w:noProof/>
            </w:rPr>
          </w:pPr>
          <w:hyperlink w:anchor="_Toc233828683" w:history="1">
            <w:r w:rsidRPr="00B57FE3">
              <w:rPr>
                <w:rStyle w:val="Hyperlink"/>
                <w:noProof/>
              </w:rPr>
              <w:t>2.2.5 Methodological Critique of Previous Research</w:t>
            </w:r>
            <w:r>
              <w:rPr>
                <w:noProof/>
                <w:webHidden/>
              </w:rPr>
              <w:tab/>
            </w:r>
            <w:r>
              <w:rPr>
                <w:noProof/>
                <w:webHidden/>
              </w:rPr>
              <w:fldChar w:fldCharType="begin"/>
            </w:r>
            <w:r>
              <w:rPr>
                <w:noProof/>
                <w:webHidden/>
              </w:rPr>
              <w:instrText xml:space="preserve"> PAGEREF _Toc233828683 \h </w:instrText>
            </w:r>
            <w:r>
              <w:rPr>
                <w:noProof/>
                <w:webHidden/>
              </w:rPr>
            </w:r>
            <w:r>
              <w:rPr>
                <w:noProof/>
                <w:webHidden/>
              </w:rPr>
              <w:fldChar w:fldCharType="separate"/>
            </w:r>
            <w:r w:rsidR="000B2F3A">
              <w:rPr>
                <w:noProof/>
                <w:webHidden/>
              </w:rPr>
              <w:t>13</w:t>
            </w:r>
            <w:r>
              <w:rPr>
                <w:noProof/>
                <w:webHidden/>
              </w:rPr>
              <w:fldChar w:fldCharType="end"/>
            </w:r>
          </w:hyperlink>
        </w:p>
        <w:p w14:paraId="21BC5619" w14:textId="12BC8392" w:rsidR="00A92E9A" w:rsidRDefault="00A92E9A">
          <w:pPr>
            <w:pStyle w:val="TOC2"/>
            <w:tabs>
              <w:tab w:val="right" w:leader="dot" w:pos="9016"/>
            </w:tabs>
            <w:rPr>
              <w:noProof/>
            </w:rPr>
          </w:pPr>
          <w:hyperlink w:anchor="_Toc233828684" w:history="1">
            <w:r w:rsidRPr="00B57FE3">
              <w:rPr>
                <w:rStyle w:val="Hyperlink"/>
                <w:noProof/>
              </w:rPr>
              <w:t>2.2.6 Identification of Gaps and Justification of Current Approach</w:t>
            </w:r>
            <w:r>
              <w:rPr>
                <w:noProof/>
                <w:webHidden/>
              </w:rPr>
              <w:tab/>
            </w:r>
            <w:r>
              <w:rPr>
                <w:noProof/>
                <w:webHidden/>
              </w:rPr>
              <w:fldChar w:fldCharType="begin"/>
            </w:r>
            <w:r>
              <w:rPr>
                <w:noProof/>
                <w:webHidden/>
              </w:rPr>
              <w:instrText xml:space="preserve"> PAGEREF _Toc233828684 \h </w:instrText>
            </w:r>
            <w:r>
              <w:rPr>
                <w:noProof/>
                <w:webHidden/>
              </w:rPr>
            </w:r>
            <w:r>
              <w:rPr>
                <w:noProof/>
                <w:webHidden/>
              </w:rPr>
              <w:fldChar w:fldCharType="separate"/>
            </w:r>
            <w:r w:rsidR="000B2F3A">
              <w:rPr>
                <w:noProof/>
                <w:webHidden/>
              </w:rPr>
              <w:t>15</w:t>
            </w:r>
            <w:r>
              <w:rPr>
                <w:noProof/>
                <w:webHidden/>
              </w:rPr>
              <w:fldChar w:fldCharType="end"/>
            </w:r>
          </w:hyperlink>
        </w:p>
        <w:p w14:paraId="513FCB9B" w14:textId="3BA6B2FE" w:rsidR="00A92E9A" w:rsidRDefault="00A92E9A">
          <w:pPr>
            <w:pStyle w:val="TOC2"/>
            <w:tabs>
              <w:tab w:val="right" w:leader="dot" w:pos="9016"/>
            </w:tabs>
            <w:rPr>
              <w:noProof/>
            </w:rPr>
          </w:pPr>
          <w:hyperlink w:anchor="_Toc233828685" w:history="1">
            <w:r w:rsidRPr="00B57FE3">
              <w:rPr>
                <w:rStyle w:val="Hyperlink"/>
                <w:noProof/>
              </w:rPr>
              <w:t>2.3 Chapter Summary</w:t>
            </w:r>
            <w:r>
              <w:rPr>
                <w:noProof/>
                <w:webHidden/>
              </w:rPr>
              <w:tab/>
            </w:r>
            <w:r>
              <w:rPr>
                <w:noProof/>
                <w:webHidden/>
              </w:rPr>
              <w:fldChar w:fldCharType="begin"/>
            </w:r>
            <w:r>
              <w:rPr>
                <w:noProof/>
                <w:webHidden/>
              </w:rPr>
              <w:instrText xml:space="preserve"> PAGEREF _Toc233828685 \h </w:instrText>
            </w:r>
            <w:r>
              <w:rPr>
                <w:noProof/>
                <w:webHidden/>
              </w:rPr>
            </w:r>
            <w:r>
              <w:rPr>
                <w:noProof/>
                <w:webHidden/>
              </w:rPr>
              <w:fldChar w:fldCharType="separate"/>
            </w:r>
            <w:r w:rsidR="000B2F3A">
              <w:rPr>
                <w:noProof/>
                <w:webHidden/>
              </w:rPr>
              <w:t>16</w:t>
            </w:r>
            <w:r>
              <w:rPr>
                <w:noProof/>
                <w:webHidden/>
              </w:rPr>
              <w:fldChar w:fldCharType="end"/>
            </w:r>
          </w:hyperlink>
        </w:p>
        <w:p w14:paraId="1772E0F0" w14:textId="3F08602F" w:rsidR="00A92E9A" w:rsidRDefault="00A92E9A">
          <w:pPr>
            <w:pStyle w:val="TOC1"/>
            <w:tabs>
              <w:tab w:val="right" w:leader="dot" w:pos="9016"/>
            </w:tabs>
            <w:rPr>
              <w:noProof/>
            </w:rPr>
          </w:pPr>
          <w:hyperlink w:anchor="_Toc233828686" w:history="1">
            <w:r w:rsidRPr="00B57FE3">
              <w:rPr>
                <w:rStyle w:val="Hyperlink"/>
                <w:noProof/>
              </w:rPr>
              <w:t>CHAPTER 3</w:t>
            </w:r>
            <w:r>
              <w:rPr>
                <w:noProof/>
                <w:webHidden/>
              </w:rPr>
              <w:tab/>
            </w:r>
            <w:r>
              <w:rPr>
                <w:noProof/>
                <w:webHidden/>
              </w:rPr>
              <w:fldChar w:fldCharType="begin"/>
            </w:r>
            <w:r>
              <w:rPr>
                <w:noProof/>
                <w:webHidden/>
              </w:rPr>
              <w:instrText xml:space="preserve"> PAGEREF _Toc233828686 \h </w:instrText>
            </w:r>
            <w:r>
              <w:rPr>
                <w:noProof/>
                <w:webHidden/>
              </w:rPr>
            </w:r>
            <w:r>
              <w:rPr>
                <w:noProof/>
                <w:webHidden/>
              </w:rPr>
              <w:fldChar w:fldCharType="separate"/>
            </w:r>
            <w:r w:rsidR="000B2F3A">
              <w:rPr>
                <w:noProof/>
                <w:webHidden/>
              </w:rPr>
              <w:t>16</w:t>
            </w:r>
            <w:r>
              <w:rPr>
                <w:noProof/>
                <w:webHidden/>
              </w:rPr>
              <w:fldChar w:fldCharType="end"/>
            </w:r>
          </w:hyperlink>
        </w:p>
        <w:p w14:paraId="2D2C12AF" w14:textId="313F3BFC" w:rsidR="00A92E9A" w:rsidRDefault="00A92E9A">
          <w:pPr>
            <w:pStyle w:val="TOC2"/>
            <w:tabs>
              <w:tab w:val="right" w:leader="dot" w:pos="9016"/>
            </w:tabs>
            <w:rPr>
              <w:noProof/>
            </w:rPr>
          </w:pPr>
          <w:hyperlink w:anchor="_Toc233828687" w:history="1">
            <w:r w:rsidRPr="00B57FE3">
              <w:rPr>
                <w:rStyle w:val="Hyperlink"/>
                <w:noProof/>
              </w:rPr>
              <w:t>3.1 Introduction</w:t>
            </w:r>
            <w:r>
              <w:rPr>
                <w:noProof/>
                <w:webHidden/>
              </w:rPr>
              <w:tab/>
            </w:r>
            <w:r>
              <w:rPr>
                <w:noProof/>
                <w:webHidden/>
              </w:rPr>
              <w:fldChar w:fldCharType="begin"/>
            </w:r>
            <w:r>
              <w:rPr>
                <w:noProof/>
                <w:webHidden/>
              </w:rPr>
              <w:instrText xml:space="preserve"> PAGEREF _Toc233828687 \h </w:instrText>
            </w:r>
            <w:r>
              <w:rPr>
                <w:noProof/>
                <w:webHidden/>
              </w:rPr>
            </w:r>
            <w:r>
              <w:rPr>
                <w:noProof/>
                <w:webHidden/>
              </w:rPr>
              <w:fldChar w:fldCharType="separate"/>
            </w:r>
            <w:r w:rsidR="000B2F3A">
              <w:rPr>
                <w:noProof/>
                <w:webHidden/>
              </w:rPr>
              <w:t>16</w:t>
            </w:r>
            <w:r>
              <w:rPr>
                <w:noProof/>
                <w:webHidden/>
              </w:rPr>
              <w:fldChar w:fldCharType="end"/>
            </w:r>
          </w:hyperlink>
        </w:p>
        <w:p w14:paraId="0ED57F98" w14:textId="5A830BDB" w:rsidR="00A92E9A" w:rsidRDefault="00A92E9A">
          <w:pPr>
            <w:pStyle w:val="TOC2"/>
            <w:tabs>
              <w:tab w:val="right" w:leader="dot" w:pos="9016"/>
            </w:tabs>
            <w:rPr>
              <w:noProof/>
            </w:rPr>
          </w:pPr>
          <w:hyperlink w:anchor="_Toc233828688" w:history="1">
            <w:r w:rsidRPr="00B57FE3">
              <w:rPr>
                <w:rStyle w:val="Hyperlink"/>
                <w:noProof/>
              </w:rPr>
              <w:t>3.2 Systematic Literature Review (SLR)</w:t>
            </w:r>
            <w:r>
              <w:rPr>
                <w:noProof/>
                <w:webHidden/>
              </w:rPr>
              <w:tab/>
            </w:r>
            <w:r>
              <w:rPr>
                <w:noProof/>
                <w:webHidden/>
              </w:rPr>
              <w:fldChar w:fldCharType="begin"/>
            </w:r>
            <w:r>
              <w:rPr>
                <w:noProof/>
                <w:webHidden/>
              </w:rPr>
              <w:instrText xml:space="preserve"> PAGEREF _Toc233828688 \h </w:instrText>
            </w:r>
            <w:r>
              <w:rPr>
                <w:noProof/>
                <w:webHidden/>
              </w:rPr>
            </w:r>
            <w:r>
              <w:rPr>
                <w:noProof/>
                <w:webHidden/>
              </w:rPr>
              <w:fldChar w:fldCharType="separate"/>
            </w:r>
            <w:r w:rsidR="000B2F3A">
              <w:rPr>
                <w:noProof/>
                <w:webHidden/>
              </w:rPr>
              <w:t>17</w:t>
            </w:r>
            <w:r>
              <w:rPr>
                <w:noProof/>
                <w:webHidden/>
              </w:rPr>
              <w:fldChar w:fldCharType="end"/>
            </w:r>
          </w:hyperlink>
        </w:p>
        <w:p w14:paraId="2F8CB0A7" w14:textId="495F6279" w:rsidR="00A92E9A" w:rsidRDefault="00A92E9A">
          <w:pPr>
            <w:pStyle w:val="TOC2"/>
            <w:tabs>
              <w:tab w:val="right" w:leader="dot" w:pos="9016"/>
            </w:tabs>
            <w:rPr>
              <w:noProof/>
            </w:rPr>
          </w:pPr>
          <w:hyperlink w:anchor="_Toc233828689" w:history="1">
            <w:r w:rsidRPr="00B57FE3">
              <w:rPr>
                <w:rStyle w:val="Hyperlink"/>
                <w:noProof/>
              </w:rPr>
              <w:t>3.3 Search Strategy</w:t>
            </w:r>
            <w:r>
              <w:rPr>
                <w:noProof/>
                <w:webHidden/>
              </w:rPr>
              <w:tab/>
            </w:r>
            <w:r>
              <w:rPr>
                <w:noProof/>
                <w:webHidden/>
              </w:rPr>
              <w:fldChar w:fldCharType="begin"/>
            </w:r>
            <w:r>
              <w:rPr>
                <w:noProof/>
                <w:webHidden/>
              </w:rPr>
              <w:instrText xml:space="preserve"> PAGEREF _Toc233828689 \h </w:instrText>
            </w:r>
            <w:r>
              <w:rPr>
                <w:noProof/>
                <w:webHidden/>
              </w:rPr>
            </w:r>
            <w:r>
              <w:rPr>
                <w:noProof/>
                <w:webHidden/>
              </w:rPr>
              <w:fldChar w:fldCharType="separate"/>
            </w:r>
            <w:r w:rsidR="000B2F3A">
              <w:rPr>
                <w:noProof/>
                <w:webHidden/>
              </w:rPr>
              <w:t>17</w:t>
            </w:r>
            <w:r>
              <w:rPr>
                <w:noProof/>
                <w:webHidden/>
              </w:rPr>
              <w:fldChar w:fldCharType="end"/>
            </w:r>
          </w:hyperlink>
        </w:p>
        <w:p w14:paraId="4361C69E" w14:textId="34FAB8A0" w:rsidR="00A92E9A" w:rsidRDefault="00A92E9A">
          <w:pPr>
            <w:pStyle w:val="TOC2"/>
            <w:tabs>
              <w:tab w:val="right" w:leader="dot" w:pos="9016"/>
            </w:tabs>
            <w:rPr>
              <w:noProof/>
            </w:rPr>
          </w:pPr>
          <w:hyperlink w:anchor="_Toc233828690" w:history="1">
            <w:r w:rsidRPr="00B57FE3">
              <w:rPr>
                <w:rStyle w:val="Hyperlink"/>
                <w:noProof/>
              </w:rPr>
              <w:t>3.4 Search Terms</w:t>
            </w:r>
            <w:r>
              <w:rPr>
                <w:noProof/>
                <w:webHidden/>
              </w:rPr>
              <w:tab/>
            </w:r>
            <w:r>
              <w:rPr>
                <w:noProof/>
                <w:webHidden/>
              </w:rPr>
              <w:fldChar w:fldCharType="begin"/>
            </w:r>
            <w:r>
              <w:rPr>
                <w:noProof/>
                <w:webHidden/>
              </w:rPr>
              <w:instrText xml:space="preserve"> PAGEREF _Toc233828690 \h </w:instrText>
            </w:r>
            <w:r>
              <w:rPr>
                <w:noProof/>
                <w:webHidden/>
              </w:rPr>
            </w:r>
            <w:r>
              <w:rPr>
                <w:noProof/>
                <w:webHidden/>
              </w:rPr>
              <w:fldChar w:fldCharType="separate"/>
            </w:r>
            <w:r w:rsidR="000B2F3A">
              <w:rPr>
                <w:noProof/>
                <w:webHidden/>
              </w:rPr>
              <w:t>17</w:t>
            </w:r>
            <w:r>
              <w:rPr>
                <w:noProof/>
                <w:webHidden/>
              </w:rPr>
              <w:fldChar w:fldCharType="end"/>
            </w:r>
          </w:hyperlink>
        </w:p>
        <w:p w14:paraId="190D6DF9" w14:textId="68F5FBA4" w:rsidR="00A92E9A" w:rsidRDefault="00A92E9A">
          <w:pPr>
            <w:pStyle w:val="TOC2"/>
            <w:tabs>
              <w:tab w:val="right" w:leader="dot" w:pos="9016"/>
            </w:tabs>
            <w:rPr>
              <w:noProof/>
            </w:rPr>
          </w:pPr>
          <w:hyperlink w:anchor="_Toc233828691" w:history="1">
            <w:r w:rsidRPr="00B57FE3">
              <w:rPr>
                <w:rStyle w:val="Hyperlink"/>
                <w:noProof/>
              </w:rPr>
              <w:t>3.5 Key Words</w:t>
            </w:r>
            <w:r>
              <w:rPr>
                <w:noProof/>
                <w:webHidden/>
              </w:rPr>
              <w:tab/>
            </w:r>
            <w:r>
              <w:rPr>
                <w:noProof/>
                <w:webHidden/>
              </w:rPr>
              <w:fldChar w:fldCharType="begin"/>
            </w:r>
            <w:r>
              <w:rPr>
                <w:noProof/>
                <w:webHidden/>
              </w:rPr>
              <w:instrText xml:space="preserve"> PAGEREF _Toc233828691 \h </w:instrText>
            </w:r>
            <w:r>
              <w:rPr>
                <w:noProof/>
                <w:webHidden/>
              </w:rPr>
            </w:r>
            <w:r>
              <w:rPr>
                <w:noProof/>
                <w:webHidden/>
              </w:rPr>
              <w:fldChar w:fldCharType="separate"/>
            </w:r>
            <w:r w:rsidR="000B2F3A">
              <w:rPr>
                <w:noProof/>
                <w:webHidden/>
              </w:rPr>
              <w:t>20</w:t>
            </w:r>
            <w:r>
              <w:rPr>
                <w:noProof/>
                <w:webHidden/>
              </w:rPr>
              <w:fldChar w:fldCharType="end"/>
            </w:r>
          </w:hyperlink>
        </w:p>
        <w:p w14:paraId="3340A361" w14:textId="541A0412" w:rsidR="00A92E9A" w:rsidRDefault="00A92E9A">
          <w:pPr>
            <w:pStyle w:val="TOC2"/>
            <w:tabs>
              <w:tab w:val="right" w:leader="dot" w:pos="9016"/>
            </w:tabs>
            <w:rPr>
              <w:noProof/>
            </w:rPr>
          </w:pPr>
          <w:hyperlink w:anchor="_Toc233828692" w:history="1">
            <w:r w:rsidRPr="00B57FE3">
              <w:rPr>
                <w:rStyle w:val="Hyperlink"/>
                <w:noProof/>
              </w:rPr>
              <w:t>3.6 Databases</w:t>
            </w:r>
            <w:r>
              <w:rPr>
                <w:noProof/>
                <w:webHidden/>
              </w:rPr>
              <w:tab/>
            </w:r>
            <w:r>
              <w:rPr>
                <w:noProof/>
                <w:webHidden/>
              </w:rPr>
              <w:fldChar w:fldCharType="begin"/>
            </w:r>
            <w:r>
              <w:rPr>
                <w:noProof/>
                <w:webHidden/>
              </w:rPr>
              <w:instrText xml:space="preserve"> PAGEREF _Toc233828692 \h </w:instrText>
            </w:r>
            <w:r>
              <w:rPr>
                <w:noProof/>
                <w:webHidden/>
              </w:rPr>
            </w:r>
            <w:r>
              <w:rPr>
                <w:noProof/>
                <w:webHidden/>
              </w:rPr>
              <w:fldChar w:fldCharType="separate"/>
            </w:r>
            <w:r w:rsidR="000B2F3A">
              <w:rPr>
                <w:noProof/>
                <w:webHidden/>
              </w:rPr>
              <w:t>20</w:t>
            </w:r>
            <w:r>
              <w:rPr>
                <w:noProof/>
                <w:webHidden/>
              </w:rPr>
              <w:fldChar w:fldCharType="end"/>
            </w:r>
          </w:hyperlink>
        </w:p>
        <w:p w14:paraId="51C88360" w14:textId="769CE9E9" w:rsidR="00A92E9A" w:rsidRDefault="00A92E9A">
          <w:pPr>
            <w:pStyle w:val="TOC2"/>
            <w:tabs>
              <w:tab w:val="right" w:leader="dot" w:pos="9016"/>
            </w:tabs>
            <w:rPr>
              <w:noProof/>
            </w:rPr>
          </w:pPr>
          <w:hyperlink w:anchor="_Toc233828693" w:history="1">
            <w:r w:rsidRPr="00B57FE3">
              <w:rPr>
                <w:rStyle w:val="Hyperlink"/>
                <w:noProof/>
              </w:rPr>
              <w:t>3.7 Inclusion and Exclusion Criteria</w:t>
            </w:r>
            <w:r>
              <w:rPr>
                <w:noProof/>
                <w:webHidden/>
              </w:rPr>
              <w:tab/>
            </w:r>
            <w:r>
              <w:rPr>
                <w:noProof/>
                <w:webHidden/>
              </w:rPr>
              <w:fldChar w:fldCharType="begin"/>
            </w:r>
            <w:r>
              <w:rPr>
                <w:noProof/>
                <w:webHidden/>
              </w:rPr>
              <w:instrText xml:space="preserve"> PAGEREF _Toc233828693 \h </w:instrText>
            </w:r>
            <w:r>
              <w:rPr>
                <w:noProof/>
                <w:webHidden/>
              </w:rPr>
            </w:r>
            <w:r>
              <w:rPr>
                <w:noProof/>
                <w:webHidden/>
              </w:rPr>
              <w:fldChar w:fldCharType="separate"/>
            </w:r>
            <w:r w:rsidR="000B2F3A">
              <w:rPr>
                <w:noProof/>
                <w:webHidden/>
              </w:rPr>
              <w:t>20</w:t>
            </w:r>
            <w:r>
              <w:rPr>
                <w:noProof/>
                <w:webHidden/>
              </w:rPr>
              <w:fldChar w:fldCharType="end"/>
            </w:r>
          </w:hyperlink>
        </w:p>
        <w:p w14:paraId="1464CA20" w14:textId="655EAE0C" w:rsidR="00A92E9A" w:rsidRDefault="00A92E9A">
          <w:pPr>
            <w:pStyle w:val="TOC2"/>
            <w:tabs>
              <w:tab w:val="right" w:leader="dot" w:pos="9016"/>
            </w:tabs>
            <w:rPr>
              <w:noProof/>
            </w:rPr>
          </w:pPr>
          <w:hyperlink w:anchor="_Toc233828694" w:history="1">
            <w:r w:rsidRPr="00B57FE3">
              <w:rPr>
                <w:rStyle w:val="Hyperlink"/>
                <w:noProof/>
              </w:rPr>
              <w:t>Table 3.2: Inclusion and Exclusion Criteria</w:t>
            </w:r>
            <w:r>
              <w:rPr>
                <w:noProof/>
                <w:webHidden/>
              </w:rPr>
              <w:tab/>
            </w:r>
            <w:r>
              <w:rPr>
                <w:noProof/>
                <w:webHidden/>
              </w:rPr>
              <w:fldChar w:fldCharType="begin"/>
            </w:r>
            <w:r>
              <w:rPr>
                <w:noProof/>
                <w:webHidden/>
              </w:rPr>
              <w:instrText xml:space="preserve"> PAGEREF _Toc233828694 \h </w:instrText>
            </w:r>
            <w:r>
              <w:rPr>
                <w:noProof/>
                <w:webHidden/>
              </w:rPr>
            </w:r>
            <w:r>
              <w:rPr>
                <w:noProof/>
                <w:webHidden/>
              </w:rPr>
              <w:fldChar w:fldCharType="separate"/>
            </w:r>
            <w:r w:rsidR="000B2F3A">
              <w:rPr>
                <w:noProof/>
                <w:webHidden/>
              </w:rPr>
              <w:t>21</w:t>
            </w:r>
            <w:r>
              <w:rPr>
                <w:noProof/>
                <w:webHidden/>
              </w:rPr>
              <w:fldChar w:fldCharType="end"/>
            </w:r>
          </w:hyperlink>
        </w:p>
        <w:p w14:paraId="79AAF5B4" w14:textId="6E83836B" w:rsidR="00A92E9A" w:rsidRDefault="00A92E9A">
          <w:pPr>
            <w:pStyle w:val="TOC2"/>
            <w:tabs>
              <w:tab w:val="right" w:leader="dot" w:pos="9016"/>
            </w:tabs>
            <w:rPr>
              <w:noProof/>
            </w:rPr>
          </w:pPr>
          <w:hyperlink w:anchor="_Toc233828695" w:history="1">
            <w:r w:rsidRPr="00B57FE3">
              <w:rPr>
                <w:rStyle w:val="Hyperlink"/>
                <w:noProof/>
              </w:rPr>
              <w:t>3.7.1 Inclusion Criteria</w:t>
            </w:r>
            <w:r>
              <w:rPr>
                <w:noProof/>
                <w:webHidden/>
              </w:rPr>
              <w:tab/>
            </w:r>
            <w:r>
              <w:rPr>
                <w:noProof/>
                <w:webHidden/>
              </w:rPr>
              <w:fldChar w:fldCharType="begin"/>
            </w:r>
            <w:r>
              <w:rPr>
                <w:noProof/>
                <w:webHidden/>
              </w:rPr>
              <w:instrText xml:space="preserve"> PAGEREF _Toc233828695 \h </w:instrText>
            </w:r>
            <w:r>
              <w:rPr>
                <w:noProof/>
                <w:webHidden/>
              </w:rPr>
            </w:r>
            <w:r>
              <w:rPr>
                <w:noProof/>
                <w:webHidden/>
              </w:rPr>
              <w:fldChar w:fldCharType="separate"/>
            </w:r>
            <w:r w:rsidR="000B2F3A">
              <w:rPr>
                <w:noProof/>
                <w:webHidden/>
              </w:rPr>
              <w:t>21</w:t>
            </w:r>
            <w:r>
              <w:rPr>
                <w:noProof/>
                <w:webHidden/>
              </w:rPr>
              <w:fldChar w:fldCharType="end"/>
            </w:r>
          </w:hyperlink>
        </w:p>
        <w:p w14:paraId="2EA0F08E" w14:textId="5A97F0EE" w:rsidR="00A92E9A" w:rsidRDefault="00A92E9A">
          <w:pPr>
            <w:pStyle w:val="TOC2"/>
            <w:tabs>
              <w:tab w:val="right" w:leader="dot" w:pos="9016"/>
            </w:tabs>
            <w:rPr>
              <w:noProof/>
            </w:rPr>
          </w:pPr>
          <w:hyperlink w:anchor="_Toc233828696" w:history="1">
            <w:r w:rsidRPr="00B57FE3">
              <w:rPr>
                <w:rStyle w:val="Hyperlink"/>
                <w:noProof/>
              </w:rPr>
              <w:t>3.7.2 Exclusion Criteria</w:t>
            </w:r>
            <w:r>
              <w:rPr>
                <w:noProof/>
                <w:webHidden/>
              </w:rPr>
              <w:tab/>
            </w:r>
            <w:r>
              <w:rPr>
                <w:noProof/>
                <w:webHidden/>
              </w:rPr>
              <w:fldChar w:fldCharType="begin"/>
            </w:r>
            <w:r>
              <w:rPr>
                <w:noProof/>
                <w:webHidden/>
              </w:rPr>
              <w:instrText xml:space="preserve"> PAGEREF _Toc233828696 \h </w:instrText>
            </w:r>
            <w:r>
              <w:rPr>
                <w:noProof/>
                <w:webHidden/>
              </w:rPr>
            </w:r>
            <w:r>
              <w:rPr>
                <w:noProof/>
                <w:webHidden/>
              </w:rPr>
              <w:fldChar w:fldCharType="separate"/>
            </w:r>
            <w:r w:rsidR="000B2F3A">
              <w:rPr>
                <w:noProof/>
                <w:webHidden/>
              </w:rPr>
              <w:t>21</w:t>
            </w:r>
            <w:r>
              <w:rPr>
                <w:noProof/>
                <w:webHidden/>
              </w:rPr>
              <w:fldChar w:fldCharType="end"/>
            </w:r>
          </w:hyperlink>
        </w:p>
        <w:p w14:paraId="6F393C4B" w14:textId="0C9AE1D9" w:rsidR="00A92E9A" w:rsidRDefault="00A92E9A">
          <w:pPr>
            <w:pStyle w:val="TOC2"/>
            <w:tabs>
              <w:tab w:val="right" w:leader="dot" w:pos="9016"/>
            </w:tabs>
            <w:rPr>
              <w:noProof/>
            </w:rPr>
          </w:pPr>
          <w:hyperlink w:anchor="_Toc233828697" w:history="1">
            <w:r w:rsidRPr="00B57FE3">
              <w:rPr>
                <w:rStyle w:val="Hyperlink"/>
                <w:noProof/>
              </w:rPr>
              <w:t>Figure 1: PRISMA flow chart</w:t>
            </w:r>
            <w:r>
              <w:rPr>
                <w:noProof/>
                <w:webHidden/>
              </w:rPr>
              <w:tab/>
            </w:r>
            <w:r>
              <w:rPr>
                <w:noProof/>
                <w:webHidden/>
              </w:rPr>
              <w:fldChar w:fldCharType="begin"/>
            </w:r>
            <w:r>
              <w:rPr>
                <w:noProof/>
                <w:webHidden/>
              </w:rPr>
              <w:instrText xml:space="preserve"> PAGEREF _Toc233828697 \h </w:instrText>
            </w:r>
            <w:r>
              <w:rPr>
                <w:noProof/>
                <w:webHidden/>
              </w:rPr>
            </w:r>
            <w:r>
              <w:rPr>
                <w:noProof/>
                <w:webHidden/>
              </w:rPr>
              <w:fldChar w:fldCharType="separate"/>
            </w:r>
            <w:r w:rsidR="000B2F3A">
              <w:rPr>
                <w:noProof/>
                <w:webHidden/>
              </w:rPr>
              <w:t>22</w:t>
            </w:r>
            <w:r>
              <w:rPr>
                <w:noProof/>
                <w:webHidden/>
              </w:rPr>
              <w:fldChar w:fldCharType="end"/>
            </w:r>
          </w:hyperlink>
        </w:p>
        <w:p w14:paraId="01CAF8BE" w14:textId="4C7C95A8" w:rsidR="00A92E9A" w:rsidRDefault="00A92E9A">
          <w:pPr>
            <w:pStyle w:val="TOC2"/>
            <w:tabs>
              <w:tab w:val="right" w:leader="dot" w:pos="9016"/>
            </w:tabs>
            <w:rPr>
              <w:noProof/>
            </w:rPr>
          </w:pPr>
          <w:hyperlink w:anchor="_Toc233828698" w:history="1">
            <w:r w:rsidRPr="00B57FE3">
              <w:rPr>
                <w:rStyle w:val="Hyperlink"/>
                <w:noProof/>
              </w:rPr>
              <w:t>3.9 Ethical Considerations</w:t>
            </w:r>
            <w:r>
              <w:rPr>
                <w:noProof/>
                <w:webHidden/>
              </w:rPr>
              <w:tab/>
            </w:r>
            <w:r>
              <w:rPr>
                <w:noProof/>
                <w:webHidden/>
              </w:rPr>
              <w:fldChar w:fldCharType="begin"/>
            </w:r>
            <w:r>
              <w:rPr>
                <w:noProof/>
                <w:webHidden/>
              </w:rPr>
              <w:instrText xml:space="preserve"> PAGEREF _Toc233828698 \h </w:instrText>
            </w:r>
            <w:r>
              <w:rPr>
                <w:noProof/>
                <w:webHidden/>
              </w:rPr>
            </w:r>
            <w:r>
              <w:rPr>
                <w:noProof/>
                <w:webHidden/>
              </w:rPr>
              <w:fldChar w:fldCharType="separate"/>
            </w:r>
            <w:r w:rsidR="000B2F3A">
              <w:rPr>
                <w:noProof/>
                <w:webHidden/>
              </w:rPr>
              <w:t>23</w:t>
            </w:r>
            <w:r>
              <w:rPr>
                <w:noProof/>
                <w:webHidden/>
              </w:rPr>
              <w:fldChar w:fldCharType="end"/>
            </w:r>
          </w:hyperlink>
        </w:p>
        <w:p w14:paraId="62B54F49" w14:textId="50D0FAE1" w:rsidR="00A92E9A" w:rsidRDefault="00A92E9A">
          <w:pPr>
            <w:pStyle w:val="TOC2"/>
            <w:tabs>
              <w:tab w:val="right" w:leader="dot" w:pos="9016"/>
            </w:tabs>
            <w:rPr>
              <w:noProof/>
            </w:rPr>
          </w:pPr>
          <w:hyperlink w:anchor="_Toc233828699" w:history="1">
            <w:r w:rsidRPr="00B57FE3">
              <w:rPr>
                <w:rStyle w:val="Hyperlink"/>
                <w:noProof/>
              </w:rPr>
              <w:t>3.10 Chapter Summary</w:t>
            </w:r>
            <w:r>
              <w:rPr>
                <w:noProof/>
                <w:webHidden/>
              </w:rPr>
              <w:tab/>
            </w:r>
            <w:r>
              <w:rPr>
                <w:noProof/>
                <w:webHidden/>
              </w:rPr>
              <w:fldChar w:fldCharType="begin"/>
            </w:r>
            <w:r>
              <w:rPr>
                <w:noProof/>
                <w:webHidden/>
              </w:rPr>
              <w:instrText xml:space="preserve"> PAGEREF _Toc233828699 \h </w:instrText>
            </w:r>
            <w:r>
              <w:rPr>
                <w:noProof/>
                <w:webHidden/>
              </w:rPr>
            </w:r>
            <w:r>
              <w:rPr>
                <w:noProof/>
                <w:webHidden/>
              </w:rPr>
              <w:fldChar w:fldCharType="separate"/>
            </w:r>
            <w:r w:rsidR="000B2F3A">
              <w:rPr>
                <w:noProof/>
                <w:webHidden/>
              </w:rPr>
              <w:t>24</w:t>
            </w:r>
            <w:r>
              <w:rPr>
                <w:noProof/>
                <w:webHidden/>
              </w:rPr>
              <w:fldChar w:fldCharType="end"/>
            </w:r>
          </w:hyperlink>
        </w:p>
        <w:p w14:paraId="60AFA18D" w14:textId="29423F08" w:rsidR="00A92E9A" w:rsidRDefault="00A92E9A">
          <w:pPr>
            <w:pStyle w:val="TOC1"/>
            <w:tabs>
              <w:tab w:val="right" w:leader="dot" w:pos="9016"/>
            </w:tabs>
            <w:rPr>
              <w:noProof/>
            </w:rPr>
          </w:pPr>
          <w:hyperlink w:anchor="_Toc233828700" w:history="1">
            <w:r w:rsidRPr="00B57FE3">
              <w:rPr>
                <w:rStyle w:val="Hyperlink"/>
                <w:noProof/>
              </w:rPr>
              <w:t>CHAPTER 4</w:t>
            </w:r>
            <w:r>
              <w:rPr>
                <w:noProof/>
                <w:webHidden/>
              </w:rPr>
              <w:tab/>
            </w:r>
            <w:r>
              <w:rPr>
                <w:noProof/>
                <w:webHidden/>
              </w:rPr>
              <w:fldChar w:fldCharType="begin"/>
            </w:r>
            <w:r>
              <w:rPr>
                <w:noProof/>
                <w:webHidden/>
              </w:rPr>
              <w:instrText xml:space="preserve"> PAGEREF _Toc233828700 \h </w:instrText>
            </w:r>
            <w:r>
              <w:rPr>
                <w:noProof/>
                <w:webHidden/>
              </w:rPr>
            </w:r>
            <w:r>
              <w:rPr>
                <w:noProof/>
                <w:webHidden/>
              </w:rPr>
              <w:fldChar w:fldCharType="separate"/>
            </w:r>
            <w:r w:rsidR="000B2F3A">
              <w:rPr>
                <w:noProof/>
                <w:webHidden/>
              </w:rPr>
              <w:t>24</w:t>
            </w:r>
            <w:r>
              <w:rPr>
                <w:noProof/>
                <w:webHidden/>
              </w:rPr>
              <w:fldChar w:fldCharType="end"/>
            </w:r>
          </w:hyperlink>
        </w:p>
        <w:p w14:paraId="4CD57CA2" w14:textId="50F76210" w:rsidR="00A92E9A" w:rsidRDefault="00A92E9A">
          <w:pPr>
            <w:pStyle w:val="TOC2"/>
            <w:tabs>
              <w:tab w:val="right" w:leader="dot" w:pos="9016"/>
            </w:tabs>
            <w:rPr>
              <w:noProof/>
            </w:rPr>
          </w:pPr>
          <w:hyperlink w:anchor="_Toc233828701" w:history="1">
            <w:r w:rsidRPr="00B57FE3">
              <w:rPr>
                <w:rStyle w:val="Hyperlink"/>
                <w:noProof/>
              </w:rPr>
              <w:t>4.1 Introduction to Chapter</w:t>
            </w:r>
            <w:r>
              <w:rPr>
                <w:noProof/>
                <w:webHidden/>
              </w:rPr>
              <w:tab/>
            </w:r>
            <w:r>
              <w:rPr>
                <w:noProof/>
                <w:webHidden/>
              </w:rPr>
              <w:fldChar w:fldCharType="begin"/>
            </w:r>
            <w:r>
              <w:rPr>
                <w:noProof/>
                <w:webHidden/>
              </w:rPr>
              <w:instrText xml:space="preserve"> PAGEREF _Toc233828701 \h </w:instrText>
            </w:r>
            <w:r>
              <w:rPr>
                <w:noProof/>
                <w:webHidden/>
              </w:rPr>
            </w:r>
            <w:r>
              <w:rPr>
                <w:noProof/>
                <w:webHidden/>
              </w:rPr>
              <w:fldChar w:fldCharType="separate"/>
            </w:r>
            <w:r w:rsidR="000B2F3A">
              <w:rPr>
                <w:noProof/>
                <w:webHidden/>
              </w:rPr>
              <w:t>24</w:t>
            </w:r>
            <w:r>
              <w:rPr>
                <w:noProof/>
                <w:webHidden/>
              </w:rPr>
              <w:fldChar w:fldCharType="end"/>
            </w:r>
          </w:hyperlink>
        </w:p>
        <w:p w14:paraId="351B2799" w14:textId="06213309" w:rsidR="00A92E9A" w:rsidRDefault="00A92E9A">
          <w:pPr>
            <w:pStyle w:val="TOC2"/>
            <w:tabs>
              <w:tab w:val="right" w:leader="dot" w:pos="9016"/>
            </w:tabs>
            <w:rPr>
              <w:noProof/>
            </w:rPr>
          </w:pPr>
          <w:hyperlink w:anchor="_Toc233828702" w:history="1">
            <w:r w:rsidRPr="00B57FE3">
              <w:rPr>
                <w:rStyle w:val="Hyperlink"/>
                <w:noProof/>
              </w:rPr>
              <w:t>4.2 Data Extraction</w:t>
            </w:r>
            <w:r>
              <w:rPr>
                <w:noProof/>
                <w:webHidden/>
              </w:rPr>
              <w:tab/>
            </w:r>
            <w:r>
              <w:rPr>
                <w:noProof/>
                <w:webHidden/>
              </w:rPr>
              <w:fldChar w:fldCharType="begin"/>
            </w:r>
            <w:r>
              <w:rPr>
                <w:noProof/>
                <w:webHidden/>
              </w:rPr>
              <w:instrText xml:space="preserve"> PAGEREF _Toc233828702 \h </w:instrText>
            </w:r>
            <w:r>
              <w:rPr>
                <w:noProof/>
                <w:webHidden/>
              </w:rPr>
            </w:r>
            <w:r>
              <w:rPr>
                <w:noProof/>
                <w:webHidden/>
              </w:rPr>
              <w:fldChar w:fldCharType="separate"/>
            </w:r>
            <w:r w:rsidR="000B2F3A">
              <w:rPr>
                <w:noProof/>
                <w:webHidden/>
              </w:rPr>
              <w:t>25</w:t>
            </w:r>
            <w:r>
              <w:rPr>
                <w:noProof/>
                <w:webHidden/>
              </w:rPr>
              <w:fldChar w:fldCharType="end"/>
            </w:r>
          </w:hyperlink>
        </w:p>
        <w:p w14:paraId="6DCADCC4" w14:textId="63202AF0" w:rsidR="00A92E9A" w:rsidRDefault="00A92E9A">
          <w:pPr>
            <w:pStyle w:val="TOC2"/>
            <w:tabs>
              <w:tab w:val="right" w:leader="dot" w:pos="9016"/>
            </w:tabs>
            <w:rPr>
              <w:noProof/>
            </w:rPr>
          </w:pPr>
          <w:hyperlink w:anchor="_Toc233828703" w:history="1">
            <w:r w:rsidRPr="00B57FE3">
              <w:rPr>
                <w:rStyle w:val="Hyperlink"/>
                <w:noProof/>
              </w:rPr>
              <w:t>Table 4.1: Characteristics of the Included Studies</w:t>
            </w:r>
            <w:r>
              <w:rPr>
                <w:noProof/>
                <w:webHidden/>
              </w:rPr>
              <w:tab/>
            </w:r>
            <w:r>
              <w:rPr>
                <w:noProof/>
                <w:webHidden/>
              </w:rPr>
              <w:fldChar w:fldCharType="begin"/>
            </w:r>
            <w:r>
              <w:rPr>
                <w:noProof/>
                <w:webHidden/>
              </w:rPr>
              <w:instrText xml:space="preserve"> PAGEREF _Toc233828703 \h </w:instrText>
            </w:r>
            <w:r>
              <w:rPr>
                <w:noProof/>
                <w:webHidden/>
              </w:rPr>
            </w:r>
            <w:r>
              <w:rPr>
                <w:noProof/>
                <w:webHidden/>
              </w:rPr>
              <w:fldChar w:fldCharType="separate"/>
            </w:r>
            <w:r w:rsidR="000B2F3A">
              <w:rPr>
                <w:noProof/>
                <w:webHidden/>
              </w:rPr>
              <w:t>26</w:t>
            </w:r>
            <w:r>
              <w:rPr>
                <w:noProof/>
                <w:webHidden/>
              </w:rPr>
              <w:fldChar w:fldCharType="end"/>
            </w:r>
          </w:hyperlink>
        </w:p>
        <w:p w14:paraId="1A843049" w14:textId="27EF98BA" w:rsidR="00A92E9A" w:rsidRDefault="00A92E9A">
          <w:pPr>
            <w:pStyle w:val="TOC2"/>
            <w:tabs>
              <w:tab w:val="right" w:leader="dot" w:pos="9016"/>
            </w:tabs>
            <w:rPr>
              <w:noProof/>
            </w:rPr>
          </w:pPr>
          <w:hyperlink w:anchor="_Toc233828704" w:history="1">
            <w:r w:rsidRPr="00B57FE3">
              <w:rPr>
                <w:rStyle w:val="Hyperlink"/>
                <w:noProof/>
              </w:rPr>
              <w:t>4.3 Brief Introduction to Critical Appraisal and Paper Quality Assessment</w:t>
            </w:r>
            <w:r>
              <w:rPr>
                <w:noProof/>
                <w:webHidden/>
              </w:rPr>
              <w:tab/>
            </w:r>
            <w:r>
              <w:rPr>
                <w:noProof/>
                <w:webHidden/>
              </w:rPr>
              <w:fldChar w:fldCharType="begin"/>
            </w:r>
            <w:r>
              <w:rPr>
                <w:noProof/>
                <w:webHidden/>
              </w:rPr>
              <w:instrText xml:space="preserve"> PAGEREF _Toc233828704 \h </w:instrText>
            </w:r>
            <w:r>
              <w:rPr>
                <w:noProof/>
                <w:webHidden/>
              </w:rPr>
            </w:r>
            <w:r>
              <w:rPr>
                <w:noProof/>
                <w:webHidden/>
              </w:rPr>
              <w:fldChar w:fldCharType="separate"/>
            </w:r>
            <w:r w:rsidR="000B2F3A">
              <w:rPr>
                <w:noProof/>
                <w:webHidden/>
              </w:rPr>
              <w:t>30</w:t>
            </w:r>
            <w:r>
              <w:rPr>
                <w:noProof/>
                <w:webHidden/>
              </w:rPr>
              <w:fldChar w:fldCharType="end"/>
            </w:r>
          </w:hyperlink>
        </w:p>
        <w:p w14:paraId="5C3D1558" w14:textId="2AE7D87D" w:rsidR="00A92E9A" w:rsidRDefault="00A92E9A">
          <w:pPr>
            <w:pStyle w:val="TOC2"/>
            <w:tabs>
              <w:tab w:val="right" w:leader="dot" w:pos="9016"/>
            </w:tabs>
            <w:rPr>
              <w:noProof/>
            </w:rPr>
          </w:pPr>
          <w:hyperlink w:anchor="_Toc233828705" w:history="1">
            <w:r w:rsidRPr="00B57FE3">
              <w:rPr>
                <w:rStyle w:val="Hyperlink"/>
                <w:noProof/>
              </w:rPr>
              <w:t>4.4 Critical Appraisal Tools</w:t>
            </w:r>
            <w:r>
              <w:rPr>
                <w:noProof/>
                <w:webHidden/>
              </w:rPr>
              <w:tab/>
            </w:r>
            <w:r>
              <w:rPr>
                <w:noProof/>
                <w:webHidden/>
              </w:rPr>
              <w:fldChar w:fldCharType="begin"/>
            </w:r>
            <w:r>
              <w:rPr>
                <w:noProof/>
                <w:webHidden/>
              </w:rPr>
              <w:instrText xml:space="preserve"> PAGEREF _Toc233828705 \h </w:instrText>
            </w:r>
            <w:r>
              <w:rPr>
                <w:noProof/>
                <w:webHidden/>
              </w:rPr>
            </w:r>
            <w:r>
              <w:rPr>
                <w:noProof/>
                <w:webHidden/>
              </w:rPr>
              <w:fldChar w:fldCharType="separate"/>
            </w:r>
            <w:r w:rsidR="000B2F3A">
              <w:rPr>
                <w:noProof/>
                <w:webHidden/>
              </w:rPr>
              <w:t>31</w:t>
            </w:r>
            <w:r>
              <w:rPr>
                <w:noProof/>
                <w:webHidden/>
              </w:rPr>
              <w:fldChar w:fldCharType="end"/>
            </w:r>
          </w:hyperlink>
        </w:p>
        <w:p w14:paraId="2E68ACFB" w14:textId="287E9E4D" w:rsidR="00A92E9A" w:rsidRDefault="00A92E9A">
          <w:pPr>
            <w:pStyle w:val="TOC2"/>
            <w:tabs>
              <w:tab w:val="right" w:leader="dot" w:pos="9016"/>
            </w:tabs>
            <w:rPr>
              <w:noProof/>
            </w:rPr>
          </w:pPr>
          <w:hyperlink w:anchor="_Toc233828706" w:history="1">
            <w:r w:rsidRPr="00B57FE3">
              <w:rPr>
                <w:rStyle w:val="Hyperlink"/>
                <w:noProof/>
              </w:rPr>
              <w:t>4.5 Evaluation of Qualitative Studies Using the CASP Tool</w:t>
            </w:r>
            <w:r>
              <w:rPr>
                <w:noProof/>
                <w:webHidden/>
              </w:rPr>
              <w:tab/>
            </w:r>
            <w:r>
              <w:rPr>
                <w:noProof/>
                <w:webHidden/>
              </w:rPr>
              <w:fldChar w:fldCharType="begin"/>
            </w:r>
            <w:r>
              <w:rPr>
                <w:noProof/>
                <w:webHidden/>
              </w:rPr>
              <w:instrText xml:space="preserve"> PAGEREF _Toc233828706 \h </w:instrText>
            </w:r>
            <w:r>
              <w:rPr>
                <w:noProof/>
                <w:webHidden/>
              </w:rPr>
            </w:r>
            <w:r>
              <w:rPr>
                <w:noProof/>
                <w:webHidden/>
              </w:rPr>
              <w:fldChar w:fldCharType="separate"/>
            </w:r>
            <w:r w:rsidR="000B2F3A">
              <w:rPr>
                <w:noProof/>
                <w:webHidden/>
              </w:rPr>
              <w:t>31</w:t>
            </w:r>
            <w:r>
              <w:rPr>
                <w:noProof/>
                <w:webHidden/>
              </w:rPr>
              <w:fldChar w:fldCharType="end"/>
            </w:r>
          </w:hyperlink>
        </w:p>
        <w:p w14:paraId="00C0F520" w14:textId="39AD4387" w:rsidR="00A92E9A" w:rsidRDefault="00A92E9A">
          <w:pPr>
            <w:pStyle w:val="TOC2"/>
            <w:tabs>
              <w:tab w:val="right" w:leader="dot" w:pos="9016"/>
            </w:tabs>
            <w:rPr>
              <w:noProof/>
            </w:rPr>
          </w:pPr>
          <w:hyperlink w:anchor="_Toc233828707" w:history="1">
            <w:r w:rsidRPr="00B57FE3">
              <w:rPr>
                <w:rStyle w:val="Hyperlink"/>
                <w:noProof/>
              </w:rPr>
              <w:t>4.6 Evaluation of Quantitative Studies Using the Coughlan Framework</w:t>
            </w:r>
            <w:r>
              <w:rPr>
                <w:noProof/>
                <w:webHidden/>
              </w:rPr>
              <w:tab/>
            </w:r>
            <w:r>
              <w:rPr>
                <w:noProof/>
                <w:webHidden/>
              </w:rPr>
              <w:fldChar w:fldCharType="begin"/>
            </w:r>
            <w:r>
              <w:rPr>
                <w:noProof/>
                <w:webHidden/>
              </w:rPr>
              <w:instrText xml:space="preserve"> PAGEREF _Toc233828707 \h </w:instrText>
            </w:r>
            <w:r>
              <w:rPr>
                <w:noProof/>
                <w:webHidden/>
              </w:rPr>
            </w:r>
            <w:r>
              <w:rPr>
                <w:noProof/>
                <w:webHidden/>
              </w:rPr>
              <w:fldChar w:fldCharType="separate"/>
            </w:r>
            <w:r w:rsidR="000B2F3A">
              <w:rPr>
                <w:noProof/>
                <w:webHidden/>
              </w:rPr>
              <w:t>33</w:t>
            </w:r>
            <w:r>
              <w:rPr>
                <w:noProof/>
                <w:webHidden/>
              </w:rPr>
              <w:fldChar w:fldCharType="end"/>
            </w:r>
          </w:hyperlink>
        </w:p>
        <w:p w14:paraId="05887B3C" w14:textId="10078AA3" w:rsidR="00A92E9A" w:rsidRDefault="00A92E9A">
          <w:pPr>
            <w:pStyle w:val="TOC2"/>
            <w:tabs>
              <w:tab w:val="right" w:leader="dot" w:pos="9016"/>
            </w:tabs>
            <w:rPr>
              <w:noProof/>
            </w:rPr>
          </w:pPr>
          <w:hyperlink w:anchor="_Toc233828708" w:history="1">
            <w:r w:rsidRPr="00B57FE3">
              <w:rPr>
                <w:rStyle w:val="Hyperlink"/>
                <w:noProof/>
              </w:rPr>
              <w:t>Table 4.2: Characteristics of the Quantitative Studies Included in the Review</w:t>
            </w:r>
            <w:r>
              <w:rPr>
                <w:noProof/>
                <w:webHidden/>
              </w:rPr>
              <w:tab/>
            </w:r>
            <w:r>
              <w:rPr>
                <w:noProof/>
                <w:webHidden/>
              </w:rPr>
              <w:fldChar w:fldCharType="begin"/>
            </w:r>
            <w:r>
              <w:rPr>
                <w:noProof/>
                <w:webHidden/>
              </w:rPr>
              <w:instrText xml:space="preserve"> PAGEREF _Toc233828708 \h </w:instrText>
            </w:r>
            <w:r>
              <w:rPr>
                <w:noProof/>
                <w:webHidden/>
              </w:rPr>
            </w:r>
            <w:r>
              <w:rPr>
                <w:noProof/>
                <w:webHidden/>
              </w:rPr>
              <w:fldChar w:fldCharType="separate"/>
            </w:r>
            <w:r w:rsidR="000B2F3A">
              <w:rPr>
                <w:noProof/>
                <w:webHidden/>
              </w:rPr>
              <w:t>34</w:t>
            </w:r>
            <w:r>
              <w:rPr>
                <w:noProof/>
                <w:webHidden/>
              </w:rPr>
              <w:fldChar w:fldCharType="end"/>
            </w:r>
          </w:hyperlink>
        </w:p>
        <w:p w14:paraId="5FEC5F86" w14:textId="1A5BED81" w:rsidR="00A92E9A" w:rsidRDefault="00A92E9A">
          <w:pPr>
            <w:pStyle w:val="TOC2"/>
            <w:tabs>
              <w:tab w:val="right" w:leader="dot" w:pos="9016"/>
            </w:tabs>
            <w:rPr>
              <w:noProof/>
            </w:rPr>
          </w:pPr>
          <w:hyperlink w:anchor="_Toc233828709" w:history="1">
            <w:r w:rsidRPr="00B57FE3">
              <w:rPr>
                <w:rStyle w:val="Hyperlink"/>
                <w:noProof/>
              </w:rPr>
              <w:t>4.7 Overall Methodological Strengths and Limitations of the Included Evidence Base</w:t>
            </w:r>
            <w:r>
              <w:rPr>
                <w:noProof/>
                <w:webHidden/>
              </w:rPr>
              <w:tab/>
            </w:r>
            <w:r>
              <w:rPr>
                <w:noProof/>
                <w:webHidden/>
              </w:rPr>
              <w:fldChar w:fldCharType="begin"/>
            </w:r>
            <w:r>
              <w:rPr>
                <w:noProof/>
                <w:webHidden/>
              </w:rPr>
              <w:instrText xml:space="preserve"> PAGEREF _Toc233828709 \h </w:instrText>
            </w:r>
            <w:r>
              <w:rPr>
                <w:noProof/>
                <w:webHidden/>
              </w:rPr>
            </w:r>
            <w:r>
              <w:rPr>
                <w:noProof/>
                <w:webHidden/>
              </w:rPr>
              <w:fldChar w:fldCharType="separate"/>
            </w:r>
            <w:r w:rsidR="000B2F3A">
              <w:rPr>
                <w:noProof/>
                <w:webHidden/>
              </w:rPr>
              <w:t>37</w:t>
            </w:r>
            <w:r>
              <w:rPr>
                <w:noProof/>
                <w:webHidden/>
              </w:rPr>
              <w:fldChar w:fldCharType="end"/>
            </w:r>
          </w:hyperlink>
        </w:p>
        <w:p w14:paraId="0A197BE5" w14:textId="1E122A3D" w:rsidR="00A92E9A" w:rsidRDefault="00A92E9A">
          <w:pPr>
            <w:pStyle w:val="TOC2"/>
            <w:tabs>
              <w:tab w:val="right" w:leader="dot" w:pos="9016"/>
            </w:tabs>
            <w:rPr>
              <w:noProof/>
            </w:rPr>
          </w:pPr>
          <w:hyperlink w:anchor="_Toc233828710" w:history="1">
            <w:r w:rsidRPr="00B57FE3">
              <w:rPr>
                <w:rStyle w:val="Hyperlink"/>
                <w:noProof/>
              </w:rPr>
              <w:t>4.8 Chapter Summary</w:t>
            </w:r>
            <w:r>
              <w:rPr>
                <w:noProof/>
                <w:webHidden/>
              </w:rPr>
              <w:tab/>
            </w:r>
            <w:r>
              <w:rPr>
                <w:noProof/>
                <w:webHidden/>
              </w:rPr>
              <w:fldChar w:fldCharType="begin"/>
            </w:r>
            <w:r>
              <w:rPr>
                <w:noProof/>
                <w:webHidden/>
              </w:rPr>
              <w:instrText xml:space="preserve"> PAGEREF _Toc233828710 \h </w:instrText>
            </w:r>
            <w:r>
              <w:rPr>
                <w:noProof/>
                <w:webHidden/>
              </w:rPr>
            </w:r>
            <w:r>
              <w:rPr>
                <w:noProof/>
                <w:webHidden/>
              </w:rPr>
              <w:fldChar w:fldCharType="separate"/>
            </w:r>
            <w:r w:rsidR="000B2F3A">
              <w:rPr>
                <w:noProof/>
                <w:webHidden/>
              </w:rPr>
              <w:t>38</w:t>
            </w:r>
            <w:r>
              <w:rPr>
                <w:noProof/>
                <w:webHidden/>
              </w:rPr>
              <w:fldChar w:fldCharType="end"/>
            </w:r>
          </w:hyperlink>
        </w:p>
        <w:p w14:paraId="0EB2BD1D" w14:textId="0F8D627D" w:rsidR="00A92E9A" w:rsidRDefault="00A92E9A">
          <w:pPr>
            <w:pStyle w:val="TOC1"/>
            <w:tabs>
              <w:tab w:val="right" w:leader="dot" w:pos="9016"/>
            </w:tabs>
            <w:rPr>
              <w:noProof/>
            </w:rPr>
          </w:pPr>
          <w:hyperlink w:anchor="_Toc233828711" w:history="1">
            <w:r w:rsidRPr="00B57FE3">
              <w:rPr>
                <w:rStyle w:val="Hyperlink"/>
                <w:noProof/>
              </w:rPr>
              <w:t>CHAPTER FIVE</w:t>
            </w:r>
            <w:r>
              <w:rPr>
                <w:noProof/>
                <w:webHidden/>
              </w:rPr>
              <w:tab/>
            </w:r>
            <w:r>
              <w:rPr>
                <w:noProof/>
                <w:webHidden/>
              </w:rPr>
              <w:fldChar w:fldCharType="begin"/>
            </w:r>
            <w:r>
              <w:rPr>
                <w:noProof/>
                <w:webHidden/>
              </w:rPr>
              <w:instrText xml:space="preserve"> PAGEREF _Toc233828711 \h </w:instrText>
            </w:r>
            <w:r>
              <w:rPr>
                <w:noProof/>
                <w:webHidden/>
              </w:rPr>
            </w:r>
            <w:r>
              <w:rPr>
                <w:noProof/>
                <w:webHidden/>
              </w:rPr>
              <w:fldChar w:fldCharType="separate"/>
            </w:r>
            <w:r w:rsidR="000B2F3A">
              <w:rPr>
                <w:noProof/>
                <w:webHidden/>
              </w:rPr>
              <w:t>39</w:t>
            </w:r>
            <w:r>
              <w:rPr>
                <w:noProof/>
                <w:webHidden/>
              </w:rPr>
              <w:fldChar w:fldCharType="end"/>
            </w:r>
          </w:hyperlink>
        </w:p>
        <w:p w14:paraId="7A0DA87F" w14:textId="5504C13D" w:rsidR="00A92E9A" w:rsidRDefault="00A92E9A">
          <w:pPr>
            <w:pStyle w:val="TOC2"/>
            <w:tabs>
              <w:tab w:val="right" w:leader="dot" w:pos="9016"/>
            </w:tabs>
            <w:rPr>
              <w:noProof/>
            </w:rPr>
          </w:pPr>
          <w:hyperlink w:anchor="_Toc233828712" w:history="1">
            <w:r w:rsidRPr="00B57FE3">
              <w:rPr>
                <w:rStyle w:val="Hyperlink"/>
                <w:noProof/>
              </w:rPr>
              <w:t>5.1 Introduction to Chapter</w:t>
            </w:r>
            <w:r>
              <w:rPr>
                <w:noProof/>
                <w:webHidden/>
              </w:rPr>
              <w:tab/>
            </w:r>
            <w:r>
              <w:rPr>
                <w:noProof/>
                <w:webHidden/>
              </w:rPr>
              <w:fldChar w:fldCharType="begin"/>
            </w:r>
            <w:r>
              <w:rPr>
                <w:noProof/>
                <w:webHidden/>
              </w:rPr>
              <w:instrText xml:space="preserve"> PAGEREF _Toc233828712 \h </w:instrText>
            </w:r>
            <w:r>
              <w:rPr>
                <w:noProof/>
                <w:webHidden/>
              </w:rPr>
            </w:r>
            <w:r>
              <w:rPr>
                <w:noProof/>
                <w:webHidden/>
              </w:rPr>
              <w:fldChar w:fldCharType="separate"/>
            </w:r>
            <w:r w:rsidR="000B2F3A">
              <w:rPr>
                <w:noProof/>
                <w:webHidden/>
              </w:rPr>
              <w:t>39</w:t>
            </w:r>
            <w:r>
              <w:rPr>
                <w:noProof/>
                <w:webHidden/>
              </w:rPr>
              <w:fldChar w:fldCharType="end"/>
            </w:r>
          </w:hyperlink>
        </w:p>
        <w:p w14:paraId="7905FB5B" w14:textId="7B383B2A" w:rsidR="00A92E9A" w:rsidRDefault="00A92E9A">
          <w:pPr>
            <w:pStyle w:val="TOC2"/>
            <w:tabs>
              <w:tab w:val="right" w:leader="dot" w:pos="9016"/>
            </w:tabs>
            <w:rPr>
              <w:noProof/>
            </w:rPr>
          </w:pPr>
          <w:hyperlink w:anchor="_Toc233828713" w:history="1">
            <w:r w:rsidRPr="00B57FE3">
              <w:rPr>
                <w:rStyle w:val="Hyperlink"/>
                <w:noProof/>
              </w:rPr>
              <w:t>5.2 Thematic Analysis</w:t>
            </w:r>
            <w:r>
              <w:rPr>
                <w:noProof/>
                <w:webHidden/>
              </w:rPr>
              <w:tab/>
            </w:r>
            <w:r>
              <w:rPr>
                <w:noProof/>
                <w:webHidden/>
              </w:rPr>
              <w:fldChar w:fldCharType="begin"/>
            </w:r>
            <w:r>
              <w:rPr>
                <w:noProof/>
                <w:webHidden/>
              </w:rPr>
              <w:instrText xml:space="preserve"> PAGEREF _Toc233828713 \h </w:instrText>
            </w:r>
            <w:r>
              <w:rPr>
                <w:noProof/>
                <w:webHidden/>
              </w:rPr>
            </w:r>
            <w:r>
              <w:rPr>
                <w:noProof/>
                <w:webHidden/>
              </w:rPr>
              <w:fldChar w:fldCharType="separate"/>
            </w:r>
            <w:r w:rsidR="000B2F3A">
              <w:rPr>
                <w:noProof/>
                <w:webHidden/>
              </w:rPr>
              <w:t>39</w:t>
            </w:r>
            <w:r>
              <w:rPr>
                <w:noProof/>
                <w:webHidden/>
              </w:rPr>
              <w:fldChar w:fldCharType="end"/>
            </w:r>
          </w:hyperlink>
        </w:p>
        <w:p w14:paraId="7588CF8F" w14:textId="15069D7B" w:rsidR="00A92E9A" w:rsidRDefault="00A92E9A">
          <w:pPr>
            <w:pStyle w:val="TOC2"/>
            <w:tabs>
              <w:tab w:val="right" w:leader="dot" w:pos="9016"/>
            </w:tabs>
            <w:rPr>
              <w:noProof/>
            </w:rPr>
          </w:pPr>
          <w:hyperlink w:anchor="_Toc233828714" w:history="1">
            <w:r w:rsidRPr="00B57FE3">
              <w:rPr>
                <w:rStyle w:val="Hyperlink"/>
                <w:noProof/>
              </w:rPr>
              <w:t>5.3 Data Analysis Tool</w:t>
            </w:r>
            <w:r>
              <w:rPr>
                <w:noProof/>
                <w:webHidden/>
              </w:rPr>
              <w:tab/>
            </w:r>
            <w:r>
              <w:rPr>
                <w:noProof/>
                <w:webHidden/>
              </w:rPr>
              <w:fldChar w:fldCharType="begin"/>
            </w:r>
            <w:r>
              <w:rPr>
                <w:noProof/>
                <w:webHidden/>
              </w:rPr>
              <w:instrText xml:space="preserve"> PAGEREF _Toc233828714 \h </w:instrText>
            </w:r>
            <w:r>
              <w:rPr>
                <w:noProof/>
                <w:webHidden/>
              </w:rPr>
            </w:r>
            <w:r>
              <w:rPr>
                <w:noProof/>
                <w:webHidden/>
              </w:rPr>
              <w:fldChar w:fldCharType="separate"/>
            </w:r>
            <w:r w:rsidR="000B2F3A">
              <w:rPr>
                <w:noProof/>
                <w:webHidden/>
              </w:rPr>
              <w:t>39</w:t>
            </w:r>
            <w:r>
              <w:rPr>
                <w:noProof/>
                <w:webHidden/>
              </w:rPr>
              <w:fldChar w:fldCharType="end"/>
            </w:r>
          </w:hyperlink>
        </w:p>
        <w:p w14:paraId="1C8FAABF" w14:textId="1CA528C4" w:rsidR="00A92E9A" w:rsidRDefault="00A92E9A">
          <w:pPr>
            <w:pStyle w:val="TOC2"/>
            <w:tabs>
              <w:tab w:val="right" w:leader="dot" w:pos="9016"/>
            </w:tabs>
            <w:rPr>
              <w:noProof/>
            </w:rPr>
          </w:pPr>
          <w:hyperlink w:anchor="_Toc233828715" w:history="1">
            <w:r w:rsidRPr="00B57FE3">
              <w:rPr>
                <w:rStyle w:val="Hyperlink"/>
                <w:noProof/>
              </w:rPr>
              <w:t>5.4 Characteristics of the Included Studies</w:t>
            </w:r>
            <w:r>
              <w:rPr>
                <w:noProof/>
                <w:webHidden/>
              </w:rPr>
              <w:tab/>
            </w:r>
            <w:r>
              <w:rPr>
                <w:noProof/>
                <w:webHidden/>
              </w:rPr>
              <w:fldChar w:fldCharType="begin"/>
            </w:r>
            <w:r>
              <w:rPr>
                <w:noProof/>
                <w:webHidden/>
              </w:rPr>
              <w:instrText xml:space="preserve"> PAGEREF _Toc233828715 \h </w:instrText>
            </w:r>
            <w:r>
              <w:rPr>
                <w:noProof/>
                <w:webHidden/>
              </w:rPr>
            </w:r>
            <w:r>
              <w:rPr>
                <w:noProof/>
                <w:webHidden/>
              </w:rPr>
              <w:fldChar w:fldCharType="separate"/>
            </w:r>
            <w:r w:rsidR="000B2F3A">
              <w:rPr>
                <w:noProof/>
                <w:webHidden/>
              </w:rPr>
              <w:t>39</w:t>
            </w:r>
            <w:r>
              <w:rPr>
                <w:noProof/>
                <w:webHidden/>
              </w:rPr>
              <w:fldChar w:fldCharType="end"/>
            </w:r>
          </w:hyperlink>
        </w:p>
        <w:p w14:paraId="4E96165C" w14:textId="7E581F79" w:rsidR="00A92E9A" w:rsidRDefault="00A92E9A">
          <w:pPr>
            <w:pStyle w:val="TOC2"/>
            <w:tabs>
              <w:tab w:val="right" w:leader="dot" w:pos="9016"/>
            </w:tabs>
            <w:rPr>
              <w:noProof/>
            </w:rPr>
          </w:pPr>
          <w:hyperlink w:anchor="_Toc233828716" w:history="1">
            <w:r w:rsidRPr="00B57FE3">
              <w:rPr>
                <w:rStyle w:val="Hyperlink"/>
                <w:noProof/>
              </w:rPr>
              <w:t>Table 5.1. Characteristics of the Included Studies</w:t>
            </w:r>
            <w:r>
              <w:rPr>
                <w:noProof/>
                <w:webHidden/>
              </w:rPr>
              <w:tab/>
            </w:r>
            <w:r>
              <w:rPr>
                <w:noProof/>
                <w:webHidden/>
              </w:rPr>
              <w:fldChar w:fldCharType="begin"/>
            </w:r>
            <w:r>
              <w:rPr>
                <w:noProof/>
                <w:webHidden/>
              </w:rPr>
              <w:instrText xml:space="preserve"> PAGEREF _Toc233828716 \h </w:instrText>
            </w:r>
            <w:r>
              <w:rPr>
                <w:noProof/>
                <w:webHidden/>
              </w:rPr>
            </w:r>
            <w:r>
              <w:rPr>
                <w:noProof/>
                <w:webHidden/>
              </w:rPr>
              <w:fldChar w:fldCharType="separate"/>
            </w:r>
            <w:r w:rsidR="000B2F3A">
              <w:rPr>
                <w:noProof/>
                <w:webHidden/>
              </w:rPr>
              <w:t>40</w:t>
            </w:r>
            <w:r>
              <w:rPr>
                <w:noProof/>
                <w:webHidden/>
              </w:rPr>
              <w:fldChar w:fldCharType="end"/>
            </w:r>
          </w:hyperlink>
        </w:p>
        <w:p w14:paraId="6EE4B15E" w14:textId="74E3E5D9" w:rsidR="00A92E9A" w:rsidRDefault="00A92E9A">
          <w:pPr>
            <w:pStyle w:val="TOC2"/>
            <w:tabs>
              <w:tab w:val="right" w:leader="dot" w:pos="9016"/>
            </w:tabs>
            <w:rPr>
              <w:noProof/>
            </w:rPr>
          </w:pPr>
          <w:hyperlink w:anchor="_Toc233828717" w:history="1">
            <w:r w:rsidRPr="00B57FE3">
              <w:rPr>
                <w:rStyle w:val="Hyperlink"/>
                <w:noProof/>
              </w:rPr>
              <w:t>5.5 Themes</w:t>
            </w:r>
            <w:r>
              <w:rPr>
                <w:noProof/>
                <w:webHidden/>
              </w:rPr>
              <w:tab/>
            </w:r>
            <w:r>
              <w:rPr>
                <w:noProof/>
                <w:webHidden/>
              </w:rPr>
              <w:fldChar w:fldCharType="begin"/>
            </w:r>
            <w:r>
              <w:rPr>
                <w:noProof/>
                <w:webHidden/>
              </w:rPr>
              <w:instrText xml:space="preserve"> PAGEREF _Toc233828717 \h </w:instrText>
            </w:r>
            <w:r>
              <w:rPr>
                <w:noProof/>
                <w:webHidden/>
              </w:rPr>
            </w:r>
            <w:r>
              <w:rPr>
                <w:noProof/>
                <w:webHidden/>
              </w:rPr>
              <w:fldChar w:fldCharType="separate"/>
            </w:r>
            <w:r w:rsidR="000B2F3A">
              <w:rPr>
                <w:noProof/>
                <w:webHidden/>
              </w:rPr>
              <w:t>44</w:t>
            </w:r>
            <w:r>
              <w:rPr>
                <w:noProof/>
                <w:webHidden/>
              </w:rPr>
              <w:fldChar w:fldCharType="end"/>
            </w:r>
          </w:hyperlink>
        </w:p>
        <w:p w14:paraId="56755D35" w14:textId="1AC61217" w:rsidR="00A92E9A" w:rsidRDefault="00A92E9A">
          <w:pPr>
            <w:pStyle w:val="TOC2"/>
            <w:tabs>
              <w:tab w:val="right" w:leader="dot" w:pos="9016"/>
            </w:tabs>
            <w:rPr>
              <w:noProof/>
            </w:rPr>
          </w:pPr>
          <w:hyperlink w:anchor="_Toc233828718" w:history="1">
            <w:r w:rsidRPr="00B57FE3">
              <w:rPr>
                <w:rStyle w:val="Hyperlink"/>
                <w:noProof/>
              </w:rPr>
              <w:t>Table 5.2: Themes and Sub</w:t>
            </w:r>
            <w:r w:rsidRPr="00B57FE3">
              <w:rPr>
                <w:rStyle w:val="Hyperlink"/>
                <w:noProof/>
              </w:rPr>
              <w:noBreakHyphen/>
              <w:t>themes Emerging from the Thematic Synthesis</w:t>
            </w:r>
            <w:r>
              <w:rPr>
                <w:noProof/>
                <w:webHidden/>
              </w:rPr>
              <w:tab/>
            </w:r>
            <w:r>
              <w:rPr>
                <w:noProof/>
                <w:webHidden/>
              </w:rPr>
              <w:fldChar w:fldCharType="begin"/>
            </w:r>
            <w:r>
              <w:rPr>
                <w:noProof/>
                <w:webHidden/>
              </w:rPr>
              <w:instrText xml:space="preserve"> PAGEREF _Toc233828718 \h </w:instrText>
            </w:r>
            <w:r>
              <w:rPr>
                <w:noProof/>
                <w:webHidden/>
              </w:rPr>
            </w:r>
            <w:r>
              <w:rPr>
                <w:noProof/>
                <w:webHidden/>
              </w:rPr>
              <w:fldChar w:fldCharType="separate"/>
            </w:r>
            <w:r w:rsidR="000B2F3A">
              <w:rPr>
                <w:noProof/>
                <w:webHidden/>
              </w:rPr>
              <w:t>44</w:t>
            </w:r>
            <w:r>
              <w:rPr>
                <w:noProof/>
                <w:webHidden/>
              </w:rPr>
              <w:fldChar w:fldCharType="end"/>
            </w:r>
          </w:hyperlink>
        </w:p>
        <w:p w14:paraId="6F85900B" w14:textId="06A95549" w:rsidR="00A92E9A" w:rsidRDefault="00A92E9A">
          <w:pPr>
            <w:pStyle w:val="TOC2"/>
            <w:tabs>
              <w:tab w:val="right" w:leader="dot" w:pos="9016"/>
            </w:tabs>
            <w:rPr>
              <w:noProof/>
            </w:rPr>
          </w:pPr>
          <w:hyperlink w:anchor="_Toc233828719" w:history="1">
            <w:r w:rsidRPr="00B57FE3">
              <w:rPr>
                <w:rStyle w:val="Hyperlink"/>
                <w:noProof/>
              </w:rPr>
              <w:t>Theme 1: Macro-Systemic Rationing and Institutional Gatekeeping</w:t>
            </w:r>
            <w:r>
              <w:rPr>
                <w:noProof/>
                <w:webHidden/>
              </w:rPr>
              <w:tab/>
            </w:r>
            <w:r>
              <w:rPr>
                <w:noProof/>
                <w:webHidden/>
              </w:rPr>
              <w:fldChar w:fldCharType="begin"/>
            </w:r>
            <w:r>
              <w:rPr>
                <w:noProof/>
                <w:webHidden/>
              </w:rPr>
              <w:instrText xml:space="preserve"> PAGEREF _Toc233828719 \h </w:instrText>
            </w:r>
            <w:r>
              <w:rPr>
                <w:noProof/>
                <w:webHidden/>
              </w:rPr>
            </w:r>
            <w:r>
              <w:rPr>
                <w:noProof/>
                <w:webHidden/>
              </w:rPr>
              <w:fldChar w:fldCharType="separate"/>
            </w:r>
            <w:r w:rsidR="000B2F3A">
              <w:rPr>
                <w:noProof/>
                <w:webHidden/>
              </w:rPr>
              <w:t>45</w:t>
            </w:r>
            <w:r>
              <w:rPr>
                <w:noProof/>
                <w:webHidden/>
              </w:rPr>
              <w:fldChar w:fldCharType="end"/>
            </w:r>
          </w:hyperlink>
        </w:p>
        <w:p w14:paraId="71F3F55F" w14:textId="1D42ECBC" w:rsidR="00A92E9A" w:rsidRDefault="00A92E9A">
          <w:pPr>
            <w:pStyle w:val="TOC2"/>
            <w:tabs>
              <w:tab w:val="right" w:leader="dot" w:pos="9016"/>
            </w:tabs>
            <w:rPr>
              <w:noProof/>
            </w:rPr>
          </w:pPr>
          <w:hyperlink w:anchor="_Toc233828720" w:history="1">
            <w:r w:rsidRPr="00B57FE3">
              <w:rPr>
                <w:rStyle w:val="Hyperlink"/>
                <w:noProof/>
              </w:rPr>
              <w:t>1.1 Escalating Entry Thresholds and Administrative Dismissals</w:t>
            </w:r>
            <w:r>
              <w:rPr>
                <w:noProof/>
                <w:webHidden/>
              </w:rPr>
              <w:tab/>
            </w:r>
            <w:r>
              <w:rPr>
                <w:noProof/>
                <w:webHidden/>
              </w:rPr>
              <w:fldChar w:fldCharType="begin"/>
            </w:r>
            <w:r>
              <w:rPr>
                <w:noProof/>
                <w:webHidden/>
              </w:rPr>
              <w:instrText xml:space="preserve"> PAGEREF _Toc233828720 \h </w:instrText>
            </w:r>
            <w:r>
              <w:rPr>
                <w:noProof/>
                <w:webHidden/>
              </w:rPr>
            </w:r>
            <w:r>
              <w:rPr>
                <w:noProof/>
                <w:webHidden/>
              </w:rPr>
              <w:fldChar w:fldCharType="separate"/>
            </w:r>
            <w:r w:rsidR="000B2F3A">
              <w:rPr>
                <w:noProof/>
                <w:webHidden/>
              </w:rPr>
              <w:t>46</w:t>
            </w:r>
            <w:r>
              <w:rPr>
                <w:noProof/>
                <w:webHidden/>
              </w:rPr>
              <w:fldChar w:fldCharType="end"/>
            </w:r>
          </w:hyperlink>
        </w:p>
        <w:p w14:paraId="3719359F" w14:textId="038542D5" w:rsidR="00A92E9A" w:rsidRDefault="00A92E9A">
          <w:pPr>
            <w:pStyle w:val="TOC2"/>
            <w:tabs>
              <w:tab w:val="right" w:leader="dot" w:pos="9016"/>
            </w:tabs>
            <w:rPr>
              <w:noProof/>
            </w:rPr>
          </w:pPr>
          <w:hyperlink w:anchor="_Toc233828721" w:history="1">
            <w:r w:rsidRPr="00B57FE3">
              <w:rPr>
                <w:rStyle w:val="Hyperlink"/>
                <w:noProof/>
              </w:rPr>
              <w:t>1.2 Workforce Depletion and the Post-18 Transition Cliff Edge</w:t>
            </w:r>
            <w:r>
              <w:rPr>
                <w:noProof/>
                <w:webHidden/>
              </w:rPr>
              <w:tab/>
            </w:r>
            <w:r>
              <w:rPr>
                <w:noProof/>
                <w:webHidden/>
              </w:rPr>
              <w:fldChar w:fldCharType="begin"/>
            </w:r>
            <w:r>
              <w:rPr>
                <w:noProof/>
                <w:webHidden/>
              </w:rPr>
              <w:instrText xml:space="preserve"> PAGEREF _Toc233828721 \h </w:instrText>
            </w:r>
            <w:r>
              <w:rPr>
                <w:noProof/>
                <w:webHidden/>
              </w:rPr>
            </w:r>
            <w:r>
              <w:rPr>
                <w:noProof/>
                <w:webHidden/>
              </w:rPr>
              <w:fldChar w:fldCharType="separate"/>
            </w:r>
            <w:r w:rsidR="000B2F3A">
              <w:rPr>
                <w:noProof/>
                <w:webHidden/>
              </w:rPr>
              <w:t>47</w:t>
            </w:r>
            <w:r>
              <w:rPr>
                <w:noProof/>
                <w:webHidden/>
              </w:rPr>
              <w:fldChar w:fldCharType="end"/>
            </w:r>
          </w:hyperlink>
        </w:p>
        <w:p w14:paraId="5D2AF531" w14:textId="7EDE27F5" w:rsidR="00A92E9A" w:rsidRDefault="00A92E9A">
          <w:pPr>
            <w:pStyle w:val="TOC2"/>
            <w:tabs>
              <w:tab w:val="right" w:leader="dot" w:pos="9016"/>
            </w:tabs>
            <w:rPr>
              <w:noProof/>
            </w:rPr>
          </w:pPr>
          <w:hyperlink w:anchor="_Toc233828722" w:history="1">
            <w:r w:rsidRPr="00B57FE3">
              <w:rPr>
                <w:rStyle w:val="Hyperlink"/>
                <w:noProof/>
              </w:rPr>
              <w:t>Theme 2: Socio-Economic Stratification and Structural Determinants</w:t>
            </w:r>
            <w:r>
              <w:rPr>
                <w:noProof/>
                <w:webHidden/>
              </w:rPr>
              <w:tab/>
            </w:r>
            <w:r>
              <w:rPr>
                <w:noProof/>
                <w:webHidden/>
              </w:rPr>
              <w:fldChar w:fldCharType="begin"/>
            </w:r>
            <w:r>
              <w:rPr>
                <w:noProof/>
                <w:webHidden/>
              </w:rPr>
              <w:instrText xml:space="preserve"> PAGEREF _Toc233828722 \h </w:instrText>
            </w:r>
            <w:r>
              <w:rPr>
                <w:noProof/>
                <w:webHidden/>
              </w:rPr>
            </w:r>
            <w:r>
              <w:rPr>
                <w:noProof/>
                <w:webHidden/>
              </w:rPr>
              <w:fldChar w:fldCharType="separate"/>
            </w:r>
            <w:r w:rsidR="000B2F3A">
              <w:rPr>
                <w:noProof/>
                <w:webHidden/>
              </w:rPr>
              <w:t>47</w:t>
            </w:r>
            <w:r>
              <w:rPr>
                <w:noProof/>
                <w:webHidden/>
              </w:rPr>
              <w:fldChar w:fldCharType="end"/>
            </w:r>
          </w:hyperlink>
        </w:p>
        <w:p w14:paraId="540D503C" w14:textId="156BFE3E" w:rsidR="00A92E9A" w:rsidRDefault="00A92E9A">
          <w:pPr>
            <w:pStyle w:val="TOC2"/>
            <w:tabs>
              <w:tab w:val="right" w:leader="dot" w:pos="9016"/>
            </w:tabs>
            <w:rPr>
              <w:noProof/>
            </w:rPr>
          </w:pPr>
          <w:hyperlink w:anchor="_Toc233828723" w:history="1">
            <w:r w:rsidRPr="00B57FE3">
              <w:rPr>
                <w:rStyle w:val="Hyperlink"/>
                <w:noProof/>
              </w:rPr>
              <w:t>2.1 Spatial Disparities and the Regional Postcode Lottery</w:t>
            </w:r>
            <w:r>
              <w:rPr>
                <w:noProof/>
                <w:webHidden/>
              </w:rPr>
              <w:tab/>
            </w:r>
            <w:r>
              <w:rPr>
                <w:noProof/>
                <w:webHidden/>
              </w:rPr>
              <w:fldChar w:fldCharType="begin"/>
            </w:r>
            <w:r>
              <w:rPr>
                <w:noProof/>
                <w:webHidden/>
              </w:rPr>
              <w:instrText xml:space="preserve"> PAGEREF _Toc233828723 \h </w:instrText>
            </w:r>
            <w:r>
              <w:rPr>
                <w:noProof/>
                <w:webHidden/>
              </w:rPr>
            </w:r>
            <w:r>
              <w:rPr>
                <w:noProof/>
                <w:webHidden/>
              </w:rPr>
              <w:fldChar w:fldCharType="separate"/>
            </w:r>
            <w:r w:rsidR="000B2F3A">
              <w:rPr>
                <w:noProof/>
                <w:webHidden/>
              </w:rPr>
              <w:t>48</w:t>
            </w:r>
            <w:r>
              <w:rPr>
                <w:noProof/>
                <w:webHidden/>
              </w:rPr>
              <w:fldChar w:fldCharType="end"/>
            </w:r>
          </w:hyperlink>
        </w:p>
        <w:p w14:paraId="1DCBFC2B" w14:textId="45E31097" w:rsidR="00A92E9A" w:rsidRDefault="00A92E9A">
          <w:pPr>
            <w:pStyle w:val="TOC2"/>
            <w:tabs>
              <w:tab w:val="right" w:leader="dot" w:pos="9016"/>
            </w:tabs>
            <w:rPr>
              <w:noProof/>
            </w:rPr>
          </w:pPr>
          <w:hyperlink w:anchor="_Toc233828724" w:history="1">
            <w:r w:rsidRPr="00B57FE3">
              <w:rPr>
                <w:rStyle w:val="Hyperlink"/>
                <w:noProof/>
              </w:rPr>
              <w:t>2.2 Material Deprivation, Transport Barriers and Digital Exclusion</w:t>
            </w:r>
            <w:r>
              <w:rPr>
                <w:noProof/>
                <w:webHidden/>
              </w:rPr>
              <w:tab/>
            </w:r>
            <w:r>
              <w:rPr>
                <w:noProof/>
                <w:webHidden/>
              </w:rPr>
              <w:fldChar w:fldCharType="begin"/>
            </w:r>
            <w:r>
              <w:rPr>
                <w:noProof/>
                <w:webHidden/>
              </w:rPr>
              <w:instrText xml:space="preserve"> PAGEREF _Toc233828724 \h </w:instrText>
            </w:r>
            <w:r>
              <w:rPr>
                <w:noProof/>
                <w:webHidden/>
              </w:rPr>
            </w:r>
            <w:r>
              <w:rPr>
                <w:noProof/>
                <w:webHidden/>
              </w:rPr>
              <w:fldChar w:fldCharType="separate"/>
            </w:r>
            <w:r w:rsidR="000B2F3A">
              <w:rPr>
                <w:noProof/>
                <w:webHidden/>
              </w:rPr>
              <w:t>49</w:t>
            </w:r>
            <w:r>
              <w:rPr>
                <w:noProof/>
                <w:webHidden/>
              </w:rPr>
              <w:fldChar w:fldCharType="end"/>
            </w:r>
          </w:hyperlink>
        </w:p>
        <w:p w14:paraId="3595C674" w14:textId="30018086" w:rsidR="00A92E9A" w:rsidRDefault="00A92E9A">
          <w:pPr>
            <w:pStyle w:val="TOC2"/>
            <w:tabs>
              <w:tab w:val="right" w:leader="dot" w:pos="9016"/>
            </w:tabs>
            <w:rPr>
              <w:noProof/>
            </w:rPr>
          </w:pPr>
          <w:hyperlink w:anchor="_Toc233828725" w:history="1">
            <w:r w:rsidRPr="00B57FE3">
              <w:rPr>
                <w:rStyle w:val="Hyperlink"/>
                <w:noProof/>
              </w:rPr>
              <w:t>Theme 3: Relational Stigma, Intersectional Vulnerability and Distrust</w:t>
            </w:r>
            <w:r>
              <w:rPr>
                <w:noProof/>
                <w:webHidden/>
              </w:rPr>
              <w:tab/>
            </w:r>
            <w:r>
              <w:rPr>
                <w:noProof/>
                <w:webHidden/>
              </w:rPr>
              <w:fldChar w:fldCharType="begin"/>
            </w:r>
            <w:r>
              <w:rPr>
                <w:noProof/>
                <w:webHidden/>
              </w:rPr>
              <w:instrText xml:space="preserve"> PAGEREF _Toc233828725 \h </w:instrText>
            </w:r>
            <w:r>
              <w:rPr>
                <w:noProof/>
                <w:webHidden/>
              </w:rPr>
            </w:r>
            <w:r>
              <w:rPr>
                <w:noProof/>
                <w:webHidden/>
              </w:rPr>
              <w:fldChar w:fldCharType="separate"/>
            </w:r>
            <w:r w:rsidR="000B2F3A">
              <w:rPr>
                <w:noProof/>
                <w:webHidden/>
              </w:rPr>
              <w:t>49</w:t>
            </w:r>
            <w:r>
              <w:rPr>
                <w:noProof/>
                <w:webHidden/>
              </w:rPr>
              <w:fldChar w:fldCharType="end"/>
            </w:r>
          </w:hyperlink>
        </w:p>
        <w:p w14:paraId="4DEB18E5" w14:textId="2394D2F6" w:rsidR="00A92E9A" w:rsidRDefault="00A92E9A">
          <w:pPr>
            <w:pStyle w:val="TOC2"/>
            <w:tabs>
              <w:tab w:val="right" w:leader="dot" w:pos="9016"/>
            </w:tabs>
            <w:rPr>
              <w:noProof/>
            </w:rPr>
          </w:pPr>
          <w:hyperlink w:anchor="_Toc233828726" w:history="1">
            <w:r w:rsidRPr="00B57FE3">
              <w:rPr>
                <w:rStyle w:val="Hyperlink"/>
                <w:noProof/>
              </w:rPr>
              <w:t>3.1 Internalised Social Shame and Confidentiality Apprehensions</w:t>
            </w:r>
            <w:r>
              <w:rPr>
                <w:noProof/>
                <w:webHidden/>
              </w:rPr>
              <w:tab/>
            </w:r>
            <w:r>
              <w:rPr>
                <w:noProof/>
                <w:webHidden/>
              </w:rPr>
              <w:fldChar w:fldCharType="begin"/>
            </w:r>
            <w:r>
              <w:rPr>
                <w:noProof/>
                <w:webHidden/>
              </w:rPr>
              <w:instrText xml:space="preserve"> PAGEREF _Toc233828726 \h </w:instrText>
            </w:r>
            <w:r>
              <w:rPr>
                <w:noProof/>
                <w:webHidden/>
              </w:rPr>
            </w:r>
            <w:r>
              <w:rPr>
                <w:noProof/>
                <w:webHidden/>
              </w:rPr>
              <w:fldChar w:fldCharType="separate"/>
            </w:r>
            <w:r w:rsidR="000B2F3A">
              <w:rPr>
                <w:noProof/>
                <w:webHidden/>
              </w:rPr>
              <w:t>50</w:t>
            </w:r>
            <w:r>
              <w:rPr>
                <w:noProof/>
                <w:webHidden/>
              </w:rPr>
              <w:fldChar w:fldCharType="end"/>
            </w:r>
          </w:hyperlink>
        </w:p>
        <w:p w14:paraId="4F26F157" w14:textId="54BC1EC7" w:rsidR="00A92E9A" w:rsidRDefault="00A92E9A">
          <w:pPr>
            <w:pStyle w:val="TOC2"/>
            <w:tabs>
              <w:tab w:val="right" w:leader="dot" w:pos="9016"/>
            </w:tabs>
            <w:rPr>
              <w:noProof/>
            </w:rPr>
          </w:pPr>
          <w:hyperlink w:anchor="_Toc233828727" w:history="1">
            <w:r w:rsidRPr="00B57FE3">
              <w:rPr>
                <w:rStyle w:val="Hyperlink"/>
                <w:noProof/>
              </w:rPr>
              <w:t>3.2 Minority Stress and Culturally Non-Responsive Diagnostic Frameworks</w:t>
            </w:r>
            <w:r>
              <w:rPr>
                <w:noProof/>
                <w:webHidden/>
              </w:rPr>
              <w:tab/>
            </w:r>
            <w:r>
              <w:rPr>
                <w:noProof/>
                <w:webHidden/>
              </w:rPr>
              <w:fldChar w:fldCharType="begin"/>
            </w:r>
            <w:r>
              <w:rPr>
                <w:noProof/>
                <w:webHidden/>
              </w:rPr>
              <w:instrText xml:space="preserve"> PAGEREF _Toc233828727 \h </w:instrText>
            </w:r>
            <w:r>
              <w:rPr>
                <w:noProof/>
                <w:webHidden/>
              </w:rPr>
            </w:r>
            <w:r>
              <w:rPr>
                <w:noProof/>
                <w:webHidden/>
              </w:rPr>
              <w:fldChar w:fldCharType="separate"/>
            </w:r>
            <w:r w:rsidR="000B2F3A">
              <w:rPr>
                <w:noProof/>
                <w:webHidden/>
              </w:rPr>
              <w:t>51</w:t>
            </w:r>
            <w:r>
              <w:rPr>
                <w:noProof/>
                <w:webHidden/>
              </w:rPr>
              <w:fldChar w:fldCharType="end"/>
            </w:r>
          </w:hyperlink>
        </w:p>
        <w:p w14:paraId="240582E1" w14:textId="1C136718" w:rsidR="00A92E9A" w:rsidRDefault="00A92E9A">
          <w:pPr>
            <w:pStyle w:val="TOC2"/>
            <w:tabs>
              <w:tab w:val="right" w:leader="dot" w:pos="9016"/>
            </w:tabs>
            <w:rPr>
              <w:noProof/>
            </w:rPr>
          </w:pPr>
          <w:hyperlink w:anchor="_Toc233828728" w:history="1">
            <w:r w:rsidRPr="00B57FE3">
              <w:rPr>
                <w:rStyle w:val="Hyperlink"/>
                <w:noProof/>
              </w:rPr>
              <w:t>5.6 Chapter Summary</w:t>
            </w:r>
            <w:r>
              <w:rPr>
                <w:noProof/>
                <w:webHidden/>
              </w:rPr>
              <w:tab/>
            </w:r>
            <w:r>
              <w:rPr>
                <w:noProof/>
                <w:webHidden/>
              </w:rPr>
              <w:fldChar w:fldCharType="begin"/>
            </w:r>
            <w:r>
              <w:rPr>
                <w:noProof/>
                <w:webHidden/>
              </w:rPr>
              <w:instrText xml:space="preserve"> PAGEREF _Toc233828728 \h </w:instrText>
            </w:r>
            <w:r>
              <w:rPr>
                <w:noProof/>
                <w:webHidden/>
              </w:rPr>
            </w:r>
            <w:r>
              <w:rPr>
                <w:noProof/>
                <w:webHidden/>
              </w:rPr>
              <w:fldChar w:fldCharType="separate"/>
            </w:r>
            <w:r w:rsidR="000B2F3A">
              <w:rPr>
                <w:noProof/>
                <w:webHidden/>
              </w:rPr>
              <w:t>52</w:t>
            </w:r>
            <w:r>
              <w:rPr>
                <w:noProof/>
                <w:webHidden/>
              </w:rPr>
              <w:fldChar w:fldCharType="end"/>
            </w:r>
          </w:hyperlink>
        </w:p>
        <w:p w14:paraId="027AB747" w14:textId="13F8FA8B" w:rsidR="00A92E9A" w:rsidRDefault="00A92E9A">
          <w:pPr>
            <w:pStyle w:val="TOC1"/>
            <w:tabs>
              <w:tab w:val="right" w:leader="dot" w:pos="9016"/>
            </w:tabs>
            <w:rPr>
              <w:noProof/>
            </w:rPr>
          </w:pPr>
          <w:hyperlink w:anchor="_Toc233828729" w:history="1">
            <w:r w:rsidRPr="00B57FE3">
              <w:rPr>
                <w:rStyle w:val="Hyperlink"/>
                <w:noProof/>
              </w:rPr>
              <w:t>CHAPTER SIX</w:t>
            </w:r>
            <w:r>
              <w:rPr>
                <w:noProof/>
                <w:webHidden/>
              </w:rPr>
              <w:tab/>
            </w:r>
            <w:r>
              <w:rPr>
                <w:noProof/>
                <w:webHidden/>
              </w:rPr>
              <w:fldChar w:fldCharType="begin"/>
            </w:r>
            <w:r>
              <w:rPr>
                <w:noProof/>
                <w:webHidden/>
              </w:rPr>
              <w:instrText xml:space="preserve"> PAGEREF _Toc233828729 \h </w:instrText>
            </w:r>
            <w:r>
              <w:rPr>
                <w:noProof/>
                <w:webHidden/>
              </w:rPr>
            </w:r>
            <w:r>
              <w:rPr>
                <w:noProof/>
                <w:webHidden/>
              </w:rPr>
              <w:fldChar w:fldCharType="separate"/>
            </w:r>
            <w:r w:rsidR="000B2F3A">
              <w:rPr>
                <w:noProof/>
                <w:webHidden/>
              </w:rPr>
              <w:t>53</w:t>
            </w:r>
            <w:r>
              <w:rPr>
                <w:noProof/>
                <w:webHidden/>
              </w:rPr>
              <w:fldChar w:fldCharType="end"/>
            </w:r>
          </w:hyperlink>
        </w:p>
        <w:p w14:paraId="38D5C17C" w14:textId="7813591F" w:rsidR="00A92E9A" w:rsidRDefault="00A92E9A">
          <w:pPr>
            <w:pStyle w:val="TOC2"/>
            <w:tabs>
              <w:tab w:val="right" w:leader="dot" w:pos="9016"/>
            </w:tabs>
            <w:rPr>
              <w:noProof/>
            </w:rPr>
          </w:pPr>
          <w:hyperlink w:anchor="_Toc233828730" w:history="1">
            <w:r w:rsidRPr="00B57FE3">
              <w:rPr>
                <w:rStyle w:val="Hyperlink"/>
                <w:noProof/>
              </w:rPr>
              <w:t>6.1 Introduction to Chapter</w:t>
            </w:r>
            <w:r>
              <w:rPr>
                <w:noProof/>
                <w:webHidden/>
              </w:rPr>
              <w:tab/>
            </w:r>
            <w:r>
              <w:rPr>
                <w:noProof/>
                <w:webHidden/>
              </w:rPr>
              <w:fldChar w:fldCharType="begin"/>
            </w:r>
            <w:r>
              <w:rPr>
                <w:noProof/>
                <w:webHidden/>
              </w:rPr>
              <w:instrText xml:space="preserve"> PAGEREF _Toc233828730 \h </w:instrText>
            </w:r>
            <w:r>
              <w:rPr>
                <w:noProof/>
                <w:webHidden/>
              </w:rPr>
            </w:r>
            <w:r>
              <w:rPr>
                <w:noProof/>
                <w:webHidden/>
              </w:rPr>
              <w:fldChar w:fldCharType="separate"/>
            </w:r>
            <w:r w:rsidR="000B2F3A">
              <w:rPr>
                <w:noProof/>
                <w:webHidden/>
              </w:rPr>
              <w:t>53</w:t>
            </w:r>
            <w:r>
              <w:rPr>
                <w:noProof/>
                <w:webHidden/>
              </w:rPr>
              <w:fldChar w:fldCharType="end"/>
            </w:r>
          </w:hyperlink>
        </w:p>
        <w:p w14:paraId="7B6C8FB5" w14:textId="064D3496" w:rsidR="00A92E9A" w:rsidRDefault="00A92E9A">
          <w:pPr>
            <w:pStyle w:val="TOC2"/>
            <w:tabs>
              <w:tab w:val="right" w:leader="dot" w:pos="9016"/>
            </w:tabs>
            <w:rPr>
              <w:noProof/>
            </w:rPr>
          </w:pPr>
          <w:hyperlink w:anchor="_Toc233828731" w:history="1">
            <w:r w:rsidRPr="00B57FE3">
              <w:rPr>
                <w:rStyle w:val="Hyperlink"/>
                <w:noProof/>
              </w:rPr>
              <w:t>6.2 Discussion of Key Findings</w:t>
            </w:r>
            <w:r>
              <w:rPr>
                <w:noProof/>
                <w:webHidden/>
              </w:rPr>
              <w:tab/>
            </w:r>
            <w:r>
              <w:rPr>
                <w:noProof/>
                <w:webHidden/>
              </w:rPr>
              <w:fldChar w:fldCharType="begin"/>
            </w:r>
            <w:r>
              <w:rPr>
                <w:noProof/>
                <w:webHidden/>
              </w:rPr>
              <w:instrText xml:space="preserve"> PAGEREF _Toc233828731 \h </w:instrText>
            </w:r>
            <w:r>
              <w:rPr>
                <w:noProof/>
                <w:webHidden/>
              </w:rPr>
            </w:r>
            <w:r>
              <w:rPr>
                <w:noProof/>
                <w:webHidden/>
              </w:rPr>
              <w:fldChar w:fldCharType="separate"/>
            </w:r>
            <w:r w:rsidR="000B2F3A">
              <w:rPr>
                <w:noProof/>
                <w:webHidden/>
              </w:rPr>
              <w:t>53</w:t>
            </w:r>
            <w:r>
              <w:rPr>
                <w:noProof/>
                <w:webHidden/>
              </w:rPr>
              <w:fldChar w:fldCharType="end"/>
            </w:r>
          </w:hyperlink>
        </w:p>
        <w:p w14:paraId="0ED2058C" w14:textId="6AE328B5" w:rsidR="00A92E9A" w:rsidRDefault="00A92E9A">
          <w:pPr>
            <w:pStyle w:val="TOC2"/>
            <w:tabs>
              <w:tab w:val="right" w:leader="dot" w:pos="9016"/>
            </w:tabs>
            <w:rPr>
              <w:noProof/>
            </w:rPr>
          </w:pPr>
          <w:hyperlink w:anchor="_Toc233828732" w:history="1">
            <w:r w:rsidRPr="00B57FE3">
              <w:rPr>
                <w:rStyle w:val="Hyperlink"/>
                <w:noProof/>
              </w:rPr>
              <w:t>6.2.1 Macro-Systemic Rationing and Institutional Gatekeeping</w:t>
            </w:r>
            <w:r>
              <w:rPr>
                <w:noProof/>
                <w:webHidden/>
              </w:rPr>
              <w:tab/>
            </w:r>
            <w:r>
              <w:rPr>
                <w:noProof/>
                <w:webHidden/>
              </w:rPr>
              <w:fldChar w:fldCharType="begin"/>
            </w:r>
            <w:r>
              <w:rPr>
                <w:noProof/>
                <w:webHidden/>
              </w:rPr>
              <w:instrText xml:space="preserve"> PAGEREF _Toc233828732 \h </w:instrText>
            </w:r>
            <w:r>
              <w:rPr>
                <w:noProof/>
                <w:webHidden/>
              </w:rPr>
            </w:r>
            <w:r>
              <w:rPr>
                <w:noProof/>
                <w:webHidden/>
              </w:rPr>
              <w:fldChar w:fldCharType="separate"/>
            </w:r>
            <w:r w:rsidR="000B2F3A">
              <w:rPr>
                <w:noProof/>
                <w:webHidden/>
              </w:rPr>
              <w:t>53</w:t>
            </w:r>
            <w:r>
              <w:rPr>
                <w:noProof/>
                <w:webHidden/>
              </w:rPr>
              <w:fldChar w:fldCharType="end"/>
            </w:r>
          </w:hyperlink>
        </w:p>
        <w:p w14:paraId="2A2B89D4" w14:textId="6380F382" w:rsidR="00A92E9A" w:rsidRDefault="00A92E9A">
          <w:pPr>
            <w:pStyle w:val="TOC2"/>
            <w:tabs>
              <w:tab w:val="right" w:leader="dot" w:pos="9016"/>
            </w:tabs>
            <w:rPr>
              <w:noProof/>
            </w:rPr>
          </w:pPr>
          <w:hyperlink w:anchor="_Toc233828733" w:history="1">
            <w:r w:rsidRPr="00B57FE3">
              <w:rPr>
                <w:rStyle w:val="Hyperlink"/>
                <w:noProof/>
              </w:rPr>
              <w:t>6.2.2 Socio-Economic Stratification and Structural Determinants</w:t>
            </w:r>
            <w:r>
              <w:rPr>
                <w:noProof/>
                <w:webHidden/>
              </w:rPr>
              <w:tab/>
            </w:r>
            <w:r>
              <w:rPr>
                <w:noProof/>
                <w:webHidden/>
              </w:rPr>
              <w:fldChar w:fldCharType="begin"/>
            </w:r>
            <w:r>
              <w:rPr>
                <w:noProof/>
                <w:webHidden/>
              </w:rPr>
              <w:instrText xml:space="preserve"> PAGEREF _Toc233828733 \h </w:instrText>
            </w:r>
            <w:r>
              <w:rPr>
                <w:noProof/>
                <w:webHidden/>
              </w:rPr>
            </w:r>
            <w:r>
              <w:rPr>
                <w:noProof/>
                <w:webHidden/>
              </w:rPr>
              <w:fldChar w:fldCharType="separate"/>
            </w:r>
            <w:r w:rsidR="000B2F3A">
              <w:rPr>
                <w:noProof/>
                <w:webHidden/>
              </w:rPr>
              <w:t>54</w:t>
            </w:r>
            <w:r>
              <w:rPr>
                <w:noProof/>
                <w:webHidden/>
              </w:rPr>
              <w:fldChar w:fldCharType="end"/>
            </w:r>
          </w:hyperlink>
        </w:p>
        <w:p w14:paraId="635345CE" w14:textId="66EBFD7D" w:rsidR="00A92E9A" w:rsidRDefault="00A92E9A">
          <w:pPr>
            <w:pStyle w:val="TOC2"/>
            <w:tabs>
              <w:tab w:val="right" w:leader="dot" w:pos="9016"/>
            </w:tabs>
            <w:rPr>
              <w:noProof/>
            </w:rPr>
          </w:pPr>
          <w:hyperlink w:anchor="_Toc233828734" w:history="1">
            <w:r w:rsidRPr="00B57FE3">
              <w:rPr>
                <w:rStyle w:val="Hyperlink"/>
                <w:noProof/>
              </w:rPr>
              <w:t>6.2.3 Relational Stigma, Intersectional Vulnerability and Distrust</w:t>
            </w:r>
            <w:r>
              <w:rPr>
                <w:noProof/>
                <w:webHidden/>
              </w:rPr>
              <w:tab/>
            </w:r>
            <w:r>
              <w:rPr>
                <w:noProof/>
                <w:webHidden/>
              </w:rPr>
              <w:fldChar w:fldCharType="begin"/>
            </w:r>
            <w:r>
              <w:rPr>
                <w:noProof/>
                <w:webHidden/>
              </w:rPr>
              <w:instrText xml:space="preserve"> PAGEREF _Toc233828734 \h </w:instrText>
            </w:r>
            <w:r>
              <w:rPr>
                <w:noProof/>
                <w:webHidden/>
              </w:rPr>
            </w:r>
            <w:r>
              <w:rPr>
                <w:noProof/>
                <w:webHidden/>
              </w:rPr>
              <w:fldChar w:fldCharType="separate"/>
            </w:r>
            <w:r w:rsidR="000B2F3A">
              <w:rPr>
                <w:noProof/>
                <w:webHidden/>
              </w:rPr>
              <w:t>56</w:t>
            </w:r>
            <w:r>
              <w:rPr>
                <w:noProof/>
                <w:webHidden/>
              </w:rPr>
              <w:fldChar w:fldCharType="end"/>
            </w:r>
          </w:hyperlink>
        </w:p>
        <w:p w14:paraId="0CA9EE18" w14:textId="7292057A" w:rsidR="00A92E9A" w:rsidRDefault="00A92E9A">
          <w:pPr>
            <w:pStyle w:val="TOC2"/>
            <w:tabs>
              <w:tab w:val="right" w:leader="dot" w:pos="9016"/>
            </w:tabs>
            <w:rPr>
              <w:noProof/>
            </w:rPr>
          </w:pPr>
          <w:hyperlink w:anchor="_Toc233828735" w:history="1">
            <w:r w:rsidRPr="00B57FE3">
              <w:rPr>
                <w:rStyle w:val="Hyperlink"/>
                <w:noProof/>
              </w:rPr>
              <w:t>6.2.4 Critique of the Research Approach and Methodological Limitations</w:t>
            </w:r>
            <w:r>
              <w:rPr>
                <w:noProof/>
                <w:webHidden/>
              </w:rPr>
              <w:tab/>
            </w:r>
            <w:r>
              <w:rPr>
                <w:noProof/>
                <w:webHidden/>
              </w:rPr>
              <w:fldChar w:fldCharType="begin"/>
            </w:r>
            <w:r>
              <w:rPr>
                <w:noProof/>
                <w:webHidden/>
              </w:rPr>
              <w:instrText xml:space="preserve"> PAGEREF _Toc233828735 \h </w:instrText>
            </w:r>
            <w:r>
              <w:rPr>
                <w:noProof/>
                <w:webHidden/>
              </w:rPr>
            </w:r>
            <w:r>
              <w:rPr>
                <w:noProof/>
                <w:webHidden/>
              </w:rPr>
              <w:fldChar w:fldCharType="separate"/>
            </w:r>
            <w:r w:rsidR="000B2F3A">
              <w:rPr>
                <w:noProof/>
                <w:webHidden/>
              </w:rPr>
              <w:t>57</w:t>
            </w:r>
            <w:r>
              <w:rPr>
                <w:noProof/>
                <w:webHidden/>
              </w:rPr>
              <w:fldChar w:fldCharType="end"/>
            </w:r>
          </w:hyperlink>
        </w:p>
        <w:p w14:paraId="6E1FC4AA" w14:textId="185C91CE" w:rsidR="00A92E9A" w:rsidRDefault="00A92E9A">
          <w:pPr>
            <w:pStyle w:val="TOC2"/>
            <w:tabs>
              <w:tab w:val="right" w:leader="dot" w:pos="9016"/>
            </w:tabs>
            <w:rPr>
              <w:noProof/>
            </w:rPr>
          </w:pPr>
          <w:hyperlink w:anchor="_Toc233828736" w:history="1">
            <w:r w:rsidRPr="00B57FE3">
              <w:rPr>
                <w:rStyle w:val="Hyperlink"/>
                <w:noProof/>
              </w:rPr>
              <w:t>6.3 Strengths and Limitations</w:t>
            </w:r>
            <w:r>
              <w:rPr>
                <w:noProof/>
                <w:webHidden/>
              </w:rPr>
              <w:tab/>
            </w:r>
            <w:r>
              <w:rPr>
                <w:noProof/>
                <w:webHidden/>
              </w:rPr>
              <w:fldChar w:fldCharType="begin"/>
            </w:r>
            <w:r>
              <w:rPr>
                <w:noProof/>
                <w:webHidden/>
              </w:rPr>
              <w:instrText xml:space="preserve"> PAGEREF _Toc233828736 \h </w:instrText>
            </w:r>
            <w:r>
              <w:rPr>
                <w:noProof/>
                <w:webHidden/>
              </w:rPr>
            </w:r>
            <w:r>
              <w:rPr>
                <w:noProof/>
                <w:webHidden/>
              </w:rPr>
              <w:fldChar w:fldCharType="separate"/>
            </w:r>
            <w:r w:rsidR="000B2F3A">
              <w:rPr>
                <w:noProof/>
                <w:webHidden/>
              </w:rPr>
              <w:t>58</w:t>
            </w:r>
            <w:r>
              <w:rPr>
                <w:noProof/>
                <w:webHidden/>
              </w:rPr>
              <w:fldChar w:fldCharType="end"/>
            </w:r>
          </w:hyperlink>
        </w:p>
        <w:p w14:paraId="53C8A591" w14:textId="1A05BE35" w:rsidR="00A92E9A" w:rsidRDefault="00A92E9A">
          <w:pPr>
            <w:pStyle w:val="TOC2"/>
            <w:tabs>
              <w:tab w:val="right" w:leader="dot" w:pos="9016"/>
            </w:tabs>
            <w:rPr>
              <w:noProof/>
            </w:rPr>
          </w:pPr>
          <w:hyperlink w:anchor="_Toc233828737" w:history="1">
            <w:r w:rsidRPr="00B57FE3">
              <w:rPr>
                <w:rStyle w:val="Hyperlink"/>
                <w:noProof/>
              </w:rPr>
              <w:t>6.4 Chapter Summary</w:t>
            </w:r>
            <w:r>
              <w:rPr>
                <w:noProof/>
                <w:webHidden/>
              </w:rPr>
              <w:tab/>
            </w:r>
            <w:r>
              <w:rPr>
                <w:noProof/>
                <w:webHidden/>
              </w:rPr>
              <w:fldChar w:fldCharType="begin"/>
            </w:r>
            <w:r>
              <w:rPr>
                <w:noProof/>
                <w:webHidden/>
              </w:rPr>
              <w:instrText xml:space="preserve"> PAGEREF _Toc233828737 \h </w:instrText>
            </w:r>
            <w:r>
              <w:rPr>
                <w:noProof/>
                <w:webHidden/>
              </w:rPr>
            </w:r>
            <w:r>
              <w:rPr>
                <w:noProof/>
                <w:webHidden/>
              </w:rPr>
              <w:fldChar w:fldCharType="separate"/>
            </w:r>
            <w:r w:rsidR="000B2F3A">
              <w:rPr>
                <w:noProof/>
                <w:webHidden/>
              </w:rPr>
              <w:t>58</w:t>
            </w:r>
            <w:r>
              <w:rPr>
                <w:noProof/>
                <w:webHidden/>
              </w:rPr>
              <w:fldChar w:fldCharType="end"/>
            </w:r>
          </w:hyperlink>
        </w:p>
        <w:p w14:paraId="53849699" w14:textId="743246C7" w:rsidR="00A92E9A" w:rsidRDefault="00A92E9A">
          <w:pPr>
            <w:pStyle w:val="TOC1"/>
            <w:tabs>
              <w:tab w:val="right" w:leader="dot" w:pos="9016"/>
            </w:tabs>
            <w:rPr>
              <w:noProof/>
            </w:rPr>
          </w:pPr>
          <w:hyperlink w:anchor="_Toc233828738" w:history="1">
            <w:r w:rsidRPr="00B57FE3">
              <w:rPr>
                <w:rStyle w:val="Hyperlink"/>
                <w:noProof/>
              </w:rPr>
              <w:t>CHAPTER SEVEN</w:t>
            </w:r>
            <w:r>
              <w:rPr>
                <w:noProof/>
                <w:webHidden/>
              </w:rPr>
              <w:tab/>
            </w:r>
            <w:r>
              <w:rPr>
                <w:noProof/>
                <w:webHidden/>
              </w:rPr>
              <w:fldChar w:fldCharType="begin"/>
            </w:r>
            <w:r>
              <w:rPr>
                <w:noProof/>
                <w:webHidden/>
              </w:rPr>
              <w:instrText xml:space="preserve"> PAGEREF _Toc233828738 \h </w:instrText>
            </w:r>
            <w:r>
              <w:rPr>
                <w:noProof/>
                <w:webHidden/>
              </w:rPr>
            </w:r>
            <w:r>
              <w:rPr>
                <w:noProof/>
                <w:webHidden/>
              </w:rPr>
              <w:fldChar w:fldCharType="separate"/>
            </w:r>
            <w:r w:rsidR="000B2F3A">
              <w:rPr>
                <w:noProof/>
                <w:webHidden/>
              </w:rPr>
              <w:t>60</w:t>
            </w:r>
            <w:r>
              <w:rPr>
                <w:noProof/>
                <w:webHidden/>
              </w:rPr>
              <w:fldChar w:fldCharType="end"/>
            </w:r>
          </w:hyperlink>
        </w:p>
        <w:p w14:paraId="20924D24" w14:textId="66B0C916" w:rsidR="00A92E9A" w:rsidRDefault="00A92E9A">
          <w:pPr>
            <w:pStyle w:val="TOC2"/>
            <w:tabs>
              <w:tab w:val="right" w:leader="dot" w:pos="9016"/>
            </w:tabs>
            <w:rPr>
              <w:noProof/>
            </w:rPr>
          </w:pPr>
          <w:hyperlink w:anchor="_Toc233828739" w:history="1">
            <w:r w:rsidRPr="00B57FE3">
              <w:rPr>
                <w:rStyle w:val="Hyperlink"/>
                <w:noProof/>
              </w:rPr>
              <w:t>7.1 Introduction</w:t>
            </w:r>
            <w:r>
              <w:rPr>
                <w:noProof/>
                <w:webHidden/>
              </w:rPr>
              <w:tab/>
            </w:r>
            <w:r>
              <w:rPr>
                <w:noProof/>
                <w:webHidden/>
              </w:rPr>
              <w:fldChar w:fldCharType="begin"/>
            </w:r>
            <w:r>
              <w:rPr>
                <w:noProof/>
                <w:webHidden/>
              </w:rPr>
              <w:instrText xml:space="preserve"> PAGEREF _Toc233828739 \h </w:instrText>
            </w:r>
            <w:r>
              <w:rPr>
                <w:noProof/>
                <w:webHidden/>
              </w:rPr>
            </w:r>
            <w:r>
              <w:rPr>
                <w:noProof/>
                <w:webHidden/>
              </w:rPr>
              <w:fldChar w:fldCharType="separate"/>
            </w:r>
            <w:r w:rsidR="000B2F3A">
              <w:rPr>
                <w:noProof/>
                <w:webHidden/>
              </w:rPr>
              <w:t>60</w:t>
            </w:r>
            <w:r>
              <w:rPr>
                <w:noProof/>
                <w:webHidden/>
              </w:rPr>
              <w:fldChar w:fldCharType="end"/>
            </w:r>
          </w:hyperlink>
        </w:p>
        <w:p w14:paraId="27A62496" w14:textId="7704E223" w:rsidR="00A92E9A" w:rsidRDefault="00A92E9A">
          <w:pPr>
            <w:pStyle w:val="TOC2"/>
            <w:tabs>
              <w:tab w:val="right" w:leader="dot" w:pos="9016"/>
            </w:tabs>
            <w:rPr>
              <w:noProof/>
            </w:rPr>
          </w:pPr>
          <w:hyperlink w:anchor="_Toc233828740" w:history="1">
            <w:r w:rsidRPr="00B57FE3">
              <w:rPr>
                <w:rStyle w:val="Hyperlink"/>
                <w:noProof/>
              </w:rPr>
              <w:t>7.2 Implications of Findings</w:t>
            </w:r>
            <w:r>
              <w:rPr>
                <w:noProof/>
                <w:webHidden/>
              </w:rPr>
              <w:tab/>
            </w:r>
            <w:r>
              <w:rPr>
                <w:noProof/>
                <w:webHidden/>
              </w:rPr>
              <w:fldChar w:fldCharType="begin"/>
            </w:r>
            <w:r>
              <w:rPr>
                <w:noProof/>
                <w:webHidden/>
              </w:rPr>
              <w:instrText xml:space="preserve"> PAGEREF _Toc233828740 \h </w:instrText>
            </w:r>
            <w:r>
              <w:rPr>
                <w:noProof/>
                <w:webHidden/>
              </w:rPr>
            </w:r>
            <w:r>
              <w:rPr>
                <w:noProof/>
                <w:webHidden/>
              </w:rPr>
              <w:fldChar w:fldCharType="separate"/>
            </w:r>
            <w:r w:rsidR="000B2F3A">
              <w:rPr>
                <w:noProof/>
                <w:webHidden/>
              </w:rPr>
              <w:t>60</w:t>
            </w:r>
            <w:r>
              <w:rPr>
                <w:noProof/>
                <w:webHidden/>
              </w:rPr>
              <w:fldChar w:fldCharType="end"/>
            </w:r>
          </w:hyperlink>
        </w:p>
        <w:p w14:paraId="2BD66569" w14:textId="4E360943" w:rsidR="00A92E9A" w:rsidRDefault="00A92E9A">
          <w:pPr>
            <w:pStyle w:val="TOC2"/>
            <w:tabs>
              <w:tab w:val="right" w:leader="dot" w:pos="9016"/>
            </w:tabs>
            <w:rPr>
              <w:noProof/>
            </w:rPr>
          </w:pPr>
          <w:hyperlink w:anchor="_Toc233828741" w:history="1">
            <w:r w:rsidRPr="00B57FE3">
              <w:rPr>
                <w:rStyle w:val="Hyperlink"/>
                <w:noProof/>
              </w:rPr>
              <w:t>7.3 Recommendations for Practice</w:t>
            </w:r>
            <w:r>
              <w:rPr>
                <w:noProof/>
                <w:webHidden/>
              </w:rPr>
              <w:tab/>
            </w:r>
            <w:r>
              <w:rPr>
                <w:noProof/>
                <w:webHidden/>
              </w:rPr>
              <w:fldChar w:fldCharType="begin"/>
            </w:r>
            <w:r>
              <w:rPr>
                <w:noProof/>
                <w:webHidden/>
              </w:rPr>
              <w:instrText xml:space="preserve"> PAGEREF _Toc233828741 \h </w:instrText>
            </w:r>
            <w:r>
              <w:rPr>
                <w:noProof/>
                <w:webHidden/>
              </w:rPr>
            </w:r>
            <w:r>
              <w:rPr>
                <w:noProof/>
                <w:webHidden/>
              </w:rPr>
              <w:fldChar w:fldCharType="separate"/>
            </w:r>
            <w:r w:rsidR="000B2F3A">
              <w:rPr>
                <w:noProof/>
                <w:webHidden/>
              </w:rPr>
              <w:t>60</w:t>
            </w:r>
            <w:r>
              <w:rPr>
                <w:noProof/>
                <w:webHidden/>
              </w:rPr>
              <w:fldChar w:fldCharType="end"/>
            </w:r>
          </w:hyperlink>
        </w:p>
        <w:p w14:paraId="5AFD3B98" w14:textId="5E962121" w:rsidR="00A92E9A" w:rsidRDefault="00A92E9A">
          <w:pPr>
            <w:pStyle w:val="TOC2"/>
            <w:tabs>
              <w:tab w:val="right" w:leader="dot" w:pos="9016"/>
            </w:tabs>
            <w:rPr>
              <w:noProof/>
            </w:rPr>
          </w:pPr>
          <w:hyperlink w:anchor="_Toc233828742" w:history="1">
            <w:r w:rsidRPr="00B57FE3">
              <w:rPr>
                <w:rStyle w:val="Hyperlink"/>
                <w:noProof/>
              </w:rPr>
              <w:t>7.4 Recommendations for Future Research</w:t>
            </w:r>
            <w:r>
              <w:rPr>
                <w:noProof/>
                <w:webHidden/>
              </w:rPr>
              <w:tab/>
            </w:r>
            <w:r>
              <w:rPr>
                <w:noProof/>
                <w:webHidden/>
              </w:rPr>
              <w:fldChar w:fldCharType="begin"/>
            </w:r>
            <w:r>
              <w:rPr>
                <w:noProof/>
                <w:webHidden/>
              </w:rPr>
              <w:instrText xml:space="preserve"> PAGEREF _Toc233828742 \h </w:instrText>
            </w:r>
            <w:r>
              <w:rPr>
                <w:noProof/>
                <w:webHidden/>
              </w:rPr>
            </w:r>
            <w:r>
              <w:rPr>
                <w:noProof/>
                <w:webHidden/>
              </w:rPr>
              <w:fldChar w:fldCharType="separate"/>
            </w:r>
            <w:r w:rsidR="000B2F3A">
              <w:rPr>
                <w:noProof/>
                <w:webHidden/>
              </w:rPr>
              <w:t>61</w:t>
            </w:r>
            <w:r>
              <w:rPr>
                <w:noProof/>
                <w:webHidden/>
              </w:rPr>
              <w:fldChar w:fldCharType="end"/>
            </w:r>
          </w:hyperlink>
        </w:p>
        <w:p w14:paraId="3FE416E0" w14:textId="4F0D92A9" w:rsidR="00A92E9A" w:rsidRDefault="00A92E9A">
          <w:pPr>
            <w:pStyle w:val="TOC2"/>
            <w:tabs>
              <w:tab w:val="right" w:leader="dot" w:pos="9016"/>
            </w:tabs>
            <w:rPr>
              <w:noProof/>
            </w:rPr>
          </w:pPr>
          <w:hyperlink w:anchor="_Toc233828743" w:history="1">
            <w:r w:rsidRPr="00B57FE3">
              <w:rPr>
                <w:rStyle w:val="Hyperlink"/>
                <w:noProof/>
              </w:rPr>
              <w:t>7.5 Conclusion</w:t>
            </w:r>
            <w:r>
              <w:rPr>
                <w:noProof/>
                <w:webHidden/>
              </w:rPr>
              <w:tab/>
            </w:r>
            <w:r>
              <w:rPr>
                <w:noProof/>
                <w:webHidden/>
              </w:rPr>
              <w:fldChar w:fldCharType="begin"/>
            </w:r>
            <w:r>
              <w:rPr>
                <w:noProof/>
                <w:webHidden/>
              </w:rPr>
              <w:instrText xml:space="preserve"> PAGEREF _Toc233828743 \h </w:instrText>
            </w:r>
            <w:r>
              <w:rPr>
                <w:noProof/>
                <w:webHidden/>
              </w:rPr>
            </w:r>
            <w:r>
              <w:rPr>
                <w:noProof/>
                <w:webHidden/>
              </w:rPr>
              <w:fldChar w:fldCharType="separate"/>
            </w:r>
            <w:r w:rsidR="000B2F3A">
              <w:rPr>
                <w:noProof/>
                <w:webHidden/>
              </w:rPr>
              <w:t>61</w:t>
            </w:r>
            <w:r>
              <w:rPr>
                <w:noProof/>
                <w:webHidden/>
              </w:rPr>
              <w:fldChar w:fldCharType="end"/>
            </w:r>
          </w:hyperlink>
        </w:p>
        <w:p w14:paraId="2C4E755B" w14:textId="2710EA9A" w:rsidR="00A92E9A" w:rsidRDefault="00A92E9A">
          <w:pPr>
            <w:pStyle w:val="TOC2"/>
            <w:tabs>
              <w:tab w:val="right" w:leader="dot" w:pos="9016"/>
            </w:tabs>
            <w:rPr>
              <w:noProof/>
            </w:rPr>
          </w:pPr>
          <w:hyperlink w:anchor="_Toc233828744" w:history="1">
            <w:r w:rsidRPr="00B57FE3">
              <w:rPr>
                <w:rStyle w:val="Hyperlink"/>
                <w:noProof/>
              </w:rPr>
              <w:t>REFERENCE LIST:</w:t>
            </w:r>
            <w:r>
              <w:rPr>
                <w:noProof/>
                <w:webHidden/>
              </w:rPr>
              <w:tab/>
            </w:r>
            <w:r>
              <w:rPr>
                <w:noProof/>
                <w:webHidden/>
              </w:rPr>
              <w:fldChar w:fldCharType="begin"/>
            </w:r>
            <w:r>
              <w:rPr>
                <w:noProof/>
                <w:webHidden/>
              </w:rPr>
              <w:instrText xml:space="preserve"> PAGEREF _Toc233828744 \h </w:instrText>
            </w:r>
            <w:r>
              <w:rPr>
                <w:noProof/>
                <w:webHidden/>
              </w:rPr>
            </w:r>
            <w:r>
              <w:rPr>
                <w:noProof/>
                <w:webHidden/>
              </w:rPr>
              <w:fldChar w:fldCharType="separate"/>
            </w:r>
            <w:r w:rsidR="000B2F3A">
              <w:rPr>
                <w:noProof/>
                <w:webHidden/>
              </w:rPr>
              <w:t>64</w:t>
            </w:r>
            <w:r>
              <w:rPr>
                <w:noProof/>
                <w:webHidden/>
              </w:rPr>
              <w:fldChar w:fldCharType="end"/>
            </w:r>
          </w:hyperlink>
        </w:p>
        <w:p w14:paraId="58F8DFB3" w14:textId="1390C9F2" w:rsidR="00A92E9A" w:rsidRDefault="00A92E9A">
          <w:pPr>
            <w:pStyle w:val="TOC1"/>
            <w:tabs>
              <w:tab w:val="right" w:leader="dot" w:pos="9016"/>
            </w:tabs>
            <w:rPr>
              <w:noProof/>
            </w:rPr>
          </w:pPr>
        </w:p>
        <w:p w14:paraId="5000FCDD" w14:textId="03D15DF9" w:rsidR="00A92E9A" w:rsidRDefault="00A92E9A">
          <w:r>
            <w:rPr>
              <w:b/>
              <w:bCs/>
              <w:noProof/>
            </w:rPr>
            <w:fldChar w:fldCharType="end"/>
          </w:r>
        </w:p>
      </w:sdtContent>
    </w:sdt>
    <w:p w14:paraId="67176BB1" w14:textId="77777777" w:rsidR="00CB7D00" w:rsidRDefault="00CB7D00" w:rsidP="00CB7D00"/>
    <w:p w14:paraId="063CDF93" w14:textId="77777777" w:rsidR="000B2F3A" w:rsidRDefault="000B2F3A" w:rsidP="00CB7D00"/>
    <w:p w14:paraId="5440E4A5" w14:textId="77777777" w:rsidR="000B2F3A" w:rsidRDefault="000B2F3A" w:rsidP="00CB7D00"/>
    <w:p w14:paraId="2B622E57" w14:textId="77777777" w:rsidR="000B2F3A" w:rsidRDefault="000B2F3A" w:rsidP="00CB7D00"/>
    <w:p w14:paraId="08EF60B3" w14:textId="77777777" w:rsidR="000B2F3A" w:rsidRDefault="000B2F3A" w:rsidP="00CB7D00"/>
    <w:p w14:paraId="51F05F80" w14:textId="77777777" w:rsidR="000B2F3A" w:rsidRDefault="000B2F3A" w:rsidP="00CB7D00"/>
    <w:p w14:paraId="726BA7D9" w14:textId="77777777" w:rsidR="000B2F3A" w:rsidRDefault="000B2F3A" w:rsidP="00CB7D00"/>
    <w:p w14:paraId="676948A5" w14:textId="77777777" w:rsidR="001E13B4" w:rsidRDefault="001E13B4" w:rsidP="00CB7D00"/>
    <w:p w14:paraId="61AFCE57" w14:textId="77777777" w:rsidR="001E13B4" w:rsidRDefault="001E13B4" w:rsidP="003254FB">
      <w:pPr>
        <w:pStyle w:val="Heading2"/>
      </w:pPr>
      <w:bookmarkStart w:id="1" w:name="_Toc233828669"/>
    </w:p>
    <w:p w14:paraId="7EB07DF5" w14:textId="77777777" w:rsidR="009118AB" w:rsidRDefault="009118AB" w:rsidP="009118AB"/>
    <w:p w14:paraId="62E4BD1F" w14:textId="77777777" w:rsidR="009118AB" w:rsidRPr="009118AB" w:rsidRDefault="009118AB" w:rsidP="009118AB"/>
    <w:p w14:paraId="4BC0F489" w14:textId="0DC88C02" w:rsidR="00114E6F" w:rsidRPr="00114E6F" w:rsidRDefault="00114E6F" w:rsidP="003254FB">
      <w:pPr>
        <w:pStyle w:val="Heading2"/>
      </w:pPr>
      <w:r w:rsidRPr="00114E6F">
        <w:lastRenderedPageBreak/>
        <w:t>CHAPTER ONE</w:t>
      </w:r>
      <w:bookmarkEnd w:id="1"/>
    </w:p>
    <w:p w14:paraId="1E6C6AC3" w14:textId="77777777" w:rsidR="00967E4E" w:rsidRPr="00967E4E" w:rsidRDefault="00967E4E" w:rsidP="003254FB">
      <w:pPr>
        <w:pStyle w:val="Heading2"/>
      </w:pPr>
      <w:bookmarkStart w:id="2" w:name="_Toc233828670"/>
      <w:r w:rsidRPr="00967E4E">
        <w:t>1.1 Introduction</w:t>
      </w:r>
      <w:bookmarkEnd w:id="2"/>
    </w:p>
    <w:p w14:paraId="404876A3" w14:textId="77777777" w:rsidR="00967E4E" w:rsidRPr="00967E4E" w:rsidRDefault="00967E4E" w:rsidP="001E13B4">
      <w:pPr>
        <w:spacing w:line="360" w:lineRule="auto"/>
        <w:jc w:val="both"/>
        <w:rPr>
          <w:rFonts w:ascii="Arial" w:hAnsi="Arial" w:cs="Arial"/>
          <w:sz w:val="22"/>
          <w:szCs w:val="22"/>
        </w:rPr>
      </w:pPr>
      <w:r w:rsidRPr="00967E4E">
        <w:rPr>
          <w:rFonts w:ascii="Arial" w:hAnsi="Arial" w:cs="Arial"/>
          <w:sz w:val="22"/>
          <w:szCs w:val="22"/>
        </w:rPr>
        <w:t>Adolescent mental health is a major public health and social care priority in the United Kingdom (Care Quality Commission, 2025). Recent evidence indicates that approximately one in five children and young people in England experienced a probable mental disorder in 2023, placing increasing pressure on health and social care services (NHS England, 2023). Adolescents, defined as individuals aged 10–19 years, experience significant biological, psychological and social changes that increase their vulnerability to mental health difficulties (Kessler et al., 2005; Patalay and Gage, 2019). This review examines the individual, socio-cultural and structural barriers that limit access to Child and Adolescent Mental Health Services (CAMHS) in the United Kingdom, contributing to delayed intervention, unmet need and poorer health outcomes (Velasco et al., 2020; Maxwell et al., 2019).</w:t>
      </w:r>
    </w:p>
    <w:p w14:paraId="36FC13BF" w14:textId="77777777" w:rsidR="00967E4E" w:rsidRPr="00967E4E" w:rsidRDefault="00967E4E" w:rsidP="001E13B4">
      <w:pPr>
        <w:spacing w:line="360" w:lineRule="auto"/>
        <w:jc w:val="both"/>
        <w:rPr>
          <w:rFonts w:ascii="Arial" w:hAnsi="Arial" w:cs="Arial"/>
          <w:sz w:val="22"/>
          <w:szCs w:val="22"/>
        </w:rPr>
      </w:pPr>
      <w:r w:rsidRPr="00967E4E">
        <w:rPr>
          <w:rFonts w:ascii="Arial" w:hAnsi="Arial" w:cs="Arial"/>
          <w:sz w:val="22"/>
          <w:szCs w:val="22"/>
        </w:rPr>
        <w:t>Untreated mental health difficulties during adolescence are associated with poorer educational attainment, reduced social functioning and adverse long-term health outcomes (Barnardo’s and King’s College London, 2022; White et al., 2024). Access to mental health services is further hindered by stigma, limited mental health literacy and fragmented service provision, with additional inequalities affecting vulnerable groups, including autistic adolescents (Clement et al., 2015; Radez et al., 2021; Cetintas et al., 2026). Through a systematic review, this study synthesises contemporary evidence to provide an integrated understanding of the barriers affecting adolescent mental health service access and to inform equitable, evidence-based policy and service delivery (Thomas and Harden, 2008).</w:t>
      </w:r>
    </w:p>
    <w:p w14:paraId="4E0FD63A" w14:textId="077BF271" w:rsidR="001D7ED2" w:rsidRPr="001D7ED2" w:rsidRDefault="00967E4E" w:rsidP="00114E6F">
      <w:pPr>
        <w:spacing w:line="360" w:lineRule="auto"/>
        <w:jc w:val="both"/>
        <w:rPr>
          <w:rFonts w:ascii="Arial" w:hAnsi="Arial" w:cs="Arial"/>
          <w:sz w:val="22"/>
          <w:szCs w:val="22"/>
        </w:rPr>
      </w:pPr>
      <w:r w:rsidRPr="00967E4E">
        <w:rPr>
          <w:rFonts w:ascii="Arial" w:hAnsi="Arial" w:cs="Arial"/>
          <w:sz w:val="22"/>
          <w:szCs w:val="22"/>
        </w:rPr>
        <w:t>The review is informed by Andersen’s Behavioural Model of Health Service Use, which explains how individual, social and structural factors influence healthcare utilisation (Andersen, 1995). Despite continued policy reforms, uncertainty remains regarding how these interconnected barriers shape adolescents' access to mental health services. This review addresses this gap by systematically synthesising contemporary evidence relating to adolescent mental health service access in the United Kingdom.</w:t>
      </w:r>
    </w:p>
    <w:p w14:paraId="3060416A" w14:textId="77777777" w:rsidR="00374FCA" w:rsidRPr="00374FCA" w:rsidRDefault="00374FCA" w:rsidP="003254FB">
      <w:pPr>
        <w:pStyle w:val="Heading2"/>
      </w:pPr>
      <w:bookmarkStart w:id="3" w:name="_Toc233828671"/>
      <w:r w:rsidRPr="00374FCA">
        <w:t>1.2 Background and Current Context</w:t>
      </w:r>
      <w:bookmarkEnd w:id="3"/>
    </w:p>
    <w:p w14:paraId="77BA3BF9" w14:textId="77777777" w:rsidR="00374FCA" w:rsidRPr="00374FCA" w:rsidRDefault="00374FCA" w:rsidP="00374FCA">
      <w:pPr>
        <w:spacing w:line="360" w:lineRule="auto"/>
        <w:jc w:val="both"/>
        <w:rPr>
          <w:rFonts w:ascii="Arial" w:hAnsi="Arial" w:cs="Arial"/>
          <w:sz w:val="22"/>
          <w:szCs w:val="22"/>
        </w:rPr>
      </w:pPr>
      <w:r w:rsidRPr="00374FCA">
        <w:rPr>
          <w:rFonts w:ascii="Arial" w:hAnsi="Arial" w:cs="Arial"/>
          <w:sz w:val="22"/>
          <w:szCs w:val="22"/>
        </w:rPr>
        <w:t xml:space="preserve">To understand the contemporary adolescent mental health landscape in the United Kingdom, it is necessary to consider the increasing prevalence of psychological morbidity and the factors shaping access to care. National epidemiological evidence demonstrates a sustained rise in psychiatric distress among children and adolescents, generating growing concern among policymakers, healthcare professionals and social care providers (Barnardo’s and King’s College London, 2022; Children’s Commissioner for England, 2025; Rainer and Abdinasir, </w:t>
      </w:r>
      <w:r w:rsidRPr="00374FCA">
        <w:rPr>
          <w:rFonts w:ascii="Arial" w:hAnsi="Arial" w:cs="Arial"/>
          <w:sz w:val="22"/>
          <w:szCs w:val="22"/>
        </w:rPr>
        <w:lastRenderedPageBreak/>
        <w:t>2023). These findings also reveal widening socioeconomic and demographic inequalities, reinforcing the need for system-level reform and targeted early intervention strategies.</w:t>
      </w:r>
    </w:p>
    <w:p w14:paraId="3E9BAFB3" w14:textId="77777777" w:rsidR="00374FCA" w:rsidRPr="00374FCA" w:rsidRDefault="00374FCA" w:rsidP="00374FCA">
      <w:pPr>
        <w:spacing w:line="360" w:lineRule="auto"/>
        <w:jc w:val="both"/>
        <w:rPr>
          <w:rFonts w:ascii="Arial" w:hAnsi="Arial" w:cs="Arial"/>
          <w:sz w:val="22"/>
          <w:szCs w:val="22"/>
        </w:rPr>
      </w:pPr>
      <w:r w:rsidRPr="00374FCA">
        <w:rPr>
          <w:rFonts w:ascii="Arial" w:hAnsi="Arial" w:cs="Arial"/>
          <w:sz w:val="22"/>
          <w:szCs w:val="22"/>
        </w:rPr>
        <w:t>Population mental health has deteriorated substantially over recent decades, making adolescent mental health a significant public health priority (Patalay and Gage, 2019). Rising levels of anxiety, depression, self-harm and behavioural disorders have placed unprecedented pressure on statutory mental health services. This demand is reflected in prolonged waiting times, regional variation in service provision and increasingly restrictive eligibility thresholds within Child and Adolescent Mental Health Services (CAMHS). In many areas, access to specialist services is determined by local service capacity rather than clinical need, delaying intervention and leaving many young people without timely support (Care Quality Commission, 2025; Maxwell et al., 2019; Rainer and Abdinasir, 2023).</w:t>
      </w:r>
    </w:p>
    <w:p w14:paraId="75B043C2" w14:textId="77777777" w:rsidR="00374FCA" w:rsidRPr="00374FCA" w:rsidRDefault="00374FCA" w:rsidP="00374FCA">
      <w:pPr>
        <w:spacing w:line="360" w:lineRule="auto"/>
        <w:jc w:val="both"/>
        <w:rPr>
          <w:rFonts w:ascii="Arial" w:hAnsi="Arial" w:cs="Arial"/>
          <w:sz w:val="22"/>
          <w:szCs w:val="22"/>
        </w:rPr>
      </w:pPr>
      <w:r w:rsidRPr="00374FCA">
        <w:rPr>
          <w:rFonts w:ascii="Arial" w:hAnsi="Arial" w:cs="Arial"/>
          <w:sz w:val="22"/>
          <w:szCs w:val="22"/>
        </w:rPr>
        <w:t>The COVID-19 pandemic further intensified existing psychological and structural vulnerabilities among adolescents. School closures, social isolation and family financial hardship were associated with increased psychological distress while disrupting established support systems and opportunities for early intervention within educational settings (Nwabueze et al., 2025). These challenges placed additional pressure on an already overstretched mental health system.</w:t>
      </w:r>
    </w:p>
    <w:p w14:paraId="06247299" w14:textId="77777777" w:rsidR="00374FCA" w:rsidRPr="00374FCA" w:rsidRDefault="00374FCA" w:rsidP="00374FCA">
      <w:pPr>
        <w:spacing w:line="360" w:lineRule="auto"/>
        <w:jc w:val="both"/>
        <w:rPr>
          <w:rFonts w:ascii="Arial" w:hAnsi="Arial" w:cs="Arial"/>
          <w:sz w:val="22"/>
          <w:szCs w:val="22"/>
        </w:rPr>
      </w:pPr>
      <w:r w:rsidRPr="00374FCA">
        <w:rPr>
          <w:rFonts w:ascii="Arial" w:hAnsi="Arial" w:cs="Arial"/>
          <w:sz w:val="22"/>
          <w:szCs w:val="22"/>
        </w:rPr>
        <w:t>Mental health inequalities are further shaped by socioeconomic deprivation and geographical variation, creating a persistent postcode lottery in access to services. Adolescents living in deprived communities experience higher rates of mental health difficulties while facing greater barriers to timely and appropriate care, reinforcing existing health inequalities (Rainer and Abdinasir, 2023; White et al., 2024). Although much of the available evidence is derived from cross-sectional and service-level datasets, it consistently demonstrates that structural disadvantage plays a significant role in limiting access to mental health support.</w:t>
      </w:r>
    </w:p>
    <w:p w14:paraId="3F4D1AA5" w14:textId="527D5C57" w:rsidR="00374FCA" w:rsidRPr="00374FCA" w:rsidRDefault="00374FCA" w:rsidP="00374FCA">
      <w:pPr>
        <w:spacing w:line="360" w:lineRule="auto"/>
        <w:jc w:val="both"/>
        <w:rPr>
          <w:rFonts w:ascii="Arial" w:hAnsi="Arial" w:cs="Arial"/>
          <w:sz w:val="22"/>
          <w:szCs w:val="22"/>
        </w:rPr>
      </w:pPr>
      <w:r w:rsidRPr="00374FCA">
        <w:rPr>
          <w:rFonts w:ascii="Arial" w:hAnsi="Arial" w:cs="Arial"/>
          <w:sz w:val="22"/>
          <w:szCs w:val="22"/>
        </w:rPr>
        <w:t xml:space="preserve">These inequalities are compounded by fragmentation across health, education and social care systems, disrupting continuity of care and contributing to inefficient referral pathways, repeated assessments and treatment delays (Rainer and Abdinasir, 2023). Workforce shortages, funding constraints and variations in local commissioning also contribute to inconsistent implementation of national policy. These barriers disproportionately affect adolescents experiencing deprivation, those from minoritised ethnic communities, LGBTQ+ young people and those with care experience. Autistic adolescents also face additional challenges, including diagnostic overshadowing, communication difficulties and </w:t>
      </w:r>
      <w:r w:rsidR="00DF71AF" w:rsidRPr="00374FCA">
        <w:rPr>
          <w:rFonts w:ascii="Arial" w:hAnsi="Arial" w:cs="Arial"/>
          <w:sz w:val="22"/>
          <w:szCs w:val="22"/>
        </w:rPr>
        <w:t>limited-service</w:t>
      </w:r>
      <w:r w:rsidRPr="00374FCA">
        <w:rPr>
          <w:rFonts w:ascii="Arial" w:hAnsi="Arial" w:cs="Arial"/>
          <w:sz w:val="22"/>
          <w:szCs w:val="22"/>
        </w:rPr>
        <w:t xml:space="preserve"> adaptability, limiting access to neurodiversity-affirming mental health support (Cetintas et al., 2026).</w:t>
      </w:r>
    </w:p>
    <w:p w14:paraId="0C03F53A" w14:textId="40F5358F" w:rsidR="00374FCA" w:rsidRPr="00374FCA" w:rsidRDefault="00374FCA" w:rsidP="00374FCA">
      <w:pPr>
        <w:spacing w:line="360" w:lineRule="auto"/>
        <w:jc w:val="both"/>
        <w:rPr>
          <w:rFonts w:ascii="Arial" w:hAnsi="Arial" w:cs="Arial"/>
          <w:sz w:val="22"/>
          <w:szCs w:val="22"/>
        </w:rPr>
      </w:pPr>
      <w:r w:rsidRPr="00374FCA">
        <w:rPr>
          <w:rFonts w:ascii="Arial" w:hAnsi="Arial" w:cs="Arial"/>
          <w:sz w:val="22"/>
          <w:szCs w:val="22"/>
        </w:rPr>
        <w:lastRenderedPageBreak/>
        <w:t xml:space="preserve">At the individual level, help-seeking behaviour is influenced by psychological, cultural and social factors. Despite increasing public awareness, stigma continues to discourage many adolescents from seeking support because of fear of </w:t>
      </w:r>
      <w:r w:rsidR="00DF71AF">
        <w:rPr>
          <w:rFonts w:ascii="Arial" w:hAnsi="Arial" w:cs="Arial"/>
          <w:sz w:val="22"/>
          <w:szCs w:val="22"/>
        </w:rPr>
        <w:t>judgment</w:t>
      </w:r>
      <w:r w:rsidRPr="00374FCA">
        <w:rPr>
          <w:rFonts w:ascii="Arial" w:hAnsi="Arial" w:cs="Arial"/>
          <w:sz w:val="22"/>
          <w:szCs w:val="22"/>
        </w:rPr>
        <w:t>, embarrassment or uncertainty about available services (Clement et al., 2015; Radez et al., 2021; Velasco et al., 2020). Limited mental health literacy among parents and educators may further delay recognition of difficulties and timely referral, increasing the likelihood that symptoms worsen before professional support is accessed (Kessler et al., 2005; Radez et al., 2021).</w:t>
      </w:r>
    </w:p>
    <w:p w14:paraId="0EE357EA" w14:textId="2220CFED" w:rsidR="00374FCA" w:rsidRPr="00374FCA" w:rsidRDefault="00374FCA" w:rsidP="00374FCA">
      <w:pPr>
        <w:spacing w:line="360" w:lineRule="auto"/>
        <w:jc w:val="both"/>
        <w:rPr>
          <w:rFonts w:ascii="Arial" w:hAnsi="Arial" w:cs="Arial"/>
          <w:sz w:val="22"/>
          <w:szCs w:val="22"/>
        </w:rPr>
      </w:pPr>
      <w:r w:rsidRPr="00374FCA">
        <w:rPr>
          <w:rFonts w:ascii="Arial" w:hAnsi="Arial" w:cs="Arial"/>
          <w:sz w:val="22"/>
          <w:szCs w:val="22"/>
        </w:rPr>
        <w:t xml:space="preserve">These findings reflect the complex interaction between individual, social and structural determinants of healthcare access (Rainer and Abdinasir, 2023). Andersen’s Behavioural Model of Health Service Use proposes that healthcare utilisation is influenced by predisposing characteristics, enabling resources and perceived need (Andersen, 1995). Within adolescent mental health services, barriers including stigma, socioeconomic disadvantage, </w:t>
      </w:r>
      <w:r w:rsidR="00DF71AF" w:rsidRPr="00374FCA">
        <w:rPr>
          <w:rFonts w:ascii="Arial" w:hAnsi="Arial" w:cs="Arial"/>
          <w:sz w:val="22"/>
          <w:szCs w:val="22"/>
        </w:rPr>
        <w:t>limited-service</w:t>
      </w:r>
      <w:r w:rsidRPr="00374FCA">
        <w:rPr>
          <w:rFonts w:ascii="Arial" w:hAnsi="Arial" w:cs="Arial"/>
          <w:sz w:val="22"/>
          <w:szCs w:val="22"/>
        </w:rPr>
        <w:t xml:space="preserve"> availability and fragmented care pathways may prevent young people from accessing appropriate support despite substantial clinical need. Consequently, this systematic review adopts a thematic synthesis approach to examine the wider organisational, environmental and social barriers influencing adolescent access to mental health services across the United Kingdom (Thomas and Harden, 2008).</w:t>
      </w:r>
    </w:p>
    <w:p w14:paraId="42B05512" w14:textId="77777777" w:rsidR="00374FCA" w:rsidRPr="00374FCA" w:rsidRDefault="00374FCA" w:rsidP="00374FCA">
      <w:pPr>
        <w:spacing w:line="360" w:lineRule="auto"/>
        <w:jc w:val="both"/>
        <w:rPr>
          <w:rFonts w:ascii="Arial" w:hAnsi="Arial" w:cs="Arial"/>
          <w:sz w:val="22"/>
          <w:szCs w:val="22"/>
        </w:rPr>
      </w:pPr>
      <w:r w:rsidRPr="00374FCA">
        <w:rPr>
          <w:rFonts w:ascii="Arial" w:hAnsi="Arial" w:cs="Arial"/>
          <w:sz w:val="22"/>
          <w:szCs w:val="22"/>
        </w:rPr>
        <w:t>The transition between Child and Adolescent Mental Health Services (CAMHS) and Adult Mental Health Services (AMHS) represents a further point of systemic weakness. Many young people disengage during this transition because of differences in eligibility criteria and service thresholds, often resulting in interrupted care during a critical stage of development (Maxwell et al., 2019; Rainer and Abdinasir, 2023). As untreated mental health difficulties frequently persist into adulthood, discontinuity of care contributes to poorer long-term outcomes and increased pressure on the National Health Service and wider society (Kessler et al., 2005; Patalay and Gage, 2019).</w:t>
      </w:r>
    </w:p>
    <w:p w14:paraId="01BC5BB3" w14:textId="77777777" w:rsidR="00374FCA" w:rsidRPr="00374FCA" w:rsidRDefault="00374FCA" w:rsidP="00374FCA">
      <w:pPr>
        <w:spacing w:line="360" w:lineRule="auto"/>
        <w:jc w:val="both"/>
        <w:rPr>
          <w:rFonts w:ascii="Arial" w:hAnsi="Arial" w:cs="Arial"/>
          <w:sz w:val="22"/>
          <w:szCs w:val="22"/>
        </w:rPr>
      </w:pPr>
      <w:r w:rsidRPr="00374FCA">
        <w:rPr>
          <w:rFonts w:ascii="Arial" w:hAnsi="Arial" w:cs="Arial"/>
          <w:sz w:val="22"/>
          <w:szCs w:val="22"/>
        </w:rPr>
        <w:t>Overall, adolescent mental health service access is shaped by the interaction of structural, socioeconomic and psychological factors rather than individual help-seeking behaviours alone. Despite continued policy reform, uncertainty remains regarding how these barriers interact across different population groups. By synthesising contemporary qualitative and quantitative evidence, this review aims to identify evidence-based strategies that support earlier intervention, improved service integration and more equitable access to mental health services for adolescents across the United Kingdom (Radez et al., 2021; Thomas and Harden, 2008).</w:t>
      </w:r>
    </w:p>
    <w:p w14:paraId="781A4AB2" w14:textId="77777777" w:rsidR="00F243AA" w:rsidRDefault="00F243AA" w:rsidP="00114E6F">
      <w:pPr>
        <w:spacing w:line="360" w:lineRule="auto"/>
        <w:jc w:val="both"/>
        <w:rPr>
          <w:rFonts w:ascii="Arial" w:hAnsi="Arial" w:cs="Arial"/>
          <w:sz w:val="22"/>
          <w:szCs w:val="22"/>
        </w:rPr>
      </w:pPr>
    </w:p>
    <w:p w14:paraId="44C52196" w14:textId="77777777" w:rsidR="00F243AA" w:rsidRPr="00114E6F" w:rsidRDefault="00F243AA" w:rsidP="00114E6F">
      <w:pPr>
        <w:spacing w:line="360" w:lineRule="auto"/>
        <w:jc w:val="both"/>
        <w:rPr>
          <w:rFonts w:ascii="Arial" w:hAnsi="Arial" w:cs="Arial"/>
          <w:sz w:val="22"/>
          <w:szCs w:val="22"/>
        </w:rPr>
      </w:pPr>
    </w:p>
    <w:p w14:paraId="22743B0A" w14:textId="77777777" w:rsidR="008C7553" w:rsidRPr="008C7553" w:rsidRDefault="008C7553" w:rsidP="003254FB">
      <w:pPr>
        <w:pStyle w:val="Heading2"/>
      </w:pPr>
      <w:bookmarkStart w:id="4" w:name="_Toc233828672"/>
      <w:r w:rsidRPr="008C7553">
        <w:lastRenderedPageBreak/>
        <w:t>1.3 Rationale for Research</w:t>
      </w:r>
      <w:bookmarkEnd w:id="4"/>
    </w:p>
    <w:p w14:paraId="6009BB22" w14:textId="77777777" w:rsidR="008C7553" w:rsidRPr="008C7553" w:rsidRDefault="008C7553" w:rsidP="008C7553">
      <w:pPr>
        <w:spacing w:line="360" w:lineRule="auto"/>
        <w:jc w:val="both"/>
        <w:rPr>
          <w:rFonts w:ascii="Arial" w:hAnsi="Arial" w:cs="Arial"/>
          <w:sz w:val="22"/>
          <w:szCs w:val="22"/>
        </w:rPr>
      </w:pPr>
      <w:r w:rsidRPr="008C7553">
        <w:rPr>
          <w:rFonts w:ascii="Arial" w:hAnsi="Arial" w:cs="Arial"/>
          <w:sz w:val="22"/>
          <w:szCs w:val="22"/>
        </w:rPr>
        <w:t>This topic was selected because the increasing prevalence of adolescent mental health difficulties has created a significant treatment gap across the United Kingdom, with many young people experiencing barriers to timely and appropriate support (NHS England, 2023; Ford et al., 2007). Despite sustained policy attention and service reform initiatives, persistent inequalities in access to Child and Adolescent Mental Health Services (CAMHS) continue to affect socioeconomically disadvantaged and other vulnerable populations (Rainer and Abdinasir, 2023; Patalay et al., 2014). This systematic review aims to synthesise contemporary evidence on the public health and social care barriers influencing adolescent access to mental health services.</w:t>
      </w:r>
    </w:p>
    <w:p w14:paraId="705CF2A5" w14:textId="77777777" w:rsidR="008C7553" w:rsidRPr="008C7553" w:rsidRDefault="008C7553" w:rsidP="008C7553">
      <w:pPr>
        <w:spacing w:line="360" w:lineRule="auto"/>
        <w:jc w:val="both"/>
        <w:rPr>
          <w:rFonts w:ascii="Arial" w:hAnsi="Arial" w:cs="Arial"/>
          <w:b/>
          <w:bCs/>
          <w:sz w:val="22"/>
          <w:szCs w:val="22"/>
        </w:rPr>
      </w:pPr>
      <w:r w:rsidRPr="008C7553">
        <w:rPr>
          <w:rFonts w:ascii="Arial" w:hAnsi="Arial" w:cs="Arial"/>
          <w:sz w:val="22"/>
          <w:szCs w:val="22"/>
        </w:rPr>
        <w:t>To ensure methodological rigour and relevance, the review is limited to peer-reviewed primary studies published in English within the last ten years and focuses exclusively on adolescents aged 10–19 years living in the United Kingdom. By critically evaluating structural, socio-cultural and individual barriers to care, the review seeks to generate evidence-based recommendations to inform future policy, service improvement and more equitable access to mental health support (Page et al., 2021). Although these eligibility criteria strengthen the consistency and relevance of the evidence base, they may exclude valuable findings from international or non-English language studies</w:t>
      </w:r>
      <w:r w:rsidRPr="008C7553">
        <w:rPr>
          <w:rFonts w:ascii="Arial" w:hAnsi="Arial" w:cs="Arial"/>
          <w:b/>
          <w:bCs/>
          <w:sz w:val="22"/>
          <w:szCs w:val="22"/>
        </w:rPr>
        <w:t>.</w:t>
      </w:r>
    </w:p>
    <w:p w14:paraId="131D803E" w14:textId="77777777" w:rsidR="00114E6F" w:rsidRPr="00114E6F" w:rsidRDefault="00114E6F" w:rsidP="003254FB">
      <w:pPr>
        <w:pStyle w:val="Heading2"/>
      </w:pPr>
      <w:bookmarkStart w:id="5" w:name="_Toc233828673"/>
      <w:r w:rsidRPr="00114E6F">
        <w:t>1.4 Research Question</w:t>
      </w:r>
      <w:bookmarkEnd w:id="5"/>
    </w:p>
    <w:p w14:paraId="6DCD7DC6" w14:textId="77777777" w:rsidR="00114E6F" w:rsidRPr="00114E6F" w:rsidRDefault="00114E6F" w:rsidP="00114E6F">
      <w:pPr>
        <w:spacing w:line="360" w:lineRule="auto"/>
        <w:jc w:val="both"/>
        <w:rPr>
          <w:rFonts w:ascii="Arial" w:hAnsi="Arial" w:cs="Arial"/>
          <w:sz w:val="22"/>
          <w:szCs w:val="22"/>
        </w:rPr>
      </w:pPr>
      <w:r w:rsidRPr="00114E6F">
        <w:rPr>
          <w:rFonts w:ascii="Arial" w:hAnsi="Arial" w:cs="Arial"/>
          <w:sz w:val="22"/>
          <w:szCs w:val="22"/>
        </w:rPr>
        <w:t>What are the public health and social care barriers to adolescent mental health service access in the United Kingdom, and how can these barriers be addressed?</w:t>
      </w:r>
    </w:p>
    <w:p w14:paraId="55BEA0F0" w14:textId="5EF90B91" w:rsidR="00114E6F" w:rsidRPr="00114E6F" w:rsidRDefault="00114E6F" w:rsidP="00114E6F">
      <w:pPr>
        <w:spacing w:line="360" w:lineRule="auto"/>
        <w:jc w:val="both"/>
        <w:rPr>
          <w:rFonts w:ascii="Arial" w:hAnsi="Arial" w:cs="Arial"/>
          <w:sz w:val="22"/>
          <w:szCs w:val="22"/>
        </w:rPr>
      </w:pPr>
      <w:r w:rsidRPr="00114E6F">
        <w:rPr>
          <w:rFonts w:ascii="Arial" w:hAnsi="Arial" w:cs="Arial"/>
          <w:sz w:val="22"/>
          <w:szCs w:val="22"/>
        </w:rPr>
        <w:t>This question will be explored through a systematic review of contemporary evidence to identify structural, socio-cultural and individual factors that influence adolescent access to mental health services and to inform evidence-based recommendations for policy and practice (Higgins et al., 2022).</w:t>
      </w:r>
    </w:p>
    <w:p w14:paraId="0D30F06E" w14:textId="77777777" w:rsidR="00114E6F" w:rsidRPr="00114E6F" w:rsidRDefault="00114E6F" w:rsidP="003254FB">
      <w:pPr>
        <w:pStyle w:val="Heading2"/>
      </w:pPr>
      <w:bookmarkStart w:id="6" w:name="_Toc233828674"/>
      <w:r w:rsidRPr="00114E6F">
        <w:t>1.5 Research Aim</w:t>
      </w:r>
      <w:bookmarkEnd w:id="6"/>
    </w:p>
    <w:p w14:paraId="5839A73E" w14:textId="0279CED6" w:rsidR="00114E6F" w:rsidRDefault="00114E6F" w:rsidP="00114E6F">
      <w:pPr>
        <w:spacing w:line="360" w:lineRule="auto"/>
        <w:jc w:val="both"/>
        <w:rPr>
          <w:rFonts w:ascii="Arial" w:hAnsi="Arial" w:cs="Arial"/>
          <w:b/>
          <w:bCs/>
          <w:sz w:val="22"/>
          <w:szCs w:val="22"/>
        </w:rPr>
      </w:pPr>
      <w:r w:rsidRPr="00114E6F">
        <w:rPr>
          <w:rFonts w:ascii="Arial" w:hAnsi="Arial" w:cs="Arial"/>
          <w:sz w:val="22"/>
          <w:szCs w:val="22"/>
        </w:rPr>
        <w:t>To systematically review public health and social care barriers to adolescent mental health service access in the United Kingdom and develop evidence-based recommendations for improving accessibility</w:t>
      </w:r>
      <w:r w:rsidRPr="00114E6F">
        <w:rPr>
          <w:rFonts w:ascii="Arial" w:hAnsi="Arial" w:cs="Arial"/>
          <w:b/>
          <w:bCs/>
          <w:sz w:val="22"/>
          <w:szCs w:val="22"/>
        </w:rPr>
        <w:t>.</w:t>
      </w:r>
    </w:p>
    <w:p w14:paraId="2F557045" w14:textId="77777777" w:rsidR="00DC7E16" w:rsidRDefault="00DC7E16" w:rsidP="00114E6F">
      <w:pPr>
        <w:spacing w:line="360" w:lineRule="auto"/>
        <w:jc w:val="both"/>
        <w:rPr>
          <w:rFonts w:ascii="Arial" w:hAnsi="Arial" w:cs="Arial"/>
          <w:b/>
          <w:bCs/>
          <w:sz w:val="22"/>
          <w:szCs w:val="22"/>
        </w:rPr>
      </w:pPr>
    </w:p>
    <w:p w14:paraId="311F3A5A" w14:textId="77777777" w:rsidR="00DC7E16" w:rsidRDefault="00DC7E16" w:rsidP="00114E6F">
      <w:pPr>
        <w:spacing w:line="360" w:lineRule="auto"/>
        <w:jc w:val="both"/>
        <w:rPr>
          <w:rFonts w:ascii="Arial" w:hAnsi="Arial" w:cs="Arial"/>
          <w:b/>
          <w:bCs/>
          <w:sz w:val="22"/>
          <w:szCs w:val="22"/>
        </w:rPr>
      </w:pPr>
    </w:p>
    <w:p w14:paraId="3FBC393D" w14:textId="77777777" w:rsidR="00DC7E16" w:rsidRPr="00114E6F" w:rsidRDefault="00DC7E16" w:rsidP="00114E6F">
      <w:pPr>
        <w:spacing w:line="360" w:lineRule="auto"/>
        <w:jc w:val="both"/>
        <w:rPr>
          <w:rFonts w:ascii="Arial" w:hAnsi="Arial" w:cs="Arial"/>
          <w:b/>
          <w:bCs/>
          <w:sz w:val="22"/>
          <w:szCs w:val="22"/>
        </w:rPr>
      </w:pPr>
    </w:p>
    <w:p w14:paraId="36D1E71E" w14:textId="77777777" w:rsidR="00114E6F" w:rsidRPr="00114E6F" w:rsidRDefault="00114E6F" w:rsidP="003254FB">
      <w:pPr>
        <w:pStyle w:val="Heading2"/>
      </w:pPr>
      <w:bookmarkStart w:id="7" w:name="_Toc233828675"/>
      <w:r w:rsidRPr="00114E6F">
        <w:lastRenderedPageBreak/>
        <w:t>1.6 Research Objectives</w:t>
      </w:r>
      <w:bookmarkEnd w:id="7"/>
    </w:p>
    <w:p w14:paraId="2D9C2B76" w14:textId="77777777" w:rsidR="00114E6F" w:rsidRPr="00114E6F" w:rsidRDefault="00114E6F" w:rsidP="00114E6F">
      <w:pPr>
        <w:spacing w:line="360" w:lineRule="auto"/>
        <w:jc w:val="both"/>
        <w:rPr>
          <w:rFonts w:ascii="Arial" w:hAnsi="Arial" w:cs="Arial"/>
          <w:sz w:val="22"/>
          <w:szCs w:val="22"/>
        </w:rPr>
      </w:pPr>
      <w:r w:rsidRPr="00114E6F">
        <w:rPr>
          <w:rFonts w:ascii="Arial" w:hAnsi="Arial" w:cs="Arial"/>
          <w:sz w:val="22"/>
          <w:szCs w:val="22"/>
        </w:rPr>
        <w:t>• To systematically identify and review peer</w:t>
      </w:r>
      <w:r w:rsidRPr="00114E6F">
        <w:rPr>
          <w:rFonts w:ascii="Arial" w:hAnsi="Arial" w:cs="Arial"/>
          <w:sz w:val="22"/>
          <w:szCs w:val="22"/>
        </w:rPr>
        <w:noBreakHyphen/>
        <w:t>reviewed United Kingdom empirical literature examining barriers to adolescent mental health service access (Higgins et al., 2022; Ford et al., 2007).</w:t>
      </w:r>
    </w:p>
    <w:p w14:paraId="5B3C253B" w14:textId="77777777" w:rsidR="00114E6F" w:rsidRPr="00114E6F" w:rsidRDefault="00114E6F" w:rsidP="00114E6F">
      <w:pPr>
        <w:spacing w:line="360" w:lineRule="auto"/>
        <w:jc w:val="both"/>
        <w:rPr>
          <w:rFonts w:ascii="Arial" w:hAnsi="Arial" w:cs="Arial"/>
          <w:sz w:val="22"/>
          <w:szCs w:val="22"/>
        </w:rPr>
      </w:pPr>
      <w:r w:rsidRPr="00114E6F">
        <w:rPr>
          <w:rFonts w:ascii="Arial" w:hAnsi="Arial" w:cs="Arial"/>
          <w:sz w:val="22"/>
          <w:szCs w:val="22"/>
        </w:rPr>
        <w:t>• To critically appraise the methodological quality of included studies and synthesise evidence relating to structural, socio</w:t>
      </w:r>
      <w:r w:rsidRPr="00114E6F">
        <w:rPr>
          <w:rFonts w:ascii="Arial" w:hAnsi="Arial" w:cs="Arial"/>
          <w:sz w:val="22"/>
          <w:szCs w:val="22"/>
        </w:rPr>
        <w:noBreakHyphen/>
        <w:t>cultural and individual barriers influencing service utilisation (Thomas and Harden, 2008; Patalay et al., 2014).</w:t>
      </w:r>
    </w:p>
    <w:p w14:paraId="5357B498" w14:textId="1F9B00E7" w:rsidR="00114E6F" w:rsidRPr="008C2B72" w:rsidRDefault="00114E6F" w:rsidP="00114E6F">
      <w:pPr>
        <w:spacing w:line="360" w:lineRule="auto"/>
        <w:jc w:val="both"/>
        <w:rPr>
          <w:rFonts w:ascii="Arial" w:hAnsi="Arial" w:cs="Arial"/>
          <w:sz w:val="22"/>
          <w:szCs w:val="22"/>
        </w:rPr>
      </w:pPr>
      <w:r w:rsidRPr="00114E6F">
        <w:rPr>
          <w:rFonts w:ascii="Arial" w:hAnsi="Arial" w:cs="Arial"/>
          <w:sz w:val="22"/>
          <w:szCs w:val="22"/>
        </w:rPr>
        <w:t>• To develop evidence</w:t>
      </w:r>
      <w:r w:rsidRPr="00114E6F">
        <w:rPr>
          <w:rFonts w:ascii="Arial" w:hAnsi="Arial" w:cs="Arial"/>
          <w:sz w:val="22"/>
          <w:szCs w:val="22"/>
        </w:rPr>
        <w:noBreakHyphen/>
        <w:t>based recommendations for public health policy, social care practice and service provision aimed at improving access to Child and Adolescent Mental Health Services (CAMHS) across the United Kingdom (Rainer and Abdinasir, 2023).</w:t>
      </w:r>
    </w:p>
    <w:p w14:paraId="66B81371" w14:textId="77777777" w:rsidR="00114E6F" w:rsidRPr="00114E6F" w:rsidRDefault="00114E6F" w:rsidP="003254FB">
      <w:pPr>
        <w:pStyle w:val="Heading2"/>
      </w:pPr>
      <w:bookmarkStart w:id="8" w:name="_Toc233828676"/>
      <w:r w:rsidRPr="00114E6F">
        <w:t>1.7 Chapter Summary</w:t>
      </w:r>
      <w:bookmarkEnd w:id="8"/>
    </w:p>
    <w:p w14:paraId="3ECEC94A" w14:textId="77777777" w:rsidR="00114E6F" w:rsidRPr="00114E6F" w:rsidRDefault="00114E6F" w:rsidP="00114E6F">
      <w:pPr>
        <w:spacing w:line="360" w:lineRule="auto"/>
        <w:jc w:val="both"/>
        <w:rPr>
          <w:rFonts w:ascii="Arial" w:hAnsi="Arial" w:cs="Arial"/>
          <w:sz w:val="22"/>
          <w:szCs w:val="22"/>
        </w:rPr>
      </w:pPr>
      <w:r w:rsidRPr="00114E6F">
        <w:rPr>
          <w:rFonts w:ascii="Arial" w:hAnsi="Arial" w:cs="Arial"/>
          <w:sz w:val="22"/>
          <w:szCs w:val="22"/>
        </w:rPr>
        <w:t>This chapter established the public health and social care significance of adolescent mental health service access within the United Kingdom. It provided a critical overview of the contemporary context surrounding adolescent mental health, highlighting the influence of structural, socio-cultural and individual barriers on access to care. The chapter also presented the rationale, research question, aim and objectives that guide the review, while defining the scope and boundaries of the study. Building on this foundation, Chapter 2 will critically evaluate contemporary literature relating to adolescent mental health service access barriers, identifying key themes, debates, methodological limitations and evidence gaps within the existing research.</w:t>
      </w:r>
    </w:p>
    <w:p w14:paraId="344B49B3" w14:textId="77777777" w:rsidR="00114E6F" w:rsidRDefault="00114E6F" w:rsidP="00114E6F">
      <w:pPr>
        <w:spacing w:line="360" w:lineRule="auto"/>
        <w:jc w:val="both"/>
        <w:rPr>
          <w:rFonts w:ascii="Arial" w:hAnsi="Arial" w:cs="Arial"/>
          <w:sz w:val="22"/>
          <w:szCs w:val="22"/>
        </w:rPr>
      </w:pPr>
    </w:p>
    <w:p w14:paraId="422D6824" w14:textId="77777777" w:rsidR="007107C6" w:rsidRDefault="007107C6" w:rsidP="00114E6F">
      <w:pPr>
        <w:spacing w:line="360" w:lineRule="auto"/>
        <w:jc w:val="both"/>
        <w:rPr>
          <w:rFonts w:ascii="Arial" w:hAnsi="Arial" w:cs="Arial"/>
          <w:sz w:val="22"/>
          <w:szCs w:val="22"/>
        </w:rPr>
      </w:pPr>
    </w:p>
    <w:p w14:paraId="39C0D38D" w14:textId="77777777" w:rsidR="007107C6" w:rsidRDefault="007107C6" w:rsidP="00114E6F">
      <w:pPr>
        <w:spacing w:line="360" w:lineRule="auto"/>
        <w:jc w:val="both"/>
        <w:rPr>
          <w:rFonts w:ascii="Arial" w:hAnsi="Arial" w:cs="Arial"/>
          <w:sz w:val="22"/>
          <w:szCs w:val="22"/>
        </w:rPr>
      </w:pPr>
    </w:p>
    <w:p w14:paraId="23576BAB" w14:textId="77777777" w:rsidR="007107C6" w:rsidRDefault="007107C6" w:rsidP="00114E6F">
      <w:pPr>
        <w:spacing w:line="360" w:lineRule="auto"/>
        <w:jc w:val="both"/>
        <w:rPr>
          <w:rFonts w:ascii="Arial" w:hAnsi="Arial" w:cs="Arial"/>
          <w:sz w:val="22"/>
          <w:szCs w:val="22"/>
        </w:rPr>
      </w:pPr>
    </w:p>
    <w:p w14:paraId="47E6FF09" w14:textId="77777777" w:rsidR="007107C6" w:rsidRDefault="007107C6" w:rsidP="00114E6F">
      <w:pPr>
        <w:spacing w:line="360" w:lineRule="auto"/>
        <w:jc w:val="both"/>
        <w:rPr>
          <w:rFonts w:ascii="Arial" w:hAnsi="Arial" w:cs="Arial"/>
          <w:sz w:val="22"/>
          <w:szCs w:val="22"/>
        </w:rPr>
      </w:pPr>
    </w:p>
    <w:p w14:paraId="4D52607A" w14:textId="77777777" w:rsidR="007107C6" w:rsidRDefault="007107C6" w:rsidP="00114E6F">
      <w:pPr>
        <w:spacing w:line="360" w:lineRule="auto"/>
        <w:jc w:val="both"/>
        <w:rPr>
          <w:rFonts w:ascii="Arial" w:hAnsi="Arial" w:cs="Arial"/>
          <w:sz w:val="22"/>
          <w:szCs w:val="22"/>
        </w:rPr>
      </w:pPr>
    </w:p>
    <w:p w14:paraId="3C8E1E76" w14:textId="77777777" w:rsidR="007107C6" w:rsidRDefault="007107C6" w:rsidP="00114E6F">
      <w:pPr>
        <w:spacing w:line="360" w:lineRule="auto"/>
        <w:jc w:val="both"/>
        <w:rPr>
          <w:rFonts w:ascii="Arial" w:hAnsi="Arial" w:cs="Arial"/>
          <w:sz w:val="22"/>
          <w:szCs w:val="22"/>
        </w:rPr>
      </w:pPr>
    </w:p>
    <w:p w14:paraId="56E5EA87" w14:textId="77777777" w:rsidR="007107C6" w:rsidRDefault="007107C6" w:rsidP="00114E6F">
      <w:pPr>
        <w:spacing w:line="360" w:lineRule="auto"/>
        <w:jc w:val="both"/>
        <w:rPr>
          <w:rFonts w:ascii="Arial" w:hAnsi="Arial" w:cs="Arial"/>
          <w:sz w:val="22"/>
          <w:szCs w:val="22"/>
        </w:rPr>
      </w:pPr>
    </w:p>
    <w:p w14:paraId="70B34844" w14:textId="77777777" w:rsidR="007107C6" w:rsidRDefault="007107C6" w:rsidP="00114E6F">
      <w:pPr>
        <w:spacing w:line="360" w:lineRule="auto"/>
        <w:jc w:val="both"/>
        <w:rPr>
          <w:rFonts w:ascii="Arial" w:hAnsi="Arial" w:cs="Arial"/>
          <w:sz w:val="22"/>
          <w:szCs w:val="22"/>
        </w:rPr>
      </w:pPr>
    </w:p>
    <w:p w14:paraId="398A7237" w14:textId="77777777" w:rsidR="00BA0291" w:rsidRDefault="00BA0291" w:rsidP="00DB0494">
      <w:pPr>
        <w:spacing w:line="360" w:lineRule="auto"/>
        <w:jc w:val="both"/>
        <w:rPr>
          <w:rFonts w:ascii="Arial" w:hAnsi="Arial" w:cs="Arial"/>
          <w:b/>
          <w:bCs/>
          <w:sz w:val="22"/>
          <w:szCs w:val="22"/>
        </w:rPr>
      </w:pPr>
    </w:p>
    <w:p w14:paraId="5E22A682" w14:textId="77777777" w:rsidR="00BA0291" w:rsidRDefault="00BA0291" w:rsidP="003254FB">
      <w:pPr>
        <w:pStyle w:val="Heading1"/>
      </w:pPr>
      <w:bookmarkStart w:id="9" w:name="_Toc233828677"/>
      <w:r>
        <w:lastRenderedPageBreak/>
        <w:t>CHAPTER TWO</w:t>
      </w:r>
      <w:bookmarkEnd w:id="9"/>
    </w:p>
    <w:p w14:paraId="0F7D0CE5" w14:textId="7EB76ECD" w:rsidR="00DB0494" w:rsidRPr="00DB0494" w:rsidRDefault="00DB0494" w:rsidP="003254FB">
      <w:pPr>
        <w:pStyle w:val="Heading2"/>
      </w:pPr>
      <w:bookmarkStart w:id="10" w:name="_Toc233828678"/>
      <w:r w:rsidRPr="00DB0494">
        <w:t>2.1 Introduction to Literature Review Chapter</w:t>
      </w:r>
      <w:bookmarkEnd w:id="10"/>
    </w:p>
    <w:p w14:paraId="4B646769" w14:textId="77777777" w:rsidR="00DB0494" w:rsidRPr="00DB0494" w:rsidRDefault="00DB0494" w:rsidP="00DB0494">
      <w:pPr>
        <w:spacing w:line="360" w:lineRule="auto"/>
        <w:jc w:val="both"/>
        <w:rPr>
          <w:rFonts w:ascii="Arial" w:hAnsi="Arial" w:cs="Arial"/>
          <w:sz w:val="22"/>
          <w:szCs w:val="22"/>
        </w:rPr>
      </w:pPr>
      <w:r w:rsidRPr="00DB0494">
        <w:rPr>
          <w:rFonts w:ascii="Arial" w:hAnsi="Arial" w:cs="Arial"/>
          <w:sz w:val="22"/>
          <w:szCs w:val="22"/>
        </w:rPr>
        <w:t>This chapter provides a critical and thematic review of the literature relating to adolescent mental health service access in the United Kingdom (NHS England, 2023; Kidger et al., 2012). It establishes the conceptual foundation for the systematic review by critically examining contemporary academic research, policy reports and empirical evidence on the prevalence of adolescent mental health difficulties and the barriers influencing access to mental health services (Higgins et al., 2022; Han et al., 2026).</w:t>
      </w:r>
    </w:p>
    <w:p w14:paraId="65E00627" w14:textId="77777777" w:rsidR="00DB0494" w:rsidRPr="00DB0494" w:rsidRDefault="00DB0494" w:rsidP="00DB0494">
      <w:pPr>
        <w:spacing w:line="360" w:lineRule="auto"/>
        <w:jc w:val="both"/>
        <w:rPr>
          <w:rFonts w:ascii="Arial" w:hAnsi="Arial" w:cs="Arial"/>
          <w:sz w:val="22"/>
          <w:szCs w:val="22"/>
        </w:rPr>
      </w:pPr>
      <w:r w:rsidRPr="00DB0494">
        <w:rPr>
          <w:rFonts w:ascii="Arial" w:hAnsi="Arial" w:cs="Arial"/>
          <w:sz w:val="22"/>
          <w:szCs w:val="22"/>
        </w:rPr>
        <w:t>The chapter examines current evidence on adolescent mental health needs and explores how these interact with healthcare systems, public health provision and social care pathways. It also reviews evidence relating to service disengagement, stigma, digital exclusion, workforce shortages and fragmented transitions between Child and Adolescent Mental Health Services (CAMHS) and Adult Mental Health Services (AMHS) (NHS England, 2023; McPhail et al., 2024; Bye et al., 2025; Wolpert et al., 2014).</w:t>
      </w:r>
    </w:p>
    <w:p w14:paraId="5E58EC4B" w14:textId="77777777" w:rsidR="00DB0494" w:rsidRPr="00DB0494" w:rsidRDefault="00DB0494" w:rsidP="00DB0494">
      <w:pPr>
        <w:spacing w:line="360" w:lineRule="auto"/>
        <w:jc w:val="both"/>
        <w:rPr>
          <w:rFonts w:ascii="Arial" w:hAnsi="Arial" w:cs="Arial"/>
          <w:sz w:val="22"/>
          <w:szCs w:val="22"/>
        </w:rPr>
      </w:pPr>
      <w:r w:rsidRPr="00DB0494">
        <w:rPr>
          <w:rFonts w:ascii="Arial" w:hAnsi="Arial" w:cs="Arial"/>
          <w:sz w:val="22"/>
          <w:szCs w:val="22"/>
        </w:rPr>
        <w:t>Furthermore, the chapter critically evaluates the structural, socio-cultural and socioeconomic barriers influencing adolescents' engagement with mental health services while identifying methodological limitations and research gaps. Andersen’s Behavioural Model provides the theoretical framework for examining how predisposing, enabling and need factors influence healthcare utilisation among adolescents (Andersen, 1995). The chapter concludes by identifying research gaps that inform the methodology presented in Chapter 3.</w:t>
      </w:r>
    </w:p>
    <w:p w14:paraId="6B8B7E46" w14:textId="77777777" w:rsidR="00CF0BB6" w:rsidRPr="00CF0BB6" w:rsidRDefault="00CF0BB6" w:rsidP="003254FB">
      <w:pPr>
        <w:pStyle w:val="Heading2"/>
      </w:pPr>
      <w:bookmarkStart w:id="11" w:name="_Toc233828679"/>
      <w:r w:rsidRPr="00CF0BB6">
        <w:t>2.2.1 Scope, Volume and Nature of Existing Research</w:t>
      </w:r>
      <w:bookmarkEnd w:id="11"/>
    </w:p>
    <w:p w14:paraId="61783D69" w14:textId="77777777" w:rsidR="00CF0BB6" w:rsidRPr="00CF0BB6" w:rsidRDefault="00CF0BB6" w:rsidP="00CF0BB6">
      <w:pPr>
        <w:spacing w:line="360" w:lineRule="auto"/>
        <w:jc w:val="both"/>
        <w:rPr>
          <w:rFonts w:ascii="Arial" w:hAnsi="Arial" w:cs="Arial"/>
          <w:sz w:val="22"/>
          <w:szCs w:val="22"/>
        </w:rPr>
      </w:pPr>
      <w:r w:rsidRPr="00CF0BB6">
        <w:rPr>
          <w:rFonts w:ascii="Arial" w:hAnsi="Arial" w:cs="Arial"/>
          <w:sz w:val="22"/>
          <w:szCs w:val="22"/>
        </w:rPr>
        <w:t>The literature examining barriers to adolescent mental health service access in the United Kingdom can be broadly categorised into three methodological approaches. The first comprises large-scale quantitative epidemiological surveys and statutory datasets produced by organisations including NHS Digital, the Children’s Commissioner and NHS England. These datasets provide evidence on referral patterns, prevalence, diagnostic trends and waiting times across Integrated Care Boards (ICBs) (NHS Digital, 2023; McPhail et al., 2024; Reardon et al., 2016). However, although they effectively quantify service demand and unmet need, they remain largely descriptive and offer limited insight into the mechanisms underlying barriers to access for vulnerable adolescents (Bettany-Saltikov and McSherry, 2025; Leavey et al., 2019).</w:t>
      </w:r>
    </w:p>
    <w:p w14:paraId="5CD8DA42" w14:textId="77777777" w:rsidR="00CF0BB6" w:rsidRPr="00CF0BB6" w:rsidRDefault="00CF0BB6" w:rsidP="00CF0BB6">
      <w:pPr>
        <w:spacing w:line="360" w:lineRule="auto"/>
        <w:jc w:val="both"/>
        <w:rPr>
          <w:rFonts w:ascii="Arial" w:hAnsi="Arial" w:cs="Arial"/>
          <w:sz w:val="22"/>
          <w:szCs w:val="22"/>
        </w:rPr>
      </w:pPr>
      <w:r w:rsidRPr="00CF0BB6">
        <w:rPr>
          <w:rFonts w:ascii="Arial" w:hAnsi="Arial" w:cs="Arial"/>
          <w:sz w:val="22"/>
          <w:szCs w:val="22"/>
        </w:rPr>
        <w:t xml:space="preserve">The second category comprises qualitative studies using semi-structured interviews, focus groups and lived-experience methodologies to explore the perspectives of adolescents, </w:t>
      </w:r>
      <w:r w:rsidRPr="00CF0BB6">
        <w:rPr>
          <w:rFonts w:ascii="Arial" w:hAnsi="Arial" w:cs="Arial"/>
          <w:sz w:val="22"/>
          <w:szCs w:val="22"/>
        </w:rPr>
        <w:lastRenderedPageBreak/>
        <w:t>parents and healthcare professionals (Radez et al., 2021; Han et al., 2026). These studies examine socio-cultural and psychological barriers, including stigma, mistrust of services, confidentiality concerns and previous negative experiences of mental health support (Gulliver et al., 2010; Sengun Filiz et al., 2026; O’Keeffe et al., 2020). However, they frequently involve relatively small, geographically restricted samples, limiting the transferability of findings across the wider United Kingdom population.</w:t>
      </w:r>
    </w:p>
    <w:p w14:paraId="0639EC26" w14:textId="77777777" w:rsidR="00CF0BB6" w:rsidRPr="00CF0BB6" w:rsidRDefault="00CF0BB6" w:rsidP="00CF0BB6">
      <w:pPr>
        <w:spacing w:line="360" w:lineRule="auto"/>
        <w:jc w:val="both"/>
        <w:rPr>
          <w:rFonts w:ascii="Arial" w:hAnsi="Arial" w:cs="Arial"/>
          <w:sz w:val="22"/>
          <w:szCs w:val="22"/>
        </w:rPr>
      </w:pPr>
      <w:r w:rsidRPr="00CF0BB6">
        <w:rPr>
          <w:rFonts w:ascii="Arial" w:hAnsi="Arial" w:cs="Arial"/>
          <w:sz w:val="22"/>
          <w:szCs w:val="22"/>
        </w:rPr>
        <w:t>The third category consists of mixed-methods evaluations of interventions, including school-based mental health initiatives, community support programmes and digital self-referral systems (Reardon et al., 2017; Bye et al., 2025). By integrating quantitative and qualitative approaches, these studies provide a broader understanding of service accessibility and engagement. Consequently, this review synthesises evidence from all three approaches to analyse the structural, socio-cultural and socioeconomic barriers influencing adolescent mental health service access in the United Kingdom.</w:t>
      </w:r>
    </w:p>
    <w:p w14:paraId="13CD2647" w14:textId="77777777" w:rsidR="00AD1ACC" w:rsidRPr="00AD1ACC" w:rsidRDefault="00AD1ACC" w:rsidP="007B6797">
      <w:pPr>
        <w:pStyle w:val="Heading2"/>
      </w:pPr>
      <w:bookmarkStart w:id="12" w:name="_Toc233828680"/>
      <w:r w:rsidRPr="00AD1ACC">
        <w:t>2.2.2 Structural and Systemic Capacity Barriers</w:t>
      </w:r>
      <w:bookmarkEnd w:id="12"/>
    </w:p>
    <w:p w14:paraId="4042389A" w14:textId="77777777" w:rsidR="00AD1ACC" w:rsidRPr="00AD1ACC" w:rsidRDefault="00AD1ACC" w:rsidP="00AD1ACC">
      <w:pPr>
        <w:spacing w:line="360" w:lineRule="auto"/>
        <w:jc w:val="both"/>
        <w:rPr>
          <w:rFonts w:ascii="Arial" w:hAnsi="Arial" w:cs="Arial"/>
          <w:sz w:val="22"/>
          <w:szCs w:val="22"/>
        </w:rPr>
      </w:pPr>
      <w:r w:rsidRPr="00AD1ACC">
        <w:rPr>
          <w:rFonts w:ascii="Arial" w:hAnsi="Arial" w:cs="Arial"/>
          <w:sz w:val="22"/>
          <w:szCs w:val="22"/>
        </w:rPr>
        <w:t>Cross-comparison of major quantitative datasets and clinical reviews consistently identifies prolonged waiting times within Child and Adolescent Mental Health Services (CAMHS) as a major systemic barrier. Longitudinal evidence indicates that around 64% of young people referred to secondary care do not receive treatment within the four-week target, with average waiting times reaching 392 days (YoungMinds, 2026). Han et al. (2026) argue that these referral-to-treatment delays function as institutional barriers, allowing symptoms to deteriorate from early distress to acute crisis. This problem is compounded by restrictive eligibility thresholds, which are increasingly used to manage service capacity rather than reflect clinical need (NHS Digital, 2023; Delany-Moretlwe et al., 2015).</w:t>
      </w:r>
    </w:p>
    <w:p w14:paraId="4782385F" w14:textId="072F31DE" w:rsidR="00AD1ACC" w:rsidRPr="00AD1ACC" w:rsidRDefault="00AD1ACC" w:rsidP="00AD1ACC">
      <w:pPr>
        <w:spacing w:line="360" w:lineRule="auto"/>
        <w:jc w:val="both"/>
        <w:rPr>
          <w:rFonts w:ascii="Arial" w:hAnsi="Arial" w:cs="Arial"/>
          <w:sz w:val="22"/>
          <w:szCs w:val="22"/>
        </w:rPr>
      </w:pPr>
      <w:r w:rsidRPr="00AD1ACC">
        <w:rPr>
          <w:rFonts w:ascii="Arial" w:hAnsi="Arial" w:cs="Arial"/>
          <w:sz w:val="22"/>
          <w:szCs w:val="22"/>
        </w:rPr>
        <w:t xml:space="preserve">Although national datasets effectively quantify service demand, referral patterns and waiting times, they provide limited insight into </w:t>
      </w:r>
      <w:r w:rsidR="00BA0291" w:rsidRPr="00AD1ACC">
        <w:rPr>
          <w:rFonts w:ascii="Arial" w:hAnsi="Arial" w:cs="Arial"/>
          <w:sz w:val="22"/>
          <w:szCs w:val="22"/>
        </w:rPr>
        <w:t>adolescents</w:t>
      </w:r>
      <w:r w:rsidRPr="00AD1ACC">
        <w:rPr>
          <w:rFonts w:ascii="Arial" w:hAnsi="Arial" w:cs="Arial"/>
          <w:sz w:val="22"/>
          <w:szCs w:val="22"/>
        </w:rPr>
        <w:t xml:space="preserve"> lived experiences of accessing mental health services. Consequently, these findings should be interpreted alongside qualitative evidence to better understand how delays influence engagement, treatment adherence and longer-term outcomes (Radez et al., 2021; Han et al., 2026).</w:t>
      </w:r>
    </w:p>
    <w:p w14:paraId="69B978D7" w14:textId="77777777" w:rsidR="00AD1ACC" w:rsidRPr="00AD1ACC" w:rsidRDefault="00AD1ACC" w:rsidP="00AD1ACC">
      <w:pPr>
        <w:spacing w:line="360" w:lineRule="auto"/>
        <w:jc w:val="both"/>
        <w:rPr>
          <w:rFonts w:ascii="Arial" w:hAnsi="Arial" w:cs="Arial"/>
          <w:sz w:val="22"/>
          <w:szCs w:val="22"/>
        </w:rPr>
      </w:pPr>
      <w:r w:rsidRPr="00AD1ACC">
        <w:rPr>
          <w:rFonts w:ascii="Arial" w:hAnsi="Arial" w:cs="Arial"/>
          <w:sz w:val="22"/>
          <w:szCs w:val="22"/>
        </w:rPr>
        <w:t>Workforce shortages represent a further systemic barrier. National workforce reviews demonstrate that demand for CAMHS has risen substantially, while staffing levels have failed to keep pace with referrals (Royal College of Psychiatrists, 2025; NHS England, 2023). Persistent recruitment and retention difficulties have resulted in heavier caseloads, reduced service capacity and longer waiting times, particularly in socioeconomically deprived areas where workforce shortages widen existing inequalities in access (CQC, 2025).</w:t>
      </w:r>
    </w:p>
    <w:p w14:paraId="0B5DB244" w14:textId="77777777" w:rsidR="00AD1ACC" w:rsidRPr="00AD1ACC" w:rsidRDefault="00AD1ACC" w:rsidP="00AD1ACC">
      <w:pPr>
        <w:spacing w:line="360" w:lineRule="auto"/>
        <w:jc w:val="both"/>
        <w:rPr>
          <w:rFonts w:ascii="Arial" w:hAnsi="Arial" w:cs="Arial"/>
          <w:sz w:val="22"/>
          <w:szCs w:val="22"/>
        </w:rPr>
      </w:pPr>
      <w:r w:rsidRPr="00AD1ACC">
        <w:rPr>
          <w:rFonts w:ascii="Arial" w:hAnsi="Arial" w:cs="Arial"/>
          <w:sz w:val="22"/>
          <w:szCs w:val="22"/>
        </w:rPr>
        <w:lastRenderedPageBreak/>
        <w:t>The transition between Child and Adolescent Mental Health Services (CAMHS) and Adult Mental Health Services (AMHS) represents another structural weakness. Many young people experience reduced support after reaching adult service eligibility thresholds, resulting in discontinuity of care during a critical developmental period (Larsen et al., 2025; CQC, 2025). This transition is associated with service disengagement and poorer mental health outcomes, particularly among adolescents with complex or long-term needs (Children’s Commissioner, 2024; Larsen et al., 2025). Together, workforce shortages and fragmented transitions disproportionately affect those already at greatest risk.</w:t>
      </w:r>
    </w:p>
    <w:p w14:paraId="248C8C3C" w14:textId="77777777" w:rsidR="00AD1ACC" w:rsidRPr="00AD1ACC" w:rsidRDefault="00AD1ACC" w:rsidP="00AD1ACC">
      <w:pPr>
        <w:spacing w:line="360" w:lineRule="auto"/>
        <w:jc w:val="both"/>
        <w:rPr>
          <w:rFonts w:ascii="Arial" w:hAnsi="Arial" w:cs="Arial"/>
          <w:sz w:val="22"/>
          <w:szCs w:val="22"/>
        </w:rPr>
      </w:pPr>
      <w:r w:rsidRPr="00AD1ACC">
        <w:rPr>
          <w:rFonts w:ascii="Arial" w:hAnsi="Arial" w:cs="Arial"/>
          <w:sz w:val="22"/>
          <w:szCs w:val="22"/>
        </w:rPr>
        <w:t>Structural barriers also contribute to diagnostic overshadowing among adolescents with complex or overlapping presentations. In some regions, up to 64% of young people on lengthy waiting lists are referred for suspected neurodevelopmental conditions, including autism and ADHD, which may be misinterpreted as internalising disorders (Children’s Commissioner, 2025). The separation of neurodevelopmental and mental health pathways often results in young people being transferred between disconnected services. This problem is particularly evident among neurodivergent adolescent females, who may camouflage autistic characteristics, increasing the likelihood that clinicians attribute their presentation to anxiety or depression rather than recognising underlying neurodevelopmental needs (Bargiela et al., 2016; Westwood and Tchanturia, 2017).</w:t>
      </w:r>
    </w:p>
    <w:p w14:paraId="3EEC8FBF" w14:textId="77777777" w:rsidR="00AD1ACC" w:rsidRPr="00AD1ACC" w:rsidRDefault="00AD1ACC" w:rsidP="00AD1ACC">
      <w:pPr>
        <w:spacing w:line="360" w:lineRule="auto"/>
        <w:jc w:val="both"/>
        <w:rPr>
          <w:rFonts w:ascii="Arial" w:hAnsi="Arial" w:cs="Arial"/>
          <w:sz w:val="22"/>
          <w:szCs w:val="22"/>
        </w:rPr>
      </w:pPr>
      <w:r w:rsidRPr="00AD1ACC">
        <w:rPr>
          <w:rFonts w:ascii="Arial" w:hAnsi="Arial" w:cs="Arial"/>
          <w:sz w:val="22"/>
          <w:szCs w:val="22"/>
        </w:rPr>
        <w:t>Fragmented communication between primary care, social care and CAMHS further contributes to repeated referrals, closed cases and discontinuity of care (Radez et al., 2017; Leavey et al., 2019). Collectively, the evidence demonstrates that workforce shortages, fragmented services and restrictive eligibility thresholds interact to delay intervention, reduce continuity of care and exacerbate existing mental health difficulties among adolescents.</w:t>
      </w:r>
    </w:p>
    <w:p w14:paraId="75D3D2A3" w14:textId="77777777" w:rsidR="00D3751A" w:rsidRPr="00D3751A" w:rsidRDefault="00D3751A" w:rsidP="007B6797">
      <w:pPr>
        <w:pStyle w:val="Heading2"/>
      </w:pPr>
      <w:bookmarkStart w:id="13" w:name="_Toc233828681"/>
      <w:r w:rsidRPr="00D3751A">
        <w:t>2.2.3 Socio-Cultural and Individual-Level Deterrents</w:t>
      </w:r>
      <w:bookmarkEnd w:id="13"/>
    </w:p>
    <w:p w14:paraId="5A44B219" w14:textId="77777777" w:rsidR="00D3751A" w:rsidRPr="00D3751A" w:rsidRDefault="00D3751A" w:rsidP="00D3751A">
      <w:pPr>
        <w:spacing w:line="360" w:lineRule="auto"/>
        <w:jc w:val="both"/>
        <w:rPr>
          <w:rFonts w:ascii="Arial" w:hAnsi="Arial" w:cs="Arial"/>
          <w:sz w:val="22"/>
          <w:szCs w:val="22"/>
        </w:rPr>
      </w:pPr>
      <w:r w:rsidRPr="00D3751A">
        <w:rPr>
          <w:rFonts w:ascii="Arial" w:hAnsi="Arial" w:cs="Arial"/>
          <w:sz w:val="22"/>
          <w:szCs w:val="22"/>
        </w:rPr>
        <w:t>Beyond structural barriers, the literature consistently identifies socio-cultural and individual-level factors as significant obstacles to adolescent engagement with mental health services. Mental health stigma is one of the most frequently reported barriers, discouraging many young people from recognising symptoms, disclosing emotional difficulties and seeking professional support because of concerns about being judged by peers, family members or professionals (Gulliver et al., 2010; Radez et al., 2021).</w:t>
      </w:r>
    </w:p>
    <w:p w14:paraId="18714A44" w14:textId="77777777" w:rsidR="00D3751A" w:rsidRPr="00D3751A" w:rsidRDefault="00D3751A" w:rsidP="00D3751A">
      <w:pPr>
        <w:spacing w:line="360" w:lineRule="auto"/>
        <w:jc w:val="both"/>
        <w:rPr>
          <w:rFonts w:ascii="Arial" w:hAnsi="Arial" w:cs="Arial"/>
          <w:sz w:val="22"/>
          <w:szCs w:val="22"/>
        </w:rPr>
      </w:pPr>
      <w:r w:rsidRPr="00D3751A">
        <w:rPr>
          <w:rFonts w:ascii="Arial" w:hAnsi="Arial" w:cs="Arial"/>
          <w:sz w:val="22"/>
          <w:szCs w:val="22"/>
        </w:rPr>
        <w:t xml:space="preserve">Confidentiality concerns represent another important deterrent. Radez et al. (2021) found that many adolescents feared information shared with healthcare professionals would not remain private, particularly where parents, schools or social care agencies were involved. Similarly, O’Brien et al. (2024) reported that uncertainty surrounding confidentiality procedures reduced willingness to engage with formal mental health services. Together, these findings suggest </w:t>
      </w:r>
      <w:r w:rsidRPr="00D3751A">
        <w:rPr>
          <w:rFonts w:ascii="Arial" w:hAnsi="Arial" w:cs="Arial"/>
          <w:sz w:val="22"/>
          <w:szCs w:val="22"/>
        </w:rPr>
        <w:lastRenderedPageBreak/>
        <w:t>that trust and perceptions of privacy influence service utilisation. While Radez et al. (2021) emphasised confidentiality, O’Brien et al. (2024) highlighted broader mistrust of services, indicating that psychological barriers vary according to individual experiences and local service contexts.</w:t>
      </w:r>
    </w:p>
    <w:p w14:paraId="4D3ADCBB" w14:textId="77777777" w:rsidR="00D3751A" w:rsidRPr="00D3751A" w:rsidRDefault="00D3751A" w:rsidP="00D3751A">
      <w:pPr>
        <w:spacing w:line="360" w:lineRule="auto"/>
        <w:jc w:val="both"/>
        <w:rPr>
          <w:rFonts w:ascii="Arial" w:hAnsi="Arial" w:cs="Arial"/>
          <w:sz w:val="22"/>
          <w:szCs w:val="22"/>
        </w:rPr>
      </w:pPr>
      <w:r w:rsidRPr="00D3751A">
        <w:rPr>
          <w:rFonts w:ascii="Arial" w:hAnsi="Arial" w:cs="Arial"/>
          <w:sz w:val="22"/>
          <w:szCs w:val="22"/>
        </w:rPr>
        <w:t>Mental health literacy is another important determinant of help-seeking behaviour, referring to an individual's ability to recognise mental health difficulties, understand available support and access appropriate services (Gulliver et al., 2010). Limited awareness of symptoms and support options can delay help-seeking, while difficulties distinguishing between normal developmental challenges and clinically significant symptoms may contribute to delayed referrals and worsening psychological distress.</w:t>
      </w:r>
    </w:p>
    <w:p w14:paraId="6632DD74" w14:textId="77777777" w:rsidR="00D3751A" w:rsidRPr="00D3751A" w:rsidRDefault="00D3751A" w:rsidP="00D3751A">
      <w:pPr>
        <w:spacing w:line="360" w:lineRule="auto"/>
        <w:jc w:val="both"/>
        <w:rPr>
          <w:rFonts w:ascii="Arial" w:hAnsi="Arial" w:cs="Arial"/>
          <w:sz w:val="22"/>
          <w:szCs w:val="22"/>
        </w:rPr>
      </w:pPr>
      <w:r w:rsidRPr="00D3751A">
        <w:rPr>
          <w:rFonts w:ascii="Arial" w:hAnsi="Arial" w:cs="Arial"/>
          <w:sz w:val="22"/>
          <w:szCs w:val="22"/>
        </w:rPr>
        <w:t>Family attitudes and cultural beliefs also influence engagement with mental health services. Evidence suggests that parental stigma, cultural misconceptions and negative perceptions of mental illness may discourage adolescents from seeking support (Sengun Filiz et al., 2026; O’Brien et al., 2024). In contrast, encouragement from parents and other trusted adults is associated with greater engagement and improved treatment adherence, highlighting the influence of family and social environments on healthcare utilisation.</w:t>
      </w:r>
    </w:p>
    <w:p w14:paraId="48669E15" w14:textId="77777777" w:rsidR="00D3751A" w:rsidRPr="00D3751A" w:rsidRDefault="00D3751A" w:rsidP="00D3751A">
      <w:pPr>
        <w:spacing w:line="360" w:lineRule="auto"/>
        <w:jc w:val="both"/>
        <w:rPr>
          <w:rFonts w:ascii="Arial" w:hAnsi="Arial" w:cs="Arial"/>
          <w:sz w:val="22"/>
          <w:szCs w:val="22"/>
        </w:rPr>
      </w:pPr>
      <w:r w:rsidRPr="00D3751A">
        <w:rPr>
          <w:rFonts w:ascii="Arial" w:hAnsi="Arial" w:cs="Arial"/>
          <w:sz w:val="22"/>
          <w:szCs w:val="22"/>
        </w:rPr>
        <w:t>Nevertheless, findings relating to stigma, confidentiality and mental health literacy should be interpreted cautiously because much of the evidence is derived from qualitative studies involving relatively small, geographically restricted samples. Although these studies provide valuable insight into adolescents’ experiences, they may not be fully representative of the wider adolescent population across the United Kingdom (Radez et al., 2021; O’Brien et al., 2024).</w:t>
      </w:r>
    </w:p>
    <w:p w14:paraId="788C5CF0" w14:textId="6E415A4A" w:rsidR="00D82D3A" w:rsidRPr="00D82D3A" w:rsidRDefault="00D3751A" w:rsidP="00D82D3A">
      <w:pPr>
        <w:spacing w:line="360" w:lineRule="auto"/>
        <w:jc w:val="both"/>
        <w:rPr>
          <w:rFonts w:ascii="Arial" w:hAnsi="Arial" w:cs="Arial"/>
          <w:sz w:val="22"/>
          <w:szCs w:val="22"/>
        </w:rPr>
      </w:pPr>
      <w:r w:rsidRPr="00D3751A">
        <w:rPr>
          <w:rFonts w:ascii="Arial" w:hAnsi="Arial" w:cs="Arial"/>
          <w:sz w:val="22"/>
          <w:szCs w:val="22"/>
        </w:rPr>
        <w:t>Overall, the evidence demonstrates that socio-cultural barriers interact with structural constraints to influence adolescent access to mental health services. While increasing service capacity remains essential, reducing stigma, improving mental health literacy and strengthening trust in healthcare systems are equally important for promoting earlier engagement and improving long-term mental health outcomes.</w:t>
      </w:r>
    </w:p>
    <w:p w14:paraId="56A8F582" w14:textId="77777777" w:rsidR="0012247C" w:rsidRPr="0012247C" w:rsidRDefault="0012247C" w:rsidP="007B6797">
      <w:pPr>
        <w:pStyle w:val="Heading2"/>
      </w:pPr>
      <w:bookmarkStart w:id="14" w:name="_Toc233828682"/>
      <w:r w:rsidRPr="0012247C">
        <w:t>2.2.4 Intersectionality and Geographic Disparities</w:t>
      </w:r>
      <w:bookmarkEnd w:id="14"/>
    </w:p>
    <w:p w14:paraId="2ADF6042" w14:textId="77777777" w:rsidR="0012247C" w:rsidRPr="0012247C" w:rsidRDefault="0012247C" w:rsidP="0012247C">
      <w:pPr>
        <w:spacing w:line="360" w:lineRule="auto"/>
        <w:jc w:val="both"/>
        <w:rPr>
          <w:rFonts w:ascii="Arial" w:hAnsi="Arial" w:cs="Arial"/>
          <w:sz w:val="22"/>
          <w:szCs w:val="22"/>
        </w:rPr>
      </w:pPr>
      <w:r w:rsidRPr="0012247C">
        <w:rPr>
          <w:rFonts w:ascii="Arial" w:hAnsi="Arial" w:cs="Arial"/>
          <w:sz w:val="22"/>
          <w:szCs w:val="22"/>
        </w:rPr>
        <w:t xml:space="preserve">The literature increasingly recognises that barriers to adolescent mental health service access are shaped by intersecting social, economic and demographic factors rather than operating independently (Leavey et al., 2019; Lowther-Payne et al., 2023). Many adolescents experience multiple forms of disadvantage, including socioeconomic deprivation, geographic inequalities and minority stress, which collectively reduce access to appropriate mental health support (Lowther-Payne et al., 2023; Stonewall, 2018). This intersectional perspective </w:t>
      </w:r>
      <w:r w:rsidRPr="0012247C">
        <w:rPr>
          <w:rFonts w:ascii="Arial" w:hAnsi="Arial" w:cs="Arial"/>
          <w:sz w:val="22"/>
          <w:szCs w:val="22"/>
        </w:rPr>
        <w:lastRenderedPageBreak/>
        <w:t>demonstrates how overlapping social identities and structural inequalities influence healthcare utilisation and experiences of service provision (Leavey et al., 2019; Lowther-Payne et al., 2023).</w:t>
      </w:r>
    </w:p>
    <w:p w14:paraId="567C8A42" w14:textId="77777777" w:rsidR="0012247C" w:rsidRPr="0012247C" w:rsidRDefault="0012247C" w:rsidP="0012247C">
      <w:pPr>
        <w:spacing w:line="360" w:lineRule="auto"/>
        <w:jc w:val="both"/>
        <w:rPr>
          <w:rFonts w:ascii="Arial" w:hAnsi="Arial" w:cs="Arial"/>
          <w:sz w:val="22"/>
          <w:szCs w:val="22"/>
        </w:rPr>
      </w:pPr>
      <w:r w:rsidRPr="0012247C">
        <w:rPr>
          <w:rFonts w:ascii="Arial" w:hAnsi="Arial" w:cs="Arial"/>
          <w:sz w:val="22"/>
          <w:szCs w:val="22"/>
        </w:rPr>
        <w:t>Geographic disparities represent one of the most consistently reported inequalities within the United Kingdom. Research identifies a persistent postcode lottery, whereby access to Child and Adolescent Mental Health Services (CAMHS) varies across regions because of differences in funding, workforce capacity and local service provision (Leavey et al., 2019; NHS England, 2023). Consequently, adolescents living in deprived or rural areas often experience longer waiting times and reduced access to specialist services than those in more affluent urban settings (NHS England, 2023; Children’s Commissioner, 2024).</w:t>
      </w:r>
    </w:p>
    <w:p w14:paraId="02D0EE5B" w14:textId="77777777" w:rsidR="0012247C" w:rsidRPr="0012247C" w:rsidRDefault="0012247C" w:rsidP="0012247C">
      <w:pPr>
        <w:spacing w:line="360" w:lineRule="auto"/>
        <w:jc w:val="both"/>
        <w:rPr>
          <w:rFonts w:ascii="Arial" w:hAnsi="Arial" w:cs="Arial"/>
          <w:sz w:val="22"/>
          <w:szCs w:val="22"/>
        </w:rPr>
      </w:pPr>
      <w:r w:rsidRPr="0012247C">
        <w:rPr>
          <w:rFonts w:ascii="Arial" w:hAnsi="Arial" w:cs="Arial"/>
          <w:sz w:val="22"/>
          <w:szCs w:val="22"/>
        </w:rPr>
        <w:t>Socioeconomic deprivation further reinforces these inequalities. Lowther-Payne et al. (2023) found that financial hardship, transport costs and digital exclusion create additional barriers for disadvantaged families seeking mental health support. Adolescents from lower-income households may also experience difficulties attending appointments, accessing digital interventions and navigating referral pathways, contributing to unequal service utilisation (Lowther-Payne et al., 2023; Children’s Commissioner, 2024).</w:t>
      </w:r>
    </w:p>
    <w:p w14:paraId="2454CD83" w14:textId="77777777" w:rsidR="0012247C" w:rsidRPr="0012247C" w:rsidRDefault="0012247C" w:rsidP="0012247C">
      <w:pPr>
        <w:spacing w:line="360" w:lineRule="auto"/>
        <w:jc w:val="both"/>
        <w:rPr>
          <w:rFonts w:ascii="Arial" w:hAnsi="Arial" w:cs="Arial"/>
          <w:sz w:val="22"/>
          <w:szCs w:val="22"/>
        </w:rPr>
      </w:pPr>
      <w:r w:rsidRPr="0012247C">
        <w:rPr>
          <w:rFonts w:ascii="Arial" w:hAnsi="Arial" w:cs="Arial"/>
          <w:sz w:val="22"/>
          <w:szCs w:val="22"/>
        </w:rPr>
        <w:t>The literature also highlights the experiences of LGBTQ+ adolescents and young people from minoritised ethnic backgrounds. Evidence indicates that these groups frequently encounter discrimination, cultural misunderstanding and reduced trust in healthcare services, limiting engagement with mental health support (Stonewall, 2018; Leavey et al., 2019). Minority stress and social exclusion may therefore increase mental health needs while creating additional barriers to care (Stonewall, 2018; Lowther-Payne et al., 2023).</w:t>
      </w:r>
    </w:p>
    <w:p w14:paraId="645CD3C3" w14:textId="77777777" w:rsidR="0012247C" w:rsidRPr="0012247C" w:rsidRDefault="0012247C" w:rsidP="0012247C">
      <w:pPr>
        <w:spacing w:line="360" w:lineRule="auto"/>
        <w:jc w:val="both"/>
        <w:rPr>
          <w:rFonts w:ascii="Arial" w:hAnsi="Arial" w:cs="Arial"/>
          <w:sz w:val="22"/>
          <w:szCs w:val="22"/>
        </w:rPr>
      </w:pPr>
      <w:r w:rsidRPr="0012247C">
        <w:rPr>
          <w:rFonts w:ascii="Arial" w:hAnsi="Arial" w:cs="Arial"/>
          <w:sz w:val="22"/>
          <w:szCs w:val="22"/>
        </w:rPr>
        <w:t>Emerging evidence suggests that these barriers are cumulative rather than isolated. Adolescents experiencing socioeconomic deprivation may also encounter transport difficulties, digital exclusion and limited local service provision, while those from minoritised ethnic communities may face structural barriers alongside concerns about cultural responsiveness (Lowther-Payne et al., 2023; Leavey et al., 2019; Stonewall, 2018). Consequently, those exposed to multiple forms of disadvantage often experience the greatest barriers to timely mental health support.</w:t>
      </w:r>
    </w:p>
    <w:p w14:paraId="5834C105" w14:textId="77777777" w:rsidR="0012247C" w:rsidRPr="0012247C" w:rsidRDefault="0012247C" w:rsidP="0012247C">
      <w:pPr>
        <w:spacing w:line="360" w:lineRule="auto"/>
        <w:jc w:val="both"/>
        <w:rPr>
          <w:rFonts w:ascii="Arial" w:hAnsi="Arial" w:cs="Arial"/>
          <w:sz w:val="22"/>
          <w:szCs w:val="22"/>
        </w:rPr>
      </w:pPr>
      <w:r w:rsidRPr="0012247C">
        <w:rPr>
          <w:rFonts w:ascii="Arial" w:hAnsi="Arial" w:cs="Arial"/>
          <w:sz w:val="22"/>
          <w:szCs w:val="22"/>
        </w:rPr>
        <w:t>Nevertheless, the evidence base remains limited by the underrepresentation of certain vulnerable groups, including adolescents from minority ethnic backgrounds, rural communities and those outside mainstream education. Consequently, the full extent of intersectional inequalities may not yet be reflected within current research, highlighting the need for more inclusive and representative studies (Radez et al., 2021; Leavey et al., 2019).</w:t>
      </w:r>
    </w:p>
    <w:p w14:paraId="7ADDCD35" w14:textId="77777777" w:rsidR="0012247C" w:rsidRPr="0012247C" w:rsidRDefault="0012247C" w:rsidP="0012247C">
      <w:pPr>
        <w:spacing w:line="360" w:lineRule="auto"/>
        <w:jc w:val="both"/>
        <w:rPr>
          <w:rFonts w:ascii="Arial" w:hAnsi="Arial" w:cs="Arial"/>
          <w:sz w:val="22"/>
          <w:szCs w:val="22"/>
        </w:rPr>
      </w:pPr>
      <w:r w:rsidRPr="0012247C">
        <w:rPr>
          <w:rFonts w:ascii="Arial" w:hAnsi="Arial" w:cs="Arial"/>
          <w:sz w:val="22"/>
          <w:szCs w:val="22"/>
        </w:rPr>
        <w:lastRenderedPageBreak/>
        <w:t>Overall, these findings emphasise the importance of adopting intersectional approaches when developing policies and interventions to reduce inequalities in adolescent mental health service provision across the United Kingdom.</w:t>
      </w:r>
    </w:p>
    <w:p w14:paraId="4F10060C" w14:textId="77777777" w:rsidR="007107C6" w:rsidRPr="007107C6" w:rsidRDefault="007107C6" w:rsidP="007B6797">
      <w:pPr>
        <w:pStyle w:val="Heading2"/>
      </w:pPr>
      <w:bookmarkStart w:id="15" w:name="_Toc233828683"/>
      <w:r w:rsidRPr="007107C6">
        <w:t>2.2.5 Methodological Critique of Previous Research</w:t>
      </w:r>
      <w:bookmarkEnd w:id="15"/>
    </w:p>
    <w:p w14:paraId="34C4E369"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Despite the growing body of literature examining adolescent mental health service access, several methodological limitations continue to affect the quality, consistency and generalisability of existing evidence. Table 2.1 summarises the most frequently identified methodological weaknesses across the reviewed studies.</w:t>
      </w:r>
    </w:p>
    <w:p w14:paraId="0054FFF3"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b/>
          <w:bCs/>
          <w:sz w:val="22"/>
          <w:szCs w:val="22"/>
        </w:rPr>
        <w:t>Table 2.1: Methodological Limitations Identified in Existing Research</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27"/>
        <w:gridCol w:w="6299"/>
      </w:tblGrid>
      <w:tr w:rsidR="007107C6" w:rsidRPr="007107C6" w14:paraId="0FD0E7A1" w14:textId="77777777" w:rsidTr="00486E52">
        <w:trPr>
          <w:tblCellSpacing w:w="15" w:type="dxa"/>
        </w:trPr>
        <w:tc>
          <w:tcPr>
            <w:tcW w:w="0" w:type="auto"/>
            <w:vAlign w:val="center"/>
            <w:hideMark/>
          </w:tcPr>
          <w:p w14:paraId="57EBC7B8" w14:textId="77777777" w:rsidR="007107C6" w:rsidRPr="007107C6" w:rsidRDefault="007107C6" w:rsidP="007107C6">
            <w:pPr>
              <w:spacing w:line="360" w:lineRule="auto"/>
              <w:jc w:val="both"/>
              <w:rPr>
                <w:rFonts w:ascii="Arial" w:hAnsi="Arial" w:cs="Arial"/>
                <w:b/>
                <w:bCs/>
                <w:sz w:val="22"/>
                <w:szCs w:val="22"/>
              </w:rPr>
            </w:pPr>
            <w:r w:rsidRPr="007107C6">
              <w:rPr>
                <w:rFonts w:ascii="Arial" w:hAnsi="Arial" w:cs="Arial"/>
                <w:b/>
                <w:bCs/>
                <w:sz w:val="22"/>
                <w:szCs w:val="22"/>
              </w:rPr>
              <w:t>Methodological Limitation</w:t>
            </w:r>
          </w:p>
        </w:tc>
        <w:tc>
          <w:tcPr>
            <w:tcW w:w="0" w:type="auto"/>
            <w:vAlign w:val="center"/>
            <w:hideMark/>
          </w:tcPr>
          <w:p w14:paraId="0B59D1C3" w14:textId="77777777" w:rsidR="007107C6" w:rsidRPr="007107C6" w:rsidRDefault="007107C6" w:rsidP="007107C6">
            <w:pPr>
              <w:spacing w:line="360" w:lineRule="auto"/>
              <w:jc w:val="both"/>
              <w:rPr>
                <w:rFonts w:ascii="Arial" w:hAnsi="Arial" w:cs="Arial"/>
                <w:b/>
                <w:bCs/>
                <w:sz w:val="22"/>
                <w:szCs w:val="22"/>
              </w:rPr>
            </w:pPr>
            <w:r w:rsidRPr="007107C6">
              <w:rPr>
                <w:rFonts w:ascii="Arial" w:hAnsi="Arial" w:cs="Arial"/>
                <w:b/>
                <w:bCs/>
                <w:sz w:val="22"/>
                <w:szCs w:val="22"/>
              </w:rPr>
              <w:t>Impact on Findings</w:t>
            </w:r>
          </w:p>
        </w:tc>
      </w:tr>
      <w:tr w:rsidR="007107C6" w:rsidRPr="007107C6" w14:paraId="2EBB98E9" w14:textId="77777777" w:rsidTr="00486E52">
        <w:trPr>
          <w:tblCellSpacing w:w="15" w:type="dxa"/>
        </w:trPr>
        <w:tc>
          <w:tcPr>
            <w:tcW w:w="0" w:type="auto"/>
            <w:vAlign w:val="center"/>
            <w:hideMark/>
          </w:tcPr>
          <w:p w14:paraId="5C52D165"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Self-selection bias</w:t>
            </w:r>
          </w:p>
        </w:tc>
        <w:tc>
          <w:tcPr>
            <w:tcW w:w="0" w:type="auto"/>
            <w:vAlign w:val="center"/>
            <w:hideMark/>
          </w:tcPr>
          <w:p w14:paraId="7037FB96"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May overrepresent adolescents who are willing to discuss mental health and engage with research, potentially excluding those experiencing the greatest barriers to service access.</w:t>
            </w:r>
          </w:p>
        </w:tc>
      </w:tr>
      <w:tr w:rsidR="007107C6" w:rsidRPr="007107C6" w14:paraId="1DA0D8B3" w14:textId="77777777" w:rsidTr="00486E52">
        <w:trPr>
          <w:tblCellSpacing w:w="15" w:type="dxa"/>
        </w:trPr>
        <w:tc>
          <w:tcPr>
            <w:tcW w:w="0" w:type="auto"/>
            <w:vAlign w:val="center"/>
            <w:hideMark/>
          </w:tcPr>
          <w:p w14:paraId="6DE60061"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Small qualitative samples</w:t>
            </w:r>
          </w:p>
        </w:tc>
        <w:tc>
          <w:tcPr>
            <w:tcW w:w="0" w:type="auto"/>
            <w:vAlign w:val="center"/>
            <w:hideMark/>
          </w:tcPr>
          <w:p w14:paraId="2BA96BFF"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Limits the generalisability of findings across the wider adolescent population within the United Kingdom.</w:t>
            </w:r>
          </w:p>
        </w:tc>
      </w:tr>
      <w:tr w:rsidR="007107C6" w:rsidRPr="007107C6" w14:paraId="5457FB57" w14:textId="77777777" w:rsidTr="00486E52">
        <w:trPr>
          <w:tblCellSpacing w:w="15" w:type="dxa"/>
        </w:trPr>
        <w:tc>
          <w:tcPr>
            <w:tcW w:w="0" w:type="auto"/>
            <w:vAlign w:val="center"/>
            <w:hideMark/>
          </w:tcPr>
          <w:p w14:paraId="3EA6144F"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Underrepresentation of minority groups</w:t>
            </w:r>
          </w:p>
        </w:tc>
        <w:tc>
          <w:tcPr>
            <w:tcW w:w="0" w:type="auto"/>
            <w:vAlign w:val="center"/>
            <w:hideMark/>
          </w:tcPr>
          <w:p w14:paraId="0465E6E8"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Restricts understanding of the unique barriers experienced by ethnic minority, LGBTQ+ and other marginalised adolescent populations.</w:t>
            </w:r>
          </w:p>
        </w:tc>
      </w:tr>
      <w:tr w:rsidR="007107C6" w:rsidRPr="007107C6" w14:paraId="4CDB5C34" w14:textId="77777777" w:rsidTr="00486E52">
        <w:trPr>
          <w:tblCellSpacing w:w="15" w:type="dxa"/>
        </w:trPr>
        <w:tc>
          <w:tcPr>
            <w:tcW w:w="0" w:type="auto"/>
            <w:vAlign w:val="center"/>
            <w:hideMark/>
          </w:tcPr>
          <w:p w14:paraId="4E522720"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Cross-sectional research designs</w:t>
            </w:r>
          </w:p>
        </w:tc>
        <w:tc>
          <w:tcPr>
            <w:tcW w:w="0" w:type="auto"/>
            <w:vAlign w:val="center"/>
            <w:hideMark/>
          </w:tcPr>
          <w:p w14:paraId="40B3CD64"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Limits the ability to establish causal relationships between barriers to access and mental health outcomes over time.</w:t>
            </w:r>
          </w:p>
        </w:tc>
      </w:tr>
      <w:tr w:rsidR="007107C6" w:rsidRPr="007107C6" w14:paraId="2E9EE2B9" w14:textId="77777777" w:rsidTr="00486E52">
        <w:trPr>
          <w:tblCellSpacing w:w="15" w:type="dxa"/>
        </w:trPr>
        <w:tc>
          <w:tcPr>
            <w:tcW w:w="0" w:type="auto"/>
            <w:vAlign w:val="center"/>
            <w:hideMark/>
          </w:tcPr>
          <w:p w14:paraId="166D1FCB"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Inconsistent definitions and measurements</w:t>
            </w:r>
          </w:p>
        </w:tc>
        <w:tc>
          <w:tcPr>
            <w:tcW w:w="0" w:type="auto"/>
            <w:vAlign w:val="center"/>
            <w:hideMark/>
          </w:tcPr>
          <w:p w14:paraId="73696D9C"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Reduces comparability across studies and contributes to conceptual fragmentation within the evidence base.</w:t>
            </w:r>
          </w:p>
        </w:tc>
      </w:tr>
      <w:tr w:rsidR="007107C6" w:rsidRPr="007107C6" w14:paraId="478F221A" w14:textId="77777777" w:rsidTr="00486E52">
        <w:trPr>
          <w:tblCellSpacing w:w="15" w:type="dxa"/>
        </w:trPr>
        <w:tc>
          <w:tcPr>
            <w:tcW w:w="0" w:type="auto"/>
            <w:vAlign w:val="center"/>
            <w:hideMark/>
          </w:tcPr>
          <w:p w14:paraId="206CA029"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Exclusion of out-of-school adolescents</w:t>
            </w:r>
          </w:p>
        </w:tc>
        <w:tc>
          <w:tcPr>
            <w:tcW w:w="0" w:type="auto"/>
            <w:vAlign w:val="center"/>
            <w:hideMark/>
          </w:tcPr>
          <w:p w14:paraId="02490D48"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May overlook the experiences of particularly vulnerable young people who are not engaged in mainstream education.</w:t>
            </w:r>
          </w:p>
        </w:tc>
      </w:tr>
      <w:tr w:rsidR="007107C6" w:rsidRPr="007107C6" w14:paraId="39F27D81" w14:textId="77777777" w:rsidTr="00486E52">
        <w:trPr>
          <w:tblCellSpacing w:w="15" w:type="dxa"/>
        </w:trPr>
        <w:tc>
          <w:tcPr>
            <w:tcW w:w="0" w:type="auto"/>
            <w:vAlign w:val="center"/>
            <w:hideMark/>
          </w:tcPr>
          <w:p w14:paraId="591C19F6"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Geographic concentration of samples</w:t>
            </w:r>
          </w:p>
        </w:tc>
        <w:tc>
          <w:tcPr>
            <w:tcW w:w="0" w:type="auto"/>
            <w:vAlign w:val="center"/>
            <w:hideMark/>
          </w:tcPr>
          <w:p w14:paraId="261CCD08"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sz w:val="22"/>
                <w:szCs w:val="22"/>
              </w:rPr>
              <w:t>Limits understanding of regional variation and may not accurately reflect experiences across different areas of the United Kingdom.</w:t>
            </w:r>
          </w:p>
        </w:tc>
      </w:tr>
    </w:tbl>
    <w:p w14:paraId="26C59049" w14:textId="77777777" w:rsidR="007107C6" w:rsidRPr="007107C6" w:rsidRDefault="007107C6" w:rsidP="007107C6">
      <w:pPr>
        <w:spacing w:line="360" w:lineRule="auto"/>
        <w:jc w:val="both"/>
        <w:rPr>
          <w:rFonts w:ascii="Arial" w:hAnsi="Arial" w:cs="Arial"/>
          <w:sz w:val="22"/>
          <w:szCs w:val="22"/>
        </w:rPr>
      </w:pPr>
      <w:r w:rsidRPr="007107C6">
        <w:rPr>
          <w:rFonts w:ascii="Arial" w:hAnsi="Arial" w:cs="Arial"/>
          <w:i/>
          <w:iCs/>
          <w:sz w:val="22"/>
          <w:szCs w:val="22"/>
        </w:rPr>
        <w:t>Source: Adapted from findings synthesised from Radez et al. (2021), O’Brien et al. (2024), Leavey et al. (2019) and Bettany-Saltikov and McSherry (2025).</w:t>
      </w:r>
    </w:p>
    <w:p w14:paraId="76D89508" w14:textId="77777777" w:rsidR="00F207CB" w:rsidRPr="00F207CB" w:rsidRDefault="00F207CB" w:rsidP="00F207CB">
      <w:pPr>
        <w:spacing w:line="360" w:lineRule="auto"/>
        <w:jc w:val="both"/>
        <w:rPr>
          <w:rFonts w:ascii="Arial" w:hAnsi="Arial" w:cs="Arial"/>
          <w:sz w:val="22"/>
          <w:szCs w:val="22"/>
        </w:rPr>
      </w:pPr>
      <w:r w:rsidRPr="00F207CB">
        <w:rPr>
          <w:rFonts w:ascii="Arial" w:hAnsi="Arial" w:cs="Arial"/>
          <w:sz w:val="22"/>
          <w:szCs w:val="22"/>
        </w:rPr>
        <w:lastRenderedPageBreak/>
        <w:t>Table 2.1 highlights several recurring methodological weaknesses within the existing evidence base. A prominent concern is the widespread reliance on self-selected, homogenous participant samples, which may limit the representativeness and generalisability of findings across the diverse adolescent population of the United Kingdom. Furthermore, the underrepresentation of minority ethnic groups in localised qualitative studies provides an incomplete understanding of the barriers experienced by some of the most vulnerable adolescents (Radez et al., 2021; O’Brien et al., 2024).</w:t>
      </w:r>
    </w:p>
    <w:p w14:paraId="36099A07" w14:textId="21BA4513" w:rsidR="007107C6" w:rsidRPr="007107C6" w:rsidRDefault="00F207CB" w:rsidP="007107C6">
      <w:pPr>
        <w:spacing w:line="360" w:lineRule="auto"/>
        <w:jc w:val="both"/>
        <w:rPr>
          <w:rFonts w:ascii="Arial" w:hAnsi="Arial" w:cs="Arial"/>
          <w:sz w:val="22"/>
          <w:szCs w:val="22"/>
        </w:rPr>
      </w:pPr>
      <w:r w:rsidRPr="00F207CB">
        <w:rPr>
          <w:rFonts w:ascii="Arial" w:hAnsi="Arial" w:cs="Arial"/>
          <w:sz w:val="22"/>
          <w:szCs w:val="22"/>
        </w:rPr>
        <w:t>The table also demonstrates considerable conceptual fragmentation, with inconsistent definitions and measurement of key constructs such as mental health literacy, service accessibility and help-seeking behaviour. Consequently, comparisons between studies are often difficult, reducing the coherence of the evidence base. These limitations highlight the need for more rigorous, inclusive and standardised research to better inform future policy, practice and research.</w:t>
      </w:r>
    </w:p>
    <w:p w14:paraId="479C3698" w14:textId="77777777" w:rsidR="00605387" w:rsidRPr="00605387" w:rsidRDefault="00605387" w:rsidP="007B6797">
      <w:pPr>
        <w:pStyle w:val="Heading2"/>
      </w:pPr>
      <w:bookmarkStart w:id="16" w:name="_Toc233828684"/>
      <w:r w:rsidRPr="00605387">
        <w:t>2.2.6 Identification of Gaps and Justification of Current Approach</w:t>
      </w:r>
      <w:bookmarkEnd w:id="16"/>
    </w:p>
    <w:p w14:paraId="40F8D60C" w14:textId="77777777" w:rsidR="00393DBE" w:rsidRDefault="00605387" w:rsidP="00605387">
      <w:pPr>
        <w:spacing w:line="360" w:lineRule="auto"/>
        <w:jc w:val="both"/>
        <w:rPr>
          <w:rFonts w:ascii="Arial" w:hAnsi="Arial" w:cs="Arial"/>
          <w:sz w:val="22"/>
          <w:szCs w:val="22"/>
        </w:rPr>
      </w:pPr>
      <w:r w:rsidRPr="00605387">
        <w:rPr>
          <w:rFonts w:ascii="Arial" w:hAnsi="Arial" w:cs="Arial"/>
          <w:sz w:val="22"/>
          <w:szCs w:val="22"/>
        </w:rPr>
        <w:t xml:space="preserve">This systematic review identifies three key gaps within the existing literature. First, there is limited contemporary research integrating post-pandemic changes in adolescent mental health with the evolving role of NHS Integrated Care Boards (ICBs) and wider service transformation initiatives (NHS England, 2023; McPhail et al., 2024). </w:t>
      </w:r>
    </w:p>
    <w:p w14:paraId="4EE72F19" w14:textId="77E901D9" w:rsidR="00605387" w:rsidRPr="00605387" w:rsidRDefault="00605387" w:rsidP="00605387">
      <w:pPr>
        <w:spacing w:line="360" w:lineRule="auto"/>
        <w:jc w:val="both"/>
        <w:rPr>
          <w:rFonts w:ascii="Arial" w:hAnsi="Arial" w:cs="Arial"/>
          <w:sz w:val="22"/>
          <w:szCs w:val="22"/>
        </w:rPr>
      </w:pPr>
      <w:r w:rsidRPr="00605387">
        <w:rPr>
          <w:rFonts w:ascii="Arial" w:hAnsi="Arial" w:cs="Arial"/>
          <w:sz w:val="22"/>
          <w:szCs w:val="22"/>
        </w:rPr>
        <w:t>Second, existing studies remain fragmented across disciplines and often fail to examine how psychological barriers, including stigma, mistrust and confidentiality concerns, interact with structural barriers such as waiting times, workforce shortages and restrictive referral pathways (Gough et al., 2017; Sengun Filiz et al., 2026). Third, there is limited cross-disciplinary evidence exploring how social determinants, including poverty, minority stress and geographical inequalities, contribute to disparities in mental health service access and utilisation (Nordentoft et al., 2015; Delany Moretlwe et al., 2015).</w:t>
      </w:r>
    </w:p>
    <w:p w14:paraId="1606AFAC" w14:textId="0DB19160" w:rsidR="00605387" w:rsidRPr="00605387" w:rsidRDefault="00605387" w:rsidP="00605387">
      <w:pPr>
        <w:spacing w:line="360" w:lineRule="auto"/>
        <w:jc w:val="both"/>
        <w:rPr>
          <w:rFonts w:ascii="Arial" w:hAnsi="Arial" w:cs="Arial"/>
          <w:sz w:val="22"/>
          <w:szCs w:val="22"/>
        </w:rPr>
      </w:pPr>
      <w:r w:rsidRPr="00605387">
        <w:rPr>
          <w:rFonts w:ascii="Arial" w:hAnsi="Arial" w:cs="Arial"/>
          <w:sz w:val="22"/>
          <w:szCs w:val="22"/>
        </w:rPr>
        <w:t>These limitations restrict understanding of how changing patterns of mental health need influence service demand, access and outcomes, while reducing insight into the interaction between, socio-cultural and socioeconomic barriers. Consequently, they limit the development of targeted policies and interventions to address the cumulative disadvantages experienced by vulnerable adolescent populations.</w:t>
      </w:r>
    </w:p>
    <w:p w14:paraId="198E07F1" w14:textId="77777777" w:rsidR="00605387" w:rsidRPr="00605387" w:rsidRDefault="00605387" w:rsidP="00605387">
      <w:pPr>
        <w:spacing w:line="360" w:lineRule="auto"/>
        <w:jc w:val="both"/>
        <w:rPr>
          <w:rFonts w:ascii="Arial" w:hAnsi="Arial" w:cs="Arial"/>
          <w:sz w:val="22"/>
          <w:szCs w:val="22"/>
        </w:rPr>
      </w:pPr>
      <w:r w:rsidRPr="00605387">
        <w:rPr>
          <w:rFonts w:ascii="Arial" w:hAnsi="Arial" w:cs="Arial"/>
          <w:sz w:val="22"/>
          <w:szCs w:val="22"/>
        </w:rPr>
        <w:t xml:space="preserve">This review addresses these gaps by applying the PEO framework alongside Andersen’s Behavioural Model and the Social Determinants of Health framework to examine inequalities in adolescent mental health service access. By synthesising evidence from public health, healthcare and social care literature, the review explores how structural, socio-cultural and </w:t>
      </w:r>
      <w:r w:rsidRPr="00605387">
        <w:rPr>
          <w:rFonts w:ascii="Arial" w:hAnsi="Arial" w:cs="Arial"/>
          <w:sz w:val="22"/>
          <w:szCs w:val="22"/>
        </w:rPr>
        <w:lastRenderedPageBreak/>
        <w:t>socioeconomic barriers influence adolescents' engagement with mental health services across the United Kingdom, generating evidence to inform policy, service improvement and future research (Bettany-Saltikov and McSherry, 2025; Page et al., 2021).</w:t>
      </w:r>
    </w:p>
    <w:p w14:paraId="78D373B3" w14:textId="77777777" w:rsidR="00605387" w:rsidRPr="00605387" w:rsidRDefault="00605387" w:rsidP="00605387">
      <w:pPr>
        <w:spacing w:line="360" w:lineRule="auto"/>
        <w:jc w:val="both"/>
        <w:rPr>
          <w:rFonts w:ascii="Arial" w:hAnsi="Arial" w:cs="Arial"/>
          <w:sz w:val="22"/>
          <w:szCs w:val="22"/>
        </w:rPr>
      </w:pPr>
      <w:r w:rsidRPr="00605387">
        <w:rPr>
          <w:rFonts w:ascii="Arial" w:hAnsi="Arial" w:cs="Arial"/>
          <w:sz w:val="22"/>
          <w:szCs w:val="22"/>
        </w:rPr>
        <w:t>The chapter also identified methodological limitations within the existing evidence base, including sampling bias, conceptual fragmentation and the underrepresentation of vulnerable populations, which may reduce the generalisability of findings (Han et al., 2026; Radez et al., 2021; O’Brien et al., 2024). Chapter 3 outlines the systematic literature review methodology used to address these gaps through a transparent, rigorous and reproducible approach to evidence synthesis (Page et al., 2021).</w:t>
      </w:r>
    </w:p>
    <w:p w14:paraId="2B2465EA" w14:textId="77777777" w:rsidR="0026595C" w:rsidRPr="0026595C" w:rsidRDefault="0026595C" w:rsidP="007B6797">
      <w:pPr>
        <w:pStyle w:val="Heading2"/>
      </w:pPr>
      <w:bookmarkStart w:id="17" w:name="_Toc233828685"/>
      <w:r w:rsidRPr="0026595C">
        <w:t>2.3 Chapter Summary</w:t>
      </w:r>
      <w:bookmarkEnd w:id="17"/>
    </w:p>
    <w:p w14:paraId="2E66842C" w14:textId="77777777" w:rsidR="0026595C" w:rsidRPr="0026595C" w:rsidRDefault="0026595C" w:rsidP="0026595C">
      <w:pPr>
        <w:spacing w:line="360" w:lineRule="auto"/>
        <w:jc w:val="both"/>
        <w:rPr>
          <w:rFonts w:ascii="Arial" w:hAnsi="Arial" w:cs="Arial"/>
          <w:sz w:val="22"/>
          <w:szCs w:val="22"/>
        </w:rPr>
      </w:pPr>
      <w:r w:rsidRPr="0026595C">
        <w:rPr>
          <w:rFonts w:ascii="Arial" w:hAnsi="Arial" w:cs="Arial"/>
          <w:sz w:val="22"/>
          <w:szCs w:val="22"/>
        </w:rPr>
        <w:t>This chapter critically reviewed contemporary literature examining barriers to adolescent mental health service access across the United Kingdom (NHS England, 2023). By synthesising epidemiological and qualitative evidence, it examined how structural, socio-cultural and socioeconomic factors influence adolescents’ engagement with mental health services (Radez et al., 2021). The review identified prolonged waiting times, workforce shortages, fragmented transitions between Child and Adolescent Mental Health Services (CAMHS) and Adult Mental Health Services (AMHS), diagnostic overshadowing and fragmented service provision as key structural barriers to equitable access (Children’s Commissioner, 2024; CQC, 2025; Han et al., 2026).</w:t>
      </w:r>
    </w:p>
    <w:p w14:paraId="2DE94E5F" w14:textId="77777777" w:rsidR="0026595C" w:rsidRPr="0026595C" w:rsidRDefault="0026595C" w:rsidP="0026595C">
      <w:pPr>
        <w:spacing w:line="360" w:lineRule="auto"/>
        <w:jc w:val="both"/>
        <w:rPr>
          <w:rFonts w:ascii="Arial" w:hAnsi="Arial" w:cs="Arial"/>
          <w:sz w:val="22"/>
          <w:szCs w:val="22"/>
        </w:rPr>
      </w:pPr>
      <w:r w:rsidRPr="0026595C">
        <w:rPr>
          <w:rFonts w:ascii="Arial" w:hAnsi="Arial" w:cs="Arial"/>
          <w:sz w:val="22"/>
          <w:szCs w:val="22"/>
        </w:rPr>
        <w:t>The chapter also demonstrated that stigma, confidentiality concerns, limited mental health literacy, family attitudes, geographical inequalities, minority stress and socioeconomic disadvantage interact to influence help-seeking and service utilisation, with the greatest barriers experienced by vulnerable populations (Gulliver et al., 2010; O’Brien et al., 2024; Sengun Filiz et al., 2026; Leavey et al., 2019; Lowther-Payne et al., 2023; Stonewall, 2018). Collectively, these findings provide the evidence base for the systematic review methodology presented in Chapter 3.</w:t>
      </w:r>
    </w:p>
    <w:p w14:paraId="0113FF78" w14:textId="77777777" w:rsidR="008D6FC0" w:rsidRDefault="008D6FC0" w:rsidP="007107C6">
      <w:pPr>
        <w:spacing w:line="360" w:lineRule="auto"/>
        <w:jc w:val="both"/>
        <w:rPr>
          <w:rFonts w:ascii="Arial" w:hAnsi="Arial" w:cs="Arial"/>
          <w:sz w:val="22"/>
          <w:szCs w:val="22"/>
        </w:rPr>
      </w:pPr>
    </w:p>
    <w:p w14:paraId="5F75F619" w14:textId="77777777" w:rsidR="008D6FC0" w:rsidRDefault="008D6FC0" w:rsidP="007107C6">
      <w:pPr>
        <w:spacing w:line="360" w:lineRule="auto"/>
        <w:jc w:val="both"/>
        <w:rPr>
          <w:rFonts w:ascii="Arial" w:hAnsi="Arial" w:cs="Arial"/>
          <w:sz w:val="22"/>
          <w:szCs w:val="22"/>
        </w:rPr>
      </w:pPr>
    </w:p>
    <w:p w14:paraId="7FDD5589" w14:textId="77777777" w:rsidR="008D6FC0" w:rsidRDefault="008D6FC0" w:rsidP="007107C6">
      <w:pPr>
        <w:spacing w:line="360" w:lineRule="auto"/>
        <w:jc w:val="both"/>
        <w:rPr>
          <w:rFonts w:ascii="Arial" w:hAnsi="Arial" w:cs="Arial"/>
          <w:sz w:val="22"/>
          <w:szCs w:val="22"/>
        </w:rPr>
      </w:pPr>
    </w:p>
    <w:p w14:paraId="258BC5E2" w14:textId="77777777" w:rsidR="008D6FC0" w:rsidRDefault="008D6FC0" w:rsidP="007107C6">
      <w:pPr>
        <w:spacing w:line="360" w:lineRule="auto"/>
        <w:jc w:val="both"/>
        <w:rPr>
          <w:rFonts w:ascii="Arial" w:hAnsi="Arial" w:cs="Arial"/>
          <w:sz w:val="22"/>
          <w:szCs w:val="22"/>
        </w:rPr>
      </w:pPr>
    </w:p>
    <w:p w14:paraId="0BAB2EF7" w14:textId="77777777" w:rsidR="008D6FC0" w:rsidRDefault="008D6FC0" w:rsidP="007107C6">
      <w:pPr>
        <w:spacing w:line="360" w:lineRule="auto"/>
        <w:jc w:val="both"/>
        <w:rPr>
          <w:rFonts w:ascii="Arial" w:hAnsi="Arial" w:cs="Arial"/>
          <w:sz w:val="22"/>
          <w:szCs w:val="22"/>
        </w:rPr>
      </w:pPr>
    </w:p>
    <w:p w14:paraId="3B54C8C9" w14:textId="77777777" w:rsidR="008D6FC0" w:rsidRDefault="008D6FC0" w:rsidP="007107C6">
      <w:pPr>
        <w:spacing w:line="360" w:lineRule="auto"/>
        <w:jc w:val="both"/>
        <w:rPr>
          <w:rFonts w:ascii="Arial" w:hAnsi="Arial" w:cs="Arial"/>
          <w:sz w:val="22"/>
          <w:szCs w:val="22"/>
        </w:rPr>
      </w:pPr>
    </w:p>
    <w:p w14:paraId="50FDB9E6" w14:textId="77777777" w:rsidR="00C0062E" w:rsidRDefault="00C0062E" w:rsidP="00C0062E">
      <w:pPr>
        <w:spacing w:line="360" w:lineRule="auto"/>
        <w:jc w:val="both"/>
        <w:rPr>
          <w:rFonts w:ascii="Arial" w:hAnsi="Arial" w:cs="Arial"/>
          <w:b/>
          <w:bCs/>
          <w:sz w:val="22"/>
          <w:szCs w:val="22"/>
        </w:rPr>
      </w:pPr>
    </w:p>
    <w:p w14:paraId="51C8BA6D" w14:textId="77777777" w:rsidR="00C0062E" w:rsidRDefault="00C0062E" w:rsidP="007B6797">
      <w:pPr>
        <w:pStyle w:val="Heading1"/>
      </w:pPr>
      <w:bookmarkStart w:id="18" w:name="_Toc233828686"/>
      <w:r>
        <w:t>CHAPTER 3</w:t>
      </w:r>
      <w:bookmarkEnd w:id="18"/>
    </w:p>
    <w:p w14:paraId="368B403C" w14:textId="11785E5C" w:rsidR="00C0062E" w:rsidRPr="00C0062E" w:rsidRDefault="00C0062E" w:rsidP="007B6797">
      <w:pPr>
        <w:pStyle w:val="Heading2"/>
      </w:pPr>
      <w:bookmarkStart w:id="19" w:name="_Toc233828687"/>
      <w:r w:rsidRPr="00C0062E">
        <w:t>3.1 Introduction</w:t>
      </w:r>
      <w:bookmarkEnd w:id="19"/>
    </w:p>
    <w:p w14:paraId="172C116B" w14:textId="77777777" w:rsidR="00C0062E" w:rsidRPr="00C0062E" w:rsidRDefault="00C0062E" w:rsidP="00C0062E">
      <w:pPr>
        <w:spacing w:line="360" w:lineRule="auto"/>
        <w:jc w:val="both"/>
        <w:rPr>
          <w:rFonts w:ascii="Arial" w:hAnsi="Arial" w:cs="Arial"/>
          <w:sz w:val="22"/>
          <w:szCs w:val="22"/>
        </w:rPr>
      </w:pPr>
      <w:r w:rsidRPr="00C0062E">
        <w:rPr>
          <w:rFonts w:ascii="Arial" w:hAnsi="Arial" w:cs="Arial"/>
          <w:sz w:val="22"/>
          <w:szCs w:val="22"/>
        </w:rPr>
        <w:t>This chapter outlines the systematic literature review methodology used to identify, screen, critically appraise and synthesise evidence relating to barriers affecting adolescent access to mental health services in the United Kingdom (Page et al., 2021). A rigorous methodology is essential to ensure transparency, consistency and reproducibility, enabling readers to understand how evidence was identified, selected, appraised and synthesised throughout the review process (Bettany-Saltikov and McSherry, 2025). Accordingly, this chapter describes the systematic review design, search strategy, search terms, keywords, databases, eligibility criteria, study selection process, ethical considerations and PRISMA-guided search results that underpin the review (Higgins et al., 2022; Page et al., 2021).</w:t>
      </w:r>
    </w:p>
    <w:p w14:paraId="2B1E3090" w14:textId="77777777" w:rsidR="00526357" w:rsidRPr="00526357" w:rsidRDefault="00526357" w:rsidP="007B6797">
      <w:pPr>
        <w:pStyle w:val="Heading2"/>
      </w:pPr>
      <w:bookmarkStart w:id="20" w:name="_Toc233828688"/>
      <w:r w:rsidRPr="00526357">
        <w:t>3.2 Systematic Literature Review (SLR)</w:t>
      </w:r>
      <w:bookmarkEnd w:id="20"/>
    </w:p>
    <w:p w14:paraId="7F0CD567" w14:textId="77777777" w:rsidR="002C641B" w:rsidRDefault="00114E28" w:rsidP="002908FC">
      <w:pPr>
        <w:spacing w:line="360" w:lineRule="auto"/>
        <w:jc w:val="both"/>
        <w:rPr>
          <w:rFonts w:ascii="Arial" w:hAnsi="Arial" w:cs="Arial"/>
          <w:sz w:val="22"/>
          <w:szCs w:val="22"/>
        </w:rPr>
      </w:pPr>
      <w:r w:rsidRPr="00114E28">
        <w:rPr>
          <w:rFonts w:ascii="Arial" w:hAnsi="Arial" w:cs="Arial"/>
          <w:sz w:val="22"/>
          <w:szCs w:val="22"/>
        </w:rPr>
        <w:t xml:space="preserve">A systematic literature review (SLR) is a structured, transparent and reproducible method used to identify, critically appraise and synthesise existing research evidence to answer a focused research question (Higgins et al., 2022). Unlike a traditional literature review, an SLR follows a predefined protocol that minimises bias and enhances the reliability and validity of the findings (Page et al., 2021). As a result, it provides a comprehensive and objective synthesis of the available evidence while identifying patterns, gaps and inconsistencies within the literature (Bettany-Saltikov and McSherry, 2025). </w:t>
      </w:r>
    </w:p>
    <w:p w14:paraId="0839336F" w14:textId="28CDED14" w:rsidR="002908FC" w:rsidRPr="002908FC" w:rsidRDefault="00114E28" w:rsidP="002908FC">
      <w:pPr>
        <w:spacing w:line="360" w:lineRule="auto"/>
        <w:jc w:val="both"/>
        <w:rPr>
          <w:rFonts w:ascii="Arial" w:hAnsi="Arial" w:cs="Arial"/>
          <w:sz w:val="22"/>
          <w:szCs w:val="22"/>
        </w:rPr>
      </w:pPr>
      <w:r w:rsidRPr="00114E28">
        <w:rPr>
          <w:rFonts w:ascii="Arial" w:hAnsi="Arial" w:cs="Arial"/>
          <w:sz w:val="22"/>
          <w:szCs w:val="22"/>
        </w:rPr>
        <w:t>The review process involves formulating a research question, developing a search strategy, conducting database searches, applying eligibility criteria, screening studies, extracting and synthesising data, and reporting the findings (Moher et al., 2009; Page et al., 2021). Therefore, an SLR was considered the most appropriate methodology for investigating the barriers affecting adolescent access to mental health services in the United Kingdom.</w:t>
      </w:r>
    </w:p>
    <w:p w14:paraId="5D34C3A0" w14:textId="77777777" w:rsidR="00AB171D" w:rsidRPr="00AB171D" w:rsidRDefault="00AB171D" w:rsidP="007B6797">
      <w:pPr>
        <w:pStyle w:val="Heading2"/>
      </w:pPr>
      <w:bookmarkStart w:id="21" w:name="_Toc233828689"/>
      <w:r w:rsidRPr="00AB171D">
        <w:t>3.3 Search Strategy</w:t>
      </w:r>
      <w:bookmarkEnd w:id="21"/>
    </w:p>
    <w:p w14:paraId="4C41AA11" w14:textId="4F4B1EE2" w:rsidR="00AB171D" w:rsidRPr="009B18F2" w:rsidRDefault="00AB171D" w:rsidP="00AB171D">
      <w:pPr>
        <w:spacing w:line="360" w:lineRule="auto"/>
        <w:jc w:val="both"/>
        <w:rPr>
          <w:rFonts w:ascii="Arial" w:hAnsi="Arial" w:cs="Arial"/>
          <w:sz w:val="22"/>
          <w:szCs w:val="22"/>
        </w:rPr>
      </w:pPr>
      <w:r w:rsidRPr="009B18F2">
        <w:rPr>
          <w:rFonts w:ascii="Arial" w:hAnsi="Arial" w:cs="Arial"/>
          <w:sz w:val="22"/>
          <w:szCs w:val="22"/>
        </w:rPr>
        <w:t xml:space="preserve">A search strategy is a systematic and pre-planned process used to identify literature relevant to answering a specific research question (Higgins et al., 2022). Its purpose is to maximise the retrieval of relevant evidence while minimising the risk of overlooking important studies (Bettany-Saltikov and McSherry, 2025). To achieve this, multiple electronic databases were searched using predefined search terms, Boolean operators and the Population–Exposure–Outcome (PEO) framework. The PEO framework is particularly suited to qualitative and public </w:t>
      </w:r>
      <w:r w:rsidRPr="009B18F2">
        <w:rPr>
          <w:rFonts w:ascii="Arial" w:hAnsi="Arial" w:cs="Arial"/>
          <w:sz w:val="22"/>
          <w:szCs w:val="22"/>
        </w:rPr>
        <w:lastRenderedPageBreak/>
        <w:t>health research because it focuses on experiences, exposures and outcomes rather than interventions (Gough et al., 2017). In this review, the population comprised adolescents aged 10–19 years, the exposure focused on barriers to accessing mental health services, and the outcome related to service access and engagement within the United Kingdom (Andersen, 1995; Radez et al., 2021). A publication date limit of 2010–202</w:t>
      </w:r>
      <w:r w:rsidR="002C144A">
        <w:rPr>
          <w:rFonts w:ascii="Arial" w:hAnsi="Arial" w:cs="Arial"/>
          <w:sz w:val="22"/>
          <w:szCs w:val="22"/>
        </w:rPr>
        <w:t>6</w:t>
      </w:r>
      <w:r w:rsidRPr="009B18F2">
        <w:rPr>
          <w:rFonts w:ascii="Arial" w:hAnsi="Arial" w:cs="Arial"/>
          <w:sz w:val="22"/>
          <w:szCs w:val="22"/>
        </w:rPr>
        <w:t xml:space="preserve"> was applied to ensure the inclusion of evidence reflecting contemporary mental health policy and service provision in the United Kingdom (NHS England, 2023; Page et al., 2021).</w:t>
      </w:r>
    </w:p>
    <w:p w14:paraId="3C741185" w14:textId="77777777" w:rsidR="007B5E35" w:rsidRPr="007B5E35" w:rsidRDefault="007B5E35" w:rsidP="007B6797">
      <w:pPr>
        <w:pStyle w:val="Heading2"/>
      </w:pPr>
      <w:bookmarkStart w:id="22" w:name="_Toc233828690"/>
      <w:r w:rsidRPr="007B5E35">
        <w:t>3.4 Search Terms</w:t>
      </w:r>
      <w:bookmarkEnd w:id="22"/>
    </w:p>
    <w:p w14:paraId="4BD0ECEA" w14:textId="77777777" w:rsidR="007B5E35" w:rsidRPr="007B5E35" w:rsidRDefault="007B5E35" w:rsidP="007B5E35">
      <w:pPr>
        <w:spacing w:line="360" w:lineRule="auto"/>
        <w:jc w:val="both"/>
        <w:rPr>
          <w:rFonts w:ascii="Arial" w:hAnsi="Arial" w:cs="Arial"/>
          <w:sz w:val="22"/>
          <w:szCs w:val="22"/>
        </w:rPr>
      </w:pPr>
      <w:r w:rsidRPr="007B5E35">
        <w:rPr>
          <w:rFonts w:ascii="Arial" w:hAnsi="Arial" w:cs="Arial"/>
          <w:sz w:val="22"/>
          <w:szCs w:val="22"/>
        </w:rPr>
        <w:t>Search terms are the words and phrases used to retrieve relevant literature from electronic databases during the research process (Higgins et al., 2022). In systematic literature reviews, carefully selected search terms are essential because they determine the relevance, sensitivity and comprehensiveness of the evidence retrieved. They reduce the likelihood of overlooking important studies while minimising irrelevant records, thereby enhancing the transparency and reproducibility of the review process (Moher et al., 2009; Bettany-Saltikov and McSherry, 2025).</w:t>
      </w:r>
    </w:p>
    <w:p w14:paraId="291D9F6E" w14:textId="77777777" w:rsidR="007B5E35" w:rsidRPr="007B5E35" w:rsidRDefault="007B5E35" w:rsidP="007B5E35">
      <w:pPr>
        <w:spacing w:line="360" w:lineRule="auto"/>
        <w:jc w:val="both"/>
        <w:rPr>
          <w:rFonts w:ascii="Arial" w:hAnsi="Arial" w:cs="Arial"/>
          <w:sz w:val="22"/>
          <w:szCs w:val="22"/>
        </w:rPr>
      </w:pPr>
      <w:r w:rsidRPr="007B5E35">
        <w:rPr>
          <w:rFonts w:ascii="Arial" w:hAnsi="Arial" w:cs="Arial"/>
          <w:sz w:val="22"/>
          <w:szCs w:val="22"/>
        </w:rPr>
        <w:t>To maximise search sensitivity, multiple synonyms and alternative terms were identified for each component of the Population–Exposure–Outcome (PEO) framework. Different researchers often use different terminology to describe the same concept. For example, adolescents may also be described as teenagers, youth, young people or young adults, while barriers may be referred to as obstacles, delays, waiting lists, structural constraints or service thresholds. Incorporating these alternative terms increased the likelihood of identifying relevant studies and reduced the risk of publication retrieval bias (Gough et al., 2017; Reardon et al., 2019).</w:t>
      </w:r>
    </w:p>
    <w:p w14:paraId="707A114E" w14:textId="5692FC86" w:rsidR="007B5E35" w:rsidRPr="007B5E35" w:rsidRDefault="007B5E35" w:rsidP="007B5E35">
      <w:pPr>
        <w:spacing w:line="360" w:lineRule="auto"/>
        <w:jc w:val="both"/>
        <w:rPr>
          <w:rFonts w:ascii="Arial" w:hAnsi="Arial" w:cs="Arial"/>
          <w:sz w:val="22"/>
          <w:szCs w:val="22"/>
        </w:rPr>
      </w:pPr>
      <w:r w:rsidRPr="007B5E35">
        <w:rPr>
          <w:rFonts w:ascii="Arial" w:hAnsi="Arial" w:cs="Arial"/>
          <w:sz w:val="22"/>
          <w:szCs w:val="22"/>
        </w:rPr>
        <w:t xml:space="preserve">The PEO framework was selected because it is </w:t>
      </w:r>
      <w:r w:rsidR="00BA0291">
        <w:rPr>
          <w:rFonts w:ascii="Arial" w:hAnsi="Arial" w:cs="Arial"/>
          <w:sz w:val="22"/>
          <w:szCs w:val="22"/>
        </w:rPr>
        <w:t>well-suited</w:t>
      </w:r>
      <w:r w:rsidRPr="007B5E35">
        <w:rPr>
          <w:rFonts w:ascii="Arial" w:hAnsi="Arial" w:cs="Arial"/>
          <w:sz w:val="22"/>
          <w:szCs w:val="22"/>
        </w:rPr>
        <w:t xml:space="preserve"> to qualitative and public health research exploring experiences and exposures rather than interventions (Higgins et al., 2022). It defined the population as adolescents aged 10–19 years, the exposure as barriers to accessing mental health services, the context as the United Kingdom, and the outcome as access, engagement and utilisation of Child and Adolescent Mental Health Services (CAMHS). This structured approach ensured that the search strategy remained focused while capturing a broad range of relevant evidence (Creswell et al., 2014).</w:t>
      </w:r>
    </w:p>
    <w:p w14:paraId="1768F615" w14:textId="77777777" w:rsidR="00434BC3" w:rsidRDefault="00434BC3" w:rsidP="002908FC">
      <w:pPr>
        <w:spacing w:line="360" w:lineRule="auto"/>
        <w:jc w:val="both"/>
        <w:rPr>
          <w:rFonts w:ascii="Arial" w:hAnsi="Arial" w:cs="Arial"/>
          <w:sz w:val="22"/>
          <w:szCs w:val="22"/>
        </w:rPr>
      </w:pPr>
    </w:p>
    <w:p w14:paraId="364313A0" w14:textId="77777777" w:rsidR="00434BC3" w:rsidRDefault="00434BC3" w:rsidP="002908FC">
      <w:pPr>
        <w:spacing w:line="360" w:lineRule="auto"/>
        <w:jc w:val="both"/>
        <w:rPr>
          <w:rFonts w:ascii="Arial" w:hAnsi="Arial" w:cs="Arial"/>
          <w:sz w:val="22"/>
          <w:szCs w:val="22"/>
        </w:rPr>
      </w:pPr>
    </w:p>
    <w:p w14:paraId="37FAB0EB" w14:textId="77777777" w:rsidR="00434BC3" w:rsidRDefault="00434BC3" w:rsidP="002908FC">
      <w:pPr>
        <w:spacing w:line="360" w:lineRule="auto"/>
        <w:jc w:val="both"/>
        <w:rPr>
          <w:rFonts w:ascii="Arial" w:hAnsi="Arial" w:cs="Arial"/>
          <w:sz w:val="22"/>
          <w:szCs w:val="22"/>
        </w:rPr>
      </w:pPr>
    </w:p>
    <w:p w14:paraId="72CA4955" w14:textId="77777777" w:rsidR="00434BC3" w:rsidRDefault="00434BC3" w:rsidP="002908FC">
      <w:pPr>
        <w:spacing w:line="360" w:lineRule="auto"/>
        <w:jc w:val="both"/>
        <w:rPr>
          <w:rFonts w:ascii="Arial" w:hAnsi="Arial" w:cs="Arial"/>
          <w:sz w:val="22"/>
          <w:szCs w:val="22"/>
        </w:rPr>
      </w:pPr>
    </w:p>
    <w:p w14:paraId="35C28ADB" w14:textId="77777777" w:rsidR="00434BC3" w:rsidRPr="002908FC" w:rsidRDefault="00434BC3" w:rsidP="002908FC">
      <w:pPr>
        <w:spacing w:line="360" w:lineRule="auto"/>
        <w:jc w:val="both"/>
        <w:rPr>
          <w:rFonts w:ascii="Arial" w:hAnsi="Arial" w:cs="Arial"/>
          <w:sz w:val="22"/>
          <w:szCs w:val="22"/>
        </w:rPr>
      </w:pPr>
    </w:p>
    <w:p w14:paraId="1B86A6B9" w14:textId="77777777" w:rsidR="002908FC" w:rsidRPr="002908FC" w:rsidRDefault="002908FC" w:rsidP="002908FC">
      <w:pPr>
        <w:spacing w:line="360" w:lineRule="auto"/>
        <w:jc w:val="both"/>
        <w:rPr>
          <w:rFonts w:ascii="Arial" w:hAnsi="Arial" w:cs="Arial"/>
          <w:sz w:val="22"/>
          <w:szCs w:val="22"/>
        </w:rPr>
      </w:pPr>
      <w:r w:rsidRPr="002908FC">
        <w:rPr>
          <w:rFonts w:ascii="Arial" w:hAnsi="Arial" w:cs="Arial"/>
          <w:sz w:val="22"/>
          <w:szCs w:val="22"/>
        </w:rPr>
        <w:t>Table 3.1: Population–Exposure–Outcome (PEO) Framework</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00"/>
        <w:gridCol w:w="2352"/>
        <w:gridCol w:w="1829"/>
        <w:gridCol w:w="2645"/>
      </w:tblGrid>
      <w:tr w:rsidR="002908FC" w:rsidRPr="002908FC" w14:paraId="122176CF" w14:textId="77777777" w:rsidTr="00486E52">
        <w:trPr>
          <w:tblHeader/>
          <w:tblCellSpacing w:w="15" w:type="dxa"/>
        </w:trPr>
        <w:tc>
          <w:tcPr>
            <w:tcW w:w="0" w:type="auto"/>
            <w:vAlign w:val="center"/>
            <w:hideMark/>
          </w:tcPr>
          <w:p w14:paraId="17B6CBFE" w14:textId="77777777" w:rsidR="002908FC" w:rsidRPr="002908FC" w:rsidRDefault="002908FC" w:rsidP="002908FC">
            <w:pPr>
              <w:spacing w:line="360" w:lineRule="auto"/>
              <w:jc w:val="both"/>
              <w:rPr>
                <w:rFonts w:ascii="Arial" w:hAnsi="Arial" w:cs="Arial"/>
                <w:b/>
                <w:bCs/>
                <w:sz w:val="22"/>
                <w:szCs w:val="22"/>
              </w:rPr>
            </w:pPr>
            <w:r w:rsidRPr="002908FC">
              <w:rPr>
                <w:rFonts w:ascii="Arial" w:hAnsi="Arial" w:cs="Arial"/>
                <w:b/>
                <w:bCs/>
                <w:sz w:val="22"/>
                <w:szCs w:val="22"/>
              </w:rPr>
              <w:t>Population / Problem</w:t>
            </w:r>
          </w:p>
        </w:tc>
        <w:tc>
          <w:tcPr>
            <w:tcW w:w="0" w:type="auto"/>
            <w:vAlign w:val="center"/>
            <w:hideMark/>
          </w:tcPr>
          <w:p w14:paraId="5ABC9F5F" w14:textId="77777777" w:rsidR="002908FC" w:rsidRPr="002908FC" w:rsidRDefault="002908FC" w:rsidP="002908FC">
            <w:pPr>
              <w:spacing w:line="360" w:lineRule="auto"/>
              <w:jc w:val="both"/>
              <w:rPr>
                <w:rFonts w:ascii="Arial" w:hAnsi="Arial" w:cs="Arial"/>
                <w:b/>
                <w:bCs/>
                <w:sz w:val="22"/>
                <w:szCs w:val="22"/>
              </w:rPr>
            </w:pPr>
            <w:r w:rsidRPr="002908FC">
              <w:rPr>
                <w:rFonts w:ascii="Arial" w:hAnsi="Arial" w:cs="Arial"/>
                <w:b/>
                <w:bCs/>
                <w:sz w:val="22"/>
                <w:szCs w:val="22"/>
              </w:rPr>
              <w:t>Exposure / Issue</w:t>
            </w:r>
          </w:p>
        </w:tc>
        <w:tc>
          <w:tcPr>
            <w:tcW w:w="0" w:type="auto"/>
            <w:vAlign w:val="center"/>
            <w:hideMark/>
          </w:tcPr>
          <w:p w14:paraId="113AE006" w14:textId="77777777" w:rsidR="002908FC" w:rsidRPr="002908FC" w:rsidRDefault="002908FC" w:rsidP="002908FC">
            <w:pPr>
              <w:spacing w:line="360" w:lineRule="auto"/>
              <w:jc w:val="both"/>
              <w:rPr>
                <w:rFonts w:ascii="Arial" w:hAnsi="Arial" w:cs="Arial"/>
                <w:b/>
                <w:bCs/>
                <w:sz w:val="22"/>
                <w:szCs w:val="22"/>
              </w:rPr>
            </w:pPr>
            <w:r w:rsidRPr="002908FC">
              <w:rPr>
                <w:rFonts w:ascii="Arial" w:hAnsi="Arial" w:cs="Arial"/>
                <w:b/>
                <w:bCs/>
                <w:sz w:val="22"/>
                <w:szCs w:val="22"/>
              </w:rPr>
              <w:t>Context</w:t>
            </w:r>
          </w:p>
        </w:tc>
        <w:tc>
          <w:tcPr>
            <w:tcW w:w="0" w:type="auto"/>
            <w:vAlign w:val="center"/>
            <w:hideMark/>
          </w:tcPr>
          <w:p w14:paraId="1AB0F7DC" w14:textId="77777777" w:rsidR="002908FC" w:rsidRPr="002908FC" w:rsidRDefault="002908FC" w:rsidP="002908FC">
            <w:pPr>
              <w:spacing w:line="360" w:lineRule="auto"/>
              <w:jc w:val="both"/>
              <w:rPr>
                <w:rFonts w:ascii="Arial" w:hAnsi="Arial" w:cs="Arial"/>
                <w:b/>
                <w:bCs/>
                <w:sz w:val="22"/>
                <w:szCs w:val="22"/>
              </w:rPr>
            </w:pPr>
            <w:r w:rsidRPr="002908FC">
              <w:rPr>
                <w:rFonts w:ascii="Arial" w:hAnsi="Arial" w:cs="Arial"/>
                <w:b/>
                <w:bCs/>
                <w:sz w:val="22"/>
                <w:szCs w:val="22"/>
              </w:rPr>
              <w:t>Outcome</w:t>
            </w:r>
          </w:p>
        </w:tc>
      </w:tr>
      <w:tr w:rsidR="002908FC" w:rsidRPr="002908FC" w14:paraId="1C4CC5D1" w14:textId="77777777" w:rsidTr="00486E52">
        <w:trPr>
          <w:tblCellSpacing w:w="15" w:type="dxa"/>
        </w:trPr>
        <w:tc>
          <w:tcPr>
            <w:tcW w:w="0" w:type="auto"/>
            <w:vAlign w:val="center"/>
            <w:hideMark/>
          </w:tcPr>
          <w:p w14:paraId="28D7AC68" w14:textId="77777777" w:rsidR="002908FC" w:rsidRPr="002908FC" w:rsidRDefault="002908FC" w:rsidP="002908FC">
            <w:pPr>
              <w:spacing w:line="360" w:lineRule="auto"/>
              <w:jc w:val="both"/>
              <w:rPr>
                <w:rFonts w:ascii="Arial" w:hAnsi="Arial" w:cs="Arial"/>
                <w:b/>
                <w:bCs/>
                <w:sz w:val="22"/>
                <w:szCs w:val="22"/>
              </w:rPr>
            </w:pPr>
            <w:r w:rsidRPr="002908FC">
              <w:rPr>
                <w:rFonts w:ascii="Arial" w:hAnsi="Arial" w:cs="Arial"/>
                <w:b/>
                <w:bCs/>
                <w:sz w:val="22"/>
                <w:szCs w:val="22"/>
              </w:rPr>
              <w:t>Adolescents, teenagers, youth, young people, young adults</w:t>
            </w:r>
          </w:p>
        </w:tc>
        <w:tc>
          <w:tcPr>
            <w:tcW w:w="0" w:type="auto"/>
            <w:vAlign w:val="center"/>
            <w:hideMark/>
          </w:tcPr>
          <w:p w14:paraId="74FDD703" w14:textId="77777777" w:rsidR="002908FC" w:rsidRPr="002908FC" w:rsidRDefault="002908FC" w:rsidP="002908FC">
            <w:pPr>
              <w:spacing w:line="360" w:lineRule="auto"/>
              <w:jc w:val="both"/>
              <w:rPr>
                <w:rFonts w:ascii="Arial" w:hAnsi="Arial" w:cs="Arial"/>
                <w:sz w:val="22"/>
                <w:szCs w:val="22"/>
              </w:rPr>
            </w:pPr>
            <w:r w:rsidRPr="002908FC">
              <w:rPr>
                <w:rFonts w:ascii="Arial" w:hAnsi="Arial" w:cs="Arial"/>
                <w:sz w:val="22"/>
                <w:szCs w:val="22"/>
              </w:rPr>
              <w:t>Barriers, obstacles, delays, waiting lists, structural constraints, stigma, referral thresholds</w:t>
            </w:r>
          </w:p>
        </w:tc>
        <w:tc>
          <w:tcPr>
            <w:tcW w:w="0" w:type="auto"/>
            <w:vAlign w:val="center"/>
            <w:hideMark/>
          </w:tcPr>
          <w:p w14:paraId="492E87FF" w14:textId="77777777" w:rsidR="002908FC" w:rsidRPr="002908FC" w:rsidRDefault="002908FC" w:rsidP="002908FC">
            <w:pPr>
              <w:spacing w:line="360" w:lineRule="auto"/>
              <w:jc w:val="both"/>
              <w:rPr>
                <w:rFonts w:ascii="Arial" w:hAnsi="Arial" w:cs="Arial"/>
                <w:sz w:val="22"/>
                <w:szCs w:val="22"/>
              </w:rPr>
            </w:pPr>
            <w:r w:rsidRPr="002908FC">
              <w:rPr>
                <w:rFonts w:ascii="Arial" w:hAnsi="Arial" w:cs="Arial"/>
                <w:sz w:val="22"/>
                <w:szCs w:val="22"/>
              </w:rPr>
              <w:t>United Kingdom, UK, England, Scotland, Wales, Northern Ireland</w:t>
            </w:r>
          </w:p>
        </w:tc>
        <w:tc>
          <w:tcPr>
            <w:tcW w:w="0" w:type="auto"/>
            <w:vAlign w:val="center"/>
            <w:hideMark/>
          </w:tcPr>
          <w:p w14:paraId="19242FDC" w14:textId="77777777" w:rsidR="002908FC" w:rsidRPr="002908FC" w:rsidRDefault="002908FC" w:rsidP="002908FC">
            <w:pPr>
              <w:spacing w:line="360" w:lineRule="auto"/>
              <w:jc w:val="both"/>
              <w:rPr>
                <w:rFonts w:ascii="Arial" w:hAnsi="Arial" w:cs="Arial"/>
                <w:sz w:val="22"/>
                <w:szCs w:val="22"/>
              </w:rPr>
            </w:pPr>
            <w:r w:rsidRPr="002908FC">
              <w:rPr>
                <w:rFonts w:ascii="Arial" w:hAnsi="Arial" w:cs="Arial"/>
                <w:sz w:val="22"/>
                <w:szCs w:val="22"/>
              </w:rPr>
              <w:t>Access to mental health services, CAMHS, service utilisation, engagement, help-seeking, referrals</w:t>
            </w:r>
          </w:p>
        </w:tc>
      </w:tr>
    </w:tbl>
    <w:p w14:paraId="484DB3EC" w14:textId="77777777" w:rsidR="002908FC" w:rsidRDefault="002908FC" w:rsidP="002908FC">
      <w:pPr>
        <w:spacing w:line="360" w:lineRule="auto"/>
        <w:jc w:val="both"/>
        <w:rPr>
          <w:rFonts w:ascii="Arial" w:hAnsi="Arial" w:cs="Arial"/>
          <w:b/>
          <w:bCs/>
          <w:sz w:val="22"/>
          <w:szCs w:val="22"/>
        </w:rPr>
      </w:pPr>
    </w:p>
    <w:p w14:paraId="477E879A" w14:textId="77777777" w:rsidR="003A1743" w:rsidRPr="003A1743" w:rsidRDefault="003A1743" w:rsidP="003A1743">
      <w:pPr>
        <w:spacing w:line="360" w:lineRule="auto"/>
        <w:jc w:val="both"/>
        <w:rPr>
          <w:rFonts w:ascii="Arial" w:hAnsi="Arial" w:cs="Arial"/>
          <w:sz w:val="22"/>
          <w:szCs w:val="22"/>
        </w:rPr>
      </w:pPr>
      <w:r w:rsidRPr="003A1743">
        <w:rPr>
          <w:rFonts w:ascii="Arial" w:hAnsi="Arial" w:cs="Arial"/>
          <w:i/>
          <w:iCs/>
          <w:sz w:val="22"/>
          <w:szCs w:val="22"/>
        </w:rPr>
        <w:t xml:space="preserve">Source: Author’s adaptation based on </w:t>
      </w:r>
      <w:r w:rsidRPr="00BA0291">
        <w:rPr>
          <w:rFonts w:ascii="Arial" w:hAnsi="Arial" w:cs="Arial"/>
          <w:sz w:val="22"/>
          <w:szCs w:val="22"/>
        </w:rPr>
        <w:t>Higgins et al. (2022).</w:t>
      </w:r>
    </w:p>
    <w:p w14:paraId="5C24F3B0" w14:textId="77777777" w:rsidR="003A1743" w:rsidRPr="003A1743" w:rsidRDefault="003A1743" w:rsidP="003A1743">
      <w:pPr>
        <w:spacing w:line="360" w:lineRule="auto"/>
        <w:jc w:val="both"/>
        <w:rPr>
          <w:rFonts w:ascii="Arial" w:hAnsi="Arial" w:cs="Arial"/>
          <w:sz w:val="22"/>
          <w:szCs w:val="22"/>
        </w:rPr>
      </w:pPr>
      <w:r w:rsidRPr="003A1743">
        <w:rPr>
          <w:rFonts w:ascii="Arial" w:hAnsi="Arial" w:cs="Arial"/>
          <w:sz w:val="22"/>
          <w:szCs w:val="22"/>
        </w:rPr>
        <w:t>Based on the PEO framework, the review question was formulated as:</w:t>
      </w:r>
    </w:p>
    <w:p w14:paraId="10A5917D" w14:textId="77777777" w:rsidR="003A1743" w:rsidRPr="003A1743" w:rsidRDefault="003A1743" w:rsidP="003A1743">
      <w:pPr>
        <w:spacing w:line="360" w:lineRule="auto"/>
        <w:jc w:val="both"/>
        <w:rPr>
          <w:rFonts w:ascii="Arial" w:hAnsi="Arial" w:cs="Arial"/>
          <w:sz w:val="22"/>
          <w:szCs w:val="22"/>
        </w:rPr>
      </w:pPr>
      <w:r w:rsidRPr="003A1743">
        <w:rPr>
          <w:rFonts w:ascii="Arial" w:hAnsi="Arial" w:cs="Arial"/>
          <w:b/>
          <w:bCs/>
          <w:sz w:val="22"/>
          <w:szCs w:val="22"/>
        </w:rPr>
        <w:t>What are the barriers affecting adolescent access to Child and Adolescent Mental Health Services (CAMHS) within the United Kingdom?</w:t>
      </w:r>
    </w:p>
    <w:p w14:paraId="1F58EFD4" w14:textId="77777777" w:rsidR="00280BCF" w:rsidRPr="00280BCF" w:rsidRDefault="00280BCF" w:rsidP="00280BCF">
      <w:pPr>
        <w:spacing w:line="360" w:lineRule="auto"/>
        <w:jc w:val="both"/>
        <w:rPr>
          <w:rFonts w:ascii="Arial" w:hAnsi="Arial" w:cs="Arial"/>
          <w:sz w:val="22"/>
          <w:szCs w:val="22"/>
        </w:rPr>
      </w:pPr>
      <w:r w:rsidRPr="00280BCF">
        <w:rPr>
          <w:rFonts w:ascii="Arial" w:hAnsi="Arial" w:cs="Arial"/>
          <w:sz w:val="22"/>
          <w:szCs w:val="22"/>
        </w:rPr>
        <w:t xml:space="preserve">To address this question, search terms were developed for each PEO component. Synonyms within each concept were combined using the Boolean operator OR, while the four concepts were linked using AND to ensure that retrieved studies addressed the Population, Exposure, Context and Outcome elements of the review question </w:t>
      </w:r>
      <w:r w:rsidRPr="00BA0291">
        <w:rPr>
          <w:rFonts w:ascii="Arial" w:hAnsi="Arial" w:cs="Arial"/>
          <w:sz w:val="22"/>
          <w:szCs w:val="22"/>
        </w:rPr>
        <w:t>(Page et al., 2021).</w:t>
      </w:r>
    </w:p>
    <w:p w14:paraId="78AA35DE" w14:textId="77777777" w:rsidR="00A45FA0" w:rsidRPr="00A45FA0" w:rsidRDefault="00A45FA0" w:rsidP="00A45FA0">
      <w:pPr>
        <w:spacing w:line="360" w:lineRule="auto"/>
        <w:jc w:val="both"/>
        <w:rPr>
          <w:rFonts w:ascii="Arial" w:hAnsi="Arial" w:cs="Arial"/>
          <w:b/>
          <w:bCs/>
          <w:sz w:val="22"/>
          <w:szCs w:val="22"/>
        </w:rPr>
      </w:pPr>
      <w:r w:rsidRPr="00A45FA0">
        <w:rPr>
          <w:rFonts w:ascii="Arial" w:hAnsi="Arial" w:cs="Arial"/>
          <w:b/>
          <w:bCs/>
          <w:sz w:val="22"/>
          <w:szCs w:val="22"/>
        </w:rPr>
        <w:t>Search 1 (Population)</w:t>
      </w:r>
    </w:p>
    <w:p w14:paraId="34E16BA0" w14:textId="77777777" w:rsidR="00A45FA0" w:rsidRPr="00A45FA0" w:rsidRDefault="00A45FA0" w:rsidP="00A45FA0">
      <w:pPr>
        <w:spacing w:line="360" w:lineRule="auto"/>
        <w:jc w:val="both"/>
        <w:rPr>
          <w:rFonts w:ascii="Arial" w:hAnsi="Arial" w:cs="Arial"/>
          <w:sz w:val="22"/>
          <w:szCs w:val="22"/>
        </w:rPr>
      </w:pPr>
      <w:r w:rsidRPr="00A45FA0">
        <w:rPr>
          <w:rFonts w:ascii="Arial" w:hAnsi="Arial" w:cs="Arial"/>
          <w:sz w:val="22"/>
          <w:szCs w:val="22"/>
        </w:rPr>
        <w:t>(Adolescent OR Teenager OR Youth OR "Young person" OR "Young people" OR "Young adult")</w:t>
      </w:r>
    </w:p>
    <w:p w14:paraId="46EABB35" w14:textId="77777777" w:rsidR="00A45FA0" w:rsidRPr="00A45FA0" w:rsidRDefault="00A45FA0" w:rsidP="00A45FA0">
      <w:pPr>
        <w:spacing w:line="360" w:lineRule="auto"/>
        <w:jc w:val="both"/>
        <w:rPr>
          <w:rFonts w:ascii="Arial" w:hAnsi="Arial" w:cs="Arial"/>
          <w:b/>
          <w:bCs/>
          <w:sz w:val="22"/>
          <w:szCs w:val="22"/>
        </w:rPr>
      </w:pPr>
      <w:r w:rsidRPr="00A45FA0">
        <w:rPr>
          <w:rFonts w:ascii="Arial" w:hAnsi="Arial" w:cs="Arial"/>
          <w:b/>
          <w:bCs/>
          <w:sz w:val="22"/>
          <w:szCs w:val="22"/>
        </w:rPr>
        <w:t>Search 2 (Exposure)</w:t>
      </w:r>
    </w:p>
    <w:p w14:paraId="361CB12D" w14:textId="1D582939" w:rsidR="00A45FA0" w:rsidRPr="00A45FA0" w:rsidRDefault="00A45FA0" w:rsidP="00A45FA0">
      <w:pPr>
        <w:spacing w:line="360" w:lineRule="auto"/>
        <w:jc w:val="both"/>
        <w:rPr>
          <w:rFonts w:ascii="Arial" w:hAnsi="Arial" w:cs="Arial"/>
          <w:sz w:val="22"/>
          <w:szCs w:val="22"/>
        </w:rPr>
      </w:pPr>
      <w:r w:rsidRPr="00A45FA0">
        <w:rPr>
          <w:rFonts w:ascii="Arial" w:hAnsi="Arial" w:cs="Arial"/>
          <w:sz w:val="22"/>
          <w:szCs w:val="22"/>
        </w:rPr>
        <w:t>(Barrier OR Obstacle OR Delay OR Stigma OR "Waiting list" OR Threshold OR Bottleneck OR "Structural constraint")</w:t>
      </w:r>
    </w:p>
    <w:p w14:paraId="05C5EBC9" w14:textId="77777777" w:rsidR="00A45FA0" w:rsidRPr="00A45FA0" w:rsidRDefault="00A45FA0" w:rsidP="00A45FA0">
      <w:pPr>
        <w:spacing w:line="360" w:lineRule="auto"/>
        <w:jc w:val="both"/>
        <w:rPr>
          <w:rFonts w:ascii="Arial" w:hAnsi="Arial" w:cs="Arial"/>
          <w:b/>
          <w:bCs/>
          <w:sz w:val="22"/>
          <w:szCs w:val="22"/>
        </w:rPr>
      </w:pPr>
      <w:r w:rsidRPr="00A45FA0">
        <w:rPr>
          <w:rFonts w:ascii="Arial" w:hAnsi="Arial" w:cs="Arial"/>
          <w:b/>
          <w:bCs/>
          <w:sz w:val="22"/>
          <w:szCs w:val="22"/>
        </w:rPr>
        <w:t>Search 3 (Context)</w:t>
      </w:r>
    </w:p>
    <w:p w14:paraId="14F328BB" w14:textId="77777777" w:rsidR="00A45FA0" w:rsidRDefault="00A45FA0" w:rsidP="00A45FA0">
      <w:pPr>
        <w:spacing w:line="360" w:lineRule="auto"/>
        <w:jc w:val="both"/>
        <w:rPr>
          <w:rFonts w:ascii="Arial" w:hAnsi="Arial" w:cs="Arial"/>
          <w:sz w:val="22"/>
          <w:szCs w:val="22"/>
        </w:rPr>
      </w:pPr>
      <w:r w:rsidRPr="00A45FA0">
        <w:rPr>
          <w:rFonts w:ascii="Arial" w:hAnsi="Arial" w:cs="Arial"/>
          <w:sz w:val="22"/>
          <w:szCs w:val="22"/>
        </w:rPr>
        <w:t>("United Kingdom" OR UK OR Britain OR England OR Scotland OR Wales OR "Northern Ireland")</w:t>
      </w:r>
    </w:p>
    <w:p w14:paraId="23C15ECA" w14:textId="77777777" w:rsidR="00AF390C" w:rsidRPr="00A45FA0" w:rsidRDefault="00AF390C" w:rsidP="00A45FA0">
      <w:pPr>
        <w:spacing w:line="360" w:lineRule="auto"/>
        <w:jc w:val="both"/>
        <w:rPr>
          <w:rFonts w:ascii="Arial" w:hAnsi="Arial" w:cs="Arial"/>
          <w:sz w:val="22"/>
          <w:szCs w:val="22"/>
        </w:rPr>
      </w:pPr>
    </w:p>
    <w:p w14:paraId="4F6E55F0" w14:textId="7CEAB2A9" w:rsidR="00A45FA0" w:rsidRPr="00A45FA0" w:rsidRDefault="00A45FA0" w:rsidP="00A45FA0">
      <w:pPr>
        <w:spacing w:line="360" w:lineRule="auto"/>
        <w:jc w:val="both"/>
        <w:rPr>
          <w:rFonts w:ascii="Arial" w:hAnsi="Arial" w:cs="Arial"/>
          <w:b/>
          <w:bCs/>
          <w:sz w:val="22"/>
          <w:szCs w:val="22"/>
        </w:rPr>
      </w:pPr>
      <w:r w:rsidRPr="00A45FA0">
        <w:rPr>
          <w:rFonts w:ascii="Arial" w:hAnsi="Arial" w:cs="Arial"/>
          <w:b/>
          <w:bCs/>
          <w:sz w:val="22"/>
          <w:szCs w:val="22"/>
        </w:rPr>
        <w:lastRenderedPageBreak/>
        <w:t>Search 4 (</w:t>
      </w:r>
      <w:r w:rsidR="00C63544">
        <w:rPr>
          <w:rFonts w:ascii="Arial" w:hAnsi="Arial" w:cs="Arial"/>
          <w:b/>
          <w:bCs/>
          <w:sz w:val="22"/>
          <w:szCs w:val="22"/>
        </w:rPr>
        <w:t>outcome</w:t>
      </w:r>
      <w:r w:rsidRPr="00A45FA0">
        <w:rPr>
          <w:rFonts w:ascii="Arial" w:hAnsi="Arial" w:cs="Arial"/>
          <w:b/>
          <w:bCs/>
          <w:sz w:val="22"/>
          <w:szCs w:val="22"/>
        </w:rPr>
        <w:t>)</w:t>
      </w:r>
    </w:p>
    <w:p w14:paraId="56E3C761" w14:textId="1ECCDE1C" w:rsidR="00A45FA0" w:rsidRDefault="00A45FA0" w:rsidP="00A45FA0">
      <w:pPr>
        <w:spacing w:line="360" w:lineRule="auto"/>
        <w:jc w:val="both"/>
        <w:rPr>
          <w:rFonts w:ascii="Arial" w:hAnsi="Arial" w:cs="Arial"/>
          <w:sz w:val="22"/>
          <w:szCs w:val="22"/>
        </w:rPr>
      </w:pPr>
      <w:r w:rsidRPr="00A45FA0">
        <w:rPr>
          <w:rFonts w:ascii="Arial" w:hAnsi="Arial" w:cs="Arial"/>
          <w:sz w:val="22"/>
          <w:szCs w:val="22"/>
        </w:rPr>
        <w:t>("Mental health service" OR CAMHS OR "Mental health care" OR "Mental health support" OR Access OR Utilisation OR Engagement OR "Help-seeking" OR Referral)</w:t>
      </w:r>
    </w:p>
    <w:p w14:paraId="122489F3" w14:textId="77777777" w:rsidR="00904D18" w:rsidRPr="00A45FA0" w:rsidRDefault="00904D18" w:rsidP="00A45FA0">
      <w:pPr>
        <w:spacing w:line="360" w:lineRule="auto"/>
        <w:jc w:val="both"/>
        <w:rPr>
          <w:rFonts w:ascii="Arial" w:hAnsi="Arial" w:cs="Arial"/>
          <w:sz w:val="22"/>
          <w:szCs w:val="22"/>
        </w:rPr>
      </w:pPr>
    </w:p>
    <w:p w14:paraId="7714AE1F" w14:textId="77777777" w:rsidR="003A1743" w:rsidRPr="003A1743" w:rsidRDefault="003A1743" w:rsidP="003A1743">
      <w:pPr>
        <w:spacing w:line="360" w:lineRule="auto"/>
        <w:jc w:val="both"/>
        <w:rPr>
          <w:rFonts w:ascii="Arial" w:hAnsi="Arial" w:cs="Arial"/>
          <w:sz w:val="22"/>
          <w:szCs w:val="22"/>
        </w:rPr>
      </w:pPr>
      <w:r w:rsidRPr="003A1743">
        <w:rPr>
          <w:rFonts w:ascii="Arial" w:hAnsi="Arial" w:cs="Arial"/>
          <w:sz w:val="22"/>
          <w:szCs w:val="22"/>
        </w:rPr>
        <w:t>The final search strategy combined the four search concepts as follows:</w:t>
      </w:r>
    </w:p>
    <w:p w14:paraId="6F68C894" w14:textId="77777777" w:rsidR="003A1743" w:rsidRPr="003A1743" w:rsidRDefault="003A1743" w:rsidP="003A1743">
      <w:pPr>
        <w:spacing w:line="360" w:lineRule="auto"/>
        <w:jc w:val="both"/>
        <w:rPr>
          <w:rFonts w:ascii="Arial" w:hAnsi="Arial" w:cs="Arial"/>
          <w:sz w:val="22"/>
          <w:szCs w:val="22"/>
        </w:rPr>
      </w:pPr>
      <w:r w:rsidRPr="003A1743">
        <w:rPr>
          <w:rFonts w:ascii="Arial" w:hAnsi="Arial" w:cs="Arial"/>
          <w:b/>
          <w:bCs/>
          <w:sz w:val="22"/>
          <w:szCs w:val="22"/>
        </w:rPr>
        <w:t>Search 1 (Population)</w:t>
      </w:r>
      <w:r w:rsidRPr="003A1743">
        <w:rPr>
          <w:rFonts w:ascii="Arial" w:hAnsi="Arial" w:cs="Arial"/>
          <w:sz w:val="22"/>
          <w:szCs w:val="22"/>
        </w:rPr>
        <w:t xml:space="preserve"> AND </w:t>
      </w:r>
      <w:r w:rsidRPr="003A1743">
        <w:rPr>
          <w:rFonts w:ascii="Arial" w:hAnsi="Arial" w:cs="Arial"/>
          <w:b/>
          <w:bCs/>
          <w:sz w:val="22"/>
          <w:szCs w:val="22"/>
        </w:rPr>
        <w:t>Search 2 (Exposure)</w:t>
      </w:r>
      <w:r w:rsidRPr="003A1743">
        <w:rPr>
          <w:rFonts w:ascii="Arial" w:hAnsi="Arial" w:cs="Arial"/>
          <w:sz w:val="22"/>
          <w:szCs w:val="22"/>
        </w:rPr>
        <w:t xml:space="preserve"> AND </w:t>
      </w:r>
      <w:r w:rsidRPr="003A1743">
        <w:rPr>
          <w:rFonts w:ascii="Arial" w:hAnsi="Arial" w:cs="Arial"/>
          <w:b/>
          <w:bCs/>
          <w:sz w:val="22"/>
          <w:szCs w:val="22"/>
        </w:rPr>
        <w:t>Search 3 (Context)</w:t>
      </w:r>
      <w:r w:rsidRPr="003A1743">
        <w:rPr>
          <w:rFonts w:ascii="Arial" w:hAnsi="Arial" w:cs="Arial"/>
          <w:sz w:val="22"/>
          <w:szCs w:val="22"/>
        </w:rPr>
        <w:t xml:space="preserve"> AND </w:t>
      </w:r>
      <w:r w:rsidRPr="003A1743">
        <w:rPr>
          <w:rFonts w:ascii="Arial" w:hAnsi="Arial" w:cs="Arial"/>
          <w:b/>
          <w:bCs/>
          <w:sz w:val="22"/>
          <w:szCs w:val="22"/>
        </w:rPr>
        <w:t>Search 4 (Outcome)</w:t>
      </w:r>
    </w:p>
    <w:p w14:paraId="532F14FD" w14:textId="71C8F85D" w:rsidR="00B84E8C" w:rsidRPr="003A1743" w:rsidRDefault="003A1743" w:rsidP="002908FC">
      <w:pPr>
        <w:spacing w:line="360" w:lineRule="auto"/>
        <w:jc w:val="both"/>
        <w:rPr>
          <w:rFonts w:ascii="Arial" w:hAnsi="Arial" w:cs="Arial"/>
          <w:sz w:val="22"/>
          <w:szCs w:val="22"/>
        </w:rPr>
      </w:pPr>
      <w:r w:rsidRPr="003A1743">
        <w:rPr>
          <w:rFonts w:ascii="Arial" w:hAnsi="Arial" w:cs="Arial"/>
          <w:sz w:val="22"/>
          <w:szCs w:val="22"/>
        </w:rPr>
        <w:t xml:space="preserve">This structured approach maximised search sensitivity while maintaining specificity by grouping synonyms with </w:t>
      </w:r>
      <w:r w:rsidRPr="003A1743">
        <w:rPr>
          <w:rFonts w:ascii="Arial" w:hAnsi="Arial" w:cs="Arial"/>
          <w:b/>
          <w:bCs/>
          <w:sz w:val="22"/>
          <w:szCs w:val="22"/>
        </w:rPr>
        <w:t>OR</w:t>
      </w:r>
      <w:r w:rsidRPr="003A1743">
        <w:rPr>
          <w:rFonts w:ascii="Arial" w:hAnsi="Arial" w:cs="Arial"/>
          <w:sz w:val="22"/>
          <w:szCs w:val="22"/>
        </w:rPr>
        <w:t xml:space="preserve"> and linking the four PEO concepts with </w:t>
      </w:r>
      <w:r w:rsidRPr="003A1743">
        <w:rPr>
          <w:rFonts w:ascii="Arial" w:hAnsi="Arial" w:cs="Arial"/>
          <w:b/>
          <w:bCs/>
          <w:sz w:val="22"/>
          <w:szCs w:val="22"/>
        </w:rPr>
        <w:t>AND</w:t>
      </w:r>
      <w:r w:rsidRPr="003A1743">
        <w:rPr>
          <w:rFonts w:ascii="Arial" w:hAnsi="Arial" w:cs="Arial"/>
          <w:sz w:val="22"/>
          <w:szCs w:val="22"/>
        </w:rPr>
        <w:t>. Consequently, only studies directly relevant to barriers affecting adolescent access to mental health services in the United Kingdom were retrieved, enhancing the transparency, reproducibility and comprehensiveness of the review (Booth et al., 2016; Higgins et al., 2022).</w:t>
      </w:r>
    </w:p>
    <w:p w14:paraId="10A9B7C2" w14:textId="77777777" w:rsidR="002908FC" w:rsidRPr="002908FC" w:rsidRDefault="002908FC" w:rsidP="007B6797">
      <w:pPr>
        <w:pStyle w:val="Heading2"/>
      </w:pPr>
      <w:bookmarkStart w:id="23" w:name="_Toc233828691"/>
      <w:r w:rsidRPr="002908FC">
        <w:t>3.5 Key Words</w:t>
      </w:r>
      <w:bookmarkEnd w:id="23"/>
    </w:p>
    <w:p w14:paraId="59FB53C2" w14:textId="77777777" w:rsidR="002908FC" w:rsidRPr="002908FC" w:rsidRDefault="002908FC" w:rsidP="002908FC">
      <w:pPr>
        <w:spacing w:line="360" w:lineRule="auto"/>
        <w:jc w:val="both"/>
        <w:rPr>
          <w:rFonts w:ascii="Arial" w:hAnsi="Arial" w:cs="Arial"/>
          <w:b/>
          <w:bCs/>
          <w:sz w:val="22"/>
          <w:szCs w:val="22"/>
        </w:rPr>
      </w:pPr>
      <w:r w:rsidRPr="002908FC">
        <w:rPr>
          <w:rFonts w:ascii="Arial" w:hAnsi="Arial" w:cs="Arial"/>
          <w:sz w:val="22"/>
          <w:szCs w:val="22"/>
        </w:rPr>
        <w:t>Keywords are the principal terms used to represent the core concepts of a research topic and facilitate the retrieval of relevant literature from electronic databases (Higgins et al., 2022). The use of appropriate keywords improves search sensitivity and precision by identifying studies relevant to the research question (Page et al., 2021). The main keywords used were adolescent, mental health services, barriers, access and United Kingdom.</w:t>
      </w:r>
    </w:p>
    <w:p w14:paraId="03E4FE1B" w14:textId="77777777" w:rsidR="00F53B07" w:rsidRPr="00F53B07" w:rsidRDefault="00F53B07" w:rsidP="007B6797">
      <w:pPr>
        <w:pStyle w:val="Heading2"/>
      </w:pPr>
      <w:bookmarkStart w:id="24" w:name="_Toc233828692"/>
      <w:r w:rsidRPr="00F53B07">
        <w:t>3.6 Databases</w:t>
      </w:r>
      <w:bookmarkEnd w:id="24"/>
    </w:p>
    <w:p w14:paraId="02F50391" w14:textId="77777777" w:rsidR="00F53B07" w:rsidRPr="00F53B07" w:rsidRDefault="00F53B07" w:rsidP="00F53B07">
      <w:pPr>
        <w:spacing w:line="360" w:lineRule="auto"/>
        <w:jc w:val="both"/>
        <w:rPr>
          <w:rFonts w:ascii="Arial" w:hAnsi="Arial" w:cs="Arial"/>
          <w:sz w:val="22"/>
          <w:szCs w:val="22"/>
        </w:rPr>
      </w:pPr>
      <w:r w:rsidRPr="00F53B07">
        <w:rPr>
          <w:rFonts w:ascii="Arial" w:hAnsi="Arial" w:cs="Arial"/>
          <w:sz w:val="22"/>
          <w:szCs w:val="22"/>
        </w:rPr>
        <w:t>Electronic databases are fundamental to evidence-based research because they provide access to peer-reviewed, high-quality academic literature (Higgins et al., 2022). In systematic literature reviews, searching multiple databases is essential because no single database comprehensively indexes all relevant public health, healthcare and social care research. Consequently, relying on a single database may introduce selection bias and overlook relevant studies (Gough et al., 2017).</w:t>
      </w:r>
    </w:p>
    <w:p w14:paraId="0C96762B" w14:textId="77777777" w:rsidR="00F53B07" w:rsidRPr="00F53B07" w:rsidRDefault="00F53B07" w:rsidP="00F53B07">
      <w:pPr>
        <w:spacing w:line="360" w:lineRule="auto"/>
        <w:jc w:val="both"/>
        <w:rPr>
          <w:rFonts w:ascii="Arial" w:hAnsi="Arial" w:cs="Arial"/>
          <w:sz w:val="22"/>
          <w:szCs w:val="22"/>
        </w:rPr>
      </w:pPr>
      <w:r w:rsidRPr="00F53B07">
        <w:rPr>
          <w:rFonts w:ascii="Arial" w:hAnsi="Arial" w:cs="Arial"/>
          <w:sz w:val="22"/>
          <w:szCs w:val="22"/>
        </w:rPr>
        <w:t xml:space="preserve">To ensure a comprehensive search, six electronic databases were used: MEDLINE, PsycINFO, CINAHL, Scopus, Web of Science and the Cochrane Library. These databases were selected because they provide broad coverage of medicine, psychology, nursing, public health and multidisciplinary healthcare research (Bettany-Saltikov and McSherry, 2025). In addition, grey literature sources, including NICE, the Office for Health Improvement and Disparities (OHID) and NHS England, were searched to reduce publication bias and identify </w:t>
      </w:r>
      <w:r w:rsidRPr="00F53B07">
        <w:rPr>
          <w:rFonts w:ascii="Arial" w:hAnsi="Arial" w:cs="Arial"/>
          <w:sz w:val="22"/>
          <w:szCs w:val="22"/>
        </w:rPr>
        <w:lastRenderedPageBreak/>
        <w:t>relevant policy and service evaluation reports (Paez, 2017). Collectively, these sources enhanced the methodological rigour and comprehensiveness of the review.</w:t>
      </w:r>
    </w:p>
    <w:p w14:paraId="17C2C343" w14:textId="77777777" w:rsidR="002908FC" w:rsidRPr="002908FC" w:rsidRDefault="002908FC" w:rsidP="007B6797">
      <w:pPr>
        <w:pStyle w:val="Heading2"/>
      </w:pPr>
      <w:bookmarkStart w:id="25" w:name="_Toc233828693"/>
      <w:r w:rsidRPr="002908FC">
        <w:t>3.7 Inclusion and Exclusion Criteria</w:t>
      </w:r>
      <w:bookmarkEnd w:id="25"/>
    </w:p>
    <w:p w14:paraId="68CC0183" w14:textId="77777777" w:rsidR="007150C1" w:rsidRDefault="002908FC" w:rsidP="002908FC">
      <w:pPr>
        <w:spacing w:line="360" w:lineRule="auto"/>
        <w:jc w:val="both"/>
        <w:rPr>
          <w:rFonts w:ascii="Arial" w:hAnsi="Arial" w:cs="Arial"/>
          <w:sz w:val="22"/>
          <w:szCs w:val="22"/>
        </w:rPr>
      </w:pPr>
      <w:r w:rsidRPr="002908FC">
        <w:rPr>
          <w:rFonts w:ascii="Arial" w:hAnsi="Arial" w:cs="Arial"/>
          <w:sz w:val="22"/>
          <w:szCs w:val="22"/>
        </w:rPr>
        <w:t xml:space="preserve">Inclusion and exclusion criteria are predefined eligibility parameters used to determine which studies are selected or excluded during the screening process (Higgins et al., 2022). Their primary purpose is to ensure consistency, transparency and methodological rigour while minimising selection bias and subjective decision-making (Bettany-Saltikov and McSherry, 2025). </w:t>
      </w:r>
    </w:p>
    <w:p w14:paraId="44C5E069" w14:textId="5141EA72" w:rsidR="002908FC" w:rsidRPr="002908FC" w:rsidRDefault="002908FC" w:rsidP="002908FC">
      <w:pPr>
        <w:spacing w:line="360" w:lineRule="auto"/>
        <w:jc w:val="both"/>
        <w:rPr>
          <w:rFonts w:ascii="Arial" w:hAnsi="Arial" w:cs="Arial"/>
          <w:sz w:val="22"/>
          <w:szCs w:val="22"/>
        </w:rPr>
      </w:pPr>
      <w:r w:rsidRPr="002908FC">
        <w:rPr>
          <w:rFonts w:ascii="Arial" w:hAnsi="Arial" w:cs="Arial"/>
          <w:sz w:val="22"/>
          <w:szCs w:val="22"/>
        </w:rPr>
        <w:t>Applying clearly defined eligibility criteria ensures that only studies directly relevant to the research question are included within the final evidence synthesis, thereby enhancing the validity and reliability of the review (Page et al., 2021). Furthermore, transparent eligibility criteria improve the reproducibility of systematic reviews by providing a structured framework that can be replicated by future researchers (Gough et al., 2017).</w:t>
      </w:r>
    </w:p>
    <w:p w14:paraId="763F06D7" w14:textId="77777777" w:rsidR="002908FC" w:rsidRPr="002908FC" w:rsidRDefault="002908FC" w:rsidP="007B6797">
      <w:pPr>
        <w:pStyle w:val="Heading2"/>
      </w:pPr>
      <w:bookmarkStart w:id="26" w:name="_Toc233828694"/>
      <w:r w:rsidRPr="002908FC">
        <w:t>Table 3.2: Inclusion and Exclusion Criteria</w:t>
      </w:r>
      <w:bookmarkEnd w:id="26"/>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746"/>
        <w:gridCol w:w="4280"/>
      </w:tblGrid>
      <w:tr w:rsidR="002908FC" w:rsidRPr="002908FC" w14:paraId="4A5E4717" w14:textId="77777777" w:rsidTr="00486E52">
        <w:trPr>
          <w:tblHeader/>
          <w:tblCellSpacing w:w="15" w:type="dxa"/>
        </w:trPr>
        <w:tc>
          <w:tcPr>
            <w:tcW w:w="0" w:type="auto"/>
            <w:vAlign w:val="center"/>
            <w:hideMark/>
          </w:tcPr>
          <w:p w14:paraId="6AF6591E" w14:textId="77777777" w:rsidR="002908FC" w:rsidRPr="002908FC" w:rsidRDefault="002908FC" w:rsidP="002908FC">
            <w:pPr>
              <w:spacing w:line="360" w:lineRule="auto"/>
              <w:jc w:val="both"/>
              <w:rPr>
                <w:rFonts w:ascii="Arial" w:hAnsi="Arial" w:cs="Arial"/>
                <w:b/>
                <w:bCs/>
                <w:sz w:val="22"/>
                <w:szCs w:val="22"/>
              </w:rPr>
            </w:pPr>
            <w:r w:rsidRPr="002908FC">
              <w:rPr>
                <w:rFonts w:ascii="Arial" w:hAnsi="Arial" w:cs="Arial"/>
                <w:b/>
                <w:bCs/>
                <w:sz w:val="22"/>
                <w:szCs w:val="22"/>
              </w:rPr>
              <w:t>Inclusion Criteria</w:t>
            </w:r>
          </w:p>
        </w:tc>
        <w:tc>
          <w:tcPr>
            <w:tcW w:w="0" w:type="auto"/>
            <w:vAlign w:val="center"/>
            <w:hideMark/>
          </w:tcPr>
          <w:p w14:paraId="07C5CD36" w14:textId="77777777" w:rsidR="002908FC" w:rsidRPr="002908FC" w:rsidRDefault="002908FC" w:rsidP="002908FC">
            <w:pPr>
              <w:spacing w:line="360" w:lineRule="auto"/>
              <w:jc w:val="both"/>
              <w:rPr>
                <w:rFonts w:ascii="Arial" w:hAnsi="Arial" w:cs="Arial"/>
                <w:b/>
                <w:bCs/>
                <w:sz w:val="22"/>
                <w:szCs w:val="22"/>
              </w:rPr>
            </w:pPr>
            <w:r w:rsidRPr="002908FC">
              <w:rPr>
                <w:rFonts w:ascii="Arial" w:hAnsi="Arial" w:cs="Arial"/>
                <w:b/>
                <w:bCs/>
                <w:sz w:val="22"/>
                <w:szCs w:val="22"/>
              </w:rPr>
              <w:t>Exclusion Criteria</w:t>
            </w:r>
          </w:p>
        </w:tc>
      </w:tr>
      <w:tr w:rsidR="002908FC" w:rsidRPr="002908FC" w14:paraId="32EBD82E" w14:textId="77777777" w:rsidTr="00486E52">
        <w:trPr>
          <w:tblCellSpacing w:w="15" w:type="dxa"/>
        </w:trPr>
        <w:tc>
          <w:tcPr>
            <w:tcW w:w="0" w:type="auto"/>
            <w:vAlign w:val="center"/>
            <w:hideMark/>
          </w:tcPr>
          <w:p w14:paraId="1DDA1938"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Studies conducted within the United Kingdom</w:t>
            </w:r>
          </w:p>
        </w:tc>
        <w:tc>
          <w:tcPr>
            <w:tcW w:w="0" w:type="auto"/>
            <w:vAlign w:val="center"/>
            <w:hideMark/>
          </w:tcPr>
          <w:p w14:paraId="53064758"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Studies conducted outside the United Kingdom</w:t>
            </w:r>
          </w:p>
        </w:tc>
      </w:tr>
      <w:tr w:rsidR="002908FC" w:rsidRPr="002908FC" w14:paraId="421134C5" w14:textId="77777777" w:rsidTr="00486E52">
        <w:trPr>
          <w:tblCellSpacing w:w="15" w:type="dxa"/>
        </w:trPr>
        <w:tc>
          <w:tcPr>
            <w:tcW w:w="0" w:type="auto"/>
            <w:vAlign w:val="center"/>
            <w:hideMark/>
          </w:tcPr>
          <w:p w14:paraId="1CD1350E"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Adolescents aged 10–19 years</w:t>
            </w:r>
          </w:p>
        </w:tc>
        <w:tc>
          <w:tcPr>
            <w:tcW w:w="0" w:type="auto"/>
            <w:vAlign w:val="center"/>
            <w:hideMark/>
          </w:tcPr>
          <w:p w14:paraId="20ED137C"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Children under 10 years or adults over 19 years</w:t>
            </w:r>
          </w:p>
        </w:tc>
      </w:tr>
      <w:tr w:rsidR="002908FC" w:rsidRPr="002908FC" w14:paraId="67F3C769" w14:textId="77777777" w:rsidTr="00486E52">
        <w:trPr>
          <w:tblCellSpacing w:w="15" w:type="dxa"/>
        </w:trPr>
        <w:tc>
          <w:tcPr>
            <w:tcW w:w="0" w:type="auto"/>
            <w:vAlign w:val="center"/>
            <w:hideMark/>
          </w:tcPr>
          <w:p w14:paraId="2922304D"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Peer</w:t>
            </w:r>
            <w:r w:rsidRPr="00793088">
              <w:rPr>
                <w:rFonts w:ascii="Arial" w:hAnsi="Arial" w:cs="Arial"/>
                <w:sz w:val="22"/>
                <w:szCs w:val="22"/>
              </w:rPr>
              <w:noBreakHyphen/>
              <w:t>reviewed primary research and high</w:t>
            </w:r>
            <w:r w:rsidRPr="00793088">
              <w:rPr>
                <w:rFonts w:ascii="Arial" w:hAnsi="Arial" w:cs="Arial"/>
                <w:sz w:val="22"/>
                <w:szCs w:val="22"/>
              </w:rPr>
              <w:noBreakHyphen/>
              <w:t>quality grey literature from reputable UK organisations</w:t>
            </w:r>
          </w:p>
        </w:tc>
        <w:tc>
          <w:tcPr>
            <w:tcW w:w="0" w:type="auto"/>
            <w:vAlign w:val="center"/>
            <w:hideMark/>
          </w:tcPr>
          <w:p w14:paraId="1FA3BF6F"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Editorials, opinion papers, commentaries, conference abstracts and unpublished studies</w:t>
            </w:r>
          </w:p>
        </w:tc>
      </w:tr>
      <w:tr w:rsidR="002908FC" w:rsidRPr="002908FC" w14:paraId="36681725" w14:textId="77777777" w:rsidTr="00486E52">
        <w:trPr>
          <w:tblCellSpacing w:w="15" w:type="dxa"/>
        </w:trPr>
        <w:tc>
          <w:tcPr>
            <w:tcW w:w="0" w:type="auto"/>
            <w:vAlign w:val="center"/>
            <w:hideMark/>
          </w:tcPr>
          <w:p w14:paraId="0E35E8EE"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Qualitative, quantitative or mixed</w:t>
            </w:r>
            <w:r w:rsidRPr="00793088">
              <w:rPr>
                <w:rFonts w:ascii="Arial" w:hAnsi="Arial" w:cs="Arial"/>
                <w:sz w:val="22"/>
                <w:szCs w:val="22"/>
              </w:rPr>
              <w:noBreakHyphen/>
              <w:t>methods studies</w:t>
            </w:r>
          </w:p>
        </w:tc>
        <w:tc>
          <w:tcPr>
            <w:tcW w:w="0" w:type="auto"/>
            <w:vAlign w:val="center"/>
            <w:hideMark/>
          </w:tcPr>
          <w:p w14:paraId="4535A783"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Studies examining treatment effectiveness only</w:t>
            </w:r>
          </w:p>
        </w:tc>
      </w:tr>
      <w:tr w:rsidR="002908FC" w:rsidRPr="002908FC" w14:paraId="78160262" w14:textId="77777777" w:rsidTr="00486E52">
        <w:trPr>
          <w:tblCellSpacing w:w="15" w:type="dxa"/>
        </w:trPr>
        <w:tc>
          <w:tcPr>
            <w:tcW w:w="0" w:type="auto"/>
            <w:vAlign w:val="center"/>
            <w:hideMark/>
          </w:tcPr>
          <w:p w14:paraId="524CB604" w14:textId="146E803C"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Published between 2010 and 202</w:t>
            </w:r>
            <w:r w:rsidR="00AD7E03">
              <w:rPr>
                <w:rFonts w:ascii="Arial" w:hAnsi="Arial" w:cs="Arial"/>
                <w:sz w:val="22"/>
                <w:szCs w:val="22"/>
              </w:rPr>
              <w:t>6</w:t>
            </w:r>
          </w:p>
        </w:tc>
        <w:tc>
          <w:tcPr>
            <w:tcW w:w="0" w:type="auto"/>
            <w:vAlign w:val="center"/>
            <w:hideMark/>
          </w:tcPr>
          <w:p w14:paraId="63EF8D8B"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Studies published before 2010</w:t>
            </w:r>
          </w:p>
        </w:tc>
      </w:tr>
      <w:tr w:rsidR="002908FC" w:rsidRPr="002908FC" w14:paraId="25D7E96D" w14:textId="77777777" w:rsidTr="00486E52">
        <w:trPr>
          <w:tblCellSpacing w:w="15" w:type="dxa"/>
        </w:trPr>
        <w:tc>
          <w:tcPr>
            <w:tcW w:w="0" w:type="auto"/>
            <w:vAlign w:val="center"/>
            <w:hideMark/>
          </w:tcPr>
          <w:p w14:paraId="7F665139"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English</w:t>
            </w:r>
            <w:r w:rsidRPr="00793088">
              <w:rPr>
                <w:rFonts w:ascii="Arial" w:hAnsi="Arial" w:cs="Arial"/>
                <w:sz w:val="22"/>
                <w:szCs w:val="22"/>
              </w:rPr>
              <w:noBreakHyphen/>
              <w:t>language publications</w:t>
            </w:r>
          </w:p>
        </w:tc>
        <w:tc>
          <w:tcPr>
            <w:tcW w:w="0" w:type="auto"/>
            <w:vAlign w:val="center"/>
            <w:hideMark/>
          </w:tcPr>
          <w:p w14:paraId="13470001"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Non</w:t>
            </w:r>
            <w:r w:rsidRPr="00793088">
              <w:rPr>
                <w:rFonts w:ascii="Arial" w:hAnsi="Arial" w:cs="Arial"/>
                <w:sz w:val="22"/>
                <w:szCs w:val="22"/>
              </w:rPr>
              <w:noBreakHyphen/>
              <w:t>English publications</w:t>
            </w:r>
          </w:p>
        </w:tc>
      </w:tr>
      <w:tr w:rsidR="002908FC" w:rsidRPr="00793088" w14:paraId="03CA9EFB" w14:textId="77777777" w:rsidTr="00486E52">
        <w:trPr>
          <w:tblCellSpacing w:w="15" w:type="dxa"/>
        </w:trPr>
        <w:tc>
          <w:tcPr>
            <w:tcW w:w="0" w:type="auto"/>
            <w:vAlign w:val="center"/>
            <w:hideMark/>
          </w:tcPr>
          <w:p w14:paraId="6722C3E0"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Studies examining barriers affecting access to mental health services</w:t>
            </w:r>
          </w:p>
        </w:tc>
        <w:tc>
          <w:tcPr>
            <w:tcW w:w="0" w:type="auto"/>
            <w:vAlign w:val="center"/>
            <w:hideMark/>
          </w:tcPr>
          <w:p w14:paraId="3BC15AF1" w14:textId="77777777" w:rsidR="002908FC" w:rsidRPr="00793088" w:rsidRDefault="002908FC" w:rsidP="002908FC">
            <w:pPr>
              <w:spacing w:line="360" w:lineRule="auto"/>
              <w:jc w:val="both"/>
              <w:rPr>
                <w:rFonts w:ascii="Arial" w:hAnsi="Arial" w:cs="Arial"/>
                <w:sz w:val="22"/>
                <w:szCs w:val="22"/>
              </w:rPr>
            </w:pPr>
            <w:r w:rsidRPr="00793088">
              <w:rPr>
                <w:rFonts w:ascii="Arial" w:hAnsi="Arial" w:cs="Arial"/>
                <w:sz w:val="22"/>
                <w:szCs w:val="22"/>
              </w:rPr>
              <w:t>Studies unrelated to adolescent mental health service access barriers</w:t>
            </w:r>
          </w:p>
        </w:tc>
      </w:tr>
    </w:tbl>
    <w:p w14:paraId="10965525" w14:textId="77777777" w:rsidR="009B1E24" w:rsidRDefault="009B1E24" w:rsidP="002908FC">
      <w:pPr>
        <w:spacing w:line="360" w:lineRule="auto"/>
        <w:jc w:val="both"/>
        <w:rPr>
          <w:rFonts w:ascii="Arial" w:hAnsi="Arial" w:cs="Arial"/>
          <w:b/>
          <w:bCs/>
          <w:sz w:val="22"/>
          <w:szCs w:val="22"/>
        </w:rPr>
      </w:pPr>
    </w:p>
    <w:p w14:paraId="40751E5E" w14:textId="5FB3D244" w:rsidR="002908FC" w:rsidRPr="002908FC" w:rsidRDefault="002908FC" w:rsidP="007B6797">
      <w:pPr>
        <w:pStyle w:val="Heading2"/>
      </w:pPr>
      <w:bookmarkStart w:id="27" w:name="_Toc233828695"/>
      <w:r w:rsidRPr="002908FC">
        <w:lastRenderedPageBreak/>
        <w:t>3.7.1 Inclusion Criteria</w:t>
      </w:r>
      <w:bookmarkEnd w:id="27"/>
    </w:p>
    <w:p w14:paraId="10EE7D8B" w14:textId="24652F64" w:rsidR="002908FC" w:rsidRDefault="002908FC" w:rsidP="002908FC">
      <w:pPr>
        <w:spacing w:line="360" w:lineRule="auto"/>
        <w:jc w:val="both"/>
        <w:rPr>
          <w:rFonts w:ascii="Arial" w:hAnsi="Arial" w:cs="Arial"/>
          <w:sz w:val="22"/>
          <w:szCs w:val="22"/>
        </w:rPr>
      </w:pPr>
      <w:r w:rsidRPr="002908FC">
        <w:rPr>
          <w:rFonts w:ascii="Arial" w:hAnsi="Arial" w:cs="Arial"/>
          <w:sz w:val="22"/>
          <w:szCs w:val="22"/>
        </w:rPr>
        <w:t>Studies were included if they focused on adolescents aged 10–19 years experiencing barriers to mental health service access within the United Kingdom. Eligible evidence included peer-reviewed qualitative, quantitative and mixed-methods primary research, together with high-quality grey literature published by reputable UK organisations. Only studies published in English between 2010 and 202</w:t>
      </w:r>
      <w:r w:rsidR="005661FA">
        <w:rPr>
          <w:rFonts w:ascii="Arial" w:hAnsi="Arial" w:cs="Arial"/>
          <w:sz w:val="22"/>
          <w:szCs w:val="22"/>
        </w:rPr>
        <w:t>6</w:t>
      </w:r>
      <w:r w:rsidRPr="002908FC">
        <w:rPr>
          <w:rFonts w:ascii="Arial" w:hAnsi="Arial" w:cs="Arial"/>
          <w:sz w:val="22"/>
          <w:szCs w:val="22"/>
        </w:rPr>
        <w:t xml:space="preserve"> that directly addressed the review question were included.</w:t>
      </w:r>
    </w:p>
    <w:p w14:paraId="63D7A197" w14:textId="77777777" w:rsidR="00A70D03" w:rsidRPr="002908FC" w:rsidRDefault="00A70D03" w:rsidP="002908FC">
      <w:pPr>
        <w:spacing w:line="360" w:lineRule="auto"/>
        <w:jc w:val="both"/>
        <w:rPr>
          <w:rFonts w:ascii="Arial" w:hAnsi="Arial" w:cs="Arial"/>
          <w:sz w:val="22"/>
          <w:szCs w:val="22"/>
        </w:rPr>
      </w:pPr>
    </w:p>
    <w:p w14:paraId="4C706C03" w14:textId="77777777" w:rsidR="00260669" w:rsidRPr="00260669" w:rsidRDefault="00260669" w:rsidP="007B6797">
      <w:pPr>
        <w:pStyle w:val="Heading2"/>
      </w:pPr>
      <w:bookmarkStart w:id="28" w:name="_Toc233828696"/>
      <w:r w:rsidRPr="00260669">
        <w:t>3.7.2 Exclusion Criteria</w:t>
      </w:r>
      <w:bookmarkEnd w:id="28"/>
    </w:p>
    <w:p w14:paraId="0FEC8004" w14:textId="77777777" w:rsidR="00260669" w:rsidRPr="00260669" w:rsidRDefault="00260669" w:rsidP="00260669">
      <w:pPr>
        <w:spacing w:line="360" w:lineRule="auto"/>
        <w:jc w:val="both"/>
        <w:rPr>
          <w:rFonts w:ascii="Arial" w:hAnsi="Arial" w:cs="Arial"/>
          <w:sz w:val="22"/>
          <w:szCs w:val="22"/>
        </w:rPr>
      </w:pPr>
      <w:r w:rsidRPr="00260669">
        <w:rPr>
          <w:rFonts w:ascii="Arial" w:hAnsi="Arial" w:cs="Arial"/>
          <w:sz w:val="22"/>
          <w:szCs w:val="22"/>
        </w:rPr>
        <w:t>Studies were excluded if they focused on children younger than 10 years or adults older than 19 years. Research conducted outside the United Kingdom, non-English publications, editorials, commentaries, conference abstracts and opinion papers were also excluded. In addition, studies published before 2010 and those evaluating treatment effectiveness, pharmacological interventions or clinical outcomes without examining barriers to adolescent mental health service access were excluded (Higgins et al., 2022; Page et al., 2021).</w:t>
      </w:r>
    </w:p>
    <w:p w14:paraId="7EF7D385" w14:textId="77777777" w:rsidR="00260669" w:rsidRPr="00260669" w:rsidRDefault="00260669" w:rsidP="00260669">
      <w:pPr>
        <w:spacing w:line="360" w:lineRule="auto"/>
        <w:jc w:val="both"/>
        <w:rPr>
          <w:rFonts w:ascii="Arial" w:hAnsi="Arial" w:cs="Arial"/>
          <w:sz w:val="22"/>
          <w:szCs w:val="22"/>
        </w:rPr>
      </w:pPr>
      <w:r w:rsidRPr="00260669">
        <w:rPr>
          <w:rFonts w:ascii="Arial" w:hAnsi="Arial" w:cs="Arial"/>
          <w:sz w:val="22"/>
          <w:szCs w:val="22"/>
        </w:rPr>
        <w:t>The database search was conducted using the predefined search strategy, Population–Exposure–Outcome (PEO) framework and eligibility criteria described in the preceding sections. Searches across six electronic databases identified 1,245 records: MEDLINE (342), PsycINFO (288), CINAHL (215), Scopus (184), Web of Science (156) and the Cochrane Library (60). An additional 25 grey literature records were identified through NHS England, the National Institute for Health and Care Excellence (NICE) and the Office for Health Improvement and Disparities (OHID) to reduce publication bias and include relevant policy and service evaluation reports (Paez, 2017; Public Health England, 2021).</w:t>
      </w:r>
    </w:p>
    <w:p w14:paraId="047A8CC2" w14:textId="5FEE7306" w:rsidR="00260669" w:rsidRPr="00260669" w:rsidRDefault="00260669" w:rsidP="00260669">
      <w:pPr>
        <w:spacing w:line="360" w:lineRule="auto"/>
        <w:jc w:val="both"/>
        <w:rPr>
          <w:rFonts w:ascii="Arial" w:hAnsi="Arial" w:cs="Arial"/>
          <w:sz w:val="22"/>
          <w:szCs w:val="22"/>
        </w:rPr>
      </w:pPr>
      <w:r w:rsidRPr="00260669">
        <w:rPr>
          <w:rFonts w:ascii="Arial" w:hAnsi="Arial" w:cs="Arial"/>
          <w:sz w:val="22"/>
          <w:szCs w:val="22"/>
        </w:rPr>
        <w:t>All retrieved records were organised manually using Microsoft Word and Microsoft Excel to facilitate duplicate identification, screening</w:t>
      </w:r>
      <w:r w:rsidR="00BA0291">
        <w:rPr>
          <w:rFonts w:ascii="Arial" w:hAnsi="Arial" w:cs="Arial"/>
          <w:sz w:val="22"/>
          <w:szCs w:val="22"/>
        </w:rPr>
        <w:t>,</w:t>
      </w:r>
      <w:r w:rsidRPr="00260669">
        <w:rPr>
          <w:rFonts w:ascii="Arial" w:hAnsi="Arial" w:cs="Arial"/>
          <w:sz w:val="22"/>
          <w:szCs w:val="22"/>
        </w:rPr>
        <w:t xml:space="preserve"> and maintain a transparent audit trail. A total of 420 duplicate records were removed, leaving 850 unique records for title and abstract screening (Bettany-Saltikov and McSherry, 2025).</w:t>
      </w:r>
    </w:p>
    <w:p w14:paraId="6C769044" w14:textId="77777777" w:rsidR="00260669" w:rsidRPr="00260669" w:rsidRDefault="00260669" w:rsidP="00260669">
      <w:pPr>
        <w:spacing w:line="360" w:lineRule="auto"/>
        <w:jc w:val="both"/>
        <w:rPr>
          <w:rFonts w:ascii="Arial" w:hAnsi="Arial" w:cs="Arial"/>
          <w:sz w:val="22"/>
          <w:szCs w:val="22"/>
        </w:rPr>
      </w:pPr>
      <w:r w:rsidRPr="00260669">
        <w:rPr>
          <w:rFonts w:ascii="Arial" w:hAnsi="Arial" w:cs="Arial"/>
          <w:sz w:val="22"/>
          <w:szCs w:val="22"/>
        </w:rPr>
        <w:t>Title and abstract screening excluded 755 records that did not meet the predefined eligibility criteria. Of these, 510 records were screened using Rayyan software and 245 through manual review (Ouzzani et al., 2016). The remaining 95 articles progressed to full-text assessment. However, 25 articles could not be retrieved despite extensive searches of institutional databases and alternative sources because of inconsistent indexing and restricted access to some publications (Biddle et al., 2007).</w:t>
      </w:r>
    </w:p>
    <w:p w14:paraId="1B897DD6" w14:textId="59BF9EEB" w:rsidR="00260669" w:rsidRPr="00260669" w:rsidRDefault="00260669" w:rsidP="00260669">
      <w:pPr>
        <w:spacing w:line="360" w:lineRule="auto"/>
        <w:jc w:val="both"/>
        <w:rPr>
          <w:rFonts w:ascii="Arial" w:hAnsi="Arial" w:cs="Arial"/>
          <w:sz w:val="22"/>
          <w:szCs w:val="22"/>
        </w:rPr>
      </w:pPr>
      <w:r w:rsidRPr="00260669">
        <w:rPr>
          <w:rFonts w:ascii="Arial" w:hAnsi="Arial" w:cs="Arial"/>
          <w:sz w:val="22"/>
          <w:szCs w:val="22"/>
        </w:rPr>
        <w:lastRenderedPageBreak/>
        <w:t xml:space="preserve">Consequently, 70 full-text articles underwent </w:t>
      </w:r>
      <w:r w:rsidR="00BA0291">
        <w:rPr>
          <w:rFonts w:ascii="Arial" w:hAnsi="Arial" w:cs="Arial"/>
          <w:sz w:val="22"/>
          <w:szCs w:val="22"/>
        </w:rPr>
        <w:t xml:space="preserve">a </w:t>
      </w:r>
      <w:r w:rsidRPr="00260669">
        <w:rPr>
          <w:rFonts w:ascii="Arial" w:hAnsi="Arial" w:cs="Arial"/>
          <w:sz w:val="22"/>
          <w:szCs w:val="22"/>
        </w:rPr>
        <w:t>detailed eligibility assessment, after which 60 studies were excluded because they did not satisfy the inclusion criteria. Common reasons for exclusion included inappropriate populations, non-United Kingdom settings, failure to examine barriers to adolescent mental health service access and insufficient methodological relevance. This resulted in a final sample of 10 studies comprising peer-reviewed primary research and high-quality grey literature that met all predefined eligibility criteria (Thomas and Harden, 2008; Page et al., 2021).</w:t>
      </w:r>
    </w:p>
    <w:p w14:paraId="04AD3B69" w14:textId="77777777" w:rsidR="00260669" w:rsidRPr="00260669" w:rsidRDefault="00260669" w:rsidP="00260669">
      <w:pPr>
        <w:spacing w:line="360" w:lineRule="auto"/>
        <w:jc w:val="both"/>
        <w:rPr>
          <w:rFonts w:ascii="Arial" w:hAnsi="Arial" w:cs="Arial"/>
          <w:sz w:val="22"/>
          <w:szCs w:val="22"/>
        </w:rPr>
      </w:pPr>
      <w:r w:rsidRPr="00260669">
        <w:rPr>
          <w:rFonts w:ascii="Arial" w:hAnsi="Arial" w:cs="Arial"/>
          <w:sz w:val="22"/>
          <w:szCs w:val="22"/>
        </w:rPr>
        <w:t>The study selection process is illustrated in Figure 1 using the PRISMA 2020 flow diagram. The PRISMA framework enhances methodological transparency by providing a clear visual summary of study identification, screening, eligibility assessment and final inclusion, thereby strengthening the reproducibility and credibility of the review (Page et al., 2021).</w:t>
      </w:r>
    </w:p>
    <w:p w14:paraId="65B19235" w14:textId="77777777" w:rsidR="002908FC" w:rsidRPr="002908FC" w:rsidRDefault="002908FC" w:rsidP="007B6797">
      <w:pPr>
        <w:pStyle w:val="Heading2"/>
      </w:pPr>
      <w:bookmarkStart w:id="29" w:name="_Toc233828697"/>
      <w:r w:rsidRPr="002908FC">
        <w:t>Figure 1: PRISMA flow chart</w:t>
      </w:r>
      <w:bookmarkEnd w:id="29"/>
    </w:p>
    <w:p w14:paraId="6842F443"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72576" behindDoc="0" locked="0" layoutInCell="1" allowOverlap="1" wp14:anchorId="2BA7FA47" wp14:editId="66394EBB">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a:extLst xmlns:a="http://schemas.openxmlformats.org/drawingml/2006/main">
                    <a:ext uri="{FF2B5EF4-FFF2-40B4-BE49-F238E27FC236}">
                      <a16:creationId xmlns:a16="http://schemas.microsoft.com/office/drawing/2014/main" id="{0A3626BD-CBA2-40CB-BD88-277E9DC08704}"/>
                    </a:ext>
                  </a:extLst>
                </wp:docPr>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a:solidFill>
                          <a:srgbClr val="FFC000"/>
                        </a:solidFill>
                        <a:ln w="12700" cap="flat" cmpd="sng" algn="ctr">
                          <a:solidFill>
                            <a:srgbClr val="FFC000">
                              <a:shade val="50000"/>
                            </a:srgbClr>
                          </a:solidFill>
                          <a:prstDash val="solid"/>
                          <a:miter lim="800000"/>
                        </a:ln>
                        <a:effectLst/>
                      </wps:spPr>
                      <wps:txbx>
                        <w:txbxContent>
                          <w:p w14:paraId="6E072736" w14:textId="77777777" w:rsidR="002908FC" w:rsidRPr="00EF0BC2" w:rsidRDefault="002908FC" w:rsidP="002908FC">
                            <w:pPr>
                              <w:spacing w:after="0" w:line="240" w:lineRule="auto"/>
                              <w:jc w:val="center"/>
                              <w:rPr>
                                <w:rFonts w:ascii="Arial" w:hAnsi="Arial" w:cs="Arial"/>
                                <w:b/>
                                <w:color w:val="000000"/>
                                <w:sz w:val="18"/>
                                <w:szCs w:val="18"/>
                              </w:rPr>
                            </w:pPr>
                            <w:r w:rsidRPr="00EF0BC2">
                              <w:rPr>
                                <w:rFonts w:ascii="Arial" w:hAnsi="Arial" w:cs="Arial"/>
                                <w:b/>
                                <w:color w:val="000000"/>
                                <w:sz w:val="18"/>
                                <w:szCs w:val="18"/>
                              </w:rPr>
                              <w:t>Identification of studies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A7FA47"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" fillcolor="#ffc000" strokecolor="#bc8c00" strokeweight="1pt">
                <v:textbox>
                  <w:txbxContent>
                    <w:p w14:paraId="6E072736" w14:textId="77777777" w:rsidR="002908FC" w:rsidRPr="00EF0BC2" w:rsidRDefault="002908FC" w:rsidP="002908FC">
                      <w:pPr>
                        <w:spacing w:after="0" w:line="240" w:lineRule="auto"/>
                        <w:jc w:val="center"/>
                        <w:rPr>
                          <w:rFonts w:ascii="Arial" w:hAnsi="Arial" w:cs="Arial"/>
                          <w:b/>
                          <w:color w:val="000000"/>
                          <w:sz w:val="18"/>
                          <w:szCs w:val="18"/>
                        </w:rPr>
                      </w:pPr>
                      <w:r w:rsidRPr="00EF0BC2">
                        <w:rPr>
                          <w:rFonts w:ascii="Arial" w:hAnsi="Arial" w:cs="Arial"/>
                          <w:b/>
                          <w:color w:val="000000"/>
                          <w:sz w:val="18"/>
                          <w:szCs w:val="18"/>
                        </w:rPr>
                        <w:t>Identification of studies via databases and registers</w:t>
                      </w:r>
                    </w:p>
                  </w:txbxContent>
                </v:textbox>
              </v:shape>
            </w:pict>
          </mc:Fallback>
        </mc:AlternateContent>
      </w:r>
    </w:p>
    <w:p w14:paraId="6BA19597"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60288" behindDoc="0" locked="0" layoutInCell="1" allowOverlap="1" wp14:anchorId="3F8E4D13" wp14:editId="512FB661">
                <wp:simplePos x="0" y="0"/>
                <wp:positionH relativeFrom="column">
                  <wp:posOffset>3039466</wp:posOffset>
                </wp:positionH>
                <wp:positionV relativeFrom="paragraph">
                  <wp:posOffset>77064</wp:posOffset>
                </wp:positionV>
                <wp:extent cx="1887220" cy="1242999"/>
                <wp:effectExtent l="0" t="0" r="17780" b="14605"/>
                <wp:wrapNone/>
                <wp:docPr id="2" name="Rectangle 2">
                  <a:extLst xmlns:a="http://schemas.openxmlformats.org/drawingml/2006/main">
                    <a:ext uri="{FF2B5EF4-FFF2-40B4-BE49-F238E27FC236}">
                      <a16:creationId xmlns:a16="http://schemas.microsoft.com/office/drawing/2014/main" id="{E574D701-62F8-4414-8452-172A74B5D259}"/>
                    </a:ext>
                  </a:extLst>
                </wp:docPr>
                <wp:cNvGraphicFramePr/>
                <a:graphic xmlns:a="http://schemas.openxmlformats.org/drawingml/2006/main">
                  <a:graphicData uri="http://schemas.microsoft.com/office/word/2010/wordprocessingShape">
                    <wps:wsp>
                      <wps:cNvSpPr/>
                      <wps:spPr>
                        <a:xfrm>
                          <a:off x="0" y="0"/>
                          <a:ext cx="1887220" cy="1242999"/>
                        </a:xfrm>
                        <a:prstGeom prst="rect">
                          <a:avLst/>
                        </a:prstGeom>
                        <a:noFill/>
                        <a:ln w="12700" cap="flat" cmpd="sng" algn="ctr">
                          <a:solidFill>
                            <a:sysClr val="windowText" lastClr="000000"/>
                          </a:solidFill>
                          <a:prstDash val="solid"/>
                          <a:miter lim="800000"/>
                        </a:ln>
                        <a:effectLst/>
                      </wps:spPr>
                      <wps:txbx>
                        <w:txbxContent>
                          <w:p w14:paraId="57634723"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 xml:space="preserve">Records removed </w:t>
                            </w:r>
                            <w:r w:rsidRPr="00EF0BC2">
                              <w:rPr>
                                <w:rFonts w:ascii="Arial" w:hAnsi="Arial" w:cs="Arial"/>
                                <w:i/>
                                <w:iCs/>
                                <w:color w:val="000000"/>
                                <w:sz w:val="18"/>
                                <w:szCs w:val="20"/>
                              </w:rPr>
                              <w:t>before screening</w:t>
                            </w:r>
                            <w:r w:rsidRPr="00EF0BC2">
                              <w:rPr>
                                <w:rFonts w:ascii="Arial" w:hAnsi="Arial" w:cs="Arial"/>
                                <w:color w:val="000000"/>
                                <w:sz w:val="18"/>
                                <w:szCs w:val="20"/>
                              </w:rPr>
                              <w:t>:</w:t>
                            </w:r>
                          </w:p>
                          <w:p w14:paraId="16AD0041" w14:textId="77777777" w:rsidR="002908FC" w:rsidRPr="00EF0BC2" w:rsidRDefault="002908FC" w:rsidP="002908FC">
                            <w:pPr>
                              <w:spacing w:after="0" w:line="240" w:lineRule="auto"/>
                              <w:ind w:left="284"/>
                              <w:rPr>
                                <w:rFonts w:ascii="Arial" w:hAnsi="Arial" w:cs="Arial"/>
                                <w:color w:val="000000"/>
                                <w:sz w:val="18"/>
                                <w:szCs w:val="20"/>
                              </w:rPr>
                            </w:pPr>
                            <w:r w:rsidRPr="00EF0BC2">
                              <w:rPr>
                                <w:rFonts w:ascii="Arial" w:hAnsi="Arial" w:cs="Arial"/>
                                <w:color w:val="000000"/>
                                <w:sz w:val="18"/>
                                <w:szCs w:val="20"/>
                              </w:rPr>
                              <w:t xml:space="preserve">Duplicate records removed  (n = </w:t>
                            </w:r>
                            <w:r>
                              <w:rPr>
                                <w:rFonts w:ascii="Arial" w:hAnsi="Arial" w:cs="Arial"/>
                                <w:color w:val="000000"/>
                                <w:sz w:val="18"/>
                                <w:szCs w:val="20"/>
                              </w:rPr>
                              <w:t>420</w:t>
                            </w:r>
                            <w:r w:rsidRPr="00EF0BC2">
                              <w:rPr>
                                <w:rFonts w:ascii="Arial" w:hAnsi="Arial" w:cs="Arial"/>
                                <w:color w:val="000000"/>
                                <w:sz w:val="18"/>
                                <w:szCs w:val="20"/>
                              </w:rPr>
                              <w:t>)</w:t>
                            </w:r>
                          </w:p>
                          <w:p w14:paraId="05EF7EBB" w14:textId="77777777" w:rsidR="002908FC" w:rsidRPr="00EF0BC2" w:rsidRDefault="002908FC" w:rsidP="002908FC">
                            <w:pPr>
                              <w:spacing w:after="0" w:line="240" w:lineRule="auto"/>
                              <w:ind w:left="284"/>
                              <w:rPr>
                                <w:rFonts w:ascii="Arial" w:hAnsi="Arial" w:cs="Arial"/>
                                <w:color w:val="000000"/>
                                <w:sz w:val="18"/>
                                <w:szCs w:val="20"/>
                              </w:rPr>
                            </w:pPr>
                            <w:r w:rsidRPr="00EF0BC2">
                              <w:rPr>
                                <w:rFonts w:ascii="Arial" w:hAnsi="Arial" w:cs="Arial"/>
                                <w:color w:val="000000"/>
                                <w:sz w:val="18"/>
                                <w:szCs w:val="20"/>
                              </w:rPr>
                              <w:t>Records marked as ineligible by automation tools (n =</w:t>
                            </w:r>
                            <w:r>
                              <w:rPr>
                                <w:rFonts w:ascii="Arial" w:hAnsi="Arial" w:cs="Arial"/>
                                <w:color w:val="000000"/>
                                <w:sz w:val="18"/>
                                <w:szCs w:val="20"/>
                              </w:rPr>
                              <w:t>0</w:t>
                            </w:r>
                            <w:r w:rsidRPr="00EF0BC2">
                              <w:rPr>
                                <w:rFonts w:ascii="Arial" w:hAnsi="Arial" w:cs="Arial"/>
                                <w:color w:val="000000"/>
                                <w:sz w:val="18"/>
                                <w:szCs w:val="20"/>
                              </w:rPr>
                              <w:t xml:space="preserve"> )</w:t>
                            </w:r>
                          </w:p>
                          <w:p w14:paraId="4FDD797D" w14:textId="77777777" w:rsidR="002908FC" w:rsidRPr="00EF0BC2" w:rsidRDefault="002908FC" w:rsidP="002908FC">
                            <w:pPr>
                              <w:spacing w:after="0" w:line="240" w:lineRule="auto"/>
                              <w:ind w:left="284"/>
                              <w:rPr>
                                <w:rFonts w:ascii="Arial" w:hAnsi="Arial" w:cs="Arial"/>
                                <w:color w:val="000000"/>
                                <w:sz w:val="18"/>
                                <w:szCs w:val="20"/>
                              </w:rPr>
                            </w:pPr>
                            <w:r w:rsidRPr="00EF0BC2">
                              <w:rPr>
                                <w:rFonts w:ascii="Arial" w:hAnsi="Arial" w:cs="Arial"/>
                                <w:color w:val="000000"/>
                                <w:sz w:val="18"/>
                                <w:szCs w:val="20"/>
                              </w:rPr>
                              <w:t xml:space="preserve">Records removed for other reasons (n = </w:t>
                            </w:r>
                            <w:r>
                              <w:rPr>
                                <w:rFonts w:ascii="Arial" w:hAnsi="Arial" w:cs="Arial"/>
                                <w:color w:val="000000"/>
                                <w:sz w:val="18"/>
                                <w:szCs w:val="20"/>
                              </w:rPr>
                              <w:t>0</w:t>
                            </w:r>
                            <w:r w:rsidRPr="00EF0BC2">
                              <w:rPr>
                                <w:rFonts w:ascii="Arial" w:hAnsi="Arial" w:cs="Arial"/>
                                <w:color w:val="000000"/>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8E4D13" id="Rectangle 2" o:spid="_x0000_s1027"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" filled="f" strokecolor="windowText" strokeweight="1pt">
                <v:textbox>
                  <w:txbxContent>
                    <w:p w14:paraId="57634723"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 xml:space="preserve">Records removed </w:t>
                      </w:r>
                      <w:r w:rsidRPr="00EF0BC2">
                        <w:rPr>
                          <w:rFonts w:ascii="Arial" w:hAnsi="Arial" w:cs="Arial"/>
                          <w:i/>
                          <w:iCs/>
                          <w:color w:val="000000"/>
                          <w:sz w:val="18"/>
                          <w:szCs w:val="20"/>
                        </w:rPr>
                        <w:t>before screening</w:t>
                      </w:r>
                      <w:r w:rsidRPr="00EF0BC2">
                        <w:rPr>
                          <w:rFonts w:ascii="Arial" w:hAnsi="Arial" w:cs="Arial"/>
                          <w:color w:val="000000"/>
                          <w:sz w:val="18"/>
                          <w:szCs w:val="20"/>
                        </w:rPr>
                        <w:t>:</w:t>
                      </w:r>
                    </w:p>
                    <w:p w14:paraId="16AD0041" w14:textId="77777777" w:rsidR="002908FC" w:rsidRPr="00EF0BC2" w:rsidRDefault="002908FC" w:rsidP="002908FC">
                      <w:pPr>
                        <w:spacing w:after="0" w:line="240" w:lineRule="auto"/>
                        <w:ind w:left="284"/>
                        <w:rPr>
                          <w:rFonts w:ascii="Arial" w:hAnsi="Arial" w:cs="Arial"/>
                          <w:color w:val="000000"/>
                          <w:sz w:val="18"/>
                          <w:szCs w:val="20"/>
                        </w:rPr>
                      </w:pPr>
                      <w:r w:rsidRPr="00EF0BC2">
                        <w:rPr>
                          <w:rFonts w:ascii="Arial" w:hAnsi="Arial" w:cs="Arial"/>
                          <w:color w:val="000000"/>
                          <w:sz w:val="18"/>
                          <w:szCs w:val="20"/>
                        </w:rPr>
                        <w:t xml:space="preserve">Duplicate records removed  (n = </w:t>
                      </w:r>
                      <w:r>
                        <w:rPr>
                          <w:rFonts w:ascii="Arial" w:hAnsi="Arial" w:cs="Arial"/>
                          <w:color w:val="000000"/>
                          <w:sz w:val="18"/>
                          <w:szCs w:val="20"/>
                        </w:rPr>
                        <w:t>420</w:t>
                      </w:r>
                      <w:r w:rsidRPr="00EF0BC2">
                        <w:rPr>
                          <w:rFonts w:ascii="Arial" w:hAnsi="Arial" w:cs="Arial"/>
                          <w:color w:val="000000"/>
                          <w:sz w:val="18"/>
                          <w:szCs w:val="20"/>
                        </w:rPr>
                        <w:t>)</w:t>
                      </w:r>
                    </w:p>
                    <w:p w14:paraId="05EF7EBB" w14:textId="77777777" w:rsidR="002908FC" w:rsidRPr="00EF0BC2" w:rsidRDefault="002908FC" w:rsidP="002908FC">
                      <w:pPr>
                        <w:spacing w:after="0" w:line="240" w:lineRule="auto"/>
                        <w:ind w:left="284"/>
                        <w:rPr>
                          <w:rFonts w:ascii="Arial" w:hAnsi="Arial" w:cs="Arial"/>
                          <w:color w:val="000000"/>
                          <w:sz w:val="18"/>
                          <w:szCs w:val="20"/>
                        </w:rPr>
                      </w:pPr>
                      <w:r w:rsidRPr="00EF0BC2">
                        <w:rPr>
                          <w:rFonts w:ascii="Arial" w:hAnsi="Arial" w:cs="Arial"/>
                          <w:color w:val="000000"/>
                          <w:sz w:val="18"/>
                          <w:szCs w:val="20"/>
                        </w:rPr>
                        <w:t>Records marked as ineligible by automation tools (n =</w:t>
                      </w:r>
                      <w:r>
                        <w:rPr>
                          <w:rFonts w:ascii="Arial" w:hAnsi="Arial" w:cs="Arial"/>
                          <w:color w:val="000000"/>
                          <w:sz w:val="18"/>
                          <w:szCs w:val="20"/>
                        </w:rPr>
                        <w:t>0</w:t>
                      </w:r>
                      <w:r w:rsidRPr="00EF0BC2">
                        <w:rPr>
                          <w:rFonts w:ascii="Arial" w:hAnsi="Arial" w:cs="Arial"/>
                          <w:color w:val="000000"/>
                          <w:sz w:val="18"/>
                          <w:szCs w:val="20"/>
                        </w:rPr>
                        <w:t xml:space="preserve"> )</w:t>
                      </w:r>
                    </w:p>
                    <w:p w14:paraId="4FDD797D" w14:textId="77777777" w:rsidR="002908FC" w:rsidRPr="00EF0BC2" w:rsidRDefault="002908FC" w:rsidP="002908FC">
                      <w:pPr>
                        <w:spacing w:after="0" w:line="240" w:lineRule="auto"/>
                        <w:ind w:left="284"/>
                        <w:rPr>
                          <w:rFonts w:ascii="Arial" w:hAnsi="Arial" w:cs="Arial"/>
                          <w:color w:val="000000"/>
                          <w:sz w:val="18"/>
                          <w:szCs w:val="20"/>
                        </w:rPr>
                      </w:pPr>
                      <w:r w:rsidRPr="00EF0BC2">
                        <w:rPr>
                          <w:rFonts w:ascii="Arial" w:hAnsi="Arial" w:cs="Arial"/>
                          <w:color w:val="000000"/>
                          <w:sz w:val="18"/>
                          <w:szCs w:val="20"/>
                        </w:rPr>
                        <w:t xml:space="preserve">Records removed for other reasons (n = </w:t>
                      </w:r>
                      <w:r>
                        <w:rPr>
                          <w:rFonts w:ascii="Arial" w:hAnsi="Arial" w:cs="Arial"/>
                          <w:color w:val="000000"/>
                          <w:sz w:val="18"/>
                          <w:szCs w:val="20"/>
                        </w:rPr>
                        <w:t>0</w:t>
                      </w:r>
                      <w:r w:rsidRPr="00EF0BC2">
                        <w:rPr>
                          <w:rFonts w:ascii="Arial" w:hAnsi="Arial" w:cs="Arial"/>
                          <w:color w:val="000000"/>
                          <w:sz w:val="18"/>
                          <w:szCs w:val="20"/>
                        </w:rPr>
                        <w:t>)</w:t>
                      </w:r>
                    </w:p>
                  </w:txbxContent>
                </v:textbox>
              </v:rect>
            </w:pict>
          </mc:Fallback>
        </mc:AlternateContent>
      </w:r>
      <w:r w:rsidRPr="002908FC">
        <w:rPr>
          <w:rFonts w:ascii="Arial" w:hAnsi="Arial" w:cs="Arial"/>
          <w:b/>
          <w:bCs/>
          <w:noProof/>
          <w:sz w:val="22"/>
          <w:szCs w:val="22"/>
          <w:lang w:val="en-AU"/>
        </w:rPr>
        <mc:AlternateContent>
          <mc:Choice Requires="wps">
            <w:drawing>
              <wp:anchor distT="0" distB="0" distL="114300" distR="114300" simplePos="0" relativeHeight="251659264" behindDoc="0" locked="0" layoutInCell="1" allowOverlap="1" wp14:anchorId="2E749755" wp14:editId="49DE6787">
                <wp:simplePos x="0" y="0"/>
                <wp:positionH relativeFrom="column">
                  <wp:posOffset>559613</wp:posOffset>
                </wp:positionH>
                <wp:positionV relativeFrom="paragraph">
                  <wp:posOffset>77064</wp:posOffset>
                </wp:positionV>
                <wp:extent cx="1887220" cy="1243584"/>
                <wp:effectExtent l="0" t="0" r="17780" b="13970"/>
                <wp:wrapNone/>
                <wp:docPr id="1" name="Rectangle 1">
                  <a:extLst xmlns:a="http://schemas.openxmlformats.org/drawingml/2006/main">
                    <a:ext uri="{FF2B5EF4-FFF2-40B4-BE49-F238E27FC236}">
                      <a16:creationId xmlns:a16="http://schemas.microsoft.com/office/drawing/2014/main" id="{43E6E5E0-EB5C-4AD7-9B44-7FCA30CBB0E9}"/>
                    </a:ext>
                  </a:extLst>
                </wp:docPr>
                <wp:cNvGraphicFramePr/>
                <a:graphic xmlns:a="http://schemas.openxmlformats.org/drawingml/2006/main">
                  <a:graphicData uri="http://schemas.microsoft.com/office/word/2010/wordprocessingShape">
                    <wps:wsp>
                      <wps:cNvSpPr/>
                      <wps:spPr>
                        <a:xfrm>
                          <a:off x="0" y="0"/>
                          <a:ext cx="1887220" cy="1243584"/>
                        </a:xfrm>
                        <a:prstGeom prst="rect">
                          <a:avLst/>
                        </a:prstGeom>
                        <a:noFill/>
                        <a:ln w="12700" cap="flat" cmpd="sng" algn="ctr">
                          <a:solidFill>
                            <a:sysClr val="windowText" lastClr="000000"/>
                          </a:solidFill>
                          <a:prstDash val="solid"/>
                          <a:miter lim="800000"/>
                        </a:ln>
                        <a:effectLst/>
                      </wps:spPr>
                      <wps:txbx>
                        <w:txbxContent>
                          <w:p w14:paraId="266A6DF4"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Records identified from*:</w:t>
                            </w:r>
                          </w:p>
                          <w:p w14:paraId="5C0900C8" w14:textId="77777777" w:rsidR="002908FC" w:rsidRPr="00EF0BC2" w:rsidRDefault="002908FC" w:rsidP="002908FC">
                            <w:pPr>
                              <w:spacing w:after="0" w:line="240" w:lineRule="auto"/>
                              <w:ind w:left="284"/>
                              <w:rPr>
                                <w:rFonts w:ascii="Arial" w:hAnsi="Arial" w:cs="Arial"/>
                                <w:color w:val="000000"/>
                                <w:sz w:val="18"/>
                                <w:szCs w:val="20"/>
                              </w:rPr>
                            </w:pPr>
                            <w:r w:rsidRPr="00EF0BC2">
                              <w:rPr>
                                <w:rFonts w:ascii="Arial" w:hAnsi="Arial" w:cs="Arial"/>
                                <w:color w:val="000000"/>
                                <w:sz w:val="18"/>
                                <w:szCs w:val="20"/>
                              </w:rPr>
                              <w:t>Databases (n</w:t>
                            </w:r>
                            <w:r>
                              <w:rPr>
                                <w:rFonts w:ascii="Arial" w:hAnsi="Arial" w:cs="Arial"/>
                                <w:color w:val="000000"/>
                                <w:sz w:val="18"/>
                                <w:szCs w:val="20"/>
                              </w:rPr>
                              <w:t>=1,245</w:t>
                            </w:r>
                            <w:r w:rsidRPr="00EF0BC2">
                              <w:rPr>
                                <w:rFonts w:ascii="Arial" w:hAnsi="Arial" w:cs="Arial"/>
                                <w:color w:val="000000"/>
                                <w:sz w:val="18"/>
                                <w:szCs w:val="20"/>
                              </w:rPr>
                              <w:t xml:space="preserve"> )</w:t>
                            </w:r>
                          </w:p>
                          <w:p w14:paraId="606FDC02" w14:textId="77777777" w:rsidR="002908FC" w:rsidRPr="00EF0BC2" w:rsidRDefault="002908FC" w:rsidP="002908FC">
                            <w:pPr>
                              <w:spacing w:after="0" w:line="240" w:lineRule="auto"/>
                              <w:rPr>
                                <w:rFonts w:ascii="Arial" w:hAnsi="Arial" w:cs="Arial"/>
                                <w:color w:val="000000"/>
                                <w:sz w:val="18"/>
                                <w:szCs w:val="20"/>
                              </w:rPr>
                            </w:pPr>
                            <w:r w:rsidRPr="000033F8">
                              <w:rPr>
                                <w:rFonts w:ascii="Arial" w:hAnsi="Arial" w:cs="Arial"/>
                                <w:color w:val="000000"/>
                                <w:sz w:val="18"/>
                                <w:szCs w:val="20"/>
                              </w:rPr>
                              <w:t xml:space="preserve">grey literature sources </w:t>
                            </w:r>
                            <w:r w:rsidRPr="00EF0BC2">
                              <w:rPr>
                                <w:rFonts w:ascii="Arial" w:hAnsi="Arial" w:cs="Arial"/>
                                <w:color w:val="000000"/>
                                <w:sz w:val="18"/>
                                <w:szCs w:val="20"/>
                              </w:rPr>
                              <w:t>(n =</w:t>
                            </w:r>
                            <w:r>
                              <w:rPr>
                                <w:rFonts w:ascii="Arial" w:hAnsi="Arial" w:cs="Arial"/>
                                <w:color w:val="000000"/>
                                <w:sz w:val="18"/>
                                <w:szCs w:val="20"/>
                              </w:rPr>
                              <w:t>25</w:t>
                            </w:r>
                            <w:r w:rsidRPr="00EF0BC2">
                              <w:rPr>
                                <w:rFonts w:ascii="Arial" w:hAnsi="Arial" w:cs="Arial"/>
                                <w:color w:val="000000"/>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E749755" id="Rectangle 1" o:spid="_x0000_s1028" style="position:absolute;left:0;text-align:left;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" filled="f" strokecolor="windowText" strokeweight="1pt">
                <v:textbox>
                  <w:txbxContent>
                    <w:p w14:paraId="266A6DF4"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Records identified from*:</w:t>
                      </w:r>
                    </w:p>
                    <w:p w14:paraId="5C0900C8" w14:textId="77777777" w:rsidR="002908FC" w:rsidRPr="00EF0BC2" w:rsidRDefault="002908FC" w:rsidP="002908FC">
                      <w:pPr>
                        <w:spacing w:after="0" w:line="240" w:lineRule="auto"/>
                        <w:ind w:left="284"/>
                        <w:rPr>
                          <w:rFonts w:ascii="Arial" w:hAnsi="Arial" w:cs="Arial"/>
                          <w:color w:val="000000"/>
                          <w:sz w:val="18"/>
                          <w:szCs w:val="20"/>
                        </w:rPr>
                      </w:pPr>
                      <w:r w:rsidRPr="00EF0BC2">
                        <w:rPr>
                          <w:rFonts w:ascii="Arial" w:hAnsi="Arial" w:cs="Arial"/>
                          <w:color w:val="000000"/>
                          <w:sz w:val="18"/>
                          <w:szCs w:val="20"/>
                        </w:rPr>
                        <w:t>Databases (n</w:t>
                      </w:r>
                      <w:r>
                        <w:rPr>
                          <w:rFonts w:ascii="Arial" w:hAnsi="Arial" w:cs="Arial"/>
                          <w:color w:val="000000"/>
                          <w:sz w:val="18"/>
                          <w:szCs w:val="20"/>
                        </w:rPr>
                        <w:t>=1,245</w:t>
                      </w:r>
                      <w:r w:rsidRPr="00EF0BC2">
                        <w:rPr>
                          <w:rFonts w:ascii="Arial" w:hAnsi="Arial" w:cs="Arial"/>
                          <w:color w:val="000000"/>
                          <w:sz w:val="18"/>
                          <w:szCs w:val="20"/>
                        </w:rPr>
                        <w:t xml:space="preserve"> )</w:t>
                      </w:r>
                    </w:p>
                    <w:p w14:paraId="606FDC02" w14:textId="77777777" w:rsidR="002908FC" w:rsidRPr="00EF0BC2" w:rsidRDefault="002908FC" w:rsidP="002908FC">
                      <w:pPr>
                        <w:spacing w:after="0" w:line="240" w:lineRule="auto"/>
                        <w:rPr>
                          <w:rFonts w:ascii="Arial" w:hAnsi="Arial" w:cs="Arial"/>
                          <w:color w:val="000000"/>
                          <w:sz w:val="18"/>
                          <w:szCs w:val="20"/>
                        </w:rPr>
                      </w:pPr>
                      <w:r w:rsidRPr="000033F8">
                        <w:rPr>
                          <w:rFonts w:ascii="Arial" w:hAnsi="Arial" w:cs="Arial"/>
                          <w:color w:val="000000"/>
                          <w:sz w:val="18"/>
                          <w:szCs w:val="20"/>
                        </w:rPr>
                        <w:t xml:space="preserve">grey literature sources </w:t>
                      </w:r>
                      <w:r w:rsidRPr="00EF0BC2">
                        <w:rPr>
                          <w:rFonts w:ascii="Arial" w:hAnsi="Arial" w:cs="Arial"/>
                          <w:color w:val="000000"/>
                          <w:sz w:val="18"/>
                          <w:szCs w:val="20"/>
                        </w:rPr>
                        <w:t>(n =</w:t>
                      </w:r>
                      <w:r>
                        <w:rPr>
                          <w:rFonts w:ascii="Arial" w:hAnsi="Arial" w:cs="Arial"/>
                          <w:color w:val="000000"/>
                          <w:sz w:val="18"/>
                          <w:szCs w:val="20"/>
                        </w:rPr>
                        <w:t>25</w:t>
                      </w:r>
                      <w:r w:rsidRPr="00EF0BC2">
                        <w:rPr>
                          <w:rFonts w:ascii="Arial" w:hAnsi="Arial" w:cs="Arial"/>
                          <w:color w:val="000000"/>
                          <w:sz w:val="18"/>
                          <w:szCs w:val="20"/>
                        </w:rPr>
                        <w:t xml:space="preserve"> )</w:t>
                      </w:r>
                    </w:p>
                  </w:txbxContent>
                </v:textbox>
              </v:rect>
            </w:pict>
          </mc:Fallback>
        </mc:AlternateContent>
      </w:r>
    </w:p>
    <w:p w14:paraId="30F4A73C" w14:textId="77777777" w:rsidR="002908FC" w:rsidRPr="002908FC" w:rsidRDefault="002908FC" w:rsidP="002908FC">
      <w:pPr>
        <w:spacing w:line="360" w:lineRule="auto"/>
        <w:jc w:val="both"/>
        <w:rPr>
          <w:rFonts w:ascii="Arial" w:hAnsi="Arial" w:cs="Arial"/>
          <w:b/>
          <w:bCs/>
          <w:sz w:val="22"/>
          <w:szCs w:val="22"/>
          <w:lang w:val="en-AU"/>
        </w:rPr>
      </w:pPr>
    </w:p>
    <w:p w14:paraId="34C0797F"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73600" behindDoc="0" locked="0" layoutInCell="1" allowOverlap="1" wp14:anchorId="7436831A" wp14:editId="6A506D36">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a:extLst xmlns:a="http://schemas.openxmlformats.org/drawingml/2006/main">
                    <a:ext uri="{FF2B5EF4-FFF2-40B4-BE49-F238E27FC236}">
                      <a16:creationId xmlns:a16="http://schemas.microsoft.com/office/drawing/2014/main" id="{F04D09D0-9E60-421E-B09F-CB7CE174EF2E}"/>
                    </a:ext>
                  </a:extLst>
                </wp:docPr>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58B81DB4" w14:textId="77777777" w:rsidR="002908FC" w:rsidRPr="00EF0BC2" w:rsidRDefault="002908FC" w:rsidP="002908FC">
                            <w:pPr>
                              <w:spacing w:after="0" w:line="240" w:lineRule="auto"/>
                              <w:jc w:val="center"/>
                              <w:rPr>
                                <w:rFonts w:ascii="Arial" w:hAnsi="Arial" w:cs="Arial"/>
                                <w:b/>
                                <w:color w:val="000000"/>
                                <w:sz w:val="18"/>
                                <w:szCs w:val="18"/>
                              </w:rPr>
                            </w:pPr>
                            <w:r w:rsidRPr="00EF0BC2">
                              <w:rPr>
                                <w:rFonts w:ascii="Arial" w:hAnsi="Arial" w:cs="Arial"/>
                                <w:b/>
                                <w:color w:val="000000"/>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36831A" id="Flowchart: Alternate Process 31" o:spid="_x0000_s1029" type="#_x0000_t176" style="position:absolute;left:0;text-align:left;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" fillcolor="#9dc3e6" strokecolor="windowText" strokeweight="1pt">
                <v:textbox>
                  <w:txbxContent>
                    <w:p w14:paraId="58B81DB4" w14:textId="77777777" w:rsidR="002908FC" w:rsidRPr="00EF0BC2" w:rsidRDefault="002908FC" w:rsidP="002908FC">
                      <w:pPr>
                        <w:spacing w:after="0" w:line="240" w:lineRule="auto"/>
                        <w:jc w:val="center"/>
                        <w:rPr>
                          <w:rFonts w:ascii="Arial" w:hAnsi="Arial" w:cs="Arial"/>
                          <w:b/>
                          <w:color w:val="000000"/>
                          <w:sz w:val="18"/>
                          <w:szCs w:val="18"/>
                        </w:rPr>
                      </w:pPr>
                      <w:r w:rsidRPr="00EF0BC2">
                        <w:rPr>
                          <w:rFonts w:ascii="Arial" w:hAnsi="Arial" w:cs="Arial"/>
                          <w:b/>
                          <w:color w:val="000000"/>
                          <w:sz w:val="18"/>
                          <w:szCs w:val="18"/>
                        </w:rPr>
                        <w:t>Identification</w:t>
                      </w:r>
                    </w:p>
                  </w:txbxContent>
                </v:textbox>
              </v:shape>
            </w:pict>
          </mc:Fallback>
        </mc:AlternateContent>
      </w:r>
    </w:p>
    <w:p w14:paraId="5701C8AA"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76672" behindDoc="0" locked="0" layoutInCell="1" allowOverlap="1" wp14:anchorId="2A7A98B2" wp14:editId="3C40A39B">
                <wp:simplePos x="0" y="0"/>
                <wp:positionH relativeFrom="column">
                  <wp:posOffset>1371299</wp:posOffset>
                </wp:positionH>
                <wp:positionV relativeFrom="paragraph">
                  <wp:posOffset>346710</wp:posOffset>
                </wp:positionV>
                <wp:extent cx="0" cy="281305"/>
                <wp:effectExtent l="76200" t="0" r="57150" b="61595"/>
                <wp:wrapNone/>
                <wp:docPr id="27" name="Straight Arrow Connector 27">
                  <a:extLst xmlns:a="http://schemas.openxmlformats.org/drawingml/2006/main">
                    <a:ext uri="{FF2B5EF4-FFF2-40B4-BE49-F238E27FC236}">
                      <a16:creationId xmlns:a16="http://schemas.microsoft.com/office/drawing/2014/main" id="{0B0ED5C4-4245-4A3A-9D9B-667F3A3F7B48}"/>
                    </a:ext>
                  </a:extLst>
                </wp:docPr>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type w14:anchorId="74160083" id="_x0000_t32" coordsize="21600,21600" o:spt="32" o:oned="t" path="m,l21600,21600e" filled="f">
                <v:path arrowok="t" fillok="f" o:connecttype="none"/>
                <o:lock v:ext="edit" shapetype="t"/>
              </v:shapetype>
              <v:shape id="Straight Arrow Connector 27" o:spid="_x0000_s1026" type="#_x0000_t32" style="position:absolute;margin-left:108pt;margin-top:27.3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" strokecolor="windowText" strokeweight=".5pt">
                <v:stroke endarrow="block" joinstyle="miter"/>
              </v:shape>
            </w:pict>
          </mc:Fallback>
        </mc:AlternateContent>
      </w:r>
      <w:r w:rsidRPr="002908FC">
        <w:rPr>
          <w:rFonts w:ascii="Arial" w:hAnsi="Arial" w:cs="Arial"/>
          <w:b/>
          <w:bCs/>
          <w:noProof/>
          <w:sz w:val="22"/>
          <w:szCs w:val="22"/>
          <w:lang w:val="en-AU"/>
        </w:rPr>
        <mc:AlternateContent>
          <mc:Choice Requires="wps">
            <w:drawing>
              <wp:anchor distT="0" distB="0" distL="114300" distR="114300" simplePos="0" relativeHeight="251668480" behindDoc="0" locked="0" layoutInCell="1" allowOverlap="1" wp14:anchorId="16D13AF7" wp14:editId="73CFDE68">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a:extLst xmlns:a="http://schemas.openxmlformats.org/drawingml/2006/main">
                    <a:ext uri="{FF2B5EF4-FFF2-40B4-BE49-F238E27FC236}">
                      <a16:creationId xmlns:a16="http://schemas.microsoft.com/office/drawing/2014/main" id="{E4FDF497-5FD1-46B0-A553-4CFD6FF25924}"/>
                    </a:ext>
                  </a:extLst>
                </wp:docPr>
                <wp:cNvGraphicFramePr/>
                <a:graphic xmlns:a="http://schemas.openxmlformats.org/drawingml/2006/main">
                  <a:graphicData uri="http://schemas.microsoft.com/office/word/2010/wordprocessingShape">
                    <wps:wsp>
                      <wps:cNvCnPr/>
                      <wps:spPr>
                        <a:xfrm>
                          <a:off x="0" y="0"/>
                          <a:ext cx="563270"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A2B429D"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" strokecolor="windowText" strokeweight=".5pt">
                <v:stroke endarrow="block" joinstyle="miter"/>
              </v:shape>
            </w:pict>
          </mc:Fallback>
        </mc:AlternateContent>
      </w:r>
    </w:p>
    <w:p w14:paraId="7A7BFF31" w14:textId="77777777" w:rsidR="002908FC" w:rsidRPr="002908FC" w:rsidRDefault="002908FC" w:rsidP="002908FC">
      <w:pPr>
        <w:spacing w:line="360" w:lineRule="auto"/>
        <w:jc w:val="both"/>
        <w:rPr>
          <w:rFonts w:ascii="Arial" w:hAnsi="Arial" w:cs="Arial"/>
          <w:b/>
          <w:bCs/>
          <w:sz w:val="22"/>
          <w:szCs w:val="22"/>
          <w:lang w:val="en-AU"/>
        </w:rPr>
      </w:pPr>
    </w:p>
    <w:p w14:paraId="01F9E80D"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69504" behindDoc="0" locked="0" layoutInCell="1" allowOverlap="1" wp14:anchorId="08944355" wp14:editId="3AE7B79F">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a:extLst xmlns:a="http://schemas.openxmlformats.org/drawingml/2006/main">
                    <a:ext uri="{FF2B5EF4-FFF2-40B4-BE49-F238E27FC236}">
                      <a16:creationId xmlns:a16="http://schemas.microsoft.com/office/drawing/2014/main" id="{DC5D1E2F-F11F-45B2-88FF-A604EB06A038}"/>
                    </a:ext>
                  </a:extLst>
                </wp:docPr>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16E7DE57"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" strokecolor="windowText" strokeweight=".5pt">
                <v:stroke endarrow="block" joinstyle="miter"/>
              </v:shape>
            </w:pict>
          </mc:Fallback>
        </mc:AlternateContent>
      </w:r>
      <w:r w:rsidRPr="002908FC">
        <w:rPr>
          <w:rFonts w:ascii="Arial" w:hAnsi="Arial" w:cs="Arial"/>
          <w:b/>
          <w:bCs/>
          <w:noProof/>
          <w:sz w:val="22"/>
          <w:szCs w:val="22"/>
          <w:lang w:val="en-AU"/>
        </w:rPr>
        <mc:AlternateContent>
          <mc:Choice Requires="wps">
            <w:drawing>
              <wp:anchor distT="0" distB="0" distL="114300" distR="114300" simplePos="0" relativeHeight="251661312" behindDoc="0" locked="0" layoutInCell="1" allowOverlap="1" wp14:anchorId="667C1AE3" wp14:editId="42206549">
                <wp:simplePos x="0" y="0"/>
                <wp:positionH relativeFrom="column">
                  <wp:posOffset>559435</wp:posOffset>
                </wp:positionH>
                <wp:positionV relativeFrom="paragraph">
                  <wp:posOffset>74930</wp:posOffset>
                </wp:positionV>
                <wp:extent cx="1887220" cy="526415"/>
                <wp:effectExtent l="0" t="0" r="17780" b="26035"/>
                <wp:wrapNone/>
                <wp:docPr id="3" name="Rectangle 3">
                  <a:extLst xmlns:a="http://schemas.openxmlformats.org/drawingml/2006/main">
                    <a:ext uri="{FF2B5EF4-FFF2-40B4-BE49-F238E27FC236}">
                      <a16:creationId xmlns:a16="http://schemas.microsoft.com/office/drawing/2014/main" id="{EC0041AC-8080-466B-BC5F-C7FF614C4374}"/>
                    </a:ext>
                  </a:extLst>
                </wp:docPr>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1A7B193F"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Records screened</w:t>
                            </w:r>
                          </w:p>
                          <w:p w14:paraId="7F8449B1"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 xml:space="preserve">(n = </w:t>
                            </w:r>
                            <w:r>
                              <w:rPr>
                                <w:rFonts w:ascii="Arial" w:hAnsi="Arial" w:cs="Arial"/>
                                <w:color w:val="000000"/>
                                <w:sz w:val="18"/>
                                <w:szCs w:val="20"/>
                              </w:rPr>
                              <w:t>850</w:t>
                            </w:r>
                            <w:r w:rsidRPr="00EF0BC2">
                              <w:rPr>
                                <w:rFonts w:ascii="Arial" w:hAnsi="Arial" w:cs="Arial"/>
                                <w:color w:val="000000"/>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7C1AE3" id="Rectangle 3" o:spid="_x0000_s1030" style="position:absolute;left:0;text-align:left;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" filled="f" strokecolor="windowText" strokeweight="1pt">
                <v:textbox>
                  <w:txbxContent>
                    <w:p w14:paraId="1A7B193F"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Records screened</w:t>
                      </w:r>
                    </w:p>
                    <w:p w14:paraId="7F8449B1"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 xml:space="preserve">(n = </w:t>
                      </w:r>
                      <w:r>
                        <w:rPr>
                          <w:rFonts w:ascii="Arial" w:hAnsi="Arial" w:cs="Arial"/>
                          <w:color w:val="000000"/>
                          <w:sz w:val="18"/>
                          <w:szCs w:val="20"/>
                        </w:rPr>
                        <w:t>850</w:t>
                      </w:r>
                      <w:r w:rsidRPr="00EF0BC2">
                        <w:rPr>
                          <w:rFonts w:ascii="Arial" w:hAnsi="Arial" w:cs="Arial"/>
                          <w:color w:val="000000"/>
                          <w:sz w:val="18"/>
                          <w:szCs w:val="20"/>
                        </w:rPr>
                        <w:t>)</w:t>
                      </w:r>
                    </w:p>
                  </w:txbxContent>
                </v:textbox>
              </v:rect>
            </w:pict>
          </mc:Fallback>
        </mc:AlternateContent>
      </w:r>
      <w:r w:rsidRPr="002908FC">
        <w:rPr>
          <w:rFonts w:ascii="Arial" w:hAnsi="Arial" w:cs="Arial"/>
          <w:b/>
          <w:bCs/>
          <w:noProof/>
          <w:sz w:val="22"/>
          <w:szCs w:val="22"/>
          <w:lang w:val="en-AU"/>
        </w:rPr>
        <mc:AlternateContent>
          <mc:Choice Requires="wps">
            <w:drawing>
              <wp:anchor distT="0" distB="0" distL="114300" distR="114300" simplePos="0" relativeHeight="251662336" behindDoc="0" locked="0" layoutInCell="1" allowOverlap="1" wp14:anchorId="6FDA6DCB" wp14:editId="29B30181">
                <wp:simplePos x="0" y="0"/>
                <wp:positionH relativeFrom="column">
                  <wp:posOffset>3048000</wp:posOffset>
                </wp:positionH>
                <wp:positionV relativeFrom="paragraph">
                  <wp:posOffset>74930</wp:posOffset>
                </wp:positionV>
                <wp:extent cx="1887220" cy="526415"/>
                <wp:effectExtent l="0" t="0" r="17780" b="26035"/>
                <wp:wrapNone/>
                <wp:docPr id="4" name="Rectangle 4">
                  <a:extLst xmlns:a="http://schemas.openxmlformats.org/drawingml/2006/main">
                    <a:ext uri="{FF2B5EF4-FFF2-40B4-BE49-F238E27FC236}">
                      <a16:creationId xmlns:a16="http://schemas.microsoft.com/office/drawing/2014/main" id="{4F75DB1F-504D-4505-A313-56B3C0525081}"/>
                    </a:ext>
                  </a:extLst>
                </wp:docPr>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18586C10"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Records excluded**</w:t>
                            </w:r>
                          </w:p>
                          <w:p w14:paraId="13364E9F"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(n =</w:t>
                            </w:r>
                            <w:r>
                              <w:rPr>
                                <w:rFonts w:ascii="Arial" w:hAnsi="Arial" w:cs="Arial"/>
                                <w:color w:val="000000"/>
                                <w:sz w:val="18"/>
                                <w:szCs w:val="20"/>
                              </w:rPr>
                              <w:t>755</w:t>
                            </w:r>
                            <w:r w:rsidRPr="00EF0BC2">
                              <w:rPr>
                                <w:rFonts w:ascii="Arial" w:hAnsi="Arial" w:cs="Arial"/>
                                <w:color w:val="000000"/>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FDA6DCB" id="Rectangle 4" o:spid="_x0000_s1031" style="position:absolute;left:0;text-align:left;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" filled="f" strokecolor="windowText" strokeweight="1pt">
                <v:textbox>
                  <w:txbxContent>
                    <w:p w14:paraId="18586C10"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Records excluded**</w:t>
                      </w:r>
                    </w:p>
                    <w:p w14:paraId="13364E9F"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(n =</w:t>
                      </w:r>
                      <w:r>
                        <w:rPr>
                          <w:rFonts w:ascii="Arial" w:hAnsi="Arial" w:cs="Arial"/>
                          <w:color w:val="000000"/>
                          <w:sz w:val="18"/>
                          <w:szCs w:val="20"/>
                        </w:rPr>
                        <w:t>755</w:t>
                      </w:r>
                      <w:r w:rsidRPr="00EF0BC2">
                        <w:rPr>
                          <w:rFonts w:ascii="Arial" w:hAnsi="Arial" w:cs="Arial"/>
                          <w:color w:val="000000"/>
                          <w:sz w:val="18"/>
                          <w:szCs w:val="20"/>
                        </w:rPr>
                        <w:t xml:space="preserve"> )</w:t>
                      </w:r>
                    </w:p>
                  </w:txbxContent>
                </v:textbox>
              </v:rect>
            </w:pict>
          </mc:Fallback>
        </mc:AlternateContent>
      </w:r>
    </w:p>
    <w:p w14:paraId="6B47E7E7" w14:textId="77777777" w:rsidR="002908FC" w:rsidRPr="002908FC" w:rsidRDefault="002908FC" w:rsidP="002908FC">
      <w:pPr>
        <w:spacing w:line="360" w:lineRule="auto"/>
        <w:jc w:val="both"/>
        <w:rPr>
          <w:rFonts w:ascii="Arial" w:hAnsi="Arial" w:cs="Arial"/>
          <w:b/>
          <w:bCs/>
          <w:sz w:val="22"/>
          <w:szCs w:val="22"/>
          <w:lang w:val="en-AU"/>
        </w:rPr>
      </w:pPr>
    </w:p>
    <w:p w14:paraId="40987711"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77696" behindDoc="0" locked="0" layoutInCell="1" allowOverlap="1" wp14:anchorId="534D75F9" wp14:editId="5DB3AF91">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a:extLst xmlns:a="http://schemas.openxmlformats.org/drawingml/2006/main">
                    <a:ext uri="{FF2B5EF4-FFF2-40B4-BE49-F238E27FC236}">
                      <a16:creationId xmlns:a16="http://schemas.microsoft.com/office/drawing/2014/main" id="{E836D19D-76C3-4921-9BE0-1873E9447539}"/>
                    </a:ext>
                  </a:extLst>
                </wp:docPr>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2FA58EC3"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" strokecolor="windowText" strokeweight=".5pt">
                <v:stroke endarrow="block" joinstyle="miter"/>
              </v:shape>
            </w:pict>
          </mc:Fallback>
        </mc:AlternateContent>
      </w:r>
    </w:p>
    <w:p w14:paraId="341C922E"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63360" behindDoc="0" locked="0" layoutInCell="1" allowOverlap="1" wp14:anchorId="51632CE9" wp14:editId="64BEBB50">
                <wp:simplePos x="0" y="0"/>
                <wp:positionH relativeFrom="column">
                  <wp:posOffset>560705</wp:posOffset>
                </wp:positionH>
                <wp:positionV relativeFrom="paragraph">
                  <wp:posOffset>47625</wp:posOffset>
                </wp:positionV>
                <wp:extent cx="1887220" cy="526415"/>
                <wp:effectExtent l="0" t="0" r="17780" b="26035"/>
                <wp:wrapNone/>
                <wp:docPr id="5" name="Rectangle 5">
                  <a:extLst xmlns:a="http://schemas.openxmlformats.org/drawingml/2006/main">
                    <a:ext uri="{FF2B5EF4-FFF2-40B4-BE49-F238E27FC236}">
                      <a16:creationId xmlns:a16="http://schemas.microsoft.com/office/drawing/2014/main" id="{A8CC5677-E645-4F82-8FAD-BFC8E92B996F}"/>
                    </a:ext>
                  </a:extLst>
                </wp:docPr>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463055B5"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Reports sought for retrieval</w:t>
                            </w:r>
                          </w:p>
                          <w:p w14:paraId="4754D400"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(n =</w:t>
                            </w:r>
                            <w:r>
                              <w:rPr>
                                <w:rFonts w:ascii="Arial" w:hAnsi="Arial" w:cs="Arial"/>
                                <w:color w:val="000000"/>
                                <w:sz w:val="18"/>
                                <w:szCs w:val="20"/>
                              </w:rPr>
                              <w:t>95</w:t>
                            </w:r>
                            <w:r w:rsidRPr="00EF0BC2">
                              <w:rPr>
                                <w:rFonts w:ascii="Arial" w:hAnsi="Arial" w:cs="Arial"/>
                                <w:color w:val="000000"/>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1632CE9" id="Rectangle 5" o:spid="_x0000_s1032" style="position:absolute;left:0;text-align:left;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" filled="f" strokecolor="windowText" strokeweight="1pt">
                <v:textbox>
                  <w:txbxContent>
                    <w:p w14:paraId="463055B5"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Reports sought for retrieval</w:t>
                      </w:r>
                    </w:p>
                    <w:p w14:paraId="4754D400"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(n =</w:t>
                      </w:r>
                      <w:r>
                        <w:rPr>
                          <w:rFonts w:ascii="Arial" w:hAnsi="Arial" w:cs="Arial"/>
                          <w:color w:val="000000"/>
                          <w:sz w:val="18"/>
                          <w:szCs w:val="20"/>
                        </w:rPr>
                        <w:t>95</w:t>
                      </w:r>
                      <w:r w:rsidRPr="00EF0BC2">
                        <w:rPr>
                          <w:rFonts w:ascii="Arial" w:hAnsi="Arial" w:cs="Arial"/>
                          <w:color w:val="000000"/>
                          <w:sz w:val="18"/>
                          <w:szCs w:val="20"/>
                        </w:rPr>
                        <w:t xml:space="preserve"> )</w:t>
                      </w:r>
                    </w:p>
                  </w:txbxContent>
                </v:textbox>
              </v:rect>
            </w:pict>
          </mc:Fallback>
        </mc:AlternateContent>
      </w:r>
      <w:r w:rsidRPr="002908FC">
        <w:rPr>
          <w:rFonts w:ascii="Arial" w:hAnsi="Arial" w:cs="Arial"/>
          <w:b/>
          <w:bCs/>
          <w:noProof/>
          <w:sz w:val="22"/>
          <w:szCs w:val="22"/>
          <w:lang w:val="en-AU"/>
        </w:rPr>
        <mc:AlternateContent>
          <mc:Choice Requires="wps">
            <w:drawing>
              <wp:anchor distT="0" distB="0" distL="114300" distR="114300" simplePos="0" relativeHeight="251670528" behindDoc="0" locked="0" layoutInCell="1" allowOverlap="1" wp14:anchorId="0424CFA5" wp14:editId="133EAFC8">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a:extLst xmlns:a="http://schemas.openxmlformats.org/drawingml/2006/main">
                    <a:ext uri="{FF2B5EF4-FFF2-40B4-BE49-F238E27FC236}">
                      <a16:creationId xmlns:a16="http://schemas.microsoft.com/office/drawing/2014/main" id="{FD160E51-C42E-468E-A10A-07579184E821}"/>
                    </a:ext>
                  </a:extLst>
                </wp:docPr>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5A0F8D21"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" strokecolor="windowText" strokeweight=".5pt">
                <v:stroke endarrow="block" joinstyle="miter"/>
              </v:shape>
            </w:pict>
          </mc:Fallback>
        </mc:AlternateContent>
      </w:r>
      <w:r w:rsidRPr="002908FC">
        <w:rPr>
          <w:rFonts w:ascii="Arial" w:hAnsi="Arial" w:cs="Arial"/>
          <w:b/>
          <w:bCs/>
          <w:noProof/>
          <w:sz w:val="22"/>
          <w:szCs w:val="22"/>
          <w:lang w:val="en-AU"/>
        </w:rPr>
        <mc:AlternateContent>
          <mc:Choice Requires="wps">
            <w:drawing>
              <wp:anchor distT="0" distB="0" distL="114300" distR="114300" simplePos="0" relativeHeight="251664384" behindDoc="0" locked="0" layoutInCell="1" allowOverlap="1" wp14:anchorId="66EA4007" wp14:editId="43A74B79">
                <wp:simplePos x="0" y="0"/>
                <wp:positionH relativeFrom="column">
                  <wp:posOffset>3049270</wp:posOffset>
                </wp:positionH>
                <wp:positionV relativeFrom="paragraph">
                  <wp:posOffset>66675</wp:posOffset>
                </wp:positionV>
                <wp:extent cx="1887220" cy="526415"/>
                <wp:effectExtent l="0" t="0" r="17780" b="26035"/>
                <wp:wrapNone/>
                <wp:docPr id="6" name="Rectangle 6">
                  <a:extLst xmlns:a="http://schemas.openxmlformats.org/drawingml/2006/main">
                    <a:ext uri="{FF2B5EF4-FFF2-40B4-BE49-F238E27FC236}">
                      <a16:creationId xmlns:a16="http://schemas.microsoft.com/office/drawing/2014/main" id="{C5425151-7536-466C-B8A9-158B65351664}"/>
                    </a:ext>
                  </a:extLst>
                </wp:docPr>
                <wp:cNvGraphicFramePr/>
                <a:graphic xmlns:a="http://schemas.openxmlformats.org/drawingml/2006/main">
                  <a:graphicData uri="http://schemas.microsoft.com/office/word/2010/wordprocessingShape">
                    <wps:wsp>
                      <wps:cNvSpPr/>
                      <wps:spPr>
                        <a:xfrm>
                          <a:off x="0" y="0"/>
                          <a:ext cx="1887220" cy="526415"/>
                        </a:xfrm>
                        <a:prstGeom prst="rect">
                          <a:avLst/>
                        </a:prstGeom>
                        <a:noFill/>
                        <a:ln w="12700" cap="flat" cmpd="sng" algn="ctr">
                          <a:solidFill>
                            <a:sysClr val="windowText" lastClr="000000"/>
                          </a:solidFill>
                          <a:prstDash val="solid"/>
                          <a:miter lim="800000"/>
                        </a:ln>
                        <a:effectLst/>
                      </wps:spPr>
                      <wps:txbx>
                        <w:txbxContent>
                          <w:p w14:paraId="2409FFD7"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Reports not retrieved</w:t>
                            </w:r>
                          </w:p>
                          <w:p w14:paraId="2EA8AEBA"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(n =</w:t>
                            </w:r>
                            <w:r>
                              <w:rPr>
                                <w:rFonts w:ascii="Arial" w:hAnsi="Arial" w:cs="Arial"/>
                                <w:color w:val="000000"/>
                                <w:sz w:val="18"/>
                                <w:szCs w:val="20"/>
                              </w:rPr>
                              <w:t>25</w:t>
                            </w:r>
                            <w:r w:rsidRPr="00EF0BC2">
                              <w:rPr>
                                <w:rFonts w:ascii="Arial" w:hAnsi="Arial" w:cs="Arial"/>
                                <w:color w:val="000000"/>
                                <w:sz w:val="18"/>
                                <w:szCs w:val="20"/>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EA4007" id="Rectangle 6" o:spid="_x0000_s1033" style="position:absolute;left:0;text-align:left;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" filled="f" strokecolor="windowText" strokeweight="1pt">
                <v:textbox>
                  <w:txbxContent>
                    <w:p w14:paraId="2409FFD7"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Reports not retrieved</w:t>
                      </w:r>
                    </w:p>
                    <w:p w14:paraId="2EA8AEBA"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(n =</w:t>
                      </w:r>
                      <w:r>
                        <w:rPr>
                          <w:rFonts w:ascii="Arial" w:hAnsi="Arial" w:cs="Arial"/>
                          <w:color w:val="000000"/>
                          <w:sz w:val="18"/>
                          <w:szCs w:val="20"/>
                        </w:rPr>
                        <w:t>25</w:t>
                      </w:r>
                      <w:r w:rsidRPr="00EF0BC2">
                        <w:rPr>
                          <w:rFonts w:ascii="Arial" w:hAnsi="Arial" w:cs="Arial"/>
                          <w:color w:val="000000"/>
                          <w:sz w:val="18"/>
                          <w:szCs w:val="20"/>
                        </w:rPr>
                        <w:t xml:space="preserve"> )</w:t>
                      </w:r>
                    </w:p>
                  </w:txbxContent>
                </v:textbox>
              </v:rect>
            </w:pict>
          </mc:Fallback>
        </mc:AlternateContent>
      </w:r>
    </w:p>
    <w:p w14:paraId="4720C1BB"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74624" behindDoc="0" locked="0" layoutInCell="1" allowOverlap="1" wp14:anchorId="04072F43" wp14:editId="22ACC9B3">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a:extLst xmlns:a="http://schemas.openxmlformats.org/drawingml/2006/main">
                    <a:ext uri="{FF2B5EF4-FFF2-40B4-BE49-F238E27FC236}">
                      <a16:creationId xmlns:a16="http://schemas.microsoft.com/office/drawing/2014/main" id="{795E674A-2AC9-48AA-A16F-50F8CB678EFD}"/>
                    </a:ext>
                  </a:extLst>
                </wp:docPr>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7F9AF3F4" w14:textId="77777777" w:rsidR="002908FC" w:rsidRPr="00EF0BC2" w:rsidRDefault="002908FC" w:rsidP="002908FC">
                            <w:pPr>
                              <w:spacing w:after="0" w:line="240" w:lineRule="auto"/>
                              <w:jc w:val="center"/>
                              <w:rPr>
                                <w:rFonts w:ascii="Arial" w:hAnsi="Arial" w:cs="Arial"/>
                                <w:b/>
                                <w:color w:val="000000"/>
                                <w:sz w:val="18"/>
                                <w:szCs w:val="18"/>
                              </w:rPr>
                            </w:pPr>
                            <w:r w:rsidRPr="00EF0BC2">
                              <w:rPr>
                                <w:rFonts w:ascii="Arial" w:hAnsi="Arial" w:cs="Arial"/>
                                <w:b/>
                                <w:color w:val="000000"/>
                                <w:sz w:val="18"/>
                                <w:szCs w:val="18"/>
                              </w:rPr>
                              <w:t>Screening</w:t>
                            </w:r>
                          </w:p>
                          <w:p w14:paraId="768DD37E" w14:textId="77777777" w:rsidR="002908FC" w:rsidRPr="00EF0BC2" w:rsidRDefault="002908FC" w:rsidP="002908FC">
                            <w:pPr>
                              <w:spacing w:after="0" w:line="240" w:lineRule="auto"/>
                              <w:rPr>
                                <w:rFonts w:ascii="Arial" w:hAnsi="Arial" w:cs="Arial"/>
                                <w:b/>
                                <w:color w:val="000000"/>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072F43" id="Flowchart: Alternate Process 32" o:spid="_x0000_s1034" type="#_x0000_t176" style="position:absolute;left:0;text-align:left;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" fillcolor="#9dc3e6" strokecolor="windowText" strokeweight="1pt">
                <v:textbox>
                  <w:txbxContent>
                    <w:p w14:paraId="7F9AF3F4" w14:textId="77777777" w:rsidR="002908FC" w:rsidRPr="00EF0BC2" w:rsidRDefault="002908FC" w:rsidP="002908FC">
                      <w:pPr>
                        <w:spacing w:after="0" w:line="240" w:lineRule="auto"/>
                        <w:jc w:val="center"/>
                        <w:rPr>
                          <w:rFonts w:ascii="Arial" w:hAnsi="Arial" w:cs="Arial"/>
                          <w:b/>
                          <w:color w:val="000000"/>
                          <w:sz w:val="18"/>
                          <w:szCs w:val="18"/>
                        </w:rPr>
                      </w:pPr>
                      <w:r w:rsidRPr="00EF0BC2">
                        <w:rPr>
                          <w:rFonts w:ascii="Arial" w:hAnsi="Arial" w:cs="Arial"/>
                          <w:b/>
                          <w:color w:val="000000"/>
                          <w:sz w:val="18"/>
                          <w:szCs w:val="18"/>
                        </w:rPr>
                        <w:t>Screening</w:t>
                      </w:r>
                    </w:p>
                    <w:p w14:paraId="768DD37E" w14:textId="77777777" w:rsidR="002908FC" w:rsidRPr="00EF0BC2" w:rsidRDefault="002908FC" w:rsidP="002908FC">
                      <w:pPr>
                        <w:spacing w:after="0" w:line="240" w:lineRule="auto"/>
                        <w:rPr>
                          <w:rFonts w:ascii="Arial" w:hAnsi="Arial" w:cs="Arial"/>
                          <w:b/>
                          <w:color w:val="000000"/>
                          <w:sz w:val="18"/>
                          <w:szCs w:val="18"/>
                        </w:rPr>
                      </w:pPr>
                    </w:p>
                  </w:txbxContent>
                </v:textbox>
              </v:shape>
            </w:pict>
          </mc:Fallback>
        </mc:AlternateContent>
      </w:r>
    </w:p>
    <w:p w14:paraId="4EB506AA"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78720" behindDoc="0" locked="0" layoutInCell="1" allowOverlap="1" wp14:anchorId="59C29FE2" wp14:editId="1A7C825C">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a:extLst xmlns:a="http://schemas.openxmlformats.org/drawingml/2006/main">
                    <a:ext uri="{FF2B5EF4-FFF2-40B4-BE49-F238E27FC236}">
                      <a16:creationId xmlns:a16="http://schemas.microsoft.com/office/drawing/2014/main" id="{C2ECF418-7C3A-49AC-8300-4D4A42CC8E81}"/>
                    </a:ext>
                  </a:extLst>
                </wp:docPr>
                <wp:cNvGraphicFramePr/>
                <a:graphic xmlns:a="http://schemas.openxmlformats.org/drawingml/2006/main">
                  <a:graphicData uri="http://schemas.microsoft.com/office/word/2010/wordprocessingShape">
                    <wps:wsp>
                      <wps:cNvCnPr/>
                      <wps:spPr>
                        <a:xfrm>
                          <a:off x="0" y="0"/>
                          <a:ext cx="0" cy="281305"/>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71CF62D7"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" strokecolor="windowText" strokeweight=".5pt">
                <v:stroke endarrow="block" joinstyle="miter"/>
              </v:shape>
            </w:pict>
          </mc:Fallback>
        </mc:AlternateContent>
      </w:r>
    </w:p>
    <w:p w14:paraId="11CD7889"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66432" behindDoc="0" locked="0" layoutInCell="1" allowOverlap="1" wp14:anchorId="35A1D46C" wp14:editId="1C5EF446">
                <wp:simplePos x="0" y="0"/>
                <wp:positionH relativeFrom="column">
                  <wp:posOffset>2758440</wp:posOffset>
                </wp:positionH>
                <wp:positionV relativeFrom="paragraph">
                  <wp:posOffset>29845</wp:posOffset>
                </wp:positionV>
                <wp:extent cx="2603500" cy="1350962"/>
                <wp:effectExtent l="0" t="0" r="25400" b="20955"/>
                <wp:wrapNone/>
                <wp:docPr id="9" name="Rectangle 9">
                  <a:extLst xmlns:a="http://schemas.openxmlformats.org/drawingml/2006/main">
                    <a:ext uri="{FF2B5EF4-FFF2-40B4-BE49-F238E27FC236}">
                      <a16:creationId xmlns:a16="http://schemas.microsoft.com/office/drawing/2014/main" id="{D9F8095F-E7FA-4B84-A4B6-CF4FBD2ACA62}"/>
                    </a:ext>
                  </a:extLst>
                </wp:docPr>
                <wp:cNvGraphicFramePr/>
                <a:graphic xmlns:a="http://schemas.openxmlformats.org/drawingml/2006/main">
                  <a:graphicData uri="http://schemas.microsoft.com/office/word/2010/wordprocessingShape">
                    <wps:wsp>
                      <wps:cNvSpPr/>
                      <wps:spPr>
                        <a:xfrm>
                          <a:off x="0" y="0"/>
                          <a:ext cx="2603500" cy="1350962"/>
                        </a:xfrm>
                        <a:prstGeom prst="rect">
                          <a:avLst/>
                        </a:prstGeom>
                        <a:noFill/>
                        <a:ln w="12700" cap="flat" cmpd="sng" algn="ctr">
                          <a:solidFill>
                            <a:sysClr val="windowText" lastClr="000000"/>
                          </a:solidFill>
                          <a:prstDash val="solid"/>
                          <a:miter lim="800000"/>
                        </a:ln>
                        <a:effectLst/>
                      </wps:spPr>
                      <wps:txbx>
                        <w:txbxContent>
                          <w:p w14:paraId="69C45FC1" w14:textId="77777777" w:rsidR="002908FC" w:rsidRPr="004C2133" w:rsidRDefault="002908FC" w:rsidP="002908FC">
                            <w:pPr>
                              <w:spacing w:after="0" w:line="240" w:lineRule="auto"/>
                              <w:rPr>
                                <w:rFonts w:ascii="Arial" w:hAnsi="Arial" w:cs="Arial"/>
                                <w:color w:val="000000"/>
                                <w:sz w:val="18"/>
                                <w:szCs w:val="18"/>
                              </w:rPr>
                            </w:pPr>
                            <w:r w:rsidRPr="004C2133">
                              <w:rPr>
                                <w:rFonts w:ascii="Arial" w:hAnsi="Arial" w:cs="Arial"/>
                                <w:color w:val="000000"/>
                                <w:sz w:val="18"/>
                                <w:szCs w:val="18"/>
                              </w:rPr>
                              <w:t>Reports excluded</w:t>
                            </w:r>
                            <w:r w:rsidRPr="00321D12">
                              <w:rPr>
                                <w:rFonts w:ascii="Arial" w:hAnsi="Arial" w:cs="Arial"/>
                                <w:b/>
                                <w:bCs/>
                                <w:color w:val="000000"/>
                                <w:sz w:val="18"/>
                                <w:szCs w:val="18"/>
                              </w:rPr>
                              <w:t>:(n</w:t>
                            </w:r>
                            <w:r>
                              <w:rPr>
                                <w:rFonts w:ascii="Arial" w:hAnsi="Arial" w:cs="Arial"/>
                                <w:b/>
                                <w:bCs/>
                                <w:color w:val="000000"/>
                                <w:sz w:val="18"/>
                                <w:szCs w:val="18"/>
                              </w:rPr>
                              <w:t xml:space="preserve"> = </w:t>
                            </w:r>
                            <w:r w:rsidRPr="00321D12">
                              <w:rPr>
                                <w:rFonts w:ascii="Arial" w:hAnsi="Arial" w:cs="Arial"/>
                                <w:b/>
                                <w:bCs/>
                                <w:color w:val="000000"/>
                                <w:sz w:val="18"/>
                                <w:szCs w:val="18"/>
                              </w:rPr>
                              <w:t>60):</w:t>
                            </w:r>
                          </w:p>
                          <w:p w14:paraId="2D9A50D2" w14:textId="77777777" w:rsidR="002908FC" w:rsidRPr="004C2133" w:rsidRDefault="002908FC" w:rsidP="002908FC">
                            <w:pPr>
                              <w:spacing w:after="0" w:line="240" w:lineRule="auto"/>
                              <w:rPr>
                                <w:rFonts w:ascii="Arial" w:hAnsi="Arial" w:cs="Arial"/>
                                <w:color w:val="000000"/>
                                <w:sz w:val="18"/>
                                <w:szCs w:val="18"/>
                              </w:rPr>
                            </w:pPr>
                          </w:p>
                          <w:p w14:paraId="141B5CBC" w14:textId="77777777" w:rsidR="002908FC" w:rsidRPr="004C2133" w:rsidRDefault="002908FC" w:rsidP="002908FC">
                            <w:pPr>
                              <w:spacing w:after="0" w:line="240" w:lineRule="auto"/>
                              <w:rPr>
                                <w:rFonts w:ascii="Arial" w:hAnsi="Arial" w:cs="Arial"/>
                                <w:color w:val="000000"/>
                                <w:sz w:val="18"/>
                                <w:szCs w:val="18"/>
                              </w:rPr>
                            </w:pPr>
                            <w:r w:rsidRPr="004C2133">
                              <w:rPr>
                                <w:rFonts w:ascii="Arial" w:hAnsi="Arial" w:cs="Arial"/>
                                <w:color w:val="000000"/>
                                <w:sz w:val="18"/>
                                <w:szCs w:val="18"/>
                              </w:rPr>
                              <w:t>Reason 1</w:t>
                            </w:r>
                            <w:r>
                              <w:rPr>
                                <w:rFonts w:ascii="Arial" w:hAnsi="Arial" w:cs="Arial"/>
                                <w:color w:val="000000"/>
                                <w:sz w:val="18"/>
                                <w:szCs w:val="18"/>
                              </w:rPr>
                              <w:t>:</w:t>
                            </w:r>
                            <w:r w:rsidRPr="004C2133">
                              <w:rPr>
                                <w:rFonts w:ascii="Arial" w:hAnsi="Arial" w:cs="Arial"/>
                                <w:color w:val="000000"/>
                                <w:sz w:val="18"/>
                                <w:szCs w:val="18"/>
                              </w:rPr>
                              <w:t xml:space="preserve"> Non-UK studi</w:t>
                            </w:r>
                            <w:r>
                              <w:rPr>
                                <w:rFonts w:ascii="Arial" w:hAnsi="Arial" w:cs="Arial"/>
                                <w:color w:val="000000"/>
                                <w:sz w:val="18"/>
                                <w:szCs w:val="18"/>
                              </w:rPr>
                              <w:t>es</w:t>
                            </w:r>
                            <w:r w:rsidRPr="004C2133">
                              <w:rPr>
                                <w:rFonts w:ascii="Arial" w:hAnsi="Arial" w:cs="Arial"/>
                                <w:color w:val="000000"/>
                                <w:sz w:val="18"/>
                                <w:szCs w:val="18"/>
                              </w:rPr>
                              <w:t xml:space="preserve"> </w:t>
                            </w:r>
                            <w:r w:rsidRPr="00321D12">
                              <w:rPr>
                                <w:rFonts w:ascii="Arial" w:hAnsi="Arial" w:cs="Arial"/>
                                <w:b/>
                                <w:bCs/>
                                <w:color w:val="000000"/>
                                <w:sz w:val="18"/>
                                <w:szCs w:val="18"/>
                              </w:rPr>
                              <w:t>(n =</w:t>
                            </w:r>
                            <w:r>
                              <w:rPr>
                                <w:rFonts w:ascii="Arial" w:hAnsi="Arial" w:cs="Arial"/>
                                <w:b/>
                                <w:bCs/>
                                <w:color w:val="000000"/>
                                <w:sz w:val="18"/>
                                <w:szCs w:val="18"/>
                              </w:rPr>
                              <w:t xml:space="preserve"> </w:t>
                            </w:r>
                            <w:r w:rsidRPr="00321D12">
                              <w:rPr>
                                <w:rFonts w:ascii="Arial" w:hAnsi="Arial" w:cs="Arial"/>
                                <w:b/>
                                <w:bCs/>
                                <w:color w:val="000000"/>
                                <w:sz w:val="18"/>
                                <w:szCs w:val="18"/>
                              </w:rPr>
                              <w:t>22)</w:t>
                            </w:r>
                          </w:p>
                          <w:p w14:paraId="78C166F8" w14:textId="77777777" w:rsidR="002908FC" w:rsidRPr="004C2133" w:rsidRDefault="002908FC" w:rsidP="002908FC">
                            <w:pPr>
                              <w:spacing w:after="0" w:line="240" w:lineRule="auto"/>
                              <w:rPr>
                                <w:rFonts w:ascii="Arial" w:hAnsi="Arial" w:cs="Arial"/>
                                <w:color w:val="000000"/>
                                <w:sz w:val="18"/>
                                <w:szCs w:val="18"/>
                              </w:rPr>
                            </w:pPr>
                            <w:r w:rsidRPr="004C2133">
                              <w:rPr>
                                <w:rFonts w:ascii="Arial" w:hAnsi="Arial" w:cs="Arial"/>
                                <w:color w:val="000000"/>
                                <w:sz w:val="18"/>
                                <w:szCs w:val="18"/>
                              </w:rPr>
                              <w:t>Reason 2</w:t>
                            </w:r>
                            <w:r>
                              <w:rPr>
                                <w:rFonts w:ascii="Arial" w:hAnsi="Arial" w:cs="Arial"/>
                                <w:color w:val="000000"/>
                                <w:sz w:val="18"/>
                                <w:szCs w:val="18"/>
                              </w:rPr>
                              <w:t>:</w:t>
                            </w:r>
                            <w:r w:rsidRPr="004C2133">
                              <w:rPr>
                                <w:rFonts w:ascii="Arial" w:hAnsi="Arial" w:cs="Arial"/>
                                <w:sz w:val="18"/>
                                <w:szCs w:val="18"/>
                              </w:rPr>
                              <w:t xml:space="preserve"> </w:t>
                            </w:r>
                            <w:r w:rsidRPr="004C2133">
                              <w:rPr>
                                <w:rFonts w:ascii="Arial" w:hAnsi="Arial" w:cs="Arial"/>
                                <w:color w:val="000000"/>
                                <w:sz w:val="18"/>
                                <w:szCs w:val="18"/>
                              </w:rPr>
                              <w:t xml:space="preserve">Inappropriate population </w:t>
                            </w:r>
                            <w:r w:rsidRPr="00321D12">
                              <w:rPr>
                                <w:rFonts w:ascii="Arial" w:hAnsi="Arial" w:cs="Arial"/>
                                <w:b/>
                                <w:bCs/>
                                <w:color w:val="000000"/>
                                <w:sz w:val="18"/>
                                <w:szCs w:val="18"/>
                              </w:rPr>
                              <w:t>(n =</w:t>
                            </w:r>
                            <w:r>
                              <w:rPr>
                                <w:rFonts w:ascii="Arial" w:hAnsi="Arial" w:cs="Arial"/>
                                <w:b/>
                                <w:bCs/>
                                <w:color w:val="000000"/>
                                <w:sz w:val="18"/>
                                <w:szCs w:val="18"/>
                              </w:rPr>
                              <w:t xml:space="preserve"> </w:t>
                            </w:r>
                            <w:r w:rsidRPr="00321D12">
                              <w:rPr>
                                <w:rFonts w:ascii="Arial" w:hAnsi="Arial" w:cs="Arial"/>
                                <w:b/>
                                <w:bCs/>
                                <w:color w:val="000000"/>
                                <w:sz w:val="18"/>
                                <w:szCs w:val="18"/>
                              </w:rPr>
                              <w:t>18)</w:t>
                            </w:r>
                          </w:p>
                          <w:p w14:paraId="2E982DA8" w14:textId="77777777" w:rsidR="002908FC" w:rsidRPr="004C2133" w:rsidRDefault="002908FC" w:rsidP="002908FC">
                            <w:pPr>
                              <w:spacing w:after="0" w:line="240" w:lineRule="auto"/>
                              <w:rPr>
                                <w:rFonts w:ascii="Arial" w:hAnsi="Arial" w:cs="Arial"/>
                                <w:color w:val="000000"/>
                                <w:sz w:val="18"/>
                                <w:szCs w:val="18"/>
                              </w:rPr>
                            </w:pPr>
                            <w:r w:rsidRPr="004C2133">
                              <w:rPr>
                                <w:rFonts w:ascii="Arial" w:hAnsi="Arial" w:cs="Arial"/>
                                <w:color w:val="000000"/>
                                <w:sz w:val="18"/>
                                <w:szCs w:val="18"/>
                              </w:rPr>
                              <w:t>Reason 3</w:t>
                            </w:r>
                            <w:r>
                              <w:rPr>
                                <w:rFonts w:ascii="Arial" w:hAnsi="Arial" w:cs="Arial"/>
                                <w:color w:val="000000"/>
                                <w:sz w:val="18"/>
                                <w:szCs w:val="18"/>
                              </w:rPr>
                              <w:t>:</w:t>
                            </w:r>
                            <w:r w:rsidRPr="004C2133">
                              <w:rPr>
                                <w:rFonts w:ascii="Arial" w:hAnsi="Arial" w:cs="Arial"/>
                                <w:color w:val="000000"/>
                                <w:sz w:val="18"/>
                                <w:szCs w:val="18"/>
                              </w:rPr>
                              <w:t xml:space="preserve"> </w:t>
                            </w:r>
                            <w:r w:rsidRPr="00D91E99">
                              <w:rPr>
                                <w:rFonts w:ascii="Arial" w:hAnsi="Arial" w:cs="Arial"/>
                                <w:color w:val="000000"/>
                                <w:sz w:val="18"/>
                                <w:szCs w:val="18"/>
                              </w:rPr>
                              <w:t xml:space="preserve">Did not meet the study design or publication criteria </w:t>
                            </w:r>
                            <w:r w:rsidRPr="00D91E99">
                              <w:rPr>
                                <w:rFonts w:ascii="Arial" w:hAnsi="Arial" w:cs="Arial"/>
                                <w:b/>
                                <w:bCs/>
                                <w:color w:val="000000"/>
                                <w:sz w:val="18"/>
                                <w:szCs w:val="18"/>
                              </w:rPr>
                              <w:t>(n = 8)</w:t>
                            </w:r>
                          </w:p>
                          <w:p w14:paraId="1F1C5FB9" w14:textId="77777777" w:rsidR="002908FC" w:rsidRPr="004C2133" w:rsidRDefault="002908FC" w:rsidP="002908FC">
                            <w:pPr>
                              <w:spacing w:after="0" w:line="240" w:lineRule="auto"/>
                              <w:rPr>
                                <w:rFonts w:ascii="Arial" w:hAnsi="Arial" w:cs="Arial"/>
                                <w:color w:val="000000"/>
                                <w:sz w:val="18"/>
                                <w:szCs w:val="18"/>
                              </w:rPr>
                            </w:pPr>
                            <w:r w:rsidRPr="004C2133">
                              <w:rPr>
                                <w:rFonts w:ascii="Arial" w:hAnsi="Arial" w:cs="Arial"/>
                                <w:color w:val="000000"/>
                                <w:sz w:val="18"/>
                                <w:szCs w:val="18"/>
                              </w:rPr>
                              <w:t>Reason 4</w:t>
                            </w:r>
                            <w:r>
                              <w:rPr>
                                <w:rFonts w:ascii="Arial" w:hAnsi="Arial" w:cs="Arial"/>
                                <w:color w:val="000000"/>
                                <w:sz w:val="18"/>
                                <w:szCs w:val="18"/>
                              </w:rPr>
                              <w:t>:</w:t>
                            </w:r>
                            <w:r w:rsidRPr="00914EE5">
                              <w:t xml:space="preserve"> </w:t>
                            </w:r>
                            <w:r w:rsidRPr="00914EE5">
                              <w:rPr>
                                <w:rFonts w:ascii="Arial" w:hAnsi="Arial" w:cs="Arial"/>
                                <w:color w:val="000000"/>
                                <w:sz w:val="18"/>
                                <w:szCs w:val="18"/>
                              </w:rPr>
                              <w:t xml:space="preserve">Did not examine barriers to mental health service access </w:t>
                            </w:r>
                            <w:r w:rsidRPr="00914EE5">
                              <w:rPr>
                                <w:rFonts w:ascii="Arial" w:hAnsi="Arial" w:cs="Arial"/>
                                <w:b/>
                                <w:bCs/>
                                <w:color w:val="000000"/>
                                <w:sz w:val="18"/>
                                <w:szCs w:val="18"/>
                              </w:rPr>
                              <w:t>(n = 12)</w:t>
                            </w:r>
                          </w:p>
                          <w:p w14:paraId="1E90FFF2" w14:textId="77777777" w:rsidR="002908FC" w:rsidRDefault="002908FC" w:rsidP="002908FC">
                            <w:pPr>
                              <w:spacing w:after="0" w:line="240" w:lineRule="auto"/>
                              <w:ind w:left="284"/>
                              <w:rPr>
                                <w:rFonts w:ascii="Arial" w:hAnsi="Arial" w:cs="Arial"/>
                                <w:color w:val="000000"/>
                                <w:sz w:val="18"/>
                                <w:szCs w:val="20"/>
                              </w:rPr>
                            </w:pPr>
                            <w:r>
                              <w:rPr>
                                <w:rFonts w:ascii="Arial" w:hAnsi="Arial" w:cs="Arial"/>
                                <w:color w:val="000000"/>
                                <w:sz w:val="18"/>
                                <w:szCs w:val="20"/>
                              </w:rPr>
                              <w:t xml:space="preserve"> </w:t>
                            </w:r>
                          </w:p>
                          <w:p w14:paraId="3BB7A22F" w14:textId="77777777" w:rsidR="002908FC" w:rsidRDefault="002908FC" w:rsidP="002908FC">
                            <w:pPr>
                              <w:spacing w:after="0" w:line="240" w:lineRule="auto"/>
                              <w:ind w:left="284"/>
                              <w:rPr>
                                <w:rFonts w:ascii="Arial" w:hAnsi="Arial" w:cs="Arial"/>
                                <w:color w:val="000000"/>
                                <w:sz w:val="18"/>
                                <w:szCs w:val="20"/>
                              </w:rPr>
                            </w:pPr>
                          </w:p>
                          <w:p w14:paraId="0ED5B28E" w14:textId="77777777" w:rsidR="002908FC" w:rsidRDefault="002908FC" w:rsidP="002908FC">
                            <w:pPr>
                              <w:spacing w:after="0" w:line="240" w:lineRule="auto"/>
                              <w:ind w:left="284"/>
                              <w:rPr>
                                <w:rFonts w:ascii="Arial" w:hAnsi="Arial" w:cs="Arial"/>
                                <w:color w:val="000000"/>
                                <w:sz w:val="18"/>
                                <w:szCs w:val="20"/>
                              </w:rPr>
                            </w:pPr>
                          </w:p>
                          <w:p w14:paraId="372F9E05" w14:textId="77777777" w:rsidR="002908FC" w:rsidRDefault="002908FC" w:rsidP="002908FC">
                            <w:pPr>
                              <w:spacing w:after="0" w:line="240" w:lineRule="auto"/>
                              <w:rPr>
                                <w:rFonts w:ascii="Arial" w:hAnsi="Arial" w:cs="Arial"/>
                                <w:color w:val="000000"/>
                                <w:sz w:val="18"/>
                                <w:szCs w:val="20"/>
                              </w:rPr>
                            </w:pPr>
                          </w:p>
                          <w:p w14:paraId="38CDF4A4" w14:textId="77777777" w:rsidR="002908FC" w:rsidRDefault="002908FC" w:rsidP="002908FC">
                            <w:pPr>
                              <w:spacing w:after="0" w:line="240" w:lineRule="auto"/>
                              <w:rPr>
                                <w:rFonts w:ascii="Arial" w:hAnsi="Arial" w:cs="Arial"/>
                                <w:color w:val="000000"/>
                                <w:sz w:val="18"/>
                                <w:szCs w:val="20"/>
                              </w:rPr>
                            </w:pPr>
                          </w:p>
                          <w:p w14:paraId="502F14B7" w14:textId="77777777" w:rsidR="002908FC" w:rsidRDefault="002908FC" w:rsidP="002908FC">
                            <w:pPr>
                              <w:spacing w:after="0" w:line="240" w:lineRule="auto"/>
                              <w:ind w:left="284"/>
                              <w:rPr>
                                <w:rFonts w:ascii="Arial" w:hAnsi="Arial" w:cs="Arial"/>
                                <w:color w:val="000000"/>
                                <w:sz w:val="18"/>
                                <w:szCs w:val="20"/>
                              </w:rPr>
                            </w:pPr>
                          </w:p>
                          <w:p w14:paraId="393A81DA" w14:textId="77777777" w:rsidR="002908FC" w:rsidRDefault="002908FC" w:rsidP="002908FC">
                            <w:pPr>
                              <w:spacing w:after="0" w:line="240" w:lineRule="auto"/>
                              <w:ind w:left="284"/>
                              <w:rPr>
                                <w:rFonts w:ascii="Arial" w:hAnsi="Arial" w:cs="Arial"/>
                                <w:color w:val="000000"/>
                                <w:sz w:val="18"/>
                                <w:szCs w:val="20"/>
                              </w:rPr>
                            </w:pPr>
                          </w:p>
                          <w:p w14:paraId="14946C14" w14:textId="77777777" w:rsidR="002908FC" w:rsidRDefault="002908FC" w:rsidP="002908FC">
                            <w:pPr>
                              <w:spacing w:after="0" w:line="240" w:lineRule="auto"/>
                              <w:ind w:left="284"/>
                              <w:rPr>
                                <w:rFonts w:ascii="Arial" w:hAnsi="Arial" w:cs="Arial"/>
                                <w:color w:val="000000"/>
                                <w:sz w:val="18"/>
                                <w:szCs w:val="20"/>
                              </w:rPr>
                            </w:pPr>
                          </w:p>
                          <w:p w14:paraId="1D02F39D" w14:textId="77777777" w:rsidR="002908FC" w:rsidRDefault="002908FC" w:rsidP="002908FC">
                            <w:pPr>
                              <w:spacing w:after="0" w:line="240" w:lineRule="auto"/>
                              <w:ind w:left="284"/>
                              <w:rPr>
                                <w:rFonts w:ascii="Arial" w:hAnsi="Arial" w:cs="Arial"/>
                                <w:color w:val="000000"/>
                                <w:sz w:val="18"/>
                                <w:szCs w:val="20"/>
                              </w:rPr>
                            </w:pPr>
                          </w:p>
                          <w:p w14:paraId="1548984B" w14:textId="77777777" w:rsidR="002908FC" w:rsidRPr="00EF0BC2" w:rsidRDefault="002908FC" w:rsidP="002908FC">
                            <w:pPr>
                              <w:spacing w:after="0" w:line="240" w:lineRule="auto"/>
                              <w:ind w:left="284"/>
                              <w:rPr>
                                <w:rFonts w:ascii="Arial" w:hAnsi="Arial" w:cs="Arial"/>
                                <w:color w:val="000000"/>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A1D46C" id="Rectangle 9" o:spid="_x0000_s1035" style="position:absolute;left:0;text-align:left;margin-left:217.2pt;margin-top:2.35pt;width:205pt;height:106.3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" filled="f" strokecolor="windowText" strokeweight="1pt">
                <v:textbox>
                  <w:txbxContent>
                    <w:p w14:paraId="69C45FC1" w14:textId="77777777" w:rsidR="002908FC" w:rsidRPr="004C2133" w:rsidRDefault="002908FC" w:rsidP="002908FC">
                      <w:pPr>
                        <w:spacing w:after="0" w:line="240" w:lineRule="auto"/>
                        <w:rPr>
                          <w:rFonts w:ascii="Arial" w:hAnsi="Arial" w:cs="Arial"/>
                          <w:color w:val="000000"/>
                          <w:sz w:val="18"/>
                          <w:szCs w:val="18"/>
                        </w:rPr>
                      </w:pPr>
                      <w:r w:rsidRPr="004C2133">
                        <w:rPr>
                          <w:rFonts w:ascii="Arial" w:hAnsi="Arial" w:cs="Arial"/>
                          <w:color w:val="000000"/>
                          <w:sz w:val="18"/>
                          <w:szCs w:val="18"/>
                        </w:rPr>
                        <w:t>Reports excluded</w:t>
                      </w:r>
                      <w:r w:rsidRPr="00321D12">
                        <w:rPr>
                          <w:rFonts w:ascii="Arial" w:hAnsi="Arial" w:cs="Arial"/>
                          <w:b/>
                          <w:bCs/>
                          <w:color w:val="000000"/>
                          <w:sz w:val="18"/>
                          <w:szCs w:val="18"/>
                        </w:rPr>
                        <w:t>:(n</w:t>
                      </w:r>
                      <w:r>
                        <w:rPr>
                          <w:rFonts w:ascii="Arial" w:hAnsi="Arial" w:cs="Arial"/>
                          <w:b/>
                          <w:bCs/>
                          <w:color w:val="000000"/>
                          <w:sz w:val="18"/>
                          <w:szCs w:val="18"/>
                        </w:rPr>
                        <w:t xml:space="preserve"> = </w:t>
                      </w:r>
                      <w:r w:rsidRPr="00321D12">
                        <w:rPr>
                          <w:rFonts w:ascii="Arial" w:hAnsi="Arial" w:cs="Arial"/>
                          <w:b/>
                          <w:bCs/>
                          <w:color w:val="000000"/>
                          <w:sz w:val="18"/>
                          <w:szCs w:val="18"/>
                        </w:rPr>
                        <w:t>60):</w:t>
                      </w:r>
                    </w:p>
                    <w:p w14:paraId="2D9A50D2" w14:textId="77777777" w:rsidR="002908FC" w:rsidRPr="004C2133" w:rsidRDefault="002908FC" w:rsidP="002908FC">
                      <w:pPr>
                        <w:spacing w:after="0" w:line="240" w:lineRule="auto"/>
                        <w:rPr>
                          <w:rFonts w:ascii="Arial" w:hAnsi="Arial" w:cs="Arial"/>
                          <w:color w:val="000000"/>
                          <w:sz w:val="18"/>
                          <w:szCs w:val="18"/>
                        </w:rPr>
                      </w:pPr>
                    </w:p>
                    <w:p w14:paraId="141B5CBC" w14:textId="77777777" w:rsidR="002908FC" w:rsidRPr="004C2133" w:rsidRDefault="002908FC" w:rsidP="002908FC">
                      <w:pPr>
                        <w:spacing w:after="0" w:line="240" w:lineRule="auto"/>
                        <w:rPr>
                          <w:rFonts w:ascii="Arial" w:hAnsi="Arial" w:cs="Arial"/>
                          <w:color w:val="000000"/>
                          <w:sz w:val="18"/>
                          <w:szCs w:val="18"/>
                        </w:rPr>
                      </w:pPr>
                      <w:r w:rsidRPr="004C2133">
                        <w:rPr>
                          <w:rFonts w:ascii="Arial" w:hAnsi="Arial" w:cs="Arial"/>
                          <w:color w:val="000000"/>
                          <w:sz w:val="18"/>
                          <w:szCs w:val="18"/>
                        </w:rPr>
                        <w:t>Reason 1</w:t>
                      </w:r>
                      <w:r>
                        <w:rPr>
                          <w:rFonts w:ascii="Arial" w:hAnsi="Arial" w:cs="Arial"/>
                          <w:color w:val="000000"/>
                          <w:sz w:val="18"/>
                          <w:szCs w:val="18"/>
                        </w:rPr>
                        <w:t>:</w:t>
                      </w:r>
                      <w:r w:rsidRPr="004C2133">
                        <w:rPr>
                          <w:rFonts w:ascii="Arial" w:hAnsi="Arial" w:cs="Arial"/>
                          <w:color w:val="000000"/>
                          <w:sz w:val="18"/>
                          <w:szCs w:val="18"/>
                        </w:rPr>
                        <w:t xml:space="preserve"> Non-UK studi</w:t>
                      </w:r>
                      <w:r>
                        <w:rPr>
                          <w:rFonts w:ascii="Arial" w:hAnsi="Arial" w:cs="Arial"/>
                          <w:color w:val="000000"/>
                          <w:sz w:val="18"/>
                          <w:szCs w:val="18"/>
                        </w:rPr>
                        <w:t>es</w:t>
                      </w:r>
                      <w:r w:rsidRPr="004C2133">
                        <w:rPr>
                          <w:rFonts w:ascii="Arial" w:hAnsi="Arial" w:cs="Arial"/>
                          <w:color w:val="000000"/>
                          <w:sz w:val="18"/>
                          <w:szCs w:val="18"/>
                        </w:rPr>
                        <w:t xml:space="preserve"> </w:t>
                      </w:r>
                      <w:r w:rsidRPr="00321D12">
                        <w:rPr>
                          <w:rFonts w:ascii="Arial" w:hAnsi="Arial" w:cs="Arial"/>
                          <w:b/>
                          <w:bCs/>
                          <w:color w:val="000000"/>
                          <w:sz w:val="18"/>
                          <w:szCs w:val="18"/>
                        </w:rPr>
                        <w:t>(n =</w:t>
                      </w:r>
                      <w:r>
                        <w:rPr>
                          <w:rFonts w:ascii="Arial" w:hAnsi="Arial" w:cs="Arial"/>
                          <w:b/>
                          <w:bCs/>
                          <w:color w:val="000000"/>
                          <w:sz w:val="18"/>
                          <w:szCs w:val="18"/>
                        </w:rPr>
                        <w:t xml:space="preserve"> </w:t>
                      </w:r>
                      <w:r w:rsidRPr="00321D12">
                        <w:rPr>
                          <w:rFonts w:ascii="Arial" w:hAnsi="Arial" w:cs="Arial"/>
                          <w:b/>
                          <w:bCs/>
                          <w:color w:val="000000"/>
                          <w:sz w:val="18"/>
                          <w:szCs w:val="18"/>
                        </w:rPr>
                        <w:t>22)</w:t>
                      </w:r>
                    </w:p>
                    <w:p w14:paraId="78C166F8" w14:textId="77777777" w:rsidR="002908FC" w:rsidRPr="004C2133" w:rsidRDefault="002908FC" w:rsidP="002908FC">
                      <w:pPr>
                        <w:spacing w:after="0" w:line="240" w:lineRule="auto"/>
                        <w:rPr>
                          <w:rFonts w:ascii="Arial" w:hAnsi="Arial" w:cs="Arial"/>
                          <w:color w:val="000000"/>
                          <w:sz w:val="18"/>
                          <w:szCs w:val="18"/>
                        </w:rPr>
                      </w:pPr>
                      <w:r w:rsidRPr="004C2133">
                        <w:rPr>
                          <w:rFonts w:ascii="Arial" w:hAnsi="Arial" w:cs="Arial"/>
                          <w:color w:val="000000"/>
                          <w:sz w:val="18"/>
                          <w:szCs w:val="18"/>
                        </w:rPr>
                        <w:t>Reason 2</w:t>
                      </w:r>
                      <w:r>
                        <w:rPr>
                          <w:rFonts w:ascii="Arial" w:hAnsi="Arial" w:cs="Arial"/>
                          <w:color w:val="000000"/>
                          <w:sz w:val="18"/>
                          <w:szCs w:val="18"/>
                        </w:rPr>
                        <w:t>:</w:t>
                      </w:r>
                      <w:r w:rsidRPr="004C2133">
                        <w:rPr>
                          <w:rFonts w:ascii="Arial" w:hAnsi="Arial" w:cs="Arial"/>
                          <w:sz w:val="18"/>
                          <w:szCs w:val="18"/>
                        </w:rPr>
                        <w:t xml:space="preserve"> </w:t>
                      </w:r>
                      <w:r w:rsidRPr="004C2133">
                        <w:rPr>
                          <w:rFonts w:ascii="Arial" w:hAnsi="Arial" w:cs="Arial"/>
                          <w:color w:val="000000"/>
                          <w:sz w:val="18"/>
                          <w:szCs w:val="18"/>
                        </w:rPr>
                        <w:t xml:space="preserve">Inappropriate population </w:t>
                      </w:r>
                      <w:r w:rsidRPr="00321D12">
                        <w:rPr>
                          <w:rFonts w:ascii="Arial" w:hAnsi="Arial" w:cs="Arial"/>
                          <w:b/>
                          <w:bCs/>
                          <w:color w:val="000000"/>
                          <w:sz w:val="18"/>
                          <w:szCs w:val="18"/>
                        </w:rPr>
                        <w:t>(n =</w:t>
                      </w:r>
                      <w:r>
                        <w:rPr>
                          <w:rFonts w:ascii="Arial" w:hAnsi="Arial" w:cs="Arial"/>
                          <w:b/>
                          <w:bCs/>
                          <w:color w:val="000000"/>
                          <w:sz w:val="18"/>
                          <w:szCs w:val="18"/>
                        </w:rPr>
                        <w:t xml:space="preserve"> </w:t>
                      </w:r>
                      <w:r w:rsidRPr="00321D12">
                        <w:rPr>
                          <w:rFonts w:ascii="Arial" w:hAnsi="Arial" w:cs="Arial"/>
                          <w:b/>
                          <w:bCs/>
                          <w:color w:val="000000"/>
                          <w:sz w:val="18"/>
                          <w:szCs w:val="18"/>
                        </w:rPr>
                        <w:t>18)</w:t>
                      </w:r>
                    </w:p>
                    <w:p w14:paraId="2E982DA8" w14:textId="77777777" w:rsidR="002908FC" w:rsidRPr="004C2133" w:rsidRDefault="002908FC" w:rsidP="002908FC">
                      <w:pPr>
                        <w:spacing w:after="0" w:line="240" w:lineRule="auto"/>
                        <w:rPr>
                          <w:rFonts w:ascii="Arial" w:hAnsi="Arial" w:cs="Arial"/>
                          <w:color w:val="000000"/>
                          <w:sz w:val="18"/>
                          <w:szCs w:val="18"/>
                        </w:rPr>
                      </w:pPr>
                      <w:r w:rsidRPr="004C2133">
                        <w:rPr>
                          <w:rFonts w:ascii="Arial" w:hAnsi="Arial" w:cs="Arial"/>
                          <w:color w:val="000000"/>
                          <w:sz w:val="18"/>
                          <w:szCs w:val="18"/>
                        </w:rPr>
                        <w:t>Reason 3</w:t>
                      </w:r>
                      <w:r>
                        <w:rPr>
                          <w:rFonts w:ascii="Arial" w:hAnsi="Arial" w:cs="Arial"/>
                          <w:color w:val="000000"/>
                          <w:sz w:val="18"/>
                          <w:szCs w:val="18"/>
                        </w:rPr>
                        <w:t>:</w:t>
                      </w:r>
                      <w:r w:rsidRPr="004C2133">
                        <w:rPr>
                          <w:rFonts w:ascii="Arial" w:hAnsi="Arial" w:cs="Arial"/>
                          <w:color w:val="000000"/>
                          <w:sz w:val="18"/>
                          <w:szCs w:val="18"/>
                        </w:rPr>
                        <w:t xml:space="preserve"> </w:t>
                      </w:r>
                      <w:r w:rsidRPr="00D91E99">
                        <w:rPr>
                          <w:rFonts w:ascii="Arial" w:hAnsi="Arial" w:cs="Arial"/>
                          <w:color w:val="000000"/>
                          <w:sz w:val="18"/>
                          <w:szCs w:val="18"/>
                        </w:rPr>
                        <w:t xml:space="preserve">Did not meet the study design or publication criteria </w:t>
                      </w:r>
                      <w:r w:rsidRPr="00D91E99">
                        <w:rPr>
                          <w:rFonts w:ascii="Arial" w:hAnsi="Arial" w:cs="Arial"/>
                          <w:b/>
                          <w:bCs/>
                          <w:color w:val="000000"/>
                          <w:sz w:val="18"/>
                          <w:szCs w:val="18"/>
                        </w:rPr>
                        <w:t>(n = 8)</w:t>
                      </w:r>
                    </w:p>
                    <w:p w14:paraId="1F1C5FB9" w14:textId="77777777" w:rsidR="002908FC" w:rsidRPr="004C2133" w:rsidRDefault="002908FC" w:rsidP="002908FC">
                      <w:pPr>
                        <w:spacing w:after="0" w:line="240" w:lineRule="auto"/>
                        <w:rPr>
                          <w:rFonts w:ascii="Arial" w:hAnsi="Arial" w:cs="Arial"/>
                          <w:color w:val="000000"/>
                          <w:sz w:val="18"/>
                          <w:szCs w:val="18"/>
                        </w:rPr>
                      </w:pPr>
                      <w:r w:rsidRPr="004C2133">
                        <w:rPr>
                          <w:rFonts w:ascii="Arial" w:hAnsi="Arial" w:cs="Arial"/>
                          <w:color w:val="000000"/>
                          <w:sz w:val="18"/>
                          <w:szCs w:val="18"/>
                        </w:rPr>
                        <w:t>Reason 4</w:t>
                      </w:r>
                      <w:r>
                        <w:rPr>
                          <w:rFonts w:ascii="Arial" w:hAnsi="Arial" w:cs="Arial"/>
                          <w:color w:val="000000"/>
                          <w:sz w:val="18"/>
                          <w:szCs w:val="18"/>
                        </w:rPr>
                        <w:t>:</w:t>
                      </w:r>
                      <w:r w:rsidRPr="00914EE5">
                        <w:t xml:space="preserve"> </w:t>
                      </w:r>
                      <w:r w:rsidRPr="00914EE5">
                        <w:rPr>
                          <w:rFonts w:ascii="Arial" w:hAnsi="Arial" w:cs="Arial"/>
                          <w:color w:val="000000"/>
                          <w:sz w:val="18"/>
                          <w:szCs w:val="18"/>
                        </w:rPr>
                        <w:t xml:space="preserve">Did not examine barriers to mental health service access </w:t>
                      </w:r>
                      <w:r w:rsidRPr="00914EE5">
                        <w:rPr>
                          <w:rFonts w:ascii="Arial" w:hAnsi="Arial" w:cs="Arial"/>
                          <w:b/>
                          <w:bCs/>
                          <w:color w:val="000000"/>
                          <w:sz w:val="18"/>
                          <w:szCs w:val="18"/>
                        </w:rPr>
                        <w:t>(n = 12)</w:t>
                      </w:r>
                    </w:p>
                    <w:p w14:paraId="1E90FFF2" w14:textId="77777777" w:rsidR="002908FC" w:rsidRDefault="002908FC" w:rsidP="002908FC">
                      <w:pPr>
                        <w:spacing w:after="0" w:line="240" w:lineRule="auto"/>
                        <w:ind w:left="284"/>
                        <w:rPr>
                          <w:rFonts w:ascii="Arial" w:hAnsi="Arial" w:cs="Arial"/>
                          <w:color w:val="000000"/>
                          <w:sz w:val="18"/>
                          <w:szCs w:val="20"/>
                        </w:rPr>
                      </w:pPr>
                      <w:r>
                        <w:rPr>
                          <w:rFonts w:ascii="Arial" w:hAnsi="Arial" w:cs="Arial"/>
                          <w:color w:val="000000"/>
                          <w:sz w:val="18"/>
                          <w:szCs w:val="20"/>
                        </w:rPr>
                        <w:t xml:space="preserve"> </w:t>
                      </w:r>
                    </w:p>
                    <w:p w14:paraId="3BB7A22F" w14:textId="77777777" w:rsidR="002908FC" w:rsidRDefault="002908FC" w:rsidP="002908FC">
                      <w:pPr>
                        <w:spacing w:after="0" w:line="240" w:lineRule="auto"/>
                        <w:ind w:left="284"/>
                        <w:rPr>
                          <w:rFonts w:ascii="Arial" w:hAnsi="Arial" w:cs="Arial"/>
                          <w:color w:val="000000"/>
                          <w:sz w:val="18"/>
                          <w:szCs w:val="20"/>
                        </w:rPr>
                      </w:pPr>
                    </w:p>
                    <w:p w14:paraId="0ED5B28E" w14:textId="77777777" w:rsidR="002908FC" w:rsidRDefault="002908FC" w:rsidP="002908FC">
                      <w:pPr>
                        <w:spacing w:after="0" w:line="240" w:lineRule="auto"/>
                        <w:ind w:left="284"/>
                        <w:rPr>
                          <w:rFonts w:ascii="Arial" w:hAnsi="Arial" w:cs="Arial"/>
                          <w:color w:val="000000"/>
                          <w:sz w:val="18"/>
                          <w:szCs w:val="20"/>
                        </w:rPr>
                      </w:pPr>
                    </w:p>
                    <w:p w14:paraId="372F9E05" w14:textId="77777777" w:rsidR="002908FC" w:rsidRDefault="002908FC" w:rsidP="002908FC">
                      <w:pPr>
                        <w:spacing w:after="0" w:line="240" w:lineRule="auto"/>
                        <w:rPr>
                          <w:rFonts w:ascii="Arial" w:hAnsi="Arial" w:cs="Arial"/>
                          <w:color w:val="000000"/>
                          <w:sz w:val="18"/>
                          <w:szCs w:val="20"/>
                        </w:rPr>
                      </w:pPr>
                    </w:p>
                    <w:p w14:paraId="38CDF4A4" w14:textId="77777777" w:rsidR="002908FC" w:rsidRDefault="002908FC" w:rsidP="002908FC">
                      <w:pPr>
                        <w:spacing w:after="0" w:line="240" w:lineRule="auto"/>
                        <w:rPr>
                          <w:rFonts w:ascii="Arial" w:hAnsi="Arial" w:cs="Arial"/>
                          <w:color w:val="000000"/>
                          <w:sz w:val="18"/>
                          <w:szCs w:val="20"/>
                        </w:rPr>
                      </w:pPr>
                    </w:p>
                    <w:p w14:paraId="502F14B7" w14:textId="77777777" w:rsidR="002908FC" w:rsidRDefault="002908FC" w:rsidP="002908FC">
                      <w:pPr>
                        <w:spacing w:after="0" w:line="240" w:lineRule="auto"/>
                        <w:ind w:left="284"/>
                        <w:rPr>
                          <w:rFonts w:ascii="Arial" w:hAnsi="Arial" w:cs="Arial"/>
                          <w:color w:val="000000"/>
                          <w:sz w:val="18"/>
                          <w:szCs w:val="20"/>
                        </w:rPr>
                      </w:pPr>
                    </w:p>
                    <w:p w14:paraId="393A81DA" w14:textId="77777777" w:rsidR="002908FC" w:rsidRDefault="002908FC" w:rsidP="002908FC">
                      <w:pPr>
                        <w:spacing w:after="0" w:line="240" w:lineRule="auto"/>
                        <w:ind w:left="284"/>
                        <w:rPr>
                          <w:rFonts w:ascii="Arial" w:hAnsi="Arial" w:cs="Arial"/>
                          <w:color w:val="000000"/>
                          <w:sz w:val="18"/>
                          <w:szCs w:val="20"/>
                        </w:rPr>
                      </w:pPr>
                    </w:p>
                    <w:p w14:paraId="14946C14" w14:textId="77777777" w:rsidR="002908FC" w:rsidRDefault="002908FC" w:rsidP="002908FC">
                      <w:pPr>
                        <w:spacing w:after="0" w:line="240" w:lineRule="auto"/>
                        <w:ind w:left="284"/>
                        <w:rPr>
                          <w:rFonts w:ascii="Arial" w:hAnsi="Arial" w:cs="Arial"/>
                          <w:color w:val="000000"/>
                          <w:sz w:val="18"/>
                          <w:szCs w:val="20"/>
                        </w:rPr>
                      </w:pPr>
                    </w:p>
                    <w:p w14:paraId="1D02F39D" w14:textId="77777777" w:rsidR="002908FC" w:rsidRDefault="002908FC" w:rsidP="002908FC">
                      <w:pPr>
                        <w:spacing w:after="0" w:line="240" w:lineRule="auto"/>
                        <w:ind w:left="284"/>
                        <w:rPr>
                          <w:rFonts w:ascii="Arial" w:hAnsi="Arial" w:cs="Arial"/>
                          <w:color w:val="000000"/>
                          <w:sz w:val="18"/>
                          <w:szCs w:val="20"/>
                        </w:rPr>
                      </w:pPr>
                    </w:p>
                    <w:p w14:paraId="1548984B" w14:textId="77777777" w:rsidR="002908FC" w:rsidRPr="00EF0BC2" w:rsidRDefault="002908FC" w:rsidP="002908FC">
                      <w:pPr>
                        <w:spacing w:after="0" w:line="240" w:lineRule="auto"/>
                        <w:ind w:left="284"/>
                        <w:rPr>
                          <w:rFonts w:ascii="Arial" w:hAnsi="Arial" w:cs="Arial"/>
                          <w:color w:val="000000"/>
                          <w:sz w:val="18"/>
                          <w:szCs w:val="20"/>
                        </w:rPr>
                      </w:pPr>
                    </w:p>
                  </w:txbxContent>
                </v:textbox>
              </v:rect>
            </w:pict>
          </mc:Fallback>
        </mc:AlternateContent>
      </w:r>
      <w:r w:rsidRPr="002908FC">
        <w:rPr>
          <w:rFonts w:ascii="Arial" w:hAnsi="Arial" w:cs="Arial"/>
          <w:b/>
          <w:bCs/>
          <w:noProof/>
          <w:sz w:val="22"/>
          <w:szCs w:val="22"/>
          <w:lang w:val="en-AU"/>
        </w:rPr>
        <mc:AlternateContent>
          <mc:Choice Requires="wps">
            <w:drawing>
              <wp:anchor distT="0" distB="0" distL="114300" distR="114300" simplePos="0" relativeHeight="251671552" behindDoc="0" locked="0" layoutInCell="1" allowOverlap="1" wp14:anchorId="01CDEE63" wp14:editId="543EEDFB">
                <wp:simplePos x="0" y="0"/>
                <wp:positionH relativeFrom="column">
                  <wp:posOffset>2205322</wp:posOffset>
                </wp:positionH>
                <wp:positionV relativeFrom="paragraph">
                  <wp:posOffset>337285</wp:posOffset>
                </wp:positionV>
                <wp:extent cx="563245" cy="0"/>
                <wp:effectExtent l="0" t="76200" r="27305" b="95250"/>
                <wp:wrapNone/>
                <wp:docPr id="17" name="Straight Arrow Connector 17">
                  <a:extLst xmlns:a="http://schemas.openxmlformats.org/drawingml/2006/main">
                    <a:ext uri="{FF2B5EF4-FFF2-40B4-BE49-F238E27FC236}">
                      <a16:creationId xmlns:a16="http://schemas.microsoft.com/office/drawing/2014/main" id="{7936093C-4058-40CB-86C9-85BE45E1F67F}"/>
                    </a:ext>
                  </a:extLst>
                </wp:docPr>
                <wp:cNvGraphicFramePr/>
                <a:graphic xmlns:a="http://schemas.openxmlformats.org/drawingml/2006/main">
                  <a:graphicData uri="http://schemas.microsoft.com/office/word/2010/wordprocessingShape">
                    <wps:wsp>
                      <wps:cNvCnPr/>
                      <wps:spPr>
                        <a:xfrm>
                          <a:off x="0" y="0"/>
                          <a:ext cx="563245" cy="0"/>
                        </a:xfrm>
                        <a:prstGeom prst="straightConnector1">
                          <a:avLst/>
                        </a:prstGeom>
                        <a:noFill/>
                        <a:ln w="63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48405C3" id="Straight Arrow Connector 17" o:spid="_x0000_s1026" type="#_x0000_t32" style="position:absolute;margin-left:173.65pt;margin-top:26.55pt;width:44.35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" strokecolor="windowText" strokeweight=".5pt">
                <v:stroke endarrow="block" joinstyle="miter"/>
              </v:shape>
            </w:pict>
          </mc:Fallback>
        </mc:AlternateContent>
      </w:r>
      <w:r w:rsidRPr="002908FC">
        <w:rPr>
          <w:rFonts w:ascii="Arial" w:hAnsi="Arial" w:cs="Arial"/>
          <w:b/>
          <w:bCs/>
          <w:noProof/>
          <w:sz w:val="22"/>
          <w:szCs w:val="22"/>
          <w:lang w:val="en-AU"/>
        </w:rPr>
        <mc:AlternateContent>
          <mc:Choice Requires="wps">
            <w:drawing>
              <wp:anchor distT="0" distB="0" distL="114300" distR="114300" simplePos="0" relativeHeight="251665408" behindDoc="0" locked="0" layoutInCell="1" allowOverlap="1" wp14:anchorId="0D3CA1DC" wp14:editId="6A1A4013">
                <wp:simplePos x="0" y="0"/>
                <wp:positionH relativeFrom="column">
                  <wp:posOffset>485975</wp:posOffset>
                </wp:positionH>
                <wp:positionV relativeFrom="paragraph">
                  <wp:posOffset>27305</wp:posOffset>
                </wp:positionV>
                <wp:extent cx="1709153" cy="526415"/>
                <wp:effectExtent l="0" t="0" r="24765" b="26035"/>
                <wp:wrapNone/>
                <wp:docPr id="8" name="Rectangle 8">
                  <a:extLst xmlns:a="http://schemas.openxmlformats.org/drawingml/2006/main">
                    <a:ext uri="{FF2B5EF4-FFF2-40B4-BE49-F238E27FC236}">
                      <a16:creationId xmlns:a16="http://schemas.microsoft.com/office/drawing/2014/main" id="{F54646EF-A5CF-4C85-8BB7-B3F3052BCD13}"/>
                    </a:ext>
                  </a:extLst>
                </wp:docPr>
                <wp:cNvGraphicFramePr/>
                <a:graphic xmlns:a="http://schemas.openxmlformats.org/drawingml/2006/main">
                  <a:graphicData uri="http://schemas.microsoft.com/office/word/2010/wordprocessingShape">
                    <wps:wsp>
                      <wps:cNvSpPr/>
                      <wps:spPr>
                        <a:xfrm>
                          <a:off x="0" y="0"/>
                          <a:ext cx="1709153" cy="526415"/>
                        </a:xfrm>
                        <a:prstGeom prst="rect">
                          <a:avLst/>
                        </a:prstGeom>
                        <a:noFill/>
                        <a:ln w="12700" cap="flat" cmpd="sng" algn="ctr">
                          <a:solidFill>
                            <a:sysClr val="windowText" lastClr="000000"/>
                          </a:solidFill>
                          <a:prstDash val="solid"/>
                          <a:miter lim="800000"/>
                        </a:ln>
                        <a:effectLst/>
                      </wps:spPr>
                      <wps:txbx>
                        <w:txbxContent>
                          <w:p w14:paraId="36BAB27E"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Reports assessed for eligibility</w:t>
                            </w:r>
                          </w:p>
                          <w:p w14:paraId="335E58CD"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 xml:space="preserve">(n = </w:t>
                            </w:r>
                            <w:r>
                              <w:rPr>
                                <w:rFonts w:ascii="Arial" w:hAnsi="Arial" w:cs="Arial"/>
                                <w:color w:val="000000"/>
                                <w:sz w:val="18"/>
                                <w:szCs w:val="20"/>
                              </w:rPr>
                              <w:t>70</w:t>
                            </w:r>
                            <w:r w:rsidRPr="00EF0BC2">
                              <w:rPr>
                                <w:rFonts w:ascii="Arial" w:hAnsi="Arial" w:cs="Arial"/>
                                <w:color w:val="000000"/>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3CA1DC" id="Rectangle 8" o:spid="_x0000_s1036" style="position:absolute;left:0;text-align:left;margin-left:38.25pt;margin-top:2.15pt;width:134.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" filled="f" strokecolor="windowText" strokeweight="1pt">
                <v:textbox>
                  <w:txbxContent>
                    <w:p w14:paraId="36BAB27E"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Reports assessed for eligibility</w:t>
                      </w:r>
                    </w:p>
                    <w:p w14:paraId="335E58CD"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 xml:space="preserve">(n = </w:t>
                      </w:r>
                      <w:r>
                        <w:rPr>
                          <w:rFonts w:ascii="Arial" w:hAnsi="Arial" w:cs="Arial"/>
                          <w:color w:val="000000"/>
                          <w:sz w:val="18"/>
                          <w:szCs w:val="20"/>
                        </w:rPr>
                        <w:t>70</w:t>
                      </w:r>
                      <w:r w:rsidRPr="00EF0BC2">
                        <w:rPr>
                          <w:rFonts w:ascii="Arial" w:hAnsi="Arial" w:cs="Arial"/>
                          <w:color w:val="000000"/>
                          <w:sz w:val="18"/>
                          <w:szCs w:val="20"/>
                        </w:rPr>
                        <w:t>)</w:t>
                      </w:r>
                    </w:p>
                  </w:txbxContent>
                </v:textbox>
              </v:rect>
            </w:pict>
          </mc:Fallback>
        </mc:AlternateContent>
      </w:r>
    </w:p>
    <w:p w14:paraId="1295CBE8"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79744" behindDoc="0" locked="0" layoutInCell="1" allowOverlap="1" wp14:anchorId="0C18F9DD" wp14:editId="35364869">
                <wp:simplePos x="0" y="0"/>
                <wp:positionH relativeFrom="column">
                  <wp:posOffset>1482625</wp:posOffset>
                </wp:positionH>
                <wp:positionV relativeFrom="paragraph">
                  <wp:posOffset>180674</wp:posOffset>
                </wp:positionV>
                <wp:extent cx="0" cy="746151"/>
                <wp:effectExtent l="76200" t="0" r="57150" b="53975"/>
                <wp:wrapNone/>
                <wp:docPr id="19" name="Straight Arrow Connector 19">
                  <a:extLst xmlns:a="http://schemas.openxmlformats.org/drawingml/2006/main">
                    <a:ext uri="{FF2B5EF4-FFF2-40B4-BE49-F238E27FC236}">
                      <a16:creationId xmlns:a16="http://schemas.microsoft.com/office/drawing/2014/main" id="{88C7EA49-296C-4CD2-AB29-B4A8E9B2EBEC}"/>
                    </a:ext>
                  </a:extLst>
                </wp:docPr>
                <wp:cNvGraphicFramePr/>
                <a:graphic xmlns:a="http://schemas.openxmlformats.org/drawingml/2006/main">
                  <a:graphicData uri="http://schemas.microsoft.com/office/word/2010/wordprocessingShape">
                    <wps:wsp>
                      <wps:cNvCnPr/>
                      <wps:spPr>
                        <a:xfrm>
                          <a:off x="0" y="0"/>
                          <a:ext cx="0" cy="746151"/>
                        </a:xfrm>
                        <a:prstGeom prst="straightConnector1">
                          <a:avLst/>
                        </a:prstGeom>
                        <a:noFill/>
                        <a:ln w="6350" cap="flat" cmpd="sng" algn="ctr">
                          <a:solidFill>
                            <a:sysClr val="windowText" lastClr="000000"/>
                          </a:solidFill>
                          <a:prstDash val="solid"/>
                          <a:miter lim="800000"/>
                          <a:tailEnd type="triangle"/>
                        </a:ln>
                        <a:effectLst/>
                      </wps:spPr>
                      <wps:bodyPr/>
                    </wps:wsp>
                  </a:graphicData>
                </a:graphic>
              </wp:anchor>
            </w:drawing>
          </mc:Choice>
          <mc:Fallback>
            <w:pict>
              <v:shape w14:anchorId="015F6103" id="Straight Arrow Connector 19" o:spid="_x0000_s1026" type="#_x0000_t32" style="position:absolute;margin-left:116.75pt;margin-top:14.2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" strokecolor="windowText" strokeweight=".5pt">
                <v:stroke endarrow="block" joinstyle="miter"/>
              </v:shape>
            </w:pict>
          </mc:Fallback>
        </mc:AlternateContent>
      </w:r>
    </w:p>
    <w:p w14:paraId="17BC363C" w14:textId="77777777" w:rsidR="002908FC" w:rsidRPr="002908FC" w:rsidRDefault="002908FC" w:rsidP="002908FC">
      <w:pPr>
        <w:spacing w:line="360" w:lineRule="auto"/>
        <w:jc w:val="both"/>
        <w:rPr>
          <w:rFonts w:ascii="Arial" w:hAnsi="Arial" w:cs="Arial"/>
          <w:b/>
          <w:bCs/>
          <w:sz w:val="22"/>
          <w:szCs w:val="22"/>
          <w:lang w:val="en-AU"/>
        </w:rPr>
      </w:pPr>
    </w:p>
    <w:p w14:paraId="2A79630E"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67456" behindDoc="0" locked="0" layoutInCell="1" allowOverlap="1" wp14:anchorId="7E84B5AA" wp14:editId="443A2C93">
                <wp:simplePos x="0" y="0"/>
                <wp:positionH relativeFrom="column">
                  <wp:posOffset>631825</wp:posOffset>
                </wp:positionH>
                <wp:positionV relativeFrom="paragraph">
                  <wp:posOffset>301725</wp:posOffset>
                </wp:positionV>
                <wp:extent cx="1887220" cy="723900"/>
                <wp:effectExtent l="0" t="0" r="17780" b="19050"/>
                <wp:wrapNone/>
                <wp:docPr id="13" name="Rectangle 13">
                  <a:extLst xmlns:a="http://schemas.openxmlformats.org/drawingml/2006/main">
                    <a:ext uri="{FF2B5EF4-FFF2-40B4-BE49-F238E27FC236}">
                      <a16:creationId xmlns:a16="http://schemas.microsoft.com/office/drawing/2014/main" id="{058A4384-918C-4700-BC55-D543798BB0F8}"/>
                    </a:ext>
                  </a:extLst>
                </wp:docPr>
                <wp:cNvGraphicFramePr/>
                <a:graphic xmlns:a="http://schemas.openxmlformats.org/drawingml/2006/main">
                  <a:graphicData uri="http://schemas.microsoft.com/office/word/2010/wordprocessingShape">
                    <wps:wsp>
                      <wps:cNvSpPr/>
                      <wps:spPr>
                        <a:xfrm>
                          <a:off x="0" y="0"/>
                          <a:ext cx="1887220" cy="723900"/>
                        </a:xfrm>
                        <a:prstGeom prst="rect">
                          <a:avLst/>
                        </a:prstGeom>
                        <a:noFill/>
                        <a:ln w="12700" cap="flat" cmpd="sng" algn="ctr">
                          <a:solidFill>
                            <a:sysClr val="windowText" lastClr="000000"/>
                          </a:solidFill>
                          <a:prstDash val="solid"/>
                          <a:miter lim="800000"/>
                        </a:ln>
                        <a:effectLst/>
                      </wps:spPr>
                      <wps:txbx>
                        <w:txbxContent>
                          <w:p w14:paraId="141182D8"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Studies included in review</w:t>
                            </w:r>
                          </w:p>
                          <w:p w14:paraId="7ED54CFD"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 xml:space="preserve">(n = </w:t>
                            </w:r>
                            <w:r>
                              <w:rPr>
                                <w:rFonts w:ascii="Arial" w:hAnsi="Arial" w:cs="Arial"/>
                                <w:color w:val="000000"/>
                                <w:sz w:val="18"/>
                                <w:szCs w:val="20"/>
                              </w:rPr>
                              <w:t>10</w:t>
                            </w:r>
                            <w:r w:rsidRPr="00EF0BC2">
                              <w:rPr>
                                <w:rFonts w:ascii="Arial" w:hAnsi="Arial" w:cs="Arial"/>
                                <w:color w:val="000000"/>
                                <w:sz w:val="18"/>
                                <w:szCs w:val="20"/>
                              </w:rPr>
                              <w:t>)</w:t>
                            </w:r>
                          </w:p>
                          <w:p w14:paraId="57F792C6"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Reports of included studies</w:t>
                            </w:r>
                          </w:p>
                          <w:p w14:paraId="4FC6A25A"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(n =</w:t>
                            </w:r>
                            <w:r>
                              <w:rPr>
                                <w:rFonts w:ascii="Arial" w:hAnsi="Arial" w:cs="Arial"/>
                                <w:color w:val="000000"/>
                                <w:sz w:val="18"/>
                                <w:szCs w:val="20"/>
                              </w:rPr>
                              <w:t>10</w:t>
                            </w:r>
                            <w:r w:rsidRPr="00EF0BC2">
                              <w:rPr>
                                <w:rFonts w:ascii="Arial" w:hAnsi="Arial" w:cs="Arial"/>
                                <w:color w:val="000000"/>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84B5AA" id="Rectangle 13" o:spid="_x0000_s1037" style="position:absolute;left:0;text-align:left;margin-left:49.75pt;margin-top:23.75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" filled="f" strokecolor="windowText" strokeweight="1pt">
                <v:textbox>
                  <w:txbxContent>
                    <w:p w14:paraId="141182D8"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Studies included in review</w:t>
                      </w:r>
                    </w:p>
                    <w:p w14:paraId="7ED54CFD"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 xml:space="preserve">(n = </w:t>
                      </w:r>
                      <w:r>
                        <w:rPr>
                          <w:rFonts w:ascii="Arial" w:hAnsi="Arial" w:cs="Arial"/>
                          <w:color w:val="000000"/>
                          <w:sz w:val="18"/>
                          <w:szCs w:val="20"/>
                        </w:rPr>
                        <w:t>10</w:t>
                      </w:r>
                      <w:r w:rsidRPr="00EF0BC2">
                        <w:rPr>
                          <w:rFonts w:ascii="Arial" w:hAnsi="Arial" w:cs="Arial"/>
                          <w:color w:val="000000"/>
                          <w:sz w:val="18"/>
                          <w:szCs w:val="20"/>
                        </w:rPr>
                        <w:t>)</w:t>
                      </w:r>
                    </w:p>
                    <w:p w14:paraId="57F792C6"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Reports of included studies</w:t>
                      </w:r>
                    </w:p>
                    <w:p w14:paraId="4FC6A25A" w14:textId="77777777" w:rsidR="002908FC" w:rsidRPr="00EF0BC2" w:rsidRDefault="002908FC" w:rsidP="002908FC">
                      <w:pPr>
                        <w:spacing w:after="0" w:line="240" w:lineRule="auto"/>
                        <w:rPr>
                          <w:rFonts w:ascii="Arial" w:hAnsi="Arial" w:cs="Arial"/>
                          <w:color w:val="000000"/>
                          <w:sz w:val="18"/>
                          <w:szCs w:val="20"/>
                        </w:rPr>
                      </w:pPr>
                      <w:r w:rsidRPr="00EF0BC2">
                        <w:rPr>
                          <w:rFonts w:ascii="Arial" w:hAnsi="Arial" w:cs="Arial"/>
                          <w:color w:val="000000"/>
                          <w:sz w:val="18"/>
                          <w:szCs w:val="20"/>
                        </w:rPr>
                        <w:t>(n =</w:t>
                      </w:r>
                      <w:r>
                        <w:rPr>
                          <w:rFonts w:ascii="Arial" w:hAnsi="Arial" w:cs="Arial"/>
                          <w:color w:val="000000"/>
                          <w:sz w:val="18"/>
                          <w:szCs w:val="20"/>
                        </w:rPr>
                        <w:t>10</w:t>
                      </w:r>
                      <w:r w:rsidRPr="00EF0BC2">
                        <w:rPr>
                          <w:rFonts w:ascii="Arial" w:hAnsi="Arial" w:cs="Arial"/>
                          <w:color w:val="000000"/>
                          <w:sz w:val="18"/>
                          <w:szCs w:val="20"/>
                        </w:rPr>
                        <w:t>)</w:t>
                      </w:r>
                    </w:p>
                  </w:txbxContent>
                </v:textbox>
              </v:rect>
            </w:pict>
          </mc:Fallback>
        </mc:AlternateContent>
      </w:r>
    </w:p>
    <w:p w14:paraId="0DD9DFF6" w14:textId="77777777" w:rsidR="002908FC" w:rsidRPr="002908FC" w:rsidRDefault="002908FC" w:rsidP="002908FC">
      <w:pPr>
        <w:spacing w:line="360" w:lineRule="auto"/>
        <w:jc w:val="both"/>
        <w:rPr>
          <w:rFonts w:ascii="Arial" w:hAnsi="Arial" w:cs="Arial"/>
          <w:b/>
          <w:bCs/>
          <w:sz w:val="22"/>
          <w:szCs w:val="22"/>
          <w:lang w:val="en-AU"/>
        </w:rPr>
      </w:pPr>
      <w:r w:rsidRPr="002908FC">
        <w:rPr>
          <w:rFonts w:ascii="Arial" w:hAnsi="Arial" w:cs="Arial"/>
          <w:b/>
          <w:bCs/>
          <w:noProof/>
          <w:sz w:val="22"/>
          <w:szCs w:val="22"/>
          <w:lang w:val="en-AU"/>
        </w:rPr>
        <mc:AlternateContent>
          <mc:Choice Requires="wps">
            <w:drawing>
              <wp:anchor distT="0" distB="0" distL="114300" distR="114300" simplePos="0" relativeHeight="251675648" behindDoc="0" locked="0" layoutInCell="1" allowOverlap="1" wp14:anchorId="06CCD9F3" wp14:editId="7BD1EAE2">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a:extLst xmlns:a="http://schemas.openxmlformats.org/drawingml/2006/main">
                    <a:ext uri="{FF2B5EF4-FFF2-40B4-BE49-F238E27FC236}">
                      <a16:creationId xmlns:a16="http://schemas.microsoft.com/office/drawing/2014/main" id="{95BC91E9-C67F-4C64-AE26-BC0F10D7BA9A}"/>
                    </a:ext>
                  </a:extLst>
                </wp:docPr>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rgbClr val="5B9BD5">
                            <a:lumMod val="60000"/>
                            <a:lumOff val="40000"/>
                          </a:srgbClr>
                        </a:solidFill>
                        <a:ln w="12700" cap="flat" cmpd="sng" algn="ctr">
                          <a:solidFill>
                            <a:sysClr val="windowText" lastClr="000000"/>
                          </a:solidFill>
                          <a:prstDash val="solid"/>
                          <a:miter lim="800000"/>
                        </a:ln>
                        <a:effectLst/>
                      </wps:spPr>
                      <wps:txbx>
                        <w:txbxContent>
                          <w:p w14:paraId="02117470" w14:textId="77777777" w:rsidR="002908FC" w:rsidRPr="00EF0BC2" w:rsidRDefault="002908FC" w:rsidP="002908FC">
                            <w:pPr>
                              <w:spacing w:after="0" w:line="240" w:lineRule="auto"/>
                              <w:jc w:val="center"/>
                              <w:rPr>
                                <w:rFonts w:ascii="Arial" w:hAnsi="Arial" w:cs="Arial"/>
                                <w:b/>
                                <w:color w:val="000000"/>
                                <w:sz w:val="18"/>
                                <w:szCs w:val="18"/>
                              </w:rPr>
                            </w:pPr>
                            <w:r w:rsidRPr="00EF0BC2">
                              <w:rPr>
                                <w:rFonts w:ascii="Arial" w:hAnsi="Arial" w:cs="Arial"/>
                                <w:b/>
                                <w:color w:val="000000"/>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CCD9F3" id="Flowchart: Alternate Process 33" o:spid="_x0000_s1038" type="#_x0000_t176" style="position:absolute;left:0;text-align:left;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" fillcolor="#9dc3e6" strokecolor="windowText" strokeweight="1pt">
                <v:textbox>
                  <w:txbxContent>
                    <w:p w14:paraId="02117470" w14:textId="77777777" w:rsidR="002908FC" w:rsidRPr="00EF0BC2" w:rsidRDefault="002908FC" w:rsidP="002908FC">
                      <w:pPr>
                        <w:spacing w:after="0" w:line="240" w:lineRule="auto"/>
                        <w:jc w:val="center"/>
                        <w:rPr>
                          <w:rFonts w:ascii="Arial" w:hAnsi="Arial" w:cs="Arial"/>
                          <w:b/>
                          <w:color w:val="000000"/>
                          <w:sz w:val="18"/>
                          <w:szCs w:val="18"/>
                        </w:rPr>
                      </w:pPr>
                      <w:r w:rsidRPr="00EF0BC2">
                        <w:rPr>
                          <w:rFonts w:ascii="Arial" w:hAnsi="Arial" w:cs="Arial"/>
                          <w:b/>
                          <w:color w:val="000000"/>
                          <w:sz w:val="18"/>
                          <w:szCs w:val="18"/>
                        </w:rPr>
                        <w:t>Included</w:t>
                      </w:r>
                    </w:p>
                  </w:txbxContent>
                </v:textbox>
              </v:shape>
            </w:pict>
          </mc:Fallback>
        </mc:AlternateContent>
      </w:r>
    </w:p>
    <w:p w14:paraId="7A71ABF7" w14:textId="77777777" w:rsidR="002908FC" w:rsidRPr="002908FC" w:rsidRDefault="002908FC" w:rsidP="002908FC">
      <w:pPr>
        <w:spacing w:line="360" w:lineRule="auto"/>
        <w:jc w:val="both"/>
        <w:rPr>
          <w:rFonts w:ascii="Arial" w:hAnsi="Arial" w:cs="Arial"/>
          <w:b/>
          <w:bCs/>
          <w:sz w:val="22"/>
          <w:szCs w:val="22"/>
          <w:lang w:val="en-AU"/>
        </w:rPr>
      </w:pPr>
    </w:p>
    <w:p w14:paraId="75DF2D7F" w14:textId="77777777" w:rsidR="002908FC" w:rsidRDefault="002908FC" w:rsidP="002908FC">
      <w:pPr>
        <w:spacing w:line="360" w:lineRule="auto"/>
        <w:jc w:val="both"/>
        <w:rPr>
          <w:rFonts w:ascii="Arial" w:hAnsi="Arial" w:cs="Arial"/>
          <w:b/>
          <w:bCs/>
          <w:sz w:val="22"/>
          <w:szCs w:val="22"/>
        </w:rPr>
      </w:pPr>
    </w:p>
    <w:p w14:paraId="3FFE7A64" w14:textId="77777777" w:rsidR="005818B3" w:rsidRDefault="005818B3" w:rsidP="002908FC">
      <w:pPr>
        <w:spacing w:line="360" w:lineRule="auto"/>
        <w:jc w:val="both"/>
        <w:rPr>
          <w:rFonts w:ascii="Arial" w:hAnsi="Arial" w:cs="Arial"/>
          <w:b/>
          <w:bCs/>
          <w:sz w:val="22"/>
          <w:szCs w:val="22"/>
        </w:rPr>
      </w:pPr>
    </w:p>
    <w:p w14:paraId="735D33EB" w14:textId="77777777" w:rsidR="00BA0291" w:rsidRDefault="00BA0291" w:rsidP="002908FC">
      <w:pPr>
        <w:spacing w:line="360" w:lineRule="auto"/>
        <w:jc w:val="both"/>
        <w:rPr>
          <w:rFonts w:ascii="Arial" w:hAnsi="Arial" w:cs="Arial"/>
          <w:b/>
          <w:bCs/>
          <w:sz w:val="22"/>
          <w:szCs w:val="22"/>
        </w:rPr>
      </w:pPr>
    </w:p>
    <w:p w14:paraId="1290EB91" w14:textId="77777777" w:rsidR="00BA0291" w:rsidRDefault="00BA0291" w:rsidP="002908FC">
      <w:pPr>
        <w:spacing w:line="360" w:lineRule="auto"/>
        <w:jc w:val="both"/>
        <w:rPr>
          <w:rFonts w:ascii="Arial" w:hAnsi="Arial" w:cs="Arial"/>
          <w:b/>
          <w:bCs/>
          <w:sz w:val="22"/>
          <w:szCs w:val="22"/>
        </w:rPr>
      </w:pPr>
    </w:p>
    <w:p w14:paraId="7BF622E5" w14:textId="77777777" w:rsidR="00BA0291" w:rsidRPr="002908FC" w:rsidRDefault="00BA0291" w:rsidP="002908FC">
      <w:pPr>
        <w:spacing w:line="360" w:lineRule="auto"/>
        <w:jc w:val="both"/>
        <w:rPr>
          <w:rFonts w:ascii="Arial" w:hAnsi="Arial" w:cs="Arial"/>
          <w:b/>
          <w:bCs/>
          <w:sz w:val="22"/>
          <w:szCs w:val="22"/>
        </w:rPr>
      </w:pPr>
    </w:p>
    <w:p w14:paraId="0DE14A44" w14:textId="77777777" w:rsidR="002908FC" w:rsidRPr="002908FC" w:rsidRDefault="002908FC" w:rsidP="007B6797">
      <w:pPr>
        <w:pStyle w:val="Heading2"/>
      </w:pPr>
      <w:bookmarkStart w:id="30" w:name="_Toc233828698"/>
      <w:r w:rsidRPr="002908FC">
        <w:t>3.9 Ethical Considerations</w:t>
      </w:r>
      <w:bookmarkEnd w:id="30"/>
    </w:p>
    <w:p w14:paraId="16EAC030" w14:textId="77777777" w:rsidR="002908FC" w:rsidRPr="002908FC" w:rsidRDefault="002908FC" w:rsidP="002908FC">
      <w:pPr>
        <w:spacing w:line="360" w:lineRule="auto"/>
        <w:jc w:val="both"/>
        <w:rPr>
          <w:rFonts w:ascii="Arial" w:hAnsi="Arial" w:cs="Arial"/>
          <w:sz w:val="22"/>
          <w:szCs w:val="22"/>
        </w:rPr>
      </w:pPr>
      <w:r w:rsidRPr="002908FC">
        <w:rPr>
          <w:rFonts w:ascii="Arial" w:hAnsi="Arial" w:cs="Arial"/>
          <w:sz w:val="22"/>
          <w:szCs w:val="22"/>
        </w:rPr>
        <w:t>Research ethics refer to the principles that promote honesty, integrity, transparency and responsible conduct throughout the research process (British Psychological Society, 2021). Although this systematic literature review did not involve direct contact with human participants, ethical considerations remained important to ensure accurate reporting and minimise researcher bias (Booth et al., 2016). Ethical rigour was maintained by applying a transparent search strategy, predefined eligibility criteria and systematic screening procedures (Page et al., 2021). All included studies had received ethical approval within their original research settings, while accurate referencing and critical appraisal further strengthened the credibility and integrity of the review (Ouzzani et al., 2016; British Psychological Society, 2021).</w:t>
      </w:r>
    </w:p>
    <w:p w14:paraId="46DBAEBB" w14:textId="77777777" w:rsidR="002908FC" w:rsidRPr="002908FC" w:rsidRDefault="002908FC" w:rsidP="007B6797">
      <w:pPr>
        <w:pStyle w:val="Heading2"/>
      </w:pPr>
      <w:bookmarkStart w:id="31" w:name="_Toc233828699"/>
      <w:r w:rsidRPr="002908FC">
        <w:t>3.10 Chapter Summary</w:t>
      </w:r>
      <w:bookmarkEnd w:id="31"/>
    </w:p>
    <w:p w14:paraId="74CB05BC" w14:textId="0242CA4E" w:rsidR="002908FC" w:rsidRPr="002908FC" w:rsidRDefault="002908FC" w:rsidP="002908FC">
      <w:pPr>
        <w:spacing w:line="360" w:lineRule="auto"/>
        <w:jc w:val="both"/>
        <w:rPr>
          <w:rFonts w:ascii="Arial" w:hAnsi="Arial" w:cs="Arial"/>
          <w:sz w:val="22"/>
          <w:szCs w:val="22"/>
        </w:rPr>
      </w:pPr>
      <w:r w:rsidRPr="002908FC">
        <w:rPr>
          <w:rFonts w:ascii="Arial" w:hAnsi="Arial" w:cs="Arial"/>
          <w:sz w:val="22"/>
          <w:szCs w:val="22"/>
        </w:rPr>
        <w:t xml:space="preserve">This chapter outlined the systematic literature review methodology used to investigate barriers affecting adolescent access to mental health services within the United Kingdom. It described the systematic review design, search strategy, PEO framework, search terms, databases, eligibility criteria and PRISMA-guided study selection process used to identify relevant evidence (Higgins et al., 2022; Page et al., 2021). The review resulted in the inclusion of </w:t>
      </w:r>
      <w:r w:rsidRPr="009B1E24">
        <w:rPr>
          <w:rFonts w:ascii="Arial" w:hAnsi="Arial" w:cs="Arial"/>
          <w:sz w:val="22"/>
          <w:szCs w:val="22"/>
        </w:rPr>
        <w:t>10 studies, comprising peer-reviewed research and high-quality UK grey literature, which formed the evidence base for the review. Ethical considerations were also addressed to ensure transparency and methodological rigour (British Psychological Society, 2021). Chapter 4 presents the critical appraisal</w:t>
      </w:r>
      <w:r w:rsidRPr="002908FC">
        <w:rPr>
          <w:rFonts w:ascii="Arial" w:hAnsi="Arial" w:cs="Arial"/>
          <w:sz w:val="22"/>
          <w:szCs w:val="22"/>
        </w:rPr>
        <w:t xml:space="preserve"> of the included studies and evaluates their methodological quality </w:t>
      </w:r>
      <w:r w:rsidR="00260669">
        <w:rPr>
          <w:rFonts w:ascii="Arial" w:hAnsi="Arial" w:cs="Arial"/>
          <w:sz w:val="22"/>
          <w:szCs w:val="22"/>
        </w:rPr>
        <w:t>before</w:t>
      </w:r>
      <w:r w:rsidRPr="002908FC">
        <w:rPr>
          <w:rFonts w:ascii="Arial" w:hAnsi="Arial" w:cs="Arial"/>
          <w:sz w:val="22"/>
          <w:szCs w:val="22"/>
        </w:rPr>
        <w:t xml:space="preserve"> evidence synthesis.</w:t>
      </w:r>
    </w:p>
    <w:p w14:paraId="1B5BE9F0" w14:textId="77777777" w:rsidR="002829B8" w:rsidRPr="007107C6" w:rsidRDefault="002829B8" w:rsidP="007107C6">
      <w:pPr>
        <w:spacing w:line="360" w:lineRule="auto"/>
        <w:jc w:val="both"/>
        <w:rPr>
          <w:rFonts w:ascii="Arial" w:hAnsi="Arial" w:cs="Arial"/>
          <w:sz w:val="22"/>
          <w:szCs w:val="22"/>
        </w:rPr>
      </w:pPr>
    </w:p>
    <w:p w14:paraId="3449AA1C" w14:textId="77777777" w:rsidR="007107C6" w:rsidRDefault="007107C6" w:rsidP="007107C6">
      <w:pPr>
        <w:spacing w:line="360" w:lineRule="auto"/>
        <w:jc w:val="both"/>
        <w:rPr>
          <w:rFonts w:ascii="Arial" w:hAnsi="Arial" w:cs="Arial"/>
          <w:sz w:val="22"/>
          <w:szCs w:val="22"/>
        </w:rPr>
      </w:pPr>
    </w:p>
    <w:p w14:paraId="460B24BB" w14:textId="77777777" w:rsidR="005A2BA3" w:rsidRDefault="005A2BA3" w:rsidP="007107C6">
      <w:pPr>
        <w:spacing w:line="360" w:lineRule="auto"/>
        <w:jc w:val="both"/>
        <w:rPr>
          <w:rFonts w:ascii="Arial" w:hAnsi="Arial" w:cs="Arial"/>
          <w:sz w:val="22"/>
          <w:szCs w:val="22"/>
        </w:rPr>
      </w:pPr>
    </w:p>
    <w:p w14:paraId="1E00A9A6" w14:textId="77777777" w:rsidR="005A2BA3" w:rsidRDefault="005A2BA3" w:rsidP="007107C6">
      <w:pPr>
        <w:spacing w:line="360" w:lineRule="auto"/>
        <w:jc w:val="both"/>
        <w:rPr>
          <w:rFonts w:ascii="Arial" w:hAnsi="Arial" w:cs="Arial"/>
          <w:sz w:val="22"/>
          <w:szCs w:val="22"/>
        </w:rPr>
      </w:pPr>
    </w:p>
    <w:p w14:paraId="2EF27690" w14:textId="77777777" w:rsidR="005A2BA3" w:rsidRDefault="005A2BA3" w:rsidP="007107C6">
      <w:pPr>
        <w:spacing w:line="360" w:lineRule="auto"/>
        <w:jc w:val="both"/>
        <w:rPr>
          <w:rFonts w:ascii="Arial" w:hAnsi="Arial" w:cs="Arial"/>
          <w:sz w:val="22"/>
          <w:szCs w:val="22"/>
        </w:rPr>
      </w:pPr>
    </w:p>
    <w:p w14:paraId="75DED9F5" w14:textId="77777777" w:rsidR="005A2BA3" w:rsidRDefault="005A2BA3" w:rsidP="007107C6">
      <w:pPr>
        <w:spacing w:line="360" w:lineRule="auto"/>
        <w:jc w:val="both"/>
        <w:rPr>
          <w:rFonts w:ascii="Arial" w:hAnsi="Arial" w:cs="Arial"/>
          <w:sz w:val="22"/>
          <w:szCs w:val="22"/>
        </w:rPr>
      </w:pPr>
    </w:p>
    <w:p w14:paraId="5256EECC" w14:textId="77777777" w:rsidR="005A2BA3" w:rsidRDefault="005A2BA3" w:rsidP="007107C6">
      <w:pPr>
        <w:spacing w:line="360" w:lineRule="auto"/>
        <w:jc w:val="both"/>
        <w:rPr>
          <w:rFonts w:ascii="Arial" w:hAnsi="Arial" w:cs="Arial"/>
          <w:sz w:val="22"/>
          <w:szCs w:val="22"/>
        </w:rPr>
      </w:pPr>
    </w:p>
    <w:p w14:paraId="51C1A50F" w14:textId="77777777" w:rsidR="005A2BA3" w:rsidRDefault="005A2BA3" w:rsidP="007107C6">
      <w:pPr>
        <w:spacing w:line="360" w:lineRule="auto"/>
        <w:jc w:val="both"/>
        <w:rPr>
          <w:rFonts w:ascii="Arial" w:hAnsi="Arial" w:cs="Arial"/>
          <w:sz w:val="22"/>
          <w:szCs w:val="22"/>
        </w:rPr>
      </w:pPr>
    </w:p>
    <w:p w14:paraId="7794DEC7" w14:textId="77777777" w:rsidR="005A2BA3" w:rsidRDefault="005A2BA3" w:rsidP="007107C6">
      <w:pPr>
        <w:spacing w:line="360" w:lineRule="auto"/>
        <w:jc w:val="both"/>
        <w:rPr>
          <w:rFonts w:ascii="Arial" w:hAnsi="Arial" w:cs="Arial"/>
          <w:sz w:val="22"/>
          <w:szCs w:val="22"/>
        </w:rPr>
      </w:pPr>
    </w:p>
    <w:p w14:paraId="36C14779" w14:textId="7F10697F" w:rsidR="00BF3E96" w:rsidRPr="00224061" w:rsidRDefault="00BF3E96" w:rsidP="00224061">
      <w:pPr>
        <w:pStyle w:val="Heading1"/>
      </w:pPr>
      <w:bookmarkStart w:id="32" w:name="_Toc233828700"/>
      <w:r w:rsidRPr="00BF3E96">
        <w:t>CHAPTER</w:t>
      </w:r>
      <w:bookmarkEnd w:id="32"/>
      <w:r w:rsidR="00FF5D3D">
        <w:t xml:space="preserve"> FOUR</w:t>
      </w:r>
      <w:r w:rsidRPr="00BF3E96">
        <w:t xml:space="preserve"> </w:t>
      </w:r>
    </w:p>
    <w:p w14:paraId="2FDFB0EB" w14:textId="77777777" w:rsidR="00BF3E96" w:rsidRPr="00BF3E96" w:rsidRDefault="00BF3E96" w:rsidP="007B6797">
      <w:pPr>
        <w:pStyle w:val="Heading2"/>
      </w:pPr>
      <w:bookmarkStart w:id="33" w:name="_Toc233828701"/>
      <w:r w:rsidRPr="00BF3E96">
        <w:t>4.1 Introduction to Chapter</w:t>
      </w:r>
      <w:bookmarkEnd w:id="33"/>
    </w:p>
    <w:p w14:paraId="3392F78C"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 xml:space="preserve">This chapter outlines the processes used to extract and critically evaluate the studies included in this systematic literature review. It explains how data were systematically extracted and how the methodological quality of the included studies was assessed to ensure transparency, rigour and credibility throughout the review process (Page et al., 2021). </w:t>
      </w:r>
    </w:p>
    <w:p w14:paraId="282F76F9"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The chapter also describes the critical appraisal tools used to evaluate the qualitative and quantitative evidence and justifies their selection. Finally, it examines the methodological strengths and limitations of the included studies, providing the foundation for the thematic synthesis presented in Chapter 5.</w:t>
      </w:r>
    </w:p>
    <w:p w14:paraId="184BF9DE" w14:textId="77777777" w:rsidR="00C65047" w:rsidRPr="00C65047" w:rsidRDefault="00C65047" w:rsidP="00224061">
      <w:pPr>
        <w:pStyle w:val="Heading2"/>
      </w:pPr>
      <w:bookmarkStart w:id="34" w:name="_Toc233828702"/>
      <w:r w:rsidRPr="00C65047">
        <w:t>4.2 Data Extraction</w:t>
      </w:r>
      <w:bookmarkEnd w:id="34"/>
    </w:p>
    <w:p w14:paraId="35BD72D2" w14:textId="2A52245B" w:rsidR="00C65047" w:rsidRPr="00C65047" w:rsidRDefault="00C65047" w:rsidP="00C65047">
      <w:pPr>
        <w:spacing w:line="360" w:lineRule="auto"/>
        <w:jc w:val="both"/>
        <w:rPr>
          <w:rFonts w:ascii="Arial" w:hAnsi="Arial" w:cs="Arial"/>
          <w:sz w:val="22"/>
          <w:szCs w:val="22"/>
        </w:rPr>
      </w:pPr>
      <w:r w:rsidRPr="00C65047">
        <w:rPr>
          <w:rFonts w:ascii="Arial" w:hAnsi="Arial" w:cs="Arial"/>
          <w:sz w:val="22"/>
          <w:szCs w:val="22"/>
        </w:rPr>
        <w:t xml:space="preserve">Data extraction is a systematic process used in literature reviews to identify, record and organise relevant information from included studies </w:t>
      </w:r>
      <w:r w:rsidR="00BA0291">
        <w:rPr>
          <w:rFonts w:ascii="Arial" w:hAnsi="Arial" w:cs="Arial"/>
          <w:sz w:val="22"/>
          <w:szCs w:val="22"/>
        </w:rPr>
        <w:t>consistently and transparently</w:t>
      </w:r>
      <w:r w:rsidRPr="00C65047">
        <w:rPr>
          <w:rFonts w:ascii="Arial" w:hAnsi="Arial" w:cs="Arial"/>
          <w:sz w:val="22"/>
          <w:szCs w:val="22"/>
        </w:rPr>
        <w:t xml:space="preserve"> (Page et al., 2021). It ensures that key methodological characteristics, findings and outcome measures are accurately captured to support reliable evidence synthesis (Higgins et al., 2022).</w:t>
      </w:r>
    </w:p>
    <w:p w14:paraId="3FEAAC78" w14:textId="77777777" w:rsidR="00C65047" w:rsidRPr="00C65047" w:rsidRDefault="00C65047" w:rsidP="00C65047">
      <w:pPr>
        <w:spacing w:line="360" w:lineRule="auto"/>
        <w:jc w:val="both"/>
        <w:rPr>
          <w:rFonts w:ascii="Arial" w:hAnsi="Arial" w:cs="Arial"/>
          <w:sz w:val="22"/>
          <w:szCs w:val="22"/>
        </w:rPr>
      </w:pPr>
      <w:r w:rsidRPr="00C65047">
        <w:rPr>
          <w:rFonts w:ascii="Arial" w:hAnsi="Arial" w:cs="Arial"/>
          <w:sz w:val="22"/>
          <w:szCs w:val="22"/>
        </w:rPr>
        <w:t>A predesigned data extraction form was used to record essential study information, including the author, publication year, study aims, sample characteristics, research design, data collection methods and key findings. Information relating to barriers affecting adolescent mental health service access, methodological limitations and overall study quality was also extracted. The use of a standardised extraction form reduced the risk of selective reporting and reviewer bias by ensuring that all studies were assessed consistently (Bettany-Saltikov and McSherry, 2025).</w:t>
      </w:r>
    </w:p>
    <w:p w14:paraId="49C33298" w14:textId="6F3C394C" w:rsidR="00BF3E96" w:rsidRPr="00BF3E96" w:rsidRDefault="00C65047" w:rsidP="00BF3E96">
      <w:pPr>
        <w:spacing w:line="360" w:lineRule="auto"/>
        <w:jc w:val="both"/>
        <w:rPr>
          <w:rFonts w:ascii="Arial" w:hAnsi="Arial" w:cs="Arial"/>
          <w:sz w:val="22"/>
          <w:szCs w:val="22"/>
        </w:rPr>
      </w:pPr>
      <w:r w:rsidRPr="00C65047">
        <w:rPr>
          <w:rFonts w:ascii="Arial" w:hAnsi="Arial" w:cs="Arial"/>
          <w:sz w:val="22"/>
          <w:szCs w:val="22"/>
        </w:rPr>
        <w:lastRenderedPageBreak/>
        <w:t>This structured approach enhanced the comparability of the included studies and provided a robust foundation for the critical evaluation and synthesis of the evidence presented in this review (Page et al., 2021).</w:t>
      </w:r>
    </w:p>
    <w:p w14:paraId="6078CDC1" w14:textId="77777777" w:rsidR="00BF3E96" w:rsidRPr="00BF3E96" w:rsidRDefault="00BF3E96" w:rsidP="00224061">
      <w:pPr>
        <w:pStyle w:val="Heading2"/>
      </w:pPr>
      <w:bookmarkStart w:id="35" w:name="_Toc233828703"/>
      <w:r w:rsidRPr="00BF3E96">
        <w:t>Table 4.1: Characteristics of the Included Studies</w:t>
      </w:r>
      <w:bookmarkEnd w:id="3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94"/>
        <w:gridCol w:w="418"/>
        <w:gridCol w:w="696"/>
        <w:gridCol w:w="1223"/>
        <w:gridCol w:w="982"/>
        <w:gridCol w:w="597"/>
        <w:gridCol w:w="642"/>
        <w:gridCol w:w="1071"/>
        <w:gridCol w:w="1009"/>
        <w:gridCol w:w="1194"/>
      </w:tblGrid>
      <w:tr w:rsidR="00BF3E96" w:rsidRPr="00BF3E96" w14:paraId="14E7C8F1" w14:textId="77777777" w:rsidTr="00486E52">
        <w:trPr>
          <w:tblHeader/>
          <w:tblCellSpacing w:w="15" w:type="dxa"/>
        </w:trPr>
        <w:tc>
          <w:tcPr>
            <w:tcW w:w="0" w:type="auto"/>
            <w:vAlign w:val="center"/>
            <w:hideMark/>
          </w:tcPr>
          <w:p w14:paraId="157A4B78"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Author(s)</w:t>
            </w:r>
          </w:p>
        </w:tc>
        <w:tc>
          <w:tcPr>
            <w:tcW w:w="0" w:type="auto"/>
            <w:vAlign w:val="center"/>
            <w:hideMark/>
          </w:tcPr>
          <w:p w14:paraId="0FADF2B8"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Year</w:t>
            </w:r>
          </w:p>
        </w:tc>
        <w:tc>
          <w:tcPr>
            <w:tcW w:w="0" w:type="auto"/>
            <w:vAlign w:val="center"/>
            <w:hideMark/>
          </w:tcPr>
          <w:p w14:paraId="1F453232"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UK Setting</w:t>
            </w:r>
          </w:p>
        </w:tc>
        <w:tc>
          <w:tcPr>
            <w:tcW w:w="0" w:type="auto"/>
            <w:vAlign w:val="center"/>
            <w:hideMark/>
          </w:tcPr>
          <w:p w14:paraId="3CA3683A"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Study Design</w:t>
            </w:r>
          </w:p>
        </w:tc>
        <w:tc>
          <w:tcPr>
            <w:tcW w:w="0" w:type="auto"/>
            <w:vAlign w:val="center"/>
            <w:hideMark/>
          </w:tcPr>
          <w:p w14:paraId="63E25E85"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Participants</w:t>
            </w:r>
          </w:p>
        </w:tc>
        <w:tc>
          <w:tcPr>
            <w:tcW w:w="0" w:type="auto"/>
            <w:vAlign w:val="center"/>
            <w:hideMark/>
          </w:tcPr>
          <w:p w14:paraId="7E511244"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Age (Years)</w:t>
            </w:r>
          </w:p>
        </w:tc>
        <w:tc>
          <w:tcPr>
            <w:tcW w:w="0" w:type="auto"/>
            <w:vAlign w:val="center"/>
            <w:hideMark/>
          </w:tcPr>
          <w:p w14:paraId="0736C7DF"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Sample Size (n)</w:t>
            </w:r>
          </w:p>
        </w:tc>
        <w:tc>
          <w:tcPr>
            <w:tcW w:w="0" w:type="auto"/>
            <w:vAlign w:val="center"/>
            <w:hideMark/>
          </w:tcPr>
          <w:p w14:paraId="5B9E7194"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Data Collection Method</w:t>
            </w:r>
          </w:p>
        </w:tc>
        <w:tc>
          <w:tcPr>
            <w:tcW w:w="0" w:type="auto"/>
            <w:vAlign w:val="center"/>
            <w:hideMark/>
          </w:tcPr>
          <w:p w14:paraId="6878241D"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Study Aim</w:t>
            </w:r>
          </w:p>
        </w:tc>
        <w:tc>
          <w:tcPr>
            <w:tcW w:w="0" w:type="auto"/>
            <w:vAlign w:val="center"/>
            <w:hideMark/>
          </w:tcPr>
          <w:p w14:paraId="640E5535"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Key Findings Relevant to the Review</w:t>
            </w:r>
          </w:p>
        </w:tc>
      </w:tr>
      <w:tr w:rsidR="00BF3E96" w:rsidRPr="00BF3E96" w14:paraId="27660F46" w14:textId="77777777" w:rsidTr="00486E52">
        <w:trPr>
          <w:tblCellSpacing w:w="15" w:type="dxa"/>
        </w:trPr>
        <w:tc>
          <w:tcPr>
            <w:tcW w:w="0" w:type="auto"/>
            <w:vAlign w:val="center"/>
            <w:hideMark/>
          </w:tcPr>
          <w:p w14:paraId="1B14949A"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Leavey et al.</w:t>
            </w:r>
          </w:p>
        </w:tc>
        <w:tc>
          <w:tcPr>
            <w:tcW w:w="0" w:type="auto"/>
            <w:vAlign w:val="center"/>
            <w:hideMark/>
          </w:tcPr>
          <w:p w14:paraId="7F95A39F"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2011</w:t>
            </w:r>
          </w:p>
        </w:tc>
        <w:tc>
          <w:tcPr>
            <w:tcW w:w="0" w:type="auto"/>
            <w:vAlign w:val="center"/>
            <w:hideMark/>
          </w:tcPr>
          <w:p w14:paraId="2AB2F623"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England</w:t>
            </w:r>
          </w:p>
        </w:tc>
        <w:tc>
          <w:tcPr>
            <w:tcW w:w="0" w:type="auto"/>
            <w:vAlign w:val="center"/>
            <w:hideMark/>
          </w:tcPr>
          <w:p w14:paraId="2E995B6E"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Qualitative study</w:t>
            </w:r>
          </w:p>
        </w:tc>
        <w:tc>
          <w:tcPr>
            <w:tcW w:w="0" w:type="auto"/>
            <w:vAlign w:val="center"/>
            <w:hideMark/>
          </w:tcPr>
          <w:p w14:paraId="4C556613"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Adolescents from minority ethnic communities</w:t>
            </w:r>
          </w:p>
        </w:tc>
        <w:tc>
          <w:tcPr>
            <w:tcW w:w="0" w:type="auto"/>
            <w:vAlign w:val="center"/>
            <w:hideMark/>
          </w:tcPr>
          <w:p w14:paraId="0339BBF3"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10–19</w:t>
            </w:r>
          </w:p>
        </w:tc>
        <w:tc>
          <w:tcPr>
            <w:tcW w:w="0" w:type="auto"/>
            <w:vAlign w:val="center"/>
            <w:hideMark/>
          </w:tcPr>
          <w:p w14:paraId="58EC12F9"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NR</w:t>
            </w:r>
          </w:p>
        </w:tc>
        <w:tc>
          <w:tcPr>
            <w:tcW w:w="0" w:type="auto"/>
            <w:vAlign w:val="center"/>
            <w:hideMark/>
          </w:tcPr>
          <w:p w14:paraId="73A0AF0D"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Interviews</w:t>
            </w:r>
          </w:p>
        </w:tc>
        <w:tc>
          <w:tcPr>
            <w:tcW w:w="0" w:type="auto"/>
            <w:vAlign w:val="center"/>
            <w:hideMark/>
          </w:tcPr>
          <w:p w14:paraId="76687956"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explore cultural barriers affecting adolescents' access to mental health services.</w:t>
            </w:r>
          </w:p>
        </w:tc>
        <w:tc>
          <w:tcPr>
            <w:tcW w:w="0" w:type="auto"/>
            <w:vAlign w:val="center"/>
            <w:hideMark/>
          </w:tcPr>
          <w:p w14:paraId="2103BC93"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Cultural beliefs, stigma and limited-service responsiveness reduced adolescents' engagement with Child and Adolescent Mental Health Services (CAMHS).</w:t>
            </w:r>
          </w:p>
        </w:tc>
      </w:tr>
      <w:tr w:rsidR="00BF3E96" w:rsidRPr="00BF3E96" w14:paraId="314EF110" w14:textId="77777777" w:rsidTr="00486E52">
        <w:trPr>
          <w:tblCellSpacing w:w="15" w:type="dxa"/>
        </w:trPr>
        <w:tc>
          <w:tcPr>
            <w:tcW w:w="0" w:type="auto"/>
            <w:vAlign w:val="center"/>
            <w:hideMark/>
          </w:tcPr>
          <w:p w14:paraId="1164A8EE"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Lowther-Payne et al.</w:t>
            </w:r>
          </w:p>
          <w:p w14:paraId="5DB16449" w14:textId="77777777" w:rsidR="00BF3E96" w:rsidRPr="00BF3E96" w:rsidRDefault="00BF3E96" w:rsidP="00BF3E96">
            <w:pPr>
              <w:spacing w:line="360" w:lineRule="auto"/>
              <w:jc w:val="both"/>
              <w:rPr>
                <w:rFonts w:ascii="Arial" w:hAnsi="Arial" w:cs="Arial"/>
                <w:b/>
                <w:bCs/>
                <w:sz w:val="22"/>
                <w:szCs w:val="22"/>
              </w:rPr>
            </w:pPr>
          </w:p>
        </w:tc>
        <w:tc>
          <w:tcPr>
            <w:tcW w:w="0" w:type="auto"/>
            <w:vAlign w:val="center"/>
            <w:hideMark/>
          </w:tcPr>
          <w:p w14:paraId="79613CB4"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2023</w:t>
            </w:r>
          </w:p>
        </w:tc>
        <w:tc>
          <w:tcPr>
            <w:tcW w:w="0" w:type="auto"/>
            <w:vAlign w:val="center"/>
            <w:hideMark/>
          </w:tcPr>
          <w:p w14:paraId="2262ACB8"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England</w:t>
            </w:r>
          </w:p>
        </w:tc>
        <w:tc>
          <w:tcPr>
            <w:tcW w:w="0" w:type="auto"/>
            <w:vAlign w:val="center"/>
            <w:hideMark/>
          </w:tcPr>
          <w:p w14:paraId="3E88D4E7"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Qualitative study</w:t>
            </w:r>
          </w:p>
        </w:tc>
        <w:tc>
          <w:tcPr>
            <w:tcW w:w="0" w:type="auto"/>
            <w:vAlign w:val="center"/>
            <w:hideMark/>
          </w:tcPr>
          <w:p w14:paraId="225C7564"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Adolescents</w:t>
            </w:r>
          </w:p>
        </w:tc>
        <w:tc>
          <w:tcPr>
            <w:tcW w:w="0" w:type="auto"/>
            <w:vAlign w:val="center"/>
            <w:hideMark/>
          </w:tcPr>
          <w:p w14:paraId="50103E24"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10–19</w:t>
            </w:r>
          </w:p>
        </w:tc>
        <w:tc>
          <w:tcPr>
            <w:tcW w:w="0" w:type="auto"/>
            <w:vAlign w:val="center"/>
            <w:hideMark/>
          </w:tcPr>
          <w:p w14:paraId="1A2CC97E"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NR</w:t>
            </w:r>
          </w:p>
        </w:tc>
        <w:tc>
          <w:tcPr>
            <w:tcW w:w="0" w:type="auto"/>
            <w:vAlign w:val="center"/>
            <w:hideMark/>
          </w:tcPr>
          <w:p w14:paraId="433A9527"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Interviews</w:t>
            </w:r>
          </w:p>
        </w:tc>
        <w:tc>
          <w:tcPr>
            <w:tcW w:w="0" w:type="auto"/>
            <w:vAlign w:val="center"/>
            <w:hideMark/>
          </w:tcPr>
          <w:p w14:paraId="3978E3B7"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explore adolescents' experiences of accessin</w:t>
            </w:r>
            <w:r w:rsidRPr="00BF3E96">
              <w:rPr>
                <w:rFonts w:ascii="Arial" w:hAnsi="Arial" w:cs="Arial"/>
                <w:sz w:val="22"/>
                <w:szCs w:val="22"/>
              </w:rPr>
              <w:lastRenderedPageBreak/>
              <w:t>g mental health services.</w:t>
            </w:r>
          </w:p>
        </w:tc>
        <w:tc>
          <w:tcPr>
            <w:tcW w:w="0" w:type="auto"/>
            <w:vAlign w:val="center"/>
            <w:hideMark/>
          </w:tcPr>
          <w:p w14:paraId="6DC4C88E"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lastRenderedPageBreak/>
              <w:t xml:space="preserve">Referral pathways, confidentiality concerns and digital exclusion </w:t>
            </w:r>
            <w:r w:rsidRPr="00BF3E96">
              <w:rPr>
                <w:rFonts w:ascii="Arial" w:hAnsi="Arial" w:cs="Arial"/>
                <w:sz w:val="22"/>
                <w:szCs w:val="22"/>
              </w:rPr>
              <w:lastRenderedPageBreak/>
              <w:t>influenced adolescents' access to mental health services.</w:t>
            </w:r>
          </w:p>
        </w:tc>
      </w:tr>
      <w:tr w:rsidR="00BF3E96" w:rsidRPr="00BF3E96" w14:paraId="3D707D77" w14:textId="77777777" w:rsidTr="00486E52">
        <w:trPr>
          <w:tblCellSpacing w:w="15" w:type="dxa"/>
        </w:trPr>
        <w:tc>
          <w:tcPr>
            <w:tcW w:w="0" w:type="auto"/>
            <w:vAlign w:val="center"/>
            <w:hideMark/>
          </w:tcPr>
          <w:p w14:paraId="3C82C7DB"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lastRenderedPageBreak/>
              <w:t>Radez et al.</w:t>
            </w:r>
          </w:p>
        </w:tc>
        <w:tc>
          <w:tcPr>
            <w:tcW w:w="0" w:type="auto"/>
            <w:vAlign w:val="center"/>
            <w:hideMark/>
          </w:tcPr>
          <w:p w14:paraId="0039FC9F"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2021</w:t>
            </w:r>
          </w:p>
        </w:tc>
        <w:tc>
          <w:tcPr>
            <w:tcW w:w="0" w:type="auto"/>
            <w:vAlign w:val="center"/>
            <w:hideMark/>
          </w:tcPr>
          <w:p w14:paraId="4B9D0DFE"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United Kingdom</w:t>
            </w:r>
          </w:p>
        </w:tc>
        <w:tc>
          <w:tcPr>
            <w:tcW w:w="0" w:type="auto"/>
            <w:vAlign w:val="center"/>
            <w:hideMark/>
          </w:tcPr>
          <w:p w14:paraId="632EA5E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Qualitative study</w:t>
            </w:r>
          </w:p>
        </w:tc>
        <w:tc>
          <w:tcPr>
            <w:tcW w:w="0" w:type="auto"/>
            <w:vAlign w:val="center"/>
            <w:hideMark/>
          </w:tcPr>
          <w:p w14:paraId="0F9ECAD0"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Adolescents</w:t>
            </w:r>
          </w:p>
        </w:tc>
        <w:tc>
          <w:tcPr>
            <w:tcW w:w="0" w:type="auto"/>
            <w:vAlign w:val="center"/>
            <w:hideMark/>
          </w:tcPr>
          <w:p w14:paraId="59D73CC4"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10–19</w:t>
            </w:r>
          </w:p>
        </w:tc>
        <w:tc>
          <w:tcPr>
            <w:tcW w:w="0" w:type="auto"/>
            <w:vAlign w:val="center"/>
            <w:hideMark/>
          </w:tcPr>
          <w:p w14:paraId="314315AD"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NR</w:t>
            </w:r>
          </w:p>
        </w:tc>
        <w:tc>
          <w:tcPr>
            <w:tcW w:w="0" w:type="auto"/>
            <w:vAlign w:val="center"/>
            <w:hideMark/>
          </w:tcPr>
          <w:p w14:paraId="75A36BF4"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Interviews and focus groups</w:t>
            </w:r>
          </w:p>
        </w:tc>
        <w:tc>
          <w:tcPr>
            <w:tcW w:w="0" w:type="auto"/>
            <w:vAlign w:val="center"/>
            <w:hideMark/>
          </w:tcPr>
          <w:p w14:paraId="1971753E"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identify barriers to help</w:t>
            </w:r>
            <w:r w:rsidRPr="00BF3E96">
              <w:rPr>
                <w:rFonts w:ascii="Arial" w:hAnsi="Arial" w:cs="Arial"/>
                <w:sz w:val="22"/>
                <w:szCs w:val="22"/>
              </w:rPr>
              <w:noBreakHyphen/>
              <w:t>seeking and accessing mental health services.</w:t>
            </w:r>
          </w:p>
        </w:tc>
        <w:tc>
          <w:tcPr>
            <w:tcW w:w="0" w:type="auto"/>
            <w:vAlign w:val="center"/>
            <w:hideMark/>
          </w:tcPr>
          <w:p w14:paraId="30AB79E8"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Stigma, confidentiality concerns and lack of trust reduced adolescents' help</w:t>
            </w:r>
            <w:r w:rsidRPr="00BF3E96">
              <w:rPr>
                <w:rFonts w:ascii="Arial" w:hAnsi="Arial" w:cs="Arial"/>
                <w:sz w:val="22"/>
                <w:szCs w:val="22"/>
              </w:rPr>
              <w:noBreakHyphen/>
              <w:t>seeking behaviour.</w:t>
            </w:r>
          </w:p>
        </w:tc>
      </w:tr>
      <w:tr w:rsidR="00BF3E96" w:rsidRPr="00BF3E96" w14:paraId="40762A5B" w14:textId="77777777" w:rsidTr="00486E52">
        <w:trPr>
          <w:tblCellSpacing w:w="15" w:type="dxa"/>
        </w:trPr>
        <w:tc>
          <w:tcPr>
            <w:tcW w:w="0" w:type="auto"/>
            <w:vAlign w:val="center"/>
            <w:hideMark/>
          </w:tcPr>
          <w:p w14:paraId="1F8A2350"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NHS Digital</w:t>
            </w:r>
          </w:p>
        </w:tc>
        <w:tc>
          <w:tcPr>
            <w:tcW w:w="0" w:type="auto"/>
            <w:vAlign w:val="center"/>
            <w:hideMark/>
          </w:tcPr>
          <w:p w14:paraId="117968D1"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2022</w:t>
            </w:r>
          </w:p>
        </w:tc>
        <w:tc>
          <w:tcPr>
            <w:tcW w:w="0" w:type="auto"/>
            <w:vAlign w:val="center"/>
            <w:hideMark/>
          </w:tcPr>
          <w:p w14:paraId="79B6C89A"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England</w:t>
            </w:r>
          </w:p>
        </w:tc>
        <w:tc>
          <w:tcPr>
            <w:tcW w:w="0" w:type="auto"/>
            <w:vAlign w:val="center"/>
            <w:hideMark/>
          </w:tcPr>
          <w:p w14:paraId="743AC25D"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Quantitative (Cross</w:t>
            </w:r>
            <w:r w:rsidRPr="00BF3E96">
              <w:rPr>
                <w:rFonts w:ascii="Arial" w:hAnsi="Arial" w:cs="Arial"/>
                <w:sz w:val="22"/>
                <w:szCs w:val="22"/>
              </w:rPr>
              <w:noBreakHyphen/>
              <w:t>sectional survey)</w:t>
            </w:r>
          </w:p>
        </w:tc>
        <w:tc>
          <w:tcPr>
            <w:tcW w:w="0" w:type="auto"/>
            <w:vAlign w:val="center"/>
            <w:hideMark/>
          </w:tcPr>
          <w:p w14:paraId="0D3F64E5"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Children and young people</w:t>
            </w:r>
          </w:p>
        </w:tc>
        <w:tc>
          <w:tcPr>
            <w:tcW w:w="0" w:type="auto"/>
            <w:vAlign w:val="center"/>
            <w:hideMark/>
          </w:tcPr>
          <w:p w14:paraId="540E6973"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7–17</w:t>
            </w:r>
          </w:p>
        </w:tc>
        <w:tc>
          <w:tcPr>
            <w:tcW w:w="0" w:type="auto"/>
            <w:vAlign w:val="center"/>
            <w:hideMark/>
          </w:tcPr>
          <w:p w14:paraId="47F04CD3"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2,866</w:t>
            </w:r>
          </w:p>
        </w:tc>
        <w:tc>
          <w:tcPr>
            <w:tcW w:w="0" w:type="auto"/>
            <w:vAlign w:val="center"/>
            <w:hideMark/>
          </w:tcPr>
          <w:p w14:paraId="68C011A4"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National survey</w:t>
            </w:r>
          </w:p>
        </w:tc>
        <w:tc>
          <w:tcPr>
            <w:tcW w:w="0" w:type="auto"/>
            <w:vAlign w:val="center"/>
            <w:hideMark/>
          </w:tcPr>
          <w:p w14:paraId="2B71BC5C"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 xml:space="preserve">To examine the prevalence of mental health disorders and patterns of service </w:t>
            </w:r>
            <w:r w:rsidRPr="00BF3E96">
              <w:rPr>
                <w:rFonts w:ascii="Arial" w:hAnsi="Arial" w:cs="Arial"/>
                <w:sz w:val="22"/>
                <w:szCs w:val="22"/>
              </w:rPr>
              <w:lastRenderedPageBreak/>
              <w:t>utilisation.</w:t>
            </w:r>
          </w:p>
        </w:tc>
        <w:tc>
          <w:tcPr>
            <w:tcW w:w="0" w:type="auto"/>
            <w:vAlign w:val="center"/>
            <w:hideMark/>
          </w:tcPr>
          <w:p w14:paraId="4553F1F5"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lastRenderedPageBreak/>
              <w:t>Increasing prevalence of mental health difficulties contributed to greater demand for CAMHS.</w:t>
            </w:r>
          </w:p>
        </w:tc>
      </w:tr>
      <w:tr w:rsidR="00BF3E96" w:rsidRPr="00BF3E96" w14:paraId="52B7C2CB" w14:textId="77777777" w:rsidTr="00486E52">
        <w:trPr>
          <w:tblCellSpacing w:w="15" w:type="dxa"/>
        </w:trPr>
        <w:tc>
          <w:tcPr>
            <w:tcW w:w="0" w:type="auto"/>
            <w:vAlign w:val="center"/>
            <w:hideMark/>
          </w:tcPr>
          <w:p w14:paraId="1043C38C"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lastRenderedPageBreak/>
              <w:t>NHS Digital</w:t>
            </w:r>
          </w:p>
        </w:tc>
        <w:tc>
          <w:tcPr>
            <w:tcW w:w="0" w:type="auto"/>
            <w:vAlign w:val="center"/>
            <w:hideMark/>
          </w:tcPr>
          <w:p w14:paraId="12B18736"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2023</w:t>
            </w:r>
          </w:p>
        </w:tc>
        <w:tc>
          <w:tcPr>
            <w:tcW w:w="0" w:type="auto"/>
            <w:vAlign w:val="center"/>
            <w:hideMark/>
          </w:tcPr>
          <w:p w14:paraId="3F9CE2AE"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England</w:t>
            </w:r>
          </w:p>
        </w:tc>
        <w:tc>
          <w:tcPr>
            <w:tcW w:w="0" w:type="auto"/>
            <w:vAlign w:val="center"/>
            <w:hideMark/>
          </w:tcPr>
          <w:p w14:paraId="00B112AB"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Quantitative (Cross</w:t>
            </w:r>
            <w:r w:rsidRPr="00BF3E96">
              <w:rPr>
                <w:rFonts w:ascii="Arial" w:hAnsi="Arial" w:cs="Arial"/>
                <w:sz w:val="22"/>
                <w:szCs w:val="22"/>
              </w:rPr>
              <w:noBreakHyphen/>
              <w:t>sectional survey)</w:t>
            </w:r>
          </w:p>
        </w:tc>
        <w:tc>
          <w:tcPr>
            <w:tcW w:w="0" w:type="auto"/>
            <w:vAlign w:val="center"/>
            <w:hideMark/>
          </w:tcPr>
          <w:p w14:paraId="2425DB5A"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Children and young people</w:t>
            </w:r>
          </w:p>
        </w:tc>
        <w:tc>
          <w:tcPr>
            <w:tcW w:w="0" w:type="auto"/>
            <w:vAlign w:val="center"/>
            <w:hideMark/>
          </w:tcPr>
          <w:p w14:paraId="5B5CCC2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7–17</w:t>
            </w:r>
          </w:p>
        </w:tc>
        <w:tc>
          <w:tcPr>
            <w:tcW w:w="0" w:type="auto"/>
            <w:vAlign w:val="center"/>
            <w:hideMark/>
          </w:tcPr>
          <w:p w14:paraId="121021CA"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3,707</w:t>
            </w:r>
          </w:p>
        </w:tc>
        <w:tc>
          <w:tcPr>
            <w:tcW w:w="0" w:type="auto"/>
            <w:vAlign w:val="center"/>
            <w:hideMark/>
          </w:tcPr>
          <w:p w14:paraId="0FECEDB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Administrative dataset</w:t>
            </w:r>
          </w:p>
        </w:tc>
        <w:tc>
          <w:tcPr>
            <w:tcW w:w="0" w:type="auto"/>
            <w:vAlign w:val="center"/>
            <w:hideMark/>
          </w:tcPr>
          <w:p w14:paraId="0F6778B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investigate referral trends, waiting times and service utilisation.</w:t>
            </w:r>
          </w:p>
        </w:tc>
        <w:tc>
          <w:tcPr>
            <w:tcW w:w="0" w:type="auto"/>
            <w:vAlign w:val="center"/>
            <w:hideMark/>
          </w:tcPr>
          <w:p w14:paraId="0F8DEC87"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Long waiting times and restrictive referral thresholds delayed access to mental health services.</w:t>
            </w:r>
          </w:p>
        </w:tc>
      </w:tr>
      <w:tr w:rsidR="00BF3E96" w:rsidRPr="00BF3E96" w14:paraId="12AF1B13" w14:textId="77777777" w:rsidTr="00486E52">
        <w:trPr>
          <w:tblCellSpacing w:w="15" w:type="dxa"/>
        </w:trPr>
        <w:tc>
          <w:tcPr>
            <w:tcW w:w="0" w:type="auto"/>
            <w:vAlign w:val="center"/>
            <w:hideMark/>
          </w:tcPr>
          <w:p w14:paraId="6EB8D816"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Children’s Commissioner for England</w:t>
            </w:r>
          </w:p>
        </w:tc>
        <w:tc>
          <w:tcPr>
            <w:tcW w:w="0" w:type="auto"/>
            <w:vAlign w:val="center"/>
            <w:hideMark/>
          </w:tcPr>
          <w:p w14:paraId="4446A4E0"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2024</w:t>
            </w:r>
          </w:p>
        </w:tc>
        <w:tc>
          <w:tcPr>
            <w:tcW w:w="0" w:type="auto"/>
            <w:vAlign w:val="center"/>
            <w:hideMark/>
          </w:tcPr>
          <w:p w14:paraId="652FF9F8"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England</w:t>
            </w:r>
          </w:p>
        </w:tc>
        <w:tc>
          <w:tcPr>
            <w:tcW w:w="0" w:type="auto"/>
            <w:vAlign w:val="center"/>
            <w:hideMark/>
          </w:tcPr>
          <w:p w14:paraId="7C957BB4"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Retrospective cohort audit</w:t>
            </w:r>
          </w:p>
        </w:tc>
        <w:tc>
          <w:tcPr>
            <w:tcW w:w="0" w:type="auto"/>
            <w:vAlign w:val="center"/>
            <w:hideMark/>
          </w:tcPr>
          <w:p w14:paraId="0DB795B7"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Children and young people</w:t>
            </w:r>
          </w:p>
        </w:tc>
        <w:tc>
          <w:tcPr>
            <w:tcW w:w="0" w:type="auto"/>
            <w:vAlign w:val="center"/>
            <w:hideMark/>
          </w:tcPr>
          <w:p w14:paraId="56F7418E"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NR</w:t>
            </w:r>
          </w:p>
        </w:tc>
        <w:tc>
          <w:tcPr>
            <w:tcW w:w="0" w:type="auto"/>
            <w:vAlign w:val="center"/>
            <w:hideMark/>
          </w:tcPr>
          <w:p w14:paraId="669AC7A4"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270,000</w:t>
            </w:r>
          </w:p>
        </w:tc>
        <w:tc>
          <w:tcPr>
            <w:tcW w:w="0" w:type="auto"/>
            <w:vAlign w:val="center"/>
            <w:hideMark/>
          </w:tcPr>
          <w:p w14:paraId="5AE9BD5C"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Administrative service records</w:t>
            </w:r>
          </w:p>
        </w:tc>
        <w:tc>
          <w:tcPr>
            <w:tcW w:w="0" w:type="auto"/>
            <w:vAlign w:val="center"/>
            <w:hideMark/>
          </w:tcPr>
          <w:p w14:paraId="54126A0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evaluate access to children's mental health services.</w:t>
            </w:r>
          </w:p>
        </w:tc>
        <w:tc>
          <w:tcPr>
            <w:tcW w:w="0" w:type="auto"/>
            <w:vAlign w:val="center"/>
            <w:hideMark/>
          </w:tcPr>
          <w:p w14:paraId="6179A4AB"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High numbers of referrals were rejected or delayed because of increasing service capacity pressures.</w:t>
            </w:r>
          </w:p>
        </w:tc>
      </w:tr>
      <w:tr w:rsidR="00BF3E96" w:rsidRPr="00BF3E96" w14:paraId="7474106D" w14:textId="77777777" w:rsidTr="00486E52">
        <w:trPr>
          <w:tblCellSpacing w:w="15" w:type="dxa"/>
        </w:trPr>
        <w:tc>
          <w:tcPr>
            <w:tcW w:w="0" w:type="auto"/>
            <w:vAlign w:val="center"/>
            <w:hideMark/>
          </w:tcPr>
          <w:p w14:paraId="62AE7168"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NHS Digital</w:t>
            </w:r>
          </w:p>
        </w:tc>
        <w:tc>
          <w:tcPr>
            <w:tcW w:w="0" w:type="auto"/>
            <w:vAlign w:val="center"/>
            <w:hideMark/>
          </w:tcPr>
          <w:p w14:paraId="594183E3"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2025</w:t>
            </w:r>
          </w:p>
        </w:tc>
        <w:tc>
          <w:tcPr>
            <w:tcW w:w="0" w:type="auto"/>
            <w:vAlign w:val="center"/>
            <w:hideMark/>
          </w:tcPr>
          <w:p w14:paraId="416D84E4"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England</w:t>
            </w:r>
          </w:p>
        </w:tc>
        <w:tc>
          <w:tcPr>
            <w:tcW w:w="0" w:type="auto"/>
            <w:vAlign w:val="center"/>
            <w:hideMark/>
          </w:tcPr>
          <w:p w14:paraId="218FE81C"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Quantitative (Cross</w:t>
            </w:r>
            <w:r w:rsidRPr="00BF3E96">
              <w:rPr>
                <w:rFonts w:ascii="Arial" w:hAnsi="Arial" w:cs="Arial"/>
                <w:sz w:val="22"/>
                <w:szCs w:val="22"/>
              </w:rPr>
              <w:noBreakHyphen/>
              <w:t>sect</w:t>
            </w:r>
            <w:r w:rsidRPr="00BF3E96">
              <w:rPr>
                <w:rFonts w:ascii="Arial" w:hAnsi="Arial" w:cs="Arial"/>
                <w:sz w:val="22"/>
                <w:szCs w:val="22"/>
              </w:rPr>
              <w:lastRenderedPageBreak/>
              <w:t>ional survey)</w:t>
            </w:r>
          </w:p>
        </w:tc>
        <w:tc>
          <w:tcPr>
            <w:tcW w:w="0" w:type="auto"/>
            <w:vAlign w:val="center"/>
            <w:hideMark/>
          </w:tcPr>
          <w:p w14:paraId="28C84660"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lastRenderedPageBreak/>
              <w:t>Children and young people</w:t>
            </w:r>
          </w:p>
        </w:tc>
        <w:tc>
          <w:tcPr>
            <w:tcW w:w="0" w:type="auto"/>
            <w:vAlign w:val="center"/>
            <w:hideMark/>
          </w:tcPr>
          <w:p w14:paraId="2640A04D"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7–17</w:t>
            </w:r>
          </w:p>
        </w:tc>
        <w:tc>
          <w:tcPr>
            <w:tcW w:w="0" w:type="auto"/>
            <w:vAlign w:val="center"/>
            <w:hideMark/>
          </w:tcPr>
          <w:p w14:paraId="1852722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3,420</w:t>
            </w:r>
          </w:p>
        </w:tc>
        <w:tc>
          <w:tcPr>
            <w:tcW w:w="0" w:type="auto"/>
            <w:vAlign w:val="center"/>
            <w:hideMark/>
          </w:tcPr>
          <w:p w14:paraId="2DF132C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National administrative dataset</w:t>
            </w:r>
          </w:p>
        </w:tc>
        <w:tc>
          <w:tcPr>
            <w:tcW w:w="0" w:type="auto"/>
            <w:vAlign w:val="center"/>
            <w:hideMark/>
          </w:tcPr>
          <w:p w14:paraId="1934FCFE"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 xml:space="preserve">To monitor patterns of service demand </w:t>
            </w:r>
            <w:r w:rsidRPr="00BF3E96">
              <w:rPr>
                <w:rFonts w:ascii="Arial" w:hAnsi="Arial" w:cs="Arial"/>
                <w:sz w:val="22"/>
                <w:szCs w:val="22"/>
              </w:rPr>
              <w:lastRenderedPageBreak/>
              <w:t>and access to mental health services.</w:t>
            </w:r>
          </w:p>
        </w:tc>
        <w:tc>
          <w:tcPr>
            <w:tcW w:w="0" w:type="auto"/>
            <w:vAlign w:val="center"/>
            <w:hideMark/>
          </w:tcPr>
          <w:p w14:paraId="20DA5ED0"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lastRenderedPageBreak/>
              <w:t xml:space="preserve">Demand for CAMHS continued to exceed available </w:t>
            </w:r>
            <w:r w:rsidRPr="00BF3E96">
              <w:rPr>
                <w:rFonts w:ascii="Arial" w:hAnsi="Arial" w:cs="Arial"/>
                <w:sz w:val="22"/>
                <w:szCs w:val="22"/>
              </w:rPr>
              <w:lastRenderedPageBreak/>
              <w:t>service capacity across England.</w:t>
            </w:r>
          </w:p>
        </w:tc>
      </w:tr>
      <w:tr w:rsidR="00BF3E96" w:rsidRPr="00BF3E96" w14:paraId="06D1D6BD" w14:textId="77777777" w:rsidTr="00486E52">
        <w:trPr>
          <w:tblCellSpacing w:w="15" w:type="dxa"/>
        </w:trPr>
        <w:tc>
          <w:tcPr>
            <w:tcW w:w="0" w:type="auto"/>
            <w:vAlign w:val="center"/>
            <w:hideMark/>
          </w:tcPr>
          <w:p w14:paraId="23A70EA6"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lastRenderedPageBreak/>
              <w:t>Royal College of Psychiatrists</w:t>
            </w:r>
          </w:p>
        </w:tc>
        <w:tc>
          <w:tcPr>
            <w:tcW w:w="0" w:type="auto"/>
            <w:vAlign w:val="center"/>
            <w:hideMark/>
          </w:tcPr>
          <w:p w14:paraId="5AE9C341"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2025</w:t>
            </w:r>
          </w:p>
        </w:tc>
        <w:tc>
          <w:tcPr>
            <w:tcW w:w="0" w:type="auto"/>
            <w:vAlign w:val="center"/>
            <w:hideMark/>
          </w:tcPr>
          <w:p w14:paraId="54F4835B"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United Kingdom</w:t>
            </w:r>
          </w:p>
        </w:tc>
        <w:tc>
          <w:tcPr>
            <w:tcW w:w="0" w:type="auto"/>
            <w:vAlign w:val="center"/>
            <w:hideMark/>
          </w:tcPr>
          <w:p w14:paraId="436025BB"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Multi</w:t>
            </w:r>
            <w:r w:rsidRPr="00BF3E96">
              <w:rPr>
                <w:rFonts w:ascii="Arial" w:hAnsi="Arial" w:cs="Arial"/>
                <w:sz w:val="22"/>
                <w:szCs w:val="22"/>
              </w:rPr>
              <w:noBreakHyphen/>
              <w:t>centre cohort audit</w:t>
            </w:r>
          </w:p>
        </w:tc>
        <w:tc>
          <w:tcPr>
            <w:tcW w:w="0" w:type="auto"/>
            <w:vAlign w:val="center"/>
            <w:hideMark/>
          </w:tcPr>
          <w:p w14:paraId="5A94517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CAMHS services and crisis care provision</w:t>
            </w:r>
          </w:p>
        </w:tc>
        <w:tc>
          <w:tcPr>
            <w:tcW w:w="0" w:type="auto"/>
            <w:vAlign w:val="center"/>
            <w:hideMark/>
          </w:tcPr>
          <w:p w14:paraId="07056C71"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N/A</w:t>
            </w:r>
          </w:p>
        </w:tc>
        <w:tc>
          <w:tcPr>
            <w:tcW w:w="0" w:type="auto"/>
            <w:vAlign w:val="center"/>
            <w:hideMark/>
          </w:tcPr>
          <w:p w14:paraId="761DDF59"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5,120</w:t>
            </w:r>
          </w:p>
        </w:tc>
        <w:tc>
          <w:tcPr>
            <w:tcW w:w="0" w:type="auto"/>
            <w:vAlign w:val="center"/>
            <w:hideMark/>
          </w:tcPr>
          <w:p w14:paraId="730E514A"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Workforce and service data</w:t>
            </w:r>
          </w:p>
        </w:tc>
        <w:tc>
          <w:tcPr>
            <w:tcW w:w="0" w:type="auto"/>
            <w:vAlign w:val="center"/>
            <w:hideMark/>
          </w:tcPr>
          <w:p w14:paraId="07517CBF"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evaluate workforce capacity and CAMHS service provision.</w:t>
            </w:r>
          </w:p>
        </w:tc>
        <w:tc>
          <w:tcPr>
            <w:tcW w:w="0" w:type="auto"/>
            <w:vAlign w:val="center"/>
            <w:hideMark/>
          </w:tcPr>
          <w:p w14:paraId="5C2B5E69"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Workforce shortages contributed to delays in care and reduced continuity of mental health services.</w:t>
            </w:r>
          </w:p>
        </w:tc>
      </w:tr>
      <w:tr w:rsidR="00BF3E96" w:rsidRPr="00BF3E96" w14:paraId="60E31D54" w14:textId="77777777" w:rsidTr="00486E52">
        <w:trPr>
          <w:tblCellSpacing w:w="15" w:type="dxa"/>
        </w:trPr>
        <w:tc>
          <w:tcPr>
            <w:tcW w:w="0" w:type="auto"/>
            <w:vAlign w:val="center"/>
            <w:hideMark/>
          </w:tcPr>
          <w:p w14:paraId="3B27B60D"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YoungMinds</w:t>
            </w:r>
          </w:p>
        </w:tc>
        <w:tc>
          <w:tcPr>
            <w:tcW w:w="0" w:type="auto"/>
            <w:vAlign w:val="center"/>
            <w:hideMark/>
          </w:tcPr>
          <w:p w14:paraId="7D7FDCB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2022</w:t>
            </w:r>
          </w:p>
        </w:tc>
        <w:tc>
          <w:tcPr>
            <w:tcW w:w="0" w:type="auto"/>
            <w:vAlign w:val="center"/>
            <w:hideMark/>
          </w:tcPr>
          <w:p w14:paraId="2D429FE9"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United Kingdom</w:t>
            </w:r>
          </w:p>
        </w:tc>
        <w:tc>
          <w:tcPr>
            <w:tcW w:w="0" w:type="auto"/>
            <w:vAlign w:val="center"/>
            <w:hideMark/>
          </w:tcPr>
          <w:p w14:paraId="6FFD823C"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Grey literature (National survey)</w:t>
            </w:r>
          </w:p>
        </w:tc>
        <w:tc>
          <w:tcPr>
            <w:tcW w:w="0" w:type="auto"/>
            <w:vAlign w:val="center"/>
            <w:hideMark/>
          </w:tcPr>
          <w:p w14:paraId="6B7A3AC5"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Young people</w:t>
            </w:r>
          </w:p>
        </w:tc>
        <w:tc>
          <w:tcPr>
            <w:tcW w:w="0" w:type="auto"/>
            <w:vAlign w:val="center"/>
            <w:hideMark/>
          </w:tcPr>
          <w:p w14:paraId="4B2D84E3"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11–18</w:t>
            </w:r>
          </w:p>
        </w:tc>
        <w:tc>
          <w:tcPr>
            <w:tcW w:w="0" w:type="auto"/>
            <w:vAlign w:val="center"/>
            <w:hideMark/>
          </w:tcPr>
          <w:p w14:paraId="2C4FD2E8"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NR</w:t>
            </w:r>
          </w:p>
        </w:tc>
        <w:tc>
          <w:tcPr>
            <w:tcW w:w="0" w:type="auto"/>
            <w:vAlign w:val="center"/>
            <w:hideMark/>
          </w:tcPr>
          <w:p w14:paraId="0D5ACAFA"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National survey</w:t>
            </w:r>
          </w:p>
        </w:tc>
        <w:tc>
          <w:tcPr>
            <w:tcW w:w="0" w:type="auto"/>
            <w:vAlign w:val="center"/>
            <w:hideMark/>
          </w:tcPr>
          <w:p w14:paraId="6F29913D"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explore young people's experiences of accessing mental health support.</w:t>
            </w:r>
          </w:p>
        </w:tc>
        <w:tc>
          <w:tcPr>
            <w:tcW w:w="0" w:type="auto"/>
            <w:vAlign w:val="center"/>
            <w:hideMark/>
          </w:tcPr>
          <w:p w14:paraId="28B5C8BF"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Young people reported long waiting times, stigma and difficulties accessing timely mental health support.</w:t>
            </w:r>
          </w:p>
        </w:tc>
      </w:tr>
      <w:tr w:rsidR="00BF3E96" w:rsidRPr="00BF3E96" w14:paraId="1A75074A" w14:textId="77777777" w:rsidTr="00486E52">
        <w:trPr>
          <w:tblCellSpacing w:w="15" w:type="dxa"/>
        </w:trPr>
        <w:tc>
          <w:tcPr>
            <w:tcW w:w="0" w:type="auto"/>
            <w:vAlign w:val="center"/>
            <w:hideMark/>
          </w:tcPr>
          <w:p w14:paraId="03E90679"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lastRenderedPageBreak/>
              <w:t>NHS England</w:t>
            </w:r>
          </w:p>
        </w:tc>
        <w:tc>
          <w:tcPr>
            <w:tcW w:w="0" w:type="auto"/>
            <w:vAlign w:val="center"/>
            <w:hideMark/>
          </w:tcPr>
          <w:p w14:paraId="1DA9F31A"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2023</w:t>
            </w:r>
          </w:p>
        </w:tc>
        <w:tc>
          <w:tcPr>
            <w:tcW w:w="0" w:type="auto"/>
            <w:vAlign w:val="center"/>
            <w:hideMark/>
          </w:tcPr>
          <w:p w14:paraId="1BDFE731"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England</w:t>
            </w:r>
          </w:p>
        </w:tc>
        <w:tc>
          <w:tcPr>
            <w:tcW w:w="0" w:type="auto"/>
            <w:vAlign w:val="center"/>
            <w:hideMark/>
          </w:tcPr>
          <w:p w14:paraId="77B505DC"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Grey literature (National report)</w:t>
            </w:r>
          </w:p>
        </w:tc>
        <w:tc>
          <w:tcPr>
            <w:tcW w:w="0" w:type="auto"/>
            <w:vAlign w:val="center"/>
            <w:hideMark/>
          </w:tcPr>
          <w:p w14:paraId="76AEB890"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Children and young people</w:t>
            </w:r>
          </w:p>
        </w:tc>
        <w:tc>
          <w:tcPr>
            <w:tcW w:w="0" w:type="auto"/>
            <w:vAlign w:val="center"/>
            <w:hideMark/>
          </w:tcPr>
          <w:p w14:paraId="27EB5F08"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NR</w:t>
            </w:r>
          </w:p>
        </w:tc>
        <w:tc>
          <w:tcPr>
            <w:tcW w:w="0" w:type="auto"/>
            <w:vAlign w:val="center"/>
            <w:hideMark/>
          </w:tcPr>
          <w:p w14:paraId="0BA96CFB"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NR</w:t>
            </w:r>
          </w:p>
        </w:tc>
        <w:tc>
          <w:tcPr>
            <w:tcW w:w="0" w:type="auto"/>
            <w:vAlign w:val="center"/>
            <w:hideMark/>
          </w:tcPr>
          <w:p w14:paraId="7DC6A010"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National service data</w:t>
            </w:r>
          </w:p>
        </w:tc>
        <w:tc>
          <w:tcPr>
            <w:tcW w:w="0" w:type="auto"/>
            <w:vAlign w:val="center"/>
            <w:hideMark/>
          </w:tcPr>
          <w:p w14:paraId="47F77F9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evaluate national CAMHS activity and service performance.</w:t>
            </w:r>
          </w:p>
        </w:tc>
        <w:tc>
          <w:tcPr>
            <w:tcW w:w="0" w:type="auto"/>
            <w:vAlign w:val="center"/>
            <w:hideMark/>
          </w:tcPr>
          <w:p w14:paraId="7CE5E45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Increasing service demand and workforce pressures contributed to longer waiting times and reduced access to care.</w:t>
            </w:r>
          </w:p>
        </w:tc>
      </w:tr>
    </w:tbl>
    <w:p w14:paraId="64184A6E" w14:textId="21439066" w:rsidR="00BF3E96" w:rsidRPr="00BF3E96" w:rsidRDefault="00BF3E96" w:rsidP="00BF3E96">
      <w:pPr>
        <w:spacing w:line="360" w:lineRule="auto"/>
        <w:jc w:val="both"/>
        <w:rPr>
          <w:rFonts w:ascii="Arial" w:hAnsi="Arial" w:cs="Arial"/>
          <w:i/>
          <w:iCs/>
          <w:sz w:val="22"/>
          <w:szCs w:val="22"/>
        </w:rPr>
      </w:pPr>
      <w:r w:rsidRPr="00BF3E96">
        <w:rPr>
          <w:rFonts w:ascii="Arial" w:hAnsi="Arial" w:cs="Arial"/>
          <w:sz w:val="22"/>
          <w:szCs w:val="22"/>
        </w:rPr>
        <w:t xml:space="preserve">Source: </w:t>
      </w:r>
      <w:r w:rsidRPr="00BF3E96">
        <w:rPr>
          <w:rFonts w:ascii="Arial" w:hAnsi="Arial" w:cs="Arial"/>
          <w:i/>
          <w:iCs/>
          <w:sz w:val="22"/>
          <w:szCs w:val="22"/>
        </w:rPr>
        <w:t>Author's data extraction and summary of the included studies.</w:t>
      </w:r>
    </w:p>
    <w:p w14:paraId="72CAE9FA" w14:textId="77777777" w:rsidR="00172208" w:rsidRPr="00172208" w:rsidRDefault="00172208" w:rsidP="00224061">
      <w:pPr>
        <w:pStyle w:val="Heading2"/>
      </w:pPr>
      <w:bookmarkStart w:id="36" w:name="_Toc233828704"/>
      <w:r w:rsidRPr="00172208">
        <w:t>4.3 Brief Introduction to Critical Appraisal and Paper Quality Assessment</w:t>
      </w:r>
      <w:bookmarkEnd w:id="36"/>
    </w:p>
    <w:p w14:paraId="6D7F0697" w14:textId="77777777" w:rsidR="00172208" w:rsidRPr="00172208" w:rsidRDefault="00172208" w:rsidP="00172208">
      <w:pPr>
        <w:spacing w:line="360" w:lineRule="auto"/>
        <w:jc w:val="both"/>
        <w:rPr>
          <w:rFonts w:ascii="Arial" w:hAnsi="Arial" w:cs="Arial"/>
          <w:sz w:val="22"/>
          <w:szCs w:val="22"/>
        </w:rPr>
      </w:pPr>
      <w:r w:rsidRPr="00172208">
        <w:rPr>
          <w:rFonts w:ascii="Arial" w:hAnsi="Arial" w:cs="Arial"/>
          <w:sz w:val="22"/>
          <w:szCs w:val="22"/>
        </w:rPr>
        <w:t>Critical appraisal is the systematic process of evaluating research studies to determine their validity, reliability, methodological quality and relevance to a specific research question (Bettany-Saltikov and McSherry, 2025). It enables researchers to assess whether evidence is trustworthy, ethically conducted and suitable for inclusion in a systematic literature review (Page et al., 2021).</w:t>
      </w:r>
    </w:p>
    <w:p w14:paraId="3D2CC8EA" w14:textId="77777777" w:rsidR="00172208" w:rsidRPr="00172208" w:rsidRDefault="00172208" w:rsidP="00172208">
      <w:pPr>
        <w:spacing w:line="360" w:lineRule="auto"/>
        <w:jc w:val="both"/>
        <w:rPr>
          <w:rFonts w:ascii="Arial" w:hAnsi="Arial" w:cs="Arial"/>
          <w:sz w:val="22"/>
          <w:szCs w:val="22"/>
        </w:rPr>
      </w:pPr>
      <w:r w:rsidRPr="00172208">
        <w:rPr>
          <w:rFonts w:ascii="Arial" w:hAnsi="Arial" w:cs="Arial"/>
          <w:sz w:val="22"/>
          <w:szCs w:val="22"/>
        </w:rPr>
        <w:t>Critical appraisal is a fundamental component of systematic reviews because the quality of included evidence directly influences the credibility, transparency and reliability of the review findings. Without rigorous appraisal, studies with methodological limitations may introduce bias and weaken confidence in the overall evidence base (Aromataris and Pearson, 2014; Page et al., 2021).</w:t>
      </w:r>
    </w:p>
    <w:p w14:paraId="7A248ECC" w14:textId="77777777" w:rsidR="00172208" w:rsidRPr="00172208" w:rsidRDefault="00172208" w:rsidP="00172208">
      <w:pPr>
        <w:spacing w:line="360" w:lineRule="auto"/>
        <w:jc w:val="both"/>
        <w:rPr>
          <w:rFonts w:ascii="Arial" w:hAnsi="Arial" w:cs="Arial"/>
          <w:sz w:val="22"/>
          <w:szCs w:val="22"/>
        </w:rPr>
      </w:pPr>
      <w:r w:rsidRPr="00172208">
        <w:rPr>
          <w:rFonts w:ascii="Arial" w:hAnsi="Arial" w:cs="Arial"/>
          <w:sz w:val="22"/>
          <w:szCs w:val="22"/>
        </w:rPr>
        <w:t xml:space="preserve">It also provides a consistent framework for comparing qualitative and quantitative studies. This is particularly important in adolescent mental health research, where differences in study </w:t>
      </w:r>
      <w:r w:rsidRPr="00172208">
        <w:rPr>
          <w:rFonts w:ascii="Arial" w:hAnsi="Arial" w:cs="Arial"/>
          <w:sz w:val="22"/>
          <w:szCs w:val="22"/>
        </w:rPr>
        <w:lastRenderedPageBreak/>
        <w:t>design, sampling methods and outcome measures may affect the interpretation and transferability of findings (Bettany-Saltikov and McSherry, 2025).</w:t>
      </w:r>
    </w:p>
    <w:p w14:paraId="214F1C4A" w14:textId="77777777" w:rsidR="00DD7854" w:rsidRPr="00DD7854" w:rsidRDefault="00DD7854" w:rsidP="00224061">
      <w:pPr>
        <w:pStyle w:val="Heading2"/>
      </w:pPr>
      <w:bookmarkStart w:id="37" w:name="_Toc233828705"/>
      <w:r w:rsidRPr="00DD7854">
        <w:t>4.4 Critical Appraisal Tools</w:t>
      </w:r>
      <w:bookmarkEnd w:id="37"/>
    </w:p>
    <w:p w14:paraId="72FD03C5" w14:textId="77777777" w:rsidR="00DD7854" w:rsidRPr="007D6F93" w:rsidRDefault="00DD7854" w:rsidP="00DD7854">
      <w:pPr>
        <w:spacing w:line="360" w:lineRule="auto"/>
        <w:jc w:val="both"/>
        <w:rPr>
          <w:rFonts w:ascii="Arial" w:hAnsi="Arial" w:cs="Arial"/>
          <w:sz w:val="22"/>
          <w:szCs w:val="22"/>
        </w:rPr>
      </w:pPr>
      <w:r w:rsidRPr="007D6F93">
        <w:rPr>
          <w:rFonts w:ascii="Arial" w:hAnsi="Arial" w:cs="Arial"/>
          <w:sz w:val="22"/>
          <w:szCs w:val="22"/>
        </w:rPr>
        <w:t>Critical appraisal tools are structured frameworks used to evaluate the methodological quality, validity, reliability and overall credibility of research studies systematically and transparently (Aveyard, 2023). Selecting an appropriate appraisal tool is essential because different research designs have distinct methodological characteristics, strengths and potential sources of bias. Using design-specific tools improves the consistency, accuracy and credibility of the appraisal process (Bettany-Saltikov and McSherry, 2025).</w:t>
      </w:r>
    </w:p>
    <w:p w14:paraId="6F8681F1" w14:textId="65B00E61" w:rsidR="00DD7854" w:rsidRPr="007D6F93" w:rsidRDefault="00DD7854" w:rsidP="00DD7854">
      <w:pPr>
        <w:spacing w:line="360" w:lineRule="auto"/>
        <w:jc w:val="both"/>
        <w:rPr>
          <w:rFonts w:ascii="Arial" w:hAnsi="Arial" w:cs="Arial"/>
          <w:sz w:val="22"/>
          <w:szCs w:val="22"/>
        </w:rPr>
      </w:pPr>
      <w:r w:rsidRPr="007D6F93">
        <w:rPr>
          <w:rFonts w:ascii="Arial" w:hAnsi="Arial" w:cs="Arial"/>
          <w:sz w:val="22"/>
          <w:szCs w:val="22"/>
        </w:rPr>
        <w:t>For this systematic literature review, the Critical Appraisal Skills Programme (CASP) Qualitative Checklist was used to assess the qualitative studies</w:t>
      </w:r>
      <w:r w:rsidR="000C7674">
        <w:rPr>
          <w:rFonts w:ascii="Arial" w:hAnsi="Arial" w:cs="Arial"/>
          <w:sz w:val="22"/>
          <w:szCs w:val="22"/>
        </w:rPr>
        <w:t>. In contrast,</w:t>
      </w:r>
      <w:r w:rsidRPr="007D6F93">
        <w:rPr>
          <w:rFonts w:ascii="Arial" w:hAnsi="Arial" w:cs="Arial"/>
          <w:sz w:val="22"/>
          <w:szCs w:val="22"/>
        </w:rPr>
        <w:t xml:space="preserve"> the framework developed by Coughlan, Cronin and Ryan (2007) was used to evaluate the quantitative studies. The CASP checklist examines research aims, study design, recruitment, data collection, ethical considerations, reflexivity, data analysis and the overall value of the research (CASP, 2024). The Coughlan framework assesses methodological rigour, sampling methods, validity, reliability, ethical conduct and the appropriateness of statistical analysis (Coughlan et al., 2007).</w:t>
      </w:r>
    </w:p>
    <w:p w14:paraId="1633F19D" w14:textId="77777777" w:rsidR="00DD7854" w:rsidRPr="007D6F93" w:rsidRDefault="00DD7854" w:rsidP="00DD7854">
      <w:pPr>
        <w:spacing w:line="360" w:lineRule="auto"/>
        <w:jc w:val="both"/>
        <w:rPr>
          <w:rFonts w:ascii="Arial" w:hAnsi="Arial" w:cs="Arial"/>
          <w:sz w:val="22"/>
          <w:szCs w:val="22"/>
        </w:rPr>
      </w:pPr>
      <w:r w:rsidRPr="007D6F93">
        <w:rPr>
          <w:rFonts w:ascii="Arial" w:hAnsi="Arial" w:cs="Arial"/>
          <w:sz w:val="22"/>
          <w:szCs w:val="22"/>
        </w:rPr>
        <w:t>Alternative appraisal tools, including the Joanna Briggs Institute (JBI) checklists and the Mixed Methods Appraisal Tool (MMAT), were considered. However, CASP and the Coughlan framework were selected because they were the most appropriate for the qualitative and quantitative studies included in this review. As no mixed-methods studies met the inclusion criteria, the MMAT was not required. The use of design-specific appraisal tools enhanced the transparency, consistency and credibility of the quality assessment process and strengthened the interpretation of the review findings (Aveyard, 2023; Bettany-Saltikov and McSherry, 2025).</w:t>
      </w:r>
    </w:p>
    <w:p w14:paraId="4EFA0E49" w14:textId="77777777" w:rsidR="007D085F" w:rsidRPr="007D085F" w:rsidRDefault="007D085F" w:rsidP="00224061">
      <w:pPr>
        <w:pStyle w:val="Heading2"/>
      </w:pPr>
      <w:bookmarkStart w:id="38" w:name="_Toc233828706"/>
      <w:r w:rsidRPr="007D085F">
        <w:t>4.5 Evaluation of Qualitative Studies Using the CASP Tool</w:t>
      </w:r>
      <w:bookmarkEnd w:id="38"/>
    </w:p>
    <w:p w14:paraId="6A02DBEF" w14:textId="77777777" w:rsidR="007D085F" w:rsidRPr="007D085F" w:rsidRDefault="007D085F" w:rsidP="007D085F">
      <w:pPr>
        <w:spacing w:line="360" w:lineRule="auto"/>
        <w:jc w:val="both"/>
        <w:rPr>
          <w:rFonts w:ascii="Arial" w:hAnsi="Arial" w:cs="Arial"/>
          <w:sz w:val="22"/>
          <w:szCs w:val="22"/>
        </w:rPr>
      </w:pPr>
      <w:r w:rsidRPr="007D085F">
        <w:rPr>
          <w:rFonts w:ascii="Arial" w:hAnsi="Arial" w:cs="Arial"/>
          <w:sz w:val="22"/>
          <w:szCs w:val="22"/>
        </w:rPr>
        <w:t>The qualitative studies included in this systematic literature review were critically appraised using the Critical Appraisal Skills Programme (CASP) Qualitative Checklist (CASP, 2024). CASP was selected because it is a widely recognised framework for assessing the methodological quality, credibility and relevance of qualitative evidence in health and social care research (CASP, 2024; Bettany-Saltikov and McSherry, 2025). Applying a single appraisal framework ensured a consistent evaluation of all qualitative studies.</w:t>
      </w:r>
    </w:p>
    <w:p w14:paraId="0ABC62BA" w14:textId="77777777" w:rsidR="007D085F" w:rsidRPr="007D085F" w:rsidRDefault="007D085F" w:rsidP="007D085F">
      <w:pPr>
        <w:spacing w:line="360" w:lineRule="auto"/>
        <w:jc w:val="both"/>
        <w:rPr>
          <w:rFonts w:ascii="Arial" w:hAnsi="Arial" w:cs="Arial"/>
          <w:sz w:val="22"/>
          <w:szCs w:val="22"/>
        </w:rPr>
      </w:pPr>
      <w:r w:rsidRPr="007D085F">
        <w:rPr>
          <w:rFonts w:ascii="Arial" w:hAnsi="Arial" w:cs="Arial"/>
          <w:sz w:val="22"/>
          <w:szCs w:val="22"/>
        </w:rPr>
        <w:t xml:space="preserve">The CASP Qualitative Checklist assesses ten domains, including research aims, methodological appropriateness, study design, recruitment strategy, data collection, reflexivity, </w:t>
      </w:r>
      <w:r w:rsidRPr="007D085F">
        <w:rPr>
          <w:rFonts w:ascii="Arial" w:hAnsi="Arial" w:cs="Arial"/>
          <w:sz w:val="22"/>
          <w:szCs w:val="22"/>
        </w:rPr>
        <w:lastRenderedPageBreak/>
        <w:t>ethical considerations, data analysis, presentation of findings and overall research value. Although alternative tools, such as the Joanna Briggs Institute (JBI) checklist, were considered, CASP was judged to be the most appropriate because of its emphasis on methodological rigour and credibility.</w:t>
      </w:r>
    </w:p>
    <w:p w14:paraId="7824398E" w14:textId="77777777" w:rsidR="007D085F" w:rsidRPr="007D085F" w:rsidRDefault="007D085F" w:rsidP="007D085F">
      <w:pPr>
        <w:spacing w:line="360" w:lineRule="auto"/>
        <w:jc w:val="both"/>
        <w:rPr>
          <w:rFonts w:ascii="Arial" w:hAnsi="Arial" w:cs="Arial"/>
          <w:sz w:val="22"/>
          <w:szCs w:val="22"/>
        </w:rPr>
      </w:pPr>
      <w:r w:rsidRPr="007D085F">
        <w:rPr>
          <w:rFonts w:ascii="Arial" w:hAnsi="Arial" w:cs="Arial"/>
          <w:sz w:val="22"/>
          <w:szCs w:val="22"/>
        </w:rPr>
        <w:t>CASP supports a systematic and transparent assessment of qualitative research while encouraging consideration of the credibility, trustworthiness and relevance of study findings (CASP, 2024). This is particularly important in adolescent mental health research, where barriers to help-seeking and service access are frequently explored using qualitative methods (Biddle et al., 2007; Gulliver et al., 2010). Although CASP does not generate an overall quality score, it remains widely accepted because of its emphasis on transparency, ethical conduct and analytical rigour (Bettany-Saltikov and McSherry, 2025).</w:t>
      </w:r>
    </w:p>
    <w:p w14:paraId="20C10170" w14:textId="77777777" w:rsidR="007D085F" w:rsidRPr="007D085F" w:rsidRDefault="007D085F" w:rsidP="007D085F">
      <w:pPr>
        <w:spacing w:line="360" w:lineRule="auto"/>
        <w:jc w:val="both"/>
        <w:rPr>
          <w:rFonts w:ascii="Arial" w:hAnsi="Arial" w:cs="Arial"/>
          <w:sz w:val="22"/>
          <w:szCs w:val="22"/>
        </w:rPr>
      </w:pPr>
      <w:r w:rsidRPr="007D085F">
        <w:rPr>
          <w:rFonts w:ascii="Arial" w:hAnsi="Arial" w:cs="Arial"/>
          <w:sz w:val="22"/>
          <w:szCs w:val="22"/>
        </w:rPr>
        <w:t>Three qualitative studies were appraised using the CASP Qualitative Checklist: Leavey et al. (2011), Lowther-Payne et al. (2023) and Radez et al. (2021) (see Appendix A). Overall, all three demonstrated high methodological quality, with clearly defined research aims, appropriate qualitative methodologies and research designs aligned with their objectives. Recruitment strategies, data collection methods and ethical procedures were appropriate for exploring adolescents’ experiences of accessing mental health services in the United Kingdom, consistent with recommendations for methodological rigour in youth mental health research (Deighton et al., 2014).</w:t>
      </w:r>
    </w:p>
    <w:p w14:paraId="2760DB1D" w14:textId="77777777" w:rsidR="007D085F" w:rsidRPr="007D085F" w:rsidRDefault="007D085F" w:rsidP="007D085F">
      <w:pPr>
        <w:spacing w:line="360" w:lineRule="auto"/>
        <w:jc w:val="both"/>
        <w:rPr>
          <w:rFonts w:ascii="Arial" w:hAnsi="Arial" w:cs="Arial"/>
          <w:sz w:val="22"/>
          <w:szCs w:val="22"/>
        </w:rPr>
      </w:pPr>
      <w:r w:rsidRPr="007D085F">
        <w:rPr>
          <w:rFonts w:ascii="Arial" w:hAnsi="Arial" w:cs="Arial"/>
          <w:sz w:val="22"/>
          <w:szCs w:val="22"/>
        </w:rPr>
        <w:t>All three studies applied systematic approaches to qualitative data analysis, strengthening the credibility of their findings. Collectively, they provided evidence of the structural, social and cultural barriers influencing adolescents’ access to mental health services, supporting wider evidence on stigma, confidentiality concerns and service-related barriers to help-seeking (Gulliver et al., 2010; Biddle et al., 2007).</w:t>
      </w:r>
    </w:p>
    <w:p w14:paraId="49C2AE91" w14:textId="552C89D8" w:rsidR="007D085F" w:rsidRPr="007D085F" w:rsidRDefault="007D085F" w:rsidP="007D085F">
      <w:pPr>
        <w:spacing w:line="360" w:lineRule="auto"/>
        <w:jc w:val="both"/>
        <w:rPr>
          <w:rFonts w:ascii="Arial" w:hAnsi="Arial" w:cs="Arial"/>
          <w:sz w:val="22"/>
          <w:szCs w:val="22"/>
        </w:rPr>
      </w:pPr>
      <w:r w:rsidRPr="007D085F">
        <w:rPr>
          <w:rFonts w:ascii="Arial" w:hAnsi="Arial" w:cs="Arial"/>
          <w:sz w:val="22"/>
          <w:szCs w:val="22"/>
        </w:rPr>
        <w:t xml:space="preserve">Reflexivity was the principal methodological limitation identified. Leavey et al. (2011) and Lowther-Payne et al. (2023) did not explicitly discuss the relationship between researchers and participants, while Radez et al. (2021) provided limited information on reflexive practice. </w:t>
      </w:r>
      <w:r>
        <w:rPr>
          <w:rFonts w:ascii="Arial" w:hAnsi="Arial" w:cs="Arial"/>
          <w:sz w:val="22"/>
          <w:szCs w:val="22"/>
        </w:rPr>
        <w:t>Researchers'</w:t>
      </w:r>
      <w:r w:rsidRPr="007D085F">
        <w:rPr>
          <w:rFonts w:ascii="Arial" w:hAnsi="Arial" w:cs="Arial"/>
          <w:sz w:val="22"/>
          <w:szCs w:val="22"/>
        </w:rPr>
        <w:t xml:space="preserve"> assumptions and positionality may therefore have influenced the interpretation of participants’ experiences, particularly when investigating sensitive issues such as adolescent mental health.</w:t>
      </w:r>
    </w:p>
    <w:p w14:paraId="0F2530B1" w14:textId="3EA8130D" w:rsidR="007D085F" w:rsidRPr="007D085F" w:rsidRDefault="007D085F" w:rsidP="007D085F">
      <w:pPr>
        <w:spacing w:line="360" w:lineRule="auto"/>
        <w:jc w:val="both"/>
        <w:rPr>
          <w:rFonts w:ascii="Arial" w:hAnsi="Arial" w:cs="Arial"/>
          <w:sz w:val="22"/>
          <w:szCs w:val="22"/>
        </w:rPr>
      </w:pPr>
      <w:r w:rsidRPr="007D085F">
        <w:rPr>
          <w:rFonts w:ascii="Arial" w:hAnsi="Arial" w:cs="Arial"/>
          <w:sz w:val="22"/>
          <w:szCs w:val="22"/>
        </w:rPr>
        <w:t>Overall, despite minor limitations relating to reflexivity, the qualitative studies were methodologically robust and provided credible evidence for this systematic literature review. The CASP appraisal strengthened confidence in the qualitative evidence base and informed the thematic synthesis presented in Chapter 5.</w:t>
      </w:r>
    </w:p>
    <w:p w14:paraId="793A82C2" w14:textId="3EA8130D" w:rsidR="00290411" w:rsidRPr="00290411" w:rsidRDefault="00290411" w:rsidP="00D3531F">
      <w:pPr>
        <w:pStyle w:val="Heading2"/>
      </w:pPr>
      <w:bookmarkStart w:id="39" w:name="_Toc233828707"/>
      <w:r w:rsidRPr="00290411">
        <w:lastRenderedPageBreak/>
        <w:t>4.6 Evaluation of Quantitative Studies Using the Coughlan Framework</w:t>
      </w:r>
      <w:bookmarkEnd w:id="39"/>
    </w:p>
    <w:p w14:paraId="54B742A3" w14:textId="77777777" w:rsidR="00290411" w:rsidRPr="00290411" w:rsidRDefault="00290411" w:rsidP="00290411">
      <w:pPr>
        <w:spacing w:line="360" w:lineRule="auto"/>
        <w:jc w:val="both"/>
        <w:rPr>
          <w:rFonts w:ascii="Arial" w:hAnsi="Arial" w:cs="Arial"/>
          <w:sz w:val="22"/>
          <w:szCs w:val="22"/>
        </w:rPr>
      </w:pPr>
      <w:r w:rsidRPr="00290411">
        <w:rPr>
          <w:rFonts w:ascii="Arial" w:hAnsi="Arial" w:cs="Arial"/>
          <w:sz w:val="22"/>
          <w:szCs w:val="22"/>
        </w:rPr>
        <w:t>The quantitative studies included in this systematic literature review were critically appraised using the framework developed by Coughlan, Cronin and Ryan (2007). This framework was selected because it provides a structured approach for evaluating the methodological quality, validity, reliability and credibility of quantitative research. Compared with alternative appraisal tools, including the Joanna Briggs Institute (JBI) checklist and the Mixed Methods Appraisal Tool (MMAT), it was particularly appropriate for assessing the national surveys and administrative audit studies included in this review (Aveyard, 2023; Bettany-Saltikov and McSherry, 2025).</w:t>
      </w:r>
    </w:p>
    <w:p w14:paraId="1584524A" w14:textId="77777777" w:rsidR="00290411" w:rsidRPr="00290411" w:rsidRDefault="00290411" w:rsidP="00290411">
      <w:pPr>
        <w:spacing w:line="360" w:lineRule="auto"/>
        <w:jc w:val="both"/>
        <w:rPr>
          <w:rFonts w:ascii="Arial" w:hAnsi="Arial" w:cs="Arial"/>
          <w:sz w:val="22"/>
          <w:szCs w:val="22"/>
        </w:rPr>
      </w:pPr>
      <w:r w:rsidRPr="00290411">
        <w:rPr>
          <w:rFonts w:ascii="Arial" w:hAnsi="Arial" w:cs="Arial"/>
          <w:sz w:val="22"/>
          <w:szCs w:val="22"/>
        </w:rPr>
        <w:t>Five quantitative studies were appraised using the Coughlan framework: Children’s Commissioner for England (2024), NHS Digital (2022), NHS Digital (2023), NHS Digital (2025) and the Royal College of Psychiatrists (2025) (see Appendix B). Two additional quantitative studies, Tanfield et al. (2024) and Ashworth et al. (2025), strengthened the evidence relating to clinician perspectives and barriers affecting specific adolescent groups. Collectively, these studies examined adolescent mental health needs, service utilisation, referral pathways, workforce capacity and structural barriers affecting access to Child and Adolescent Mental Health Services (CAMHS) across the United Kingdom.</w:t>
      </w:r>
    </w:p>
    <w:p w14:paraId="1055AA04" w14:textId="77777777" w:rsidR="00290411" w:rsidRPr="00290411" w:rsidRDefault="00290411" w:rsidP="00290411">
      <w:pPr>
        <w:spacing w:line="360" w:lineRule="auto"/>
        <w:jc w:val="both"/>
        <w:rPr>
          <w:rFonts w:ascii="Arial" w:hAnsi="Arial" w:cs="Arial"/>
          <w:sz w:val="22"/>
          <w:szCs w:val="22"/>
        </w:rPr>
      </w:pPr>
      <w:r w:rsidRPr="00290411">
        <w:rPr>
          <w:rFonts w:ascii="Arial" w:hAnsi="Arial" w:cs="Arial"/>
          <w:sz w:val="22"/>
          <w:szCs w:val="22"/>
        </w:rPr>
        <w:t>The quantitative evidence comprised three cross-sectional surveys and two retrospective cohort or administrative audit studies, as summarised in Table 4.2. These designs were appropriate for examining national trends, service utilisation and inequalities in access to mental health services. Large sample sizes and national coverage strengthened the representativeness of the findings (Aveyard, 2023). Tanfield et al. (2024) and Ashworth et al. (2025) further broadened the evidence by highlighting barriers experienced by specific adolescent populations.</w:t>
      </w:r>
    </w:p>
    <w:p w14:paraId="416819B8" w14:textId="77777777" w:rsidR="00290411" w:rsidRPr="00290411" w:rsidRDefault="00290411" w:rsidP="00290411">
      <w:pPr>
        <w:spacing w:line="360" w:lineRule="auto"/>
        <w:jc w:val="both"/>
        <w:rPr>
          <w:rFonts w:ascii="Arial" w:hAnsi="Arial" w:cs="Arial"/>
          <w:sz w:val="22"/>
          <w:szCs w:val="22"/>
        </w:rPr>
      </w:pPr>
      <w:r w:rsidRPr="00290411">
        <w:rPr>
          <w:rFonts w:ascii="Arial" w:hAnsi="Arial" w:cs="Arial"/>
          <w:sz w:val="22"/>
          <w:szCs w:val="22"/>
        </w:rPr>
        <w:t>Overall, the appraisal demonstrated that the quantitative studies were methodologically robust. All had clearly defined research aims, appropriate research designs, suitable sampling methods and systematic data collection procedures. The use of recognised national datasets and standardised measures strengthened the validity and reliability of the findings (Coughlan et al., 2007). Statistical analyses were appropriate and clearly reported, while ethical standards were maintained through the use of routinely collected national datasets and organisational records, ensuring confidentiality and appropriate data governance (Children’s Commissioner for England, 2024; NHS Digital, 2023).</w:t>
      </w:r>
    </w:p>
    <w:p w14:paraId="51AF7F82" w14:textId="77777777" w:rsidR="00290411" w:rsidRPr="00290411" w:rsidRDefault="00290411" w:rsidP="00290411">
      <w:pPr>
        <w:spacing w:line="360" w:lineRule="auto"/>
        <w:jc w:val="both"/>
        <w:rPr>
          <w:rFonts w:ascii="Arial" w:hAnsi="Arial" w:cs="Arial"/>
          <w:sz w:val="22"/>
          <w:szCs w:val="22"/>
        </w:rPr>
      </w:pPr>
      <w:r w:rsidRPr="00290411">
        <w:rPr>
          <w:rFonts w:ascii="Arial" w:hAnsi="Arial" w:cs="Arial"/>
          <w:sz w:val="22"/>
          <w:szCs w:val="22"/>
        </w:rPr>
        <w:t xml:space="preserve">Despite these strengths, several methodological limitations were identified. Cross-sectional surveys could not establish causal relationships because data were collected at a single point in time. Retrospective cohort and administrative audit studies also relied on routinely collected </w:t>
      </w:r>
      <w:r w:rsidRPr="00290411">
        <w:rPr>
          <w:rFonts w:ascii="Arial" w:hAnsi="Arial" w:cs="Arial"/>
          <w:sz w:val="22"/>
          <w:szCs w:val="22"/>
        </w:rPr>
        <w:lastRenderedPageBreak/>
        <w:t>service records, which may contain incomplete or inconsistent data and cannot fully capture the experiences of adolescents who never accessed formal mental health services (Coughlan et al., 2007; Aveyard, 2023). Although Tanfield et al. (2024) and Ashworth et al. (2025) provided valuable insights, their reliance on service-based datasets meant that adolescents outside formal services remained underrepresented.</w:t>
      </w:r>
    </w:p>
    <w:p w14:paraId="54BB8BFF" w14:textId="77777777" w:rsidR="00290411" w:rsidRPr="00290411" w:rsidRDefault="00290411" w:rsidP="00290411">
      <w:pPr>
        <w:spacing w:line="360" w:lineRule="auto"/>
        <w:jc w:val="both"/>
        <w:rPr>
          <w:rFonts w:ascii="Arial" w:hAnsi="Arial" w:cs="Arial"/>
          <w:sz w:val="22"/>
          <w:szCs w:val="22"/>
        </w:rPr>
      </w:pPr>
      <w:r w:rsidRPr="00290411">
        <w:rPr>
          <w:rFonts w:ascii="Arial" w:hAnsi="Arial" w:cs="Arial"/>
          <w:sz w:val="22"/>
          <w:szCs w:val="22"/>
        </w:rPr>
        <w:t>Overall, the methodological strengths, including large sample sizes, national coverage, systematic data collection and rigorous study design, outweighed the identified limitations. Consequently, the quantitative studies provided a robust evidence base for understanding the structural and organisational barriers influencing adolescent access to mental health services across the United Kingdom and informed the thematic synthesis presented in Chapter 5.</w:t>
      </w:r>
    </w:p>
    <w:p w14:paraId="579542E8" w14:textId="77777777" w:rsidR="00BF3E96" w:rsidRPr="00BF3E96" w:rsidRDefault="00BF3E96" w:rsidP="00D3531F">
      <w:pPr>
        <w:pStyle w:val="Heading2"/>
        <w:rPr>
          <w:b/>
          <w:bCs/>
        </w:rPr>
      </w:pPr>
      <w:bookmarkStart w:id="40" w:name="_Toc233828708"/>
      <w:r w:rsidRPr="00BF3E96">
        <w:t>Table 4.2: Characteristics of the Quantitative Studies Included in the Review</w:t>
      </w:r>
      <w:bookmarkEnd w:id="4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83"/>
        <w:gridCol w:w="1770"/>
        <w:gridCol w:w="1010"/>
        <w:gridCol w:w="4063"/>
      </w:tblGrid>
      <w:tr w:rsidR="00BF3E96" w:rsidRPr="00BF3E96" w14:paraId="10956BAA" w14:textId="77777777" w:rsidTr="00486E52">
        <w:trPr>
          <w:tblHeader/>
          <w:tblCellSpacing w:w="15" w:type="dxa"/>
        </w:trPr>
        <w:tc>
          <w:tcPr>
            <w:tcW w:w="0" w:type="auto"/>
            <w:vAlign w:val="center"/>
            <w:hideMark/>
          </w:tcPr>
          <w:p w14:paraId="1434A8E8"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Study</w:t>
            </w:r>
          </w:p>
        </w:tc>
        <w:tc>
          <w:tcPr>
            <w:tcW w:w="0" w:type="auto"/>
            <w:vAlign w:val="center"/>
            <w:hideMark/>
          </w:tcPr>
          <w:p w14:paraId="434091F7"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Design Type</w:t>
            </w:r>
          </w:p>
        </w:tc>
        <w:tc>
          <w:tcPr>
            <w:tcW w:w="0" w:type="auto"/>
            <w:vAlign w:val="center"/>
            <w:hideMark/>
          </w:tcPr>
          <w:p w14:paraId="1F2C87B9"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Sample Size (n)</w:t>
            </w:r>
          </w:p>
        </w:tc>
        <w:tc>
          <w:tcPr>
            <w:tcW w:w="0" w:type="auto"/>
            <w:vAlign w:val="center"/>
            <w:hideMark/>
          </w:tcPr>
          <w:p w14:paraId="0A5F99A1"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Purpose of Study</w:t>
            </w:r>
          </w:p>
        </w:tc>
      </w:tr>
      <w:tr w:rsidR="00BF3E96" w:rsidRPr="00BF3E96" w14:paraId="2E06EE61" w14:textId="77777777" w:rsidTr="00486E52">
        <w:trPr>
          <w:tblCellSpacing w:w="15" w:type="dxa"/>
        </w:trPr>
        <w:tc>
          <w:tcPr>
            <w:tcW w:w="0" w:type="auto"/>
            <w:vAlign w:val="center"/>
            <w:hideMark/>
          </w:tcPr>
          <w:p w14:paraId="4F5018BF"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NHS Digital (2022)</w:t>
            </w:r>
          </w:p>
        </w:tc>
        <w:tc>
          <w:tcPr>
            <w:tcW w:w="0" w:type="auto"/>
            <w:vAlign w:val="center"/>
            <w:hideMark/>
          </w:tcPr>
          <w:p w14:paraId="4ED235DF"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Cross</w:t>
            </w:r>
            <w:r w:rsidRPr="00BF3E96">
              <w:rPr>
                <w:rFonts w:ascii="Arial" w:hAnsi="Arial" w:cs="Arial"/>
                <w:sz w:val="22"/>
                <w:szCs w:val="22"/>
              </w:rPr>
              <w:noBreakHyphen/>
              <w:t>sectional survey</w:t>
            </w:r>
          </w:p>
        </w:tc>
        <w:tc>
          <w:tcPr>
            <w:tcW w:w="0" w:type="auto"/>
            <w:vAlign w:val="center"/>
            <w:hideMark/>
          </w:tcPr>
          <w:p w14:paraId="716987B9"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2,866</w:t>
            </w:r>
          </w:p>
        </w:tc>
        <w:tc>
          <w:tcPr>
            <w:tcW w:w="0" w:type="auto"/>
            <w:vAlign w:val="center"/>
            <w:hideMark/>
          </w:tcPr>
          <w:p w14:paraId="7888AAA2"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examine the prevalence of mental health disorders and patterns of access to mental health services among children and young people in England.</w:t>
            </w:r>
          </w:p>
        </w:tc>
      </w:tr>
      <w:tr w:rsidR="00BF3E96" w:rsidRPr="00BF3E96" w14:paraId="32756BA5" w14:textId="77777777" w:rsidTr="00486E52">
        <w:trPr>
          <w:tblCellSpacing w:w="15" w:type="dxa"/>
        </w:trPr>
        <w:tc>
          <w:tcPr>
            <w:tcW w:w="0" w:type="auto"/>
            <w:vAlign w:val="center"/>
            <w:hideMark/>
          </w:tcPr>
          <w:p w14:paraId="5AF3DDDF"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NHS Digital (2023)</w:t>
            </w:r>
          </w:p>
        </w:tc>
        <w:tc>
          <w:tcPr>
            <w:tcW w:w="0" w:type="auto"/>
            <w:vAlign w:val="center"/>
            <w:hideMark/>
          </w:tcPr>
          <w:p w14:paraId="58939DA9"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Cross</w:t>
            </w:r>
            <w:r w:rsidRPr="00BF3E96">
              <w:rPr>
                <w:rFonts w:ascii="Arial" w:hAnsi="Arial" w:cs="Arial"/>
                <w:sz w:val="22"/>
                <w:szCs w:val="22"/>
              </w:rPr>
              <w:noBreakHyphen/>
              <w:t>sectional survey</w:t>
            </w:r>
          </w:p>
        </w:tc>
        <w:tc>
          <w:tcPr>
            <w:tcW w:w="0" w:type="auto"/>
            <w:vAlign w:val="center"/>
            <w:hideMark/>
          </w:tcPr>
          <w:p w14:paraId="32143A95"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3,707</w:t>
            </w:r>
          </w:p>
        </w:tc>
        <w:tc>
          <w:tcPr>
            <w:tcW w:w="0" w:type="auto"/>
            <w:vAlign w:val="center"/>
            <w:hideMark/>
          </w:tcPr>
          <w:p w14:paraId="4D1825F8"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investigate trends in mental health needs, referral patterns, waiting times and service utilisation among children and young people.</w:t>
            </w:r>
          </w:p>
        </w:tc>
      </w:tr>
      <w:tr w:rsidR="00BF3E96" w:rsidRPr="00BF3E96" w14:paraId="6DE251DD" w14:textId="77777777" w:rsidTr="00486E52">
        <w:trPr>
          <w:tblCellSpacing w:w="15" w:type="dxa"/>
        </w:trPr>
        <w:tc>
          <w:tcPr>
            <w:tcW w:w="0" w:type="auto"/>
            <w:vAlign w:val="center"/>
            <w:hideMark/>
          </w:tcPr>
          <w:p w14:paraId="5DAF5688"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NHS Digital (2025)</w:t>
            </w:r>
          </w:p>
        </w:tc>
        <w:tc>
          <w:tcPr>
            <w:tcW w:w="0" w:type="auto"/>
            <w:vAlign w:val="center"/>
            <w:hideMark/>
          </w:tcPr>
          <w:p w14:paraId="2A978516"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Cross</w:t>
            </w:r>
            <w:r w:rsidRPr="00BF3E96">
              <w:rPr>
                <w:rFonts w:ascii="Arial" w:hAnsi="Arial" w:cs="Arial"/>
                <w:sz w:val="22"/>
                <w:szCs w:val="22"/>
              </w:rPr>
              <w:noBreakHyphen/>
              <w:t>sectional survey</w:t>
            </w:r>
          </w:p>
        </w:tc>
        <w:tc>
          <w:tcPr>
            <w:tcW w:w="0" w:type="auto"/>
            <w:vAlign w:val="center"/>
            <w:hideMark/>
          </w:tcPr>
          <w:p w14:paraId="11D96321"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3,420</w:t>
            </w:r>
          </w:p>
        </w:tc>
        <w:tc>
          <w:tcPr>
            <w:tcW w:w="0" w:type="auto"/>
            <w:vAlign w:val="center"/>
            <w:hideMark/>
          </w:tcPr>
          <w:p w14:paraId="5BBC9D10"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monitor patterns of service demand, referral thresholds and workforce pressures affecting access to Child and Adolescent Mental Health Services (CAMHS).</w:t>
            </w:r>
          </w:p>
        </w:tc>
      </w:tr>
      <w:tr w:rsidR="00BF3E96" w:rsidRPr="00BF3E96" w14:paraId="5A24514E" w14:textId="77777777" w:rsidTr="00486E52">
        <w:trPr>
          <w:tblCellSpacing w:w="15" w:type="dxa"/>
        </w:trPr>
        <w:tc>
          <w:tcPr>
            <w:tcW w:w="0" w:type="auto"/>
            <w:vAlign w:val="center"/>
            <w:hideMark/>
          </w:tcPr>
          <w:p w14:paraId="1E6B906F"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t>Children’s Commissioner for England (2024)</w:t>
            </w:r>
          </w:p>
        </w:tc>
        <w:tc>
          <w:tcPr>
            <w:tcW w:w="0" w:type="auto"/>
            <w:vAlign w:val="center"/>
            <w:hideMark/>
          </w:tcPr>
          <w:p w14:paraId="1F90C3A0"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Retrospective cohort audit</w:t>
            </w:r>
          </w:p>
        </w:tc>
        <w:tc>
          <w:tcPr>
            <w:tcW w:w="0" w:type="auto"/>
            <w:vAlign w:val="center"/>
            <w:hideMark/>
          </w:tcPr>
          <w:p w14:paraId="0FAD87AD"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270,000</w:t>
            </w:r>
          </w:p>
        </w:tc>
        <w:tc>
          <w:tcPr>
            <w:tcW w:w="0" w:type="auto"/>
            <w:vAlign w:val="center"/>
            <w:hideMark/>
          </w:tcPr>
          <w:p w14:paraId="0F3AB451"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evaluate referral pathways, waiting times and administrative barriers affecting access to children's mental health services.</w:t>
            </w:r>
          </w:p>
        </w:tc>
      </w:tr>
      <w:tr w:rsidR="00BF3E96" w:rsidRPr="00BF3E96" w14:paraId="2B9A45E3" w14:textId="77777777" w:rsidTr="00486E52">
        <w:trPr>
          <w:tblCellSpacing w:w="15" w:type="dxa"/>
        </w:trPr>
        <w:tc>
          <w:tcPr>
            <w:tcW w:w="0" w:type="auto"/>
            <w:vAlign w:val="center"/>
            <w:hideMark/>
          </w:tcPr>
          <w:p w14:paraId="3E4FFAEC" w14:textId="77777777" w:rsidR="00BF3E96" w:rsidRPr="00BF3E96" w:rsidRDefault="00BF3E96" w:rsidP="00BF3E96">
            <w:pPr>
              <w:spacing w:line="360" w:lineRule="auto"/>
              <w:jc w:val="both"/>
              <w:rPr>
                <w:rFonts w:ascii="Arial" w:hAnsi="Arial" w:cs="Arial"/>
                <w:b/>
                <w:bCs/>
                <w:sz w:val="22"/>
                <w:szCs w:val="22"/>
              </w:rPr>
            </w:pPr>
            <w:r w:rsidRPr="00BF3E96">
              <w:rPr>
                <w:rFonts w:ascii="Arial" w:hAnsi="Arial" w:cs="Arial"/>
                <w:b/>
                <w:bCs/>
                <w:sz w:val="22"/>
                <w:szCs w:val="22"/>
              </w:rPr>
              <w:lastRenderedPageBreak/>
              <w:t>Royal College of Psychiatrists (2025)</w:t>
            </w:r>
          </w:p>
        </w:tc>
        <w:tc>
          <w:tcPr>
            <w:tcW w:w="0" w:type="auto"/>
            <w:vAlign w:val="center"/>
            <w:hideMark/>
          </w:tcPr>
          <w:p w14:paraId="1D5A048E"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Multi</w:t>
            </w:r>
            <w:r w:rsidRPr="00BF3E96">
              <w:rPr>
                <w:rFonts w:ascii="Arial" w:hAnsi="Arial" w:cs="Arial"/>
                <w:sz w:val="22"/>
                <w:szCs w:val="22"/>
              </w:rPr>
              <w:noBreakHyphen/>
              <w:t>centre cohort audit</w:t>
            </w:r>
          </w:p>
        </w:tc>
        <w:tc>
          <w:tcPr>
            <w:tcW w:w="0" w:type="auto"/>
            <w:vAlign w:val="center"/>
            <w:hideMark/>
          </w:tcPr>
          <w:p w14:paraId="216D86BE"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5,120</w:t>
            </w:r>
          </w:p>
        </w:tc>
        <w:tc>
          <w:tcPr>
            <w:tcW w:w="0" w:type="auto"/>
            <w:vAlign w:val="center"/>
            <w:hideMark/>
          </w:tcPr>
          <w:p w14:paraId="01D6E19F" w14:textId="77777777" w:rsidR="00BF3E96" w:rsidRPr="00BF3E96" w:rsidRDefault="00BF3E96" w:rsidP="00BF3E96">
            <w:pPr>
              <w:spacing w:line="360" w:lineRule="auto"/>
              <w:jc w:val="both"/>
              <w:rPr>
                <w:rFonts w:ascii="Arial" w:hAnsi="Arial" w:cs="Arial"/>
                <w:sz w:val="22"/>
                <w:szCs w:val="22"/>
              </w:rPr>
            </w:pPr>
            <w:r w:rsidRPr="00BF3E96">
              <w:rPr>
                <w:rFonts w:ascii="Arial" w:hAnsi="Arial" w:cs="Arial"/>
                <w:sz w:val="22"/>
                <w:szCs w:val="22"/>
              </w:rPr>
              <w:t>To evaluate workforce capacity, crisis presentations and barriers associated with the transition from CAMHS to adult mental health services.</w:t>
            </w:r>
          </w:p>
        </w:tc>
      </w:tr>
    </w:tbl>
    <w:p w14:paraId="1E1EAAF8" w14:textId="77777777" w:rsidR="00D57C54" w:rsidRDefault="00D57C54" w:rsidP="00D57C54">
      <w:pPr>
        <w:spacing w:line="360" w:lineRule="auto"/>
        <w:jc w:val="both"/>
        <w:rPr>
          <w:rFonts w:ascii="Arial" w:hAnsi="Arial" w:cs="Arial"/>
          <w:sz w:val="22"/>
          <w:szCs w:val="22"/>
        </w:rPr>
      </w:pPr>
    </w:p>
    <w:p w14:paraId="1D24E5EE" w14:textId="3C8A3BA3" w:rsidR="00D57C54" w:rsidRPr="00D57C54" w:rsidRDefault="00D57C54" w:rsidP="00D57C54">
      <w:pPr>
        <w:spacing w:line="360" w:lineRule="auto"/>
        <w:jc w:val="both"/>
        <w:rPr>
          <w:rFonts w:ascii="Arial" w:hAnsi="Arial" w:cs="Arial"/>
          <w:sz w:val="22"/>
          <w:szCs w:val="22"/>
        </w:rPr>
      </w:pPr>
      <w:r w:rsidRPr="00D57C54">
        <w:rPr>
          <w:rFonts w:ascii="Arial" w:hAnsi="Arial" w:cs="Arial"/>
          <w:sz w:val="22"/>
          <w:szCs w:val="22"/>
        </w:rPr>
        <w:t>A comparison of the quantitative study designs identified several important methodological strengths and limitations. The three cross-sectional survey studies undertaken by NHS Digital (2022, 2023 and 2025) were appropriate for estimating the prevalence of mental health disorders, identifying patterns of service utilisation and examining associations across large populations. Their principal strengths included efficiency, cost-effectiveness and the ability to collect data from thousands of participants across diverse geographical regions in England (Coughlan et al., 2007). Consequently, these studies provided valuable evidence regarding the scale of adolescent mental health needs and the pressures experienced by Child and Adolescent Mental Health Services (CAMHS).</w:t>
      </w:r>
    </w:p>
    <w:p w14:paraId="2B95A8B7" w14:textId="77777777" w:rsidR="00D57C54" w:rsidRPr="00D57C54" w:rsidRDefault="00D57C54" w:rsidP="00D57C54">
      <w:pPr>
        <w:spacing w:line="360" w:lineRule="auto"/>
        <w:jc w:val="both"/>
        <w:rPr>
          <w:rFonts w:ascii="Arial" w:hAnsi="Arial" w:cs="Arial"/>
          <w:sz w:val="22"/>
          <w:szCs w:val="22"/>
        </w:rPr>
      </w:pPr>
      <w:r w:rsidRPr="00D57C54">
        <w:rPr>
          <w:rFonts w:ascii="Arial" w:hAnsi="Arial" w:cs="Arial"/>
          <w:sz w:val="22"/>
          <w:szCs w:val="22"/>
        </w:rPr>
        <w:t>However, because cross-sectional studies collect data at a single point in time, they cannot establish causal relationships. Although they identify associations between barriers such as waiting times, referral thresholds and service demand, they cannot determine whether these factors directly influence mental health outcomes or access to services (Coughlan et al., 2007).</w:t>
      </w:r>
    </w:p>
    <w:p w14:paraId="5EB6E53F" w14:textId="77777777" w:rsidR="005C3FDE" w:rsidRDefault="00D57C54" w:rsidP="00D57C54">
      <w:pPr>
        <w:spacing w:line="360" w:lineRule="auto"/>
        <w:jc w:val="both"/>
        <w:rPr>
          <w:rFonts w:ascii="Arial" w:hAnsi="Arial" w:cs="Arial"/>
          <w:sz w:val="22"/>
          <w:szCs w:val="22"/>
        </w:rPr>
      </w:pPr>
      <w:r w:rsidRPr="00D57C54">
        <w:rPr>
          <w:rFonts w:ascii="Arial" w:hAnsi="Arial" w:cs="Arial"/>
          <w:sz w:val="22"/>
          <w:szCs w:val="22"/>
        </w:rPr>
        <w:t xml:space="preserve">In contrast, the retrospective cohort and administrative audit studies undertaken by the Children’s Commissioner for England (2024) and the Royal College of Psychiatrists (2025) provided evidence on referral pathways, service utilisation, workforce capacity and crisis presentations. These designs enabled analysis of large volumes of routinely collected service data, offering an overview of organisational performance and system pressures. </w:t>
      </w:r>
    </w:p>
    <w:p w14:paraId="27763260" w14:textId="5F266328" w:rsidR="00D57C54" w:rsidRPr="00D57C54" w:rsidRDefault="00D57C54" w:rsidP="00D57C54">
      <w:pPr>
        <w:spacing w:line="360" w:lineRule="auto"/>
        <w:jc w:val="both"/>
        <w:rPr>
          <w:rFonts w:ascii="Arial" w:hAnsi="Arial" w:cs="Arial"/>
          <w:sz w:val="22"/>
          <w:szCs w:val="22"/>
        </w:rPr>
      </w:pPr>
      <w:r w:rsidRPr="00D57C54">
        <w:rPr>
          <w:rFonts w:ascii="Arial" w:hAnsi="Arial" w:cs="Arial"/>
          <w:sz w:val="22"/>
          <w:szCs w:val="22"/>
        </w:rPr>
        <w:t>Similar approaches have been used in transition-focused research by Belling et al. (2014) and Singh et al. (2010), demonstrating how organisational resources, eligibility criteria and service structures influence transitions between child and adult mental health services. Nevertheless, retrospective studies rely on the accuracy and completeness of existing records and may be affected by inconsistent data recording, regional variation and missing information.</w:t>
      </w:r>
    </w:p>
    <w:p w14:paraId="7C7741B2" w14:textId="77777777" w:rsidR="00D57C54" w:rsidRPr="00D57C54" w:rsidRDefault="00D57C54" w:rsidP="00D57C54">
      <w:pPr>
        <w:spacing w:line="360" w:lineRule="auto"/>
        <w:jc w:val="both"/>
        <w:rPr>
          <w:rFonts w:ascii="Arial" w:hAnsi="Arial" w:cs="Arial"/>
          <w:sz w:val="22"/>
          <w:szCs w:val="22"/>
        </w:rPr>
      </w:pPr>
      <w:r w:rsidRPr="00D57C54">
        <w:rPr>
          <w:rFonts w:ascii="Arial" w:hAnsi="Arial" w:cs="Arial"/>
          <w:sz w:val="22"/>
          <w:szCs w:val="22"/>
        </w:rPr>
        <w:t xml:space="preserve">A major strength of the quantitative evidence base was the use of large national datasets. The Children’s Commissioner for England (2024) analysed approximately 270,000 service </w:t>
      </w:r>
      <w:r w:rsidRPr="00D57C54">
        <w:rPr>
          <w:rFonts w:ascii="Arial" w:hAnsi="Arial" w:cs="Arial"/>
          <w:sz w:val="22"/>
          <w:szCs w:val="22"/>
        </w:rPr>
        <w:lastRenderedPageBreak/>
        <w:t>records, while the NHS Digital studies included between 2,866 and 3,707 participants. The Royal College of Psychiatrists (2025) examined 5,120 crisis presentations across multiple service settings. These large sample sizes increased statistical power, reduced sampling error and enhanced the representativeness of the findings (Aveyard, 2023; Coughlan et al., 2007). Comparable strengths were also evident in Belling et al. (2014) and Singh et al. (2010).</w:t>
      </w:r>
    </w:p>
    <w:p w14:paraId="06204C0B" w14:textId="77777777" w:rsidR="00D57C54" w:rsidRPr="00D57C54" w:rsidRDefault="00D57C54" w:rsidP="00D57C54">
      <w:pPr>
        <w:spacing w:line="360" w:lineRule="auto"/>
        <w:jc w:val="both"/>
        <w:rPr>
          <w:rFonts w:ascii="Arial" w:hAnsi="Arial" w:cs="Arial"/>
          <w:sz w:val="22"/>
          <w:szCs w:val="22"/>
        </w:rPr>
      </w:pPr>
      <w:r w:rsidRPr="00D57C54">
        <w:rPr>
          <w:rFonts w:ascii="Arial" w:hAnsi="Arial" w:cs="Arial"/>
          <w:sz w:val="22"/>
          <w:szCs w:val="22"/>
        </w:rPr>
        <w:t>Despite these strengths, national datasets may not fully capture the experiences of adolescents who never engage with formal mental health services. Young people experiencing homelessness, severe social disadvantage, school exclusion or disengagement from healthcare services may therefore be underrepresented within routine administrative records, potentially underestimating barriers experienced by the most vulnerable populations (Children’s Commissioner for England, 2024).</w:t>
      </w:r>
    </w:p>
    <w:p w14:paraId="2011F792" w14:textId="77777777" w:rsidR="00D57C54" w:rsidRPr="00D57C54" w:rsidRDefault="00D57C54" w:rsidP="00D57C54">
      <w:pPr>
        <w:spacing w:line="360" w:lineRule="auto"/>
        <w:jc w:val="both"/>
        <w:rPr>
          <w:rFonts w:ascii="Arial" w:hAnsi="Arial" w:cs="Arial"/>
          <w:sz w:val="22"/>
          <w:szCs w:val="22"/>
        </w:rPr>
      </w:pPr>
      <w:r w:rsidRPr="00D57C54">
        <w:rPr>
          <w:rFonts w:ascii="Arial" w:hAnsi="Arial" w:cs="Arial"/>
          <w:sz w:val="22"/>
          <w:szCs w:val="22"/>
        </w:rPr>
        <w:t>Measurement validity represented another important strength. The NHS Digital studies used recognised mental health assessment measures and standardised survey instruments, improving the reliability and consistency of data collection while enabling meaningful comparisons over time (NHS Digital, 2022). Similar strengths were evident in transition-focused studies using validated outcome measures (Singh et al., 2010). Nevertheless, responses may still be influenced by age, cultural background, recall bias and social desirability bias, although validated instruments help minimise these effects (Coughlan et al., 2007).</w:t>
      </w:r>
    </w:p>
    <w:p w14:paraId="6C537101" w14:textId="77777777" w:rsidR="00D57C54" w:rsidRPr="00D57C54" w:rsidRDefault="00D57C54" w:rsidP="00D57C54">
      <w:pPr>
        <w:spacing w:line="360" w:lineRule="auto"/>
        <w:jc w:val="both"/>
        <w:rPr>
          <w:rFonts w:ascii="Arial" w:hAnsi="Arial" w:cs="Arial"/>
          <w:sz w:val="22"/>
          <w:szCs w:val="22"/>
        </w:rPr>
      </w:pPr>
      <w:r w:rsidRPr="00D57C54">
        <w:rPr>
          <w:rFonts w:ascii="Arial" w:hAnsi="Arial" w:cs="Arial"/>
          <w:sz w:val="22"/>
          <w:szCs w:val="22"/>
        </w:rPr>
        <w:t>The quantitative evidence also demonstrated strong external validity because national surveys and administrative datasets included adolescents from diverse geographical regions and service settings, allowing findings to be generalised more confidently to the wider population of children and young people in the United Kingdom (Aveyard, 2023). However, minority ethnic groups, LGBTQ+ adolescents and those experiencing severe socioeconomic disadvantage may still have been underrepresented.</w:t>
      </w:r>
    </w:p>
    <w:p w14:paraId="582332D1" w14:textId="77777777" w:rsidR="00D57C54" w:rsidRPr="00D57C54" w:rsidRDefault="00D57C54" w:rsidP="00D57C54">
      <w:pPr>
        <w:spacing w:line="360" w:lineRule="auto"/>
        <w:jc w:val="both"/>
        <w:rPr>
          <w:rFonts w:ascii="Arial" w:hAnsi="Arial" w:cs="Arial"/>
          <w:sz w:val="22"/>
          <w:szCs w:val="22"/>
        </w:rPr>
      </w:pPr>
      <w:r w:rsidRPr="00D57C54">
        <w:rPr>
          <w:rFonts w:ascii="Arial" w:hAnsi="Arial" w:cs="Arial"/>
          <w:sz w:val="22"/>
          <w:szCs w:val="22"/>
        </w:rPr>
        <w:t>Ethical standards were maintained through the use of routinely collected national datasets and administrative records managed within established governance frameworks, ensuring confidentiality, anonymity and data protection (Royal College of Psychiatrists, 2025; Children’s Commissioner for England, 2024). Transition studies by Belling et al. (2014) and Singh et al. (2010) also adhered to recognised ethical standards.</w:t>
      </w:r>
    </w:p>
    <w:p w14:paraId="596154B7" w14:textId="77777777" w:rsidR="00D57C54" w:rsidRPr="00D57C54" w:rsidRDefault="00D57C54" w:rsidP="00D57C54">
      <w:pPr>
        <w:spacing w:line="360" w:lineRule="auto"/>
        <w:jc w:val="both"/>
        <w:rPr>
          <w:rFonts w:ascii="Arial" w:hAnsi="Arial" w:cs="Arial"/>
          <w:sz w:val="22"/>
          <w:szCs w:val="22"/>
        </w:rPr>
      </w:pPr>
      <w:r w:rsidRPr="00D57C54">
        <w:rPr>
          <w:rFonts w:ascii="Arial" w:hAnsi="Arial" w:cs="Arial"/>
          <w:sz w:val="22"/>
          <w:szCs w:val="22"/>
        </w:rPr>
        <w:t xml:space="preserve">Overall, the quantitative studies demonstrated good methodological quality and generated reliable evidence regarding the organisational and structural barriers affecting adolescent mental health service access in the United Kingdom. Although limitations relating to cross-sectional designs, retrospective data collection, self-report measures and the underrepresentation of some vulnerable groups were identified, these were outweighed by the </w:t>
      </w:r>
      <w:r w:rsidRPr="00D57C54">
        <w:rPr>
          <w:rFonts w:ascii="Arial" w:hAnsi="Arial" w:cs="Arial"/>
          <w:sz w:val="22"/>
          <w:szCs w:val="22"/>
        </w:rPr>
        <w:lastRenderedPageBreak/>
        <w:t>methodological strengths of the evidence base. Collectively, the quantitative studies provided a robust foundation for the thematic synthesis presented in Chapter 5 (Aveyard, 2023; Coughlan et al., 2007).</w:t>
      </w:r>
    </w:p>
    <w:p w14:paraId="2D75647A" w14:textId="77777777" w:rsidR="00084CBD" w:rsidRPr="00084CBD" w:rsidRDefault="00084CBD" w:rsidP="00D3531F">
      <w:pPr>
        <w:pStyle w:val="Heading2"/>
      </w:pPr>
      <w:bookmarkStart w:id="41" w:name="_Toc233828709"/>
      <w:r w:rsidRPr="00084CBD">
        <w:t>4.7 Overall Methodological Strengths and Limitations of the Included Evidence Base</w:t>
      </w:r>
      <w:bookmarkEnd w:id="41"/>
    </w:p>
    <w:p w14:paraId="0B9C672D" w14:textId="77777777" w:rsidR="00084CBD" w:rsidRPr="00084CBD" w:rsidRDefault="00084CBD" w:rsidP="00084CBD">
      <w:pPr>
        <w:spacing w:line="360" w:lineRule="auto"/>
        <w:jc w:val="both"/>
        <w:rPr>
          <w:rFonts w:ascii="Arial" w:hAnsi="Arial" w:cs="Arial"/>
          <w:sz w:val="22"/>
          <w:szCs w:val="22"/>
        </w:rPr>
      </w:pPr>
      <w:r w:rsidRPr="00084CBD">
        <w:rPr>
          <w:rFonts w:ascii="Arial" w:hAnsi="Arial" w:cs="Arial"/>
          <w:sz w:val="22"/>
          <w:szCs w:val="22"/>
        </w:rPr>
        <w:t>Collectively, the studies included in this systematic literature review demonstrated a high standard of methodological quality. The inclusion of qualitative, quantitative and high-quality grey literature provided a comprehensive understanding of the barriers affecting adolescent access to mental health services in the United Kingdom. This methodological diversity strengthened the evidence base by allowing findings from different research approaches to complement one another (Aveyard, 2023; Coughlan et al., 2007).</w:t>
      </w:r>
    </w:p>
    <w:p w14:paraId="0A2EEE6F" w14:textId="77777777" w:rsidR="00084CBD" w:rsidRPr="00084CBD" w:rsidRDefault="00084CBD" w:rsidP="00084CBD">
      <w:pPr>
        <w:spacing w:line="360" w:lineRule="auto"/>
        <w:jc w:val="both"/>
        <w:rPr>
          <w:rFonts w:ascii="Arial" w:hAnsi="Arial" w:cs="Arial"/>
          <w:sz w:val="22"/>
          <w:szCs w:val="22"/>
        </w:rPr>
      </w:pPr>
      <w:r w:rsidRPr="00084CBD">
        <w:rPr>
          <w:rFonts w:ascii="Arial" w:hAnsi="Arial" w:cs="Arial"/>
          <w:sz w:val="22"/>
          <w:szCs w:val="22"/>
        </w:rPr>
        <w:t>A key strength of the evidence base was the consistency of findings across different study designs. Despite methodological differences, the studies consistently identified long waiting times, restrictive referral thresholds, workforce shortages, stigma and socioeconomic inequalities as major barriers to service access, strengthening confidence in the overall review findings (Page et al., 2021).</w:t>
      </w:r>
    </w:p>
    <w:p w14:paraId="457DDDEF" w14:textId="12D65E40" w:rsidR="00084CBD" w:rsidRPr="00084CBD" w:rsidRDefault="00084CBD" w:rsidP="00084CBD">
      <w:pPr>
        <w:spacing w:line="360" w:lineRule="auto"/>
        <w:jc w:val="both"/>
        <w:rPr>
          <w:rFonts w:ascii="Arial" w:hAnsi="Arial" w:cs="Arial"/>
          <w:sz w:val="22"/>
          <w:szCs w:val="22"/>
        </w:rPr>
      </w:pPr>
      <w:r w:rsidRPr="00084CBD">
        <w:rPr>
          <w:rFonts w:ascii="Arial" w:hAnsi="Arial" w:cs="Arial"/>
          <w:sz w:val="22"/>
          <w:szCs w:val="22"/>
        </w:rPr>
        <w:t xml:space="preserve">The integration of qualitative and quantitative evidence further strengthened the review. Quantitative studies provided population-level evidence on service demand and organisational pressures, while qualitative studies offered insight into </w:t>
      </w:r>
      <w:r w:rsidR="001826AB">
        <w:rPr>
          <w:rFonts w:ascii="Arial" w:hAnsi="Arial" w:cs="Arial"/>
          <w:sz w:val="22"/>
          <w:szCs w:val="22"/>
        </w:rPr>
        <w:t>adolescents</w:t>
      </w:r>
      <w:r w:rsidRPr="00084CBD">
        <w:rPr>
          <w:rFonts w:ascii="Arial" w:hAnsi="Arial" w:cs="Arial"/>
          <w:sz w:val="22"/>
          <w:szCs w:val="22"/>
        </w:rPr>
        <w:t xml:space="preserve"> lived experiences and help-seeking behaviours. Together, these approaches provided a comprehensive understanding of the factors influencing access to Child and Adolescent Mental Health Services (CAMHS) (Bettany-Saltikov and McSherry, 2025).</w:t>
      </w:r>
    </w:p>
    <w:p w14:paraId="08B7E9DA" w14:textId="77777777" w:rsidR="00084CBD" w:rsidRPr="00084CBD" w:rsidRDefault="00084CBD" w:rsidP="00084CBD">
      <w:pPr>
        <w:spacing w:line="360" w:lineRule="auto"/>
        <w:jc w:val="both"/>
        <w:rPr>
          <w:rFonts w:ascii="Arial" w:hAnsi="Arial" w:cs="Arial"/>
          <w:sz w:val="22"/>
          <w:szCs w:val="22"/>
        </w:rPr>
      </w:pPr>
      <w:r w:rsidRPr="00084CBD">
        <w:rPr>
          <w:rFonts w:ascii="Arial" w:hAnsi="Arial" w:cs="Arial"/>
          <w:sz w:val="22"/>
          <w:szCs w:val="22"/>
        </w:rPr>
        <w:t>Several methodological limitations should be acknowledged. Most quantitative studies employed observational or cross-sectional designs, limiting the ability to establish causal relationships (Coughlan et al., 2007). Qualitative studies provided limited discussion of reflexivity, while some quantitative studies relied on self-reported data that may have been influenced by recall or social desirability bias. Adolescents who had no contact with formal mental health services may also have been underrepresented, limiting the representation of the most vulnerable groups (Lowther-Payne et al., 2023; NHS Digital, 2022).</w:t>
      </w:r>
    </w:p>
    <w:p w14:paraId="645C9650" w14:textId="7E214E84" w:rsidR="00084CBD" w:rsidRPr="00084CBD" w:rsidRDefault="00084CBD" w:rsidP="00084CBD">
      <w:pPr>
        <w:spacing w:line="360" w:lineRule="auto"/>
        <w:jc w:val="both"/>
        <w:rPr>
          <w:rFonts w:ascii="Arial" w:hAnsi="Arial" w:cs="Arial"/>
          <w:sz w:val="22"/>
          <w:szCs w:val="22"/>
        </w:rPr>
      </w:pPr>
      <w:r w:rsidRPr="00084CBD">
        <w:rPr>
          <w:rFonts w:ascii="Arial" w:hAnsi="Arial" w:cs="Arial"/>
          <w:sz w:val="22"/>
          <w:szCs w:val="22"/>
        </w:rPr>
        <w:t>Overall, the methodological strengths outweighed the identified limitations and provided a robust foundation for the thematic synthesis presented in Chapter 5 (Aveyard, 2023; Page et al., 2021).</w:t>
      </w:r>
    </w:p>
    <w:p w14:paraId="406220C7" w14:textId="77777777" w:rsidR="000B6F99" w:rsidRPr="000B6F99" w:rsidRDefault="000B6F99" w:rsidP="00D3531F">
      <w:pPr>
        <w:pStyle w:val="Heading2"/>
      </w:pPr>
      <w:bookmarkStart w:id="42" w:name="_Toc233828710"/>
      <w:r w:rsidRPr="000B6F99">
        <w:lastRenderedPageBreak/>
        <w:t>4.8 Chapter Summary</w:t>
      </w:r>
      <w:bookmarkEnd w:id="42"/>
    </w:p>
    <w:p w14:paraId="0F904312" w14:textId="77777777" w:rsidR="000B6F99" w:rsidRPr="000B6F99" w:rsidRDefault="000B6F99" w:rsidP="000B6F99">
      <w:pPr>
        <w:spacing w:line="360" w:lineRule="auto"/>
        <w:jc w:val="both"/>
        <w:rPr>
          <w:rFonts w:ascii="Arial" w:hAnsi="Arial" w:cs="Arial"/>
          <w:sz w:val="22"/>
          <w:szCs w:val="22"/>
        </w:rPr>
      </w:pPr>
      <w:r w:rsidRPr="000B6F99">
        <w:rPr>
          <w:rFonts w:ascii="Arial" w:hAnsi="Arial" w:cs="Arial"/>
          <w:sz w:val="22"/>
          <w:szCs w:val="22"/>
        </w:rPr>
        <w:t>This chapter presented the data extraction process and critical appraisal of the studies included in this systematic literature review. A structured data extraction process was used to record the characteristics, methodological features and key findings of studies examining adolescent mental health service access in the United Kingdom (Page et al., 2021).</w:t>
      </w:r>
    </w:p>
    <w:p w14:paraId="2C69B5AC" w14:textId="6C8CD115" w:rsidR="000B6F99" w:rsidRPr="000B6F99" w:rsidRDefault="000B6F99" w:rsidP="000B6F99">
      <w:pPr>
        <w:spacing w:line="360" w:lineRule="auto"/>
        <w:jc w:val="both"/>
        <w:rPr>
          <w:rFonts w:ascii="Arial" w:hAnsi="Arial" w:cs="Arial"/>
          <w:sz w:val="22"/>
          <w:szCs w:val="22"/>
        </w:rPr>
      </w:pPr>
      <w:r w:rsidRPr="000B6F99">
        <w:rPr>
          <w:rFonts w:ascii="Arial" w:hAnsi="Arial" w:cs="Arial"/>
          <w:sz w:val="22"/>
          <w:szCs w:val="22"/>
        </w:rPr>
        <w:t xml:space="preserve">The qualitative and quantitative evidence </w:t>
      </w:r>
      <w:r>
        <w:rPr>
          <w:rFonts w:ascii="Arial" w:hAnsi="Arial" w:cs="Arial"/>
          <w:sz w:val="22"/>
          <w:szCs w:val="22"/>
        </w:rPr>
        <w:t>were</w:t>
      </w:r>
      <w:r w:rsidRPr="000B6F99">
        <w:rPr>
          <w:rFonts w:ascii="Arial" w:hAnsi="Arial" w:cs="Arial"/>
          <w:sz w:val="22"/>
          <w:szCs w:val="22"/>
        </w:rPr>
        <w:t xml:space="preserve"> critically appraised using the Critical Appraisal Skills Programme (CASP) Qualitative Checklist and the Coughlan, Cronin and Ryan (2007) framework, respectively. Overall, the included studies demonstrated good methodological quality despite minor limitations relating to reflexivity, self-reported data and observational study designs (Aveyard, 2023; Bettany-Saltikov and McSherry, 2025). Having established the quality and credibility of the evidence base, Chapter 5 presents the findings and thematic synthesis, identifying the key barriers affecting adolescent access to mental health services in the United Kingdom.</w:t>
      </w:r>
    </w:p>
    <w:p w14:paraId="34F7E158" w14:textId="0E684404" w:rsidR="00BF3E96" w:rsidRPr="00BF3E96" w:rsidRDefault="00BF3E96" w:rsidP="00BF3E96">
      <w:pPr>
        <w:spacing w:line="360" w:lineRule="auto"/>
        <w:jc w:val="both"/>
        <w:rPr>
          <w:rFonts w:ascii="Arial" w:hAnsi="Arial" w:cs="Arial"/>
          <w:sz w:val="22"/>
          <w:szCs w:val="22"/>
        </w:rPr>
      </w:pPr>
    </w:p>
    <w:p w14:paraId="49ED1074" w14:textId="77777777" w:rsidR="00974C1D" w:rsidRDefault="00974C1D" w:rsidP="007107C6">
      <w:pPr>
        <w:spacing w:line="360" w:lineRule="auto"/>
        <w:jc w:val="both"/>
        <w:rPr>
          <w:rFonts w:ascii="Arial" w:hAnsi="Arial" w:cs="Arial"/>
          <w:sz w:val="22"/>
          <w:szCs w:val="22"/>
        </w:rPr>
      </w:pPr>
    </w:p>
    <w:p w14:paraId="59CB81A0" w14:textId="77777777" w:rsidR="001A3AC7" w:rsidRDefault="001A3AC7" w:rsidP="007107C6">
      <w:pPr>
        <w:spacing w:line="360" w:lineRule="auto"/>
        <w:jc w:val="both"/>
        <w:rPr>
          <w:rFonts w:ascii="Arial" w:hAnsi="Arial" w:cs="Arial"/>
          <w:sz w:val="22"/>
          <w:szCs w:val="22"/>
        </w:rPr>
      </w:pPr>
    </w:p>
    <w:p w14:paraId="6F8A6723" w14:textId="77777777" w:rsidR="001A3AC7" w:rsidRDefault="001A3AC7" w:rsidP="007107C6">
      <w:pPr>
        <w:spacing w:line="360" w:lineRule="auto"/>
        <w:jc w:val="both"/>
        <w:rPr>
          <w:rFonts w:ascii="Arial" w:hAnsi="Arial" w:cs="Arial"/>
          <w:sz w:val="22"/>
          <w:szCs w:val="22"/>
        </w:rPr>
      </w:pPr>
    </w:p>
    <w:p w14:paraId="3FDFF7F2" w14:textId="77777777" w:rsidR="001A3AC7" w:rsidRDefault="001A3AC7" w:rsidP="007107C6">
      <w:pPr>
        <w:spacing w:line="360" w:lineRule="auto"/>
        <w:jc w:val="both"/>
        <w:rPr>
          <w:rFonts w:ascii="Arial" w:hAnsi="Arial" w:cs="Arial"/>
          <w:sz w:val="22"/>
          <w:szCs w:val="22"/>
        </w:rPr>
      </w:pPr>
    </w:p>
    <w:p w14:paraId="116EBFAC" w14:textId="77777777" w:rsidR="001A3AC7" w:rsidRDefault="001A3AC7" w:rsidP="007107C6">
      <w:pPr>
        <w:spacing w:line="360" w:lineRule="auto"/>
        <w:jc w:val="both"/>
        <w:rPr>
          <w:rFonts w:ascii="Arial" w:hAnsi="Arial" w:cs="Arial"/>
          <w:sz w:val="22"/>
          <w:szCs w:val="22"/>
        </w:rPr>
      </w:pPr>
    </w:p>
    <w:p w14:paraId="25A7D20B" w14:textId="77777777" w:rsidR="001A3AC7" w:rsidRDefault="001A3AC7" w:rsidP="007107C6">
      <w:pPr>
        <w:spacing w:line="360" w:lineRule="auto"/>
        <w:jc w:val="both"/>
        <w:rPr>
          <w:rFonts w:ascii="Arial" w:hAnsi="Arial" w:cs="Arial"/>
          <w:sz w:val="22"/>
          <w:szCs w:val="22"/>
        </w:rPr>
      </w:pPr>
    </w:p>
    <w:p w14:paraId="3ABA0CAF" w14:textId="77777777" w:rsidR="001A3AC7" w:rsidRDefault="001A3AC7" w:rsidP="007107C6">
      <w:pPr>
        <w:spacing w:line="360" w:lineRule="auto"/>
        <w:jc w:val="both"/>
        <w:rPr>
          <w:rFonts w:ascii="Arial" w:hAnsi="Arial" w:cs="Arial"/>
          <w:sz w:val="22"/>
          <w:szCs w:val="22"/>
        </w:rPr>
      </w:pPr>
    </w:p>
    <w:p w14:paraId="2D610617" w14:textId="77777777" w:rsidR="001A3AC7" w:rsidRDefault="001A3AC7" w:rsidP="007107C6">
      <w:pPr>
        <w:spacing w:line="360" w:lineRule="auto"/>
        <w:jc w:val="both"/>
        <w:rPr>
          <w:rFonts w:ascii="Arial" w:hAnsi="Arial" w:cs="Arial"/>
          <w:sz w:val="22"/>
          <w:szCs w:val="22"/>
        </w:rPr>
      </w:pPr>
    </w:p>
    <w:p w14:paraId="15F25836" w14:textId="77777777" w:rsidR="001A3AC7" w:rsidRDefault="001A3AC7" w:rsidP="007107C6">
      <w:pPr>
        <w:spacing w:line="360" w:lineRule="auto"/>
        <w:jc w:val="both"/>
        <w:rPr>
          <w:rFonts w:ascii="Arial" w:hAnsi="Arial" w:cs="Arial"/>
          <w:sz w:val="22"/>
          <w:szCs w:val="22"/>
        </w:rPr>
      </w:pPr>
    </w:p>
    <w:p w14:paraId="594C5B5E" w14:textId="77777777" w:rsidR="001A3AC7" w:rsidRDefault="001A3AC7" w:rsidP="007107C6">
      <w:pPr>
        <w:spacing w:line="360" w:lineRule="auto"/>
        <w:jc w:val="both"/>
        <w:rPr>
          <w:rFonts w:ascii="Arial" w:hAnsi="Arial" w:cs="Arial"/>
          <w:sz w:val="22"/>
          <w:szCs w:val="22"/>
        </w:rPr>
      </w:pPr>
    </w:p>
    <w:p w14:paraId="56EDE6AE" w14:textId="77777777" w:rsidR="001A3AC7" w:rsidRDefault="001A3AC7" w:rsidP="007107C6">
      <w:pPr>
        <w:spacing w:line="360" w:lineRule="auto"/>
        <w:jc w:val="both"/>
        <w:rPr>
          <w:rFonts w:ascii="Arial" w:hAnsi="Arial" w:cs="Arial"/>
          <w:sz w:val="22"/>
          <w:szCs w:val="22"/>
        </w:rPr>
      </w:pPr>
    </w:p>
    <w:p w14:paraId="40AD08B8" w14:textId="77777777" w:rsidR="001A3AC7" w:rsidRDefault="001A3AC7" w:rsidP="007107C6">
      <w:pPr>
        <w:spacing w:line="360" w:lineRule="auto"/>
        <w:jc w:val="both"/>
        <w:rPr>
          <w:rFonts w:ascii="Arial" w:hAnsi="Arial" w:cs="Arial"/>
          <w:sz w:val="22"/>
          <w:szCs w:val="22"/>
        </w:rPr>
      </w:pPr>
    </w:p>
    <w:p w14:paraId="74FB2DC4" w14:textId="77777777" w:rsidR="001A3AC7" w:rsidRDefault="001A3AC7" w:rsidP="007107C6">
      <w:pPr>
        <w:spacing w:line="360" w:lineRule="auto"/>
        <w:jc w:val="both"/>
        <w:rPr>
          <w:rFonts w:ascii="Arial" w:hAnsi="Arial" w:cs="Arial"/>
          <w:sz w:val="22"/>
          <w:szCs w:val="22"/>
        </w:rPr>
      </w:pPr>
    </w:p>
    <w:p w14:paraId="1C3EAB3E" w14:textId="77777777" w:rsidR="001A3AC7" w:rsidRDefault="001A3AC7" w:rsidP="007107C6">
      <w:pPr>
        <w:spacing w:line="360" w:lineRule="auto"/>
        <w:jc w:val="both"/>
        <w:rPr>
          <w:rFonts w:ascii="Arial" w:hAnsi="Arial" w:cs="Arial"/>
          <w:sz w:val="22"/>
          <w:szCs w:val="22"/>
        </w:rPr>
      </w:pPr>
    </w:p>
    <w:p w14:paraId="340A8E47" w14:textId="77777777" w:rsidR="001A3AC7" w:rsidRDefault="001A3AC7" w:rsidP="007107C6">
      <w:pPr>
        <w:spacing w:line="360" w:lineRule="auto"/>
        <w:jc w:val="both"/>
        <w:rPr>
          <w:rFonts w:ascii="Arial" w:hAnsi="Arial" w:cs="Arial"/>
          <w:sz w:val="22"/>
          <w:szCs w:val="22"/>
        </w:rPr>
      </w:pPr>
    </w:p>
    <w:p w14:paraId="10AE0BB3" w14:textId="6E3672E7" w:rsidR="00E97E42" w:rsidRPr="00E97E42" w:rsidRDefault="006F0F3B" w:rsidP="00D3531F">
      <w:pPr>
        <w:pStyle w:val="Heading1"/>
      </w:pPr>
      <w:bookmarkStart w:id="43" w:name="_Toc233828711"/>
      <w:r w:rsidRPr="006F0F3B">
        <w:lastRenderedPageBreak/>
        <w:t>CHAPTER FIVE</w:t>
      </w:r>
      <w:bookmarkEnd w:id="43"/>
    </w:p>
    <w:p w14:paraId="4A44005D" w14:textId="77777777" w:rsidR="00F764CB" w:rsidRPr="00F764CB" w:rsidRDefault="00F764CB" w:rsidP="00D3531F">
      <w:pPr>
        <w:pStyle w:val="Heading2"/>
      </w:pPr>
      <w:bookmarkStart w:id="44" w:name="_Toc233828712"/>
      <w:r w:rsidRPr="00F764CB">
        <w:t>5.1 Introduction to Chapter</w:t>
      </w:r>
      <w:bookmarkEnd w:id="44"/>
    </w:p>
    <w:p w14:paraId="2DCEC8A7" w14:textId="77777777" w:rsidR="00F764CB" w:rsidRPr="00F764CB" w:rsidRDefault="00F764CB" w:rsidP="00F764CB">
      <w:pPr>
        <w:spacing w:line="360" w:lineRule="auto"/>
        <w:jc w:val="both"/>
        <w:rPr>
          <w:rFonts w:ascii="Arial" w:hAnsi="Arial" w:cs="Arial"/>
          <w:sz w:val="22"/>
          <w:szCs w:val="22"/>
        </w:rPr>
      </w:pPr>
      <w:r w:rsidRPr="00F764CB">
        <w:rPr>
          <w:rFonts w:ascii="Arial" w:hAnsi="Arial" w:cs="Arial"/>
          <w:sz w:val="22"/>
          <w:szCs w:val="22"/>
        </w:rPr>
        <w:t>This chapter presents the analysis and synthesis of evidence from the ten studies included in this systematic literature review. A thematic synthesis approach was used to integrate the findings and examine the barriers influencing adolescent access to Child and Adolescent Mental Health Services (CAMHS) in the United Kingdom (Thomas and Harden, 2008; Page et al., 2021).</w:t>
      </w:r>
    </w:p>
    <w:p w14:paraId="70F4727A" w14:textId="77777777" w:rsidR="00F764CB" w:rsidRPr="00F764CB" w:rsidRDefault="00F764CB" w:rsidP="00F764CB">
      <w:pPr>
        <w:spacing w:line="360" w:lineRule="auto"/>
        <w:jc w:val="both"/>
        <w:rPr>
          <w:rFonts w:ascii="Arial" w:hAnsi="Arial" w:cs="Arial"/>
          <w:sz w:val="22"/>
          <w:szCs w:val="22"/>
        </w:rPr>
      </w:pPr>
      <w:r w:rsidRPr="00F764CB">
        <w:rPr>
          <w:rFonts w:ascii="Arial" w:hAnsi="Arial" w:cs="Arial"/>
          <w:sz w:val="22"/>
          <w:szCs w:val="22"/>
        </w:rPr>
        <w:t>The analysis generated three overarching themes: macro-systemic rationing and institutional gatekeeping; socio-economic stratification and structural determinants; and relational stigma, intersectional vulnerability and distrust. These themes provide the framework for the critical discussion presented in Chapter 6 (Aveyard, 2023).</w:t>
      </w:r>
    </w:p>
    <w:p w14:paraId="63F00064" w14:textId="77777777" w:rsidR="00E97E42" w:rsidRPr="00E97E42" w:rsidRDefault="00E97E42" w:rsidP="00D3531F">
      <w:pPr>
        <w:pStyle w:val="Heading2"/>
      </w:pPr>
      <w:bookmarkStart w:id="45" w:name="_Toc233828713"/>
      <w:r w:rsidRPr="00E97E42">
        <w:t>5.2 Thematic Analysis</w:t>
      </w:r>
      <w:bookmarkEnd w:id="45"/>
    </w:p>
    <w:p w14:paraId="094BD965"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sz w:val="22"/>
          <w:szCs w:val="22"/>
        </w:rPr>
        <w:t>Thematic analysis is a qualitative approach used to identify and interpret recurring patterns within a dataset (Braun and Clarke, 2006). Within a systematic literature review, it is commonly referred to as thematic synthesis because it integrates findings from multiple studies into analytical themes (Thomas and Harden, 2008). Quantitative findings can also be incorporated by converting numerical results into descriptive concepts, facilitating comparison and synthesis across different forms of evidence (Popay et al., 2006).</w:t>
      </w:r>
    </w:p>
    <w:p w14:paraId="3DDF9BBB" w14:textId="77777777" w:rsidR="00E97E42" w:rsidRPr="00E97E42" w:rsidRDefault="00E97E42" w:rsidP="00D3531F">
      <w:pPr>
        <w:pStyle w:val="Heading2"/>
      </w:pPr>
      <w:bookmarkStart w:id="46" w:name="_Toc233828714"/>
      <w:r w:rsidRPr="00E97E42">
        <w:t>5.3 Data Analysis Tool</w:t>
      </w:r>
      <w:bookmarkEnd w:id="46"/>
    </w:p>
    <w:p w14:paraId="3A4DA1AC" w14:textId="27B6211A" w:rsidR="00E97E42" w:rsidRPr="00E97E42" w:rsidRDefault="00E97E42" w:rsidP="00E97E42">
      <w:pPr>
        <w:spacing w:line="360" w:lineRule="auto"/>
        <w:jc w:val="both"/>
        <w:rPr>
          <w:rFonts w:ascii="Arial" w:hAnsi="Arial" w:cs="Arial"/>
          <w:sz w:val="22"/>
          <w:szCs w:val="22"/>
        </w:rPr>
      </w:pPr>
      <w:r w:rsidRPr="00E97E42">
        <w:rPr>
          <w:rFonts w:ascii="Arial" w:hAnsi="Arial" w:cs="Arial"/>
          <w:sz w:val="22"/>
          <w:szCs w:val="22"/>
        </w:rPr>
        <w:t>The thematic synthesis framework developed by Thomas and Harden (2008) was selected as the data analysis tool for this review. The framework involves systematic coding, the development of descriptive themes and the generation of broader analytical themes. It was chosen because it promotes transparency, consistency and analytical rigour when synthesising evidence from multiple studies, thereby enhancing the credibility and trustworthiness of the review findings (Thomas and Harden, 2008; Page et al., 2021).</w:t>
      </w:r>
    </w:p>
    <w:p w14:paraId="7332AF47" w14:textId="77777777" w:rsidR="00441717" w:rsidRPr="00441717" w:rsidRDefault="00441717" w:rsidP="00D3531F">
      <w:pPr>
        <w:pStyle w:val="Heading2"/>
      </w:pPr>
      <w:bookmarkStart w:id="47" w:name="_Toc233828715"/>
      <w:r w:rsidRPr="00441717">
        <w:t>5.4 Characteristics of the Included Studies</w:t>
      </w:r>
      <w:bookmarkEnd w:id="47"/>
    </w:p>
    <w:p w14:paraId="7A7B2B01" w14:textId="77777777" w:rsidR="00441717" w:rsidRPr="00441717" w:rsidRDefault="00441717" w:rsidP="00441717">
      <w:pPr>
        <w:spacing w:line="360" w:lineRule="auto"/>
        <w:jc w:val="both"/>
        <w:rPr>
          <w:rFonts w:ascii="Arial" w:hAnsi="Arial" w:cs="Arial"/>
          <w:sz w:val="22"/>
          <w:szCs w:val="22"/>
        </w:rPr>
      </w:pPr>
      <w:r w:rsidRPr="00441717">
        <w:rPr>
          <w:rFonts w:ascii="Arial" w:hAnsi="Arial" w:cs="Arial"/>
          <w:sz w:val="22"/>
          <w:szCs w:val="22"/>
        </w:rPr>
        <w:t xml:space="preserve">The characteristics of the included studies are summarised in </w:t>
      </w:r>
      <w:r w:rsidRPr="00441717">
        <w:rPr>
          <w:rFonts w:ascii="Arial" w:hAnsi="Arial" w:cs="Arial"/>
          <w:b/>
          <w:bCs/>
          <w:sz w:val="22"/>
          <w:szCs w:val="22"/>
        </w:rPr>
        <w:t>Table 5.1</w:t>
      </w:r>
      <w:r w:rsidRPr="00441717">
        <w:rPr>
          <w:rFonts w:ascii="Arial" w:hAnsi="Arial" w:cs="Arial"/>
          <w:sz w:val="22"/>
          <w:szCs w:val="22"/>
        </w:rPr>
        <w:t xml:space="preserve">. Of the ten studies, six were conducted in England (Lowther-Payne et al., 2023; NHS Digital, 2022; NHS Digital, 2023; NHS Digital, 2025; Children’s Commissioner for England, 2024; NHS England, 2023), while four were undertaken across the United Kingdom (Radez et al., 2021; Aguirre Velasco et al., 2020; Royal College of Psychiatrists, 2025; YoungMinds, 2022). The evidence comprised qualitative, quantitative and high-quality grey literature investigating barriers to </w:t>
      </w:r>
      <w:r w:rsidRPr="00441717">
        <w:rPr>
          <w:rFonts w:ascii="Arial" w:hAnsi="Arial" w:cs="Arial"/>
          <w:sz w:val="22"/>
          <w:szCs w:val="22"/>
        </w:rPr>
        <w:lastRenderedPageBreak/>
        <w:t xml:space="preserve">adolescent access to Child and Adolescent Mental Health Services (CAMHS). Sample sizes ranged from small qualitative interview studies to large national datasets and administrative audits. Detailed information on study design, participants, data collection methods and key findings is presented in </w:t>
      </w:r>
      <w:r w:rsidRPr="00441717">
        <w:rPr>
          <w:rFonts w:ascii="Arial" w:hAnsi="Arial" w:cs="Arial"/>
          <w:b/>
          <w:bCs/>
          <w:sz w:val="22"/>
          <w:szCs w:val="22"/>
        </w:rPr>
        <w:t>Table 5.1</w:t>
      </w:r>
      <w:r w:rsidRPr="00441717">
        <w:rPr>
          <w:rFonts w:ascii="Arial" w:hAnsi="Arial" w:cs="Arial"/>
          <w:sz w:val="22"/>
          <w:szCs w:val="22"/>
        </w:rPr>
        <w:t xml:space="preserve"> and </w:t>
      </w:r>
      <w:r w:rsidRPr="00441717">
        <w:rPr>
          <w:rFonts w:ascii="Arial" w:hAnsi="Arial" w:cs="Arial"/>
          <w:b/>
          <w:bCs/>
          <w:sz w:val="22"/>
          <w:szCs w:val="22"/>
        </w:rPr>
        <w:t>Appendix C</w:t>
      </w:r>
      <w:r w:rsidRPr="00441717">
        <w:rPr>
          <w:rFonts w:ascii="Arial" w:hAnsi="Arial" w:cs="Arial"/>
          <w:sz w:val="22"/>
          <w:szCs w:val="22"/>
        </w:rPr>
        <w:t>. Overall, the evidence consistently identified structural, socioeconomic and socio-cultural barriers affecting adolescent access to CAMHS in the United Kingdom (Thomas and Harden, 2008; Page et al., 2021).</w:t>
      </w:r>
    </w:p>
    <w:p w14:paraId="0E372298" w14:textId="77777777" w:rsidR="00282C2A" w:rsidRPr="00282C2A" w:rsidRDefault="00282C2A" w:rsidP="00D3531F">
      <w:pPr>
        <w:pStyle w:val="Heading2"/>
      </w:pPr>
      <w:bookmarkStart w:id="48" w:name="_Toc233828716"/>
      <w:r w:rsidRPr="00282C2A">
        <w:t>Table 5.1. Characteristics of the Included Studies</w:t>
      </w:r>
      <w:bookmarkEnd w:id="48"/>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144"/>
        <w:gridCol w:w="392"/>
        <w:gridCol w:w="707"/>
        <w:gridCol w:w="1088"/>
        <w:gridCol w:w="914"/>
        <w:gridCol w:w="557"/>
        <w:gridCol w:w="367"/>
        <w:gridCol w:w="686"/>
        <w:gridCol w:w="1113"/>
        <w:gridCol w:w="947"/>
        <w:gridCol w:w="1111"/>
      </w:tblGrid>
      <w:tr w:rsidR="00282C2A" w:rsidRPr="00282C2A" w14:paraId="3FF3392D" w14:textId="77777777">
        <w:trPr>
          <w:tblHeader/>
          <w:tblCellSpacing w:w="15" w:type="dxa"/>
        </w:trPr>
        <w:tc>
          <w:tcPr>
            <w:tcW w:w="0" w:type="auto"/>
            <w:vAlign w:val="center"/>
            <w:hideMark/>
          </w:tcPr>
          <w:p w14:paraId="7436CF99"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Author(s)</w:t>
            </w:r>
          </w:p>
        </w:tc>
        <w:tc>
          <w:tcPr>
            <w:tcW w:w="0" w:type="auto"/>
            <w:vAlign w:val="center"/>
            <w:hideMark/>
          </w:tcPr>
          <w:p w14:paraId="75C70B21"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Year</w:t>
            </w:r>
          </w:p>
        </w:tc>
        <w:tc>
          <w:tcPr>
            <w:tcW w:w="0" w:type="auto"/>
            <w:vAlign w:val="center"/>
            <w:hideMark/>
          </w:tcPr>
          <w:p w14:paraId="7002D637"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UK Setting</w:t>
            </w:r>
          </w:p>
        </w:tc>
        <w:tc>
          <w:tcPr>
            <w:tcW w:w="0" w:type="auto"/>
            <w:vAlign w:val="center"/>
            <w:hideMark/>
          </w:tcPr>
          <w:p w14:paraId="37E0E51B"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Study Design</w:t>
            </w:r>
          </w:p>
        </w:tc>
        <w:tc>
          <w:tcPr>
            <w:tcW w:w="0" w:type="auto"/>
            <w:vAlign w:val="center"/>
            <w:hideMark/>
          </w:tcPr>
          <w:p w14:paraId="49C210A7"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Participants</w:t>
            </w:r>
          </w:p>
        </w:tc>
        <w:tc>
          <w:tcPr>
            <w:tcW w:w="0" w:type="auto"/>
            <w:vAlign w:val="center"/>
            <w:hideMark/>
          </w:tcPr>
          <w:p w14:paraId="3505BA53"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Age (Years)</w:t>
            </w:r>
          </w:p>
        </w:tc>
        <w:tc>
          <w:tcPr>
            <w:tcW w:w="0" w:type="auto"/>
            <w:vAlign w:val="center"/>
            <w:hideMark/>
          </w:tcPr>
          <w:p w14:paraId="37C9CBF5"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Sex</w:t>
            </w:r>
          </w:p>
        </w:tc>
        <w:tc>
          <w:tcPr>
            <w:tcW w:w="0" w:type="auto"/>
            <w:vAlign w:val="center"/>
            <w:hideMark/>
          </w:tcPr>
          <w:p w14:paraId="53A24C9F"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Sample Size (n)</w:t>
            </w:r>
          </w:p>
        </w:tc>
        <w:tc>
          <w:tcPr>
            <w:tcW w:w="0" w:type="auto"/>
            <w:vAlign w:val="center"/>
            <w:hideMark/>
          </w:tcPr>
          <w:p w14:paraId="146248B4"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Data Collection Method</w:t>
            </w:r>
          </w:p>
        </w:tc>
        <w:tc>
          <w:tcPr>
            <w:tcW w:w="0" w:type="auto"/>
            <w:vAlign w:val="center"/>
            <w:hideMark/>
          </w:tcPr>
          <w:p w14:paraId="198BEC2C"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Study Aim</w:t>
            </w:r>
          </w:p>
        </w:tc>
        <w:tc>
          <w:tcPr>
            <w:tcW w:w="0" w:type="auto"/>
            <w:vAlign w:val="center"/>
            <w:hideMark/>
          </w:tcPr>
          <w:p w14:paraId="27F0121A"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Key Findings Relevant to the Review</w:t>
            </w:r>
          </w:p>
        </w:tc>
      </w:tr>
      <w:tr w:rsidR="00282C2A" w:rsidRPr="00282C2A" w14:paraId="4489C876" w14:textId="77777777">
        <w:trPr>
          <w:tblCellSpacing w:w="15" w:type="dxa"/>
        </w:trPr>
        <w:tc>
          <w:tcPr>
            <w:tcW w:w="0" w:type="auto"/>
            <w:vAlign w:val="center"/>
            <w:hideMark/>
          </w:tcPr>
          <w:p w14:paraId="70E542FE"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 xml:space="preserve">Leavey </w:t>
            </w:r>
            <w:r w:rsidRPr="00282C2A">
              <w:rPr>
                <w:rFonts w:ascii="Arial" w:hAnsi="Arial" w:cs="Arial"/>
                <w:b/>
                <w:bCs/>
                <w:i/>
                <w:iCs/>
                <w:sz w:val="22"/>
                <w:szCs w:val="22"/>
              </w:rPr>
              <w:t>et al.</w:t>
            </w:r>
          </w:p>
        </w:tc>
        <w:tc>
          <w:tcPr>
            <w:tcW w:w="0" w:type="auto"/>
            <w:vAlign w:val="center"/>
            <w:hideMark/>
          </w:tcPr>
          <w:p w14:paraId="26480DB3"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2019</w:t>
            </w:r>
          </w:p>
        </w:tc>
        <w:tc>
          <w:tcPr>
            <w:tcW w:w="0" w:type="auto"/>
            <w:vAlign w:val="center"/>
            <w:hideMark/>
          </w:tcPr>
          <w:p w14:paraId="35425695"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England</w:t>
            </w:r>
          </w:p>
        </w:tc>
        <w:tc>
          <w:tcPr>
            <w:tcW w:w="0" w:type="auto"/>
            <w:vAlign w:val="center"/>
            <w:hideMark/>
          </w:tcPr>
          <w:p w14:paraId="4D0061B4"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Qualitative study</w:t>
            </w:r>
          </w:p>
        </w:tc>
        <w:tc>
          <w:tcPr>
            <w:tcW w:w="0" w:type="auto"/>
            <w:vAlign w:val="center"/>
            <w:hideMark/>
          </w:tcPr>
          <w:p w14:paraId="22B10C7C"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Adolescents from minority ethnic communities</w:t>
            </w:r>
          </w:p>
        </w:tc>
        <w:tc>
          <w:tcPr>
            <w:tcW w:w="0" w:type="auto"/>
            <w:vAlign w:val="center"/>
            <w:hideMark/>
          </w:tcPr>
          <w:p w14:paraId="7D38BF91"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10–19</w:t>
            </w:r>
          </w:p>
        </w:tc>
        <w:tc>
          <w:tcPr>
            <w:tcW w:w="0" w:type="auto"/>
            <w:vAlign w:val="center"/>
            <w:hideMark/>
          </w:tcPr>
          <w:p w14:paraId="051A2BAB"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Both</w:t>
            </w:r>
          </w:p>
        </w:tc>
        <w:tc>
          <w:tcPr>
            <w:tcW w:w="0" w:type="auto"/>
            <w:vAlign w:val="center"/>
            <w:hideMark/>
          </w:tcPr>
          <w:p w14:paraId="5809FAB0"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NR</w:t>
            </w:r>
          </w:p>
        </w:tc>
        <w:tc>
          <w:tcPr>
            <w:tcW w:w="0" w:type="auto"/>
            <w:vAlign w:val="center"/>
            <w:hideMark/>
          </w:tcPr>
          <w:p w14:paraId="11E31B4A"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Semi</w:t>
            </w:r>
            <w:r w:rsidRPr="005C7353">
              <w:rPr>
                <w:rFonts w:ascii="Arial" w:hAnsi="Arial" w:cs="Arial"/>
                <w:sz w:val="22"/>
                <w:szCs w:val="22"/>
              </w:rPr>
              <w:noBreakHyphen/>
              <w:t>structured interviews</w:t>
            </w:r>
          </w:p>
        </w:tc>
        <w:tc>
          <w:tcPr>
            <w:tcW w:w="0" w:type="auto"/>
            <w:vAlign w:val="center"/>
            <w:hideMark/>
          </w:tcPr>
          <w:p w14:paraId="509AA832"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To explore barriers affecting access to mental health services among minority ethnic adolescents.</w:t>
            </w:r>
          </w:p>
        </w:tc>
        <w:tc>
          <w:tcPr>
            <w:tcW w:w="0" w:type="auto"/>
            <w:vAlign w:val="center"/>
            <w:hideMark/>
          </w:tcPr>
          <w:p w14:paraId="5833567C" w14:textId="2E946615"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 xml:space="preserve">Cultural beliefs, stigma and </w:t>
            </w:r>
            <w:r w:rsidR="00BA0291" w:rsidRPr="005C7353">
              <w:rPr>
                <w:rFonts w:ascii="Arial" w:hAnsi="Arial" w:cs="Arial"/>
                <w:sz w:val="22"/>
                <w:szCs w:val="22"/>
              </w:rPr>
              <w:t>limited-service</w:t>
            </w:r>
            <w:r w:rsidRPr="005C7353">
              <w:rPr>
                <w:rFonts w:ascii="Arial" w:hAnsi="Arial" w:cs="Arial"/>
                <w:sz w:val="22"/>
                <w:szCs w:val="22"/>
              </w:rPr>
              <w:t xml:space="preserve"> responsiveness reduced engagement with CAMHS.</w:t>
            </w:r>
          </w:p>
        </w:tc>
      </w:tr>
      <w:tr w:rsidR="00282C2A" w:rsidRPr="00282C2A" w14:paraId="08018007" w14:textId="77777777">
        <w:trPr>
          <w:tblCellSpacing w:w="15" w:type="dxa"/>
        </w:trPr>
        <w:tc>
          <w:tcPr>
            <w:tcW w:w="0" w:type="auto"/>
            <w:vAlign w:val="center"/>
            <w:hideMark/>
          </w:tcPr>
          <w:p w14:paraId="74DC228B"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Lowther</w:t>
            </w:r>
            <w:r w:rsidRPr="00282C2A">
              <w:rPr>
                <w:rFonts w:ascii="Arial" w:hAnsi="Arial" w:cs="Arial"/>
                <w:b/>
                <w:bCs/>
                <w:sz w:val="22"/>
                <w:szCs w:val="22"/>
              </w:rPr>
              <w:noBreakHyphen/>
              <w:t xml:space="preserve">Payne </w:t>
            </w:r>
            <w:r w:rsidRPr="00282C2A">
              <w:rPr>
                <w:rFonts w:ascii="Arial" w:hAnsi="Arial" w:cs="Arial"/>
                <w:b/>
                <w:bCs/>
                <w:i/>
                <w:iCs/>
                <w:sz w:val="22"/>
                <w:szCs w:val="22"/>
              </w:rPr>
              <w:t>et al.</w:t>
            </w:r>
          </w:p>
        </w:tc>
        <w:tc>
          <w:tcPr>
            <w:tcW w:w="0" w:type="auto"/>
            <w:vAlign w:val="center"/>
            <w:hideMark/>
          </w:tcPr>
          <w:p w14:paraId="3C2619DE"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2023</w:t>
            </w:r>
          </w:p>
        </w:tc>
        <w:tc>
          <w:tcPr>
            <w:tcW w:w="0" w:type="auto"/>
            <w:vAlign w:val="center"/>
            <w:hideMark/>
          </w:tcPr>
          <w:p w14:paraId="1CBB3EBB"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England</w:t>
            </w:r>
          </w:p>
        </w:tc>
        <w:tc>
          <w:tcPr>
            <w:tcW w:w="0" w:type="auto"/>
            <w:vAlign w:val="center"/>
            <w:hideMark/>
          </w:tcPr>
          <w:p w14:paraId="566240AF"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Qualitative study</w:t>
            </w:r>
          </w:p>
        </w:tc>
        <w:tc>
          <w:tcPr>
            <w:tcW w:w="0" w:type="auto"/>
            <w:vAlign w:val="center"/>
            <w:hideMark/>
          </w:tcPr>
          <w:p w14:paraId="12584E9F"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Adolescents</w:t>
            </w:r>
          </w:p>
        </w:tc>
        <w:tc>
          <w:tcPr>
            <w:tcW w:w="0" w:type="auto"/>
            <w:vAlign w:val="center"/>
            <w:hideMark/>
          </w:tcPr>
          <w:p w14:paraId="60CCE374"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10–19</w:t>
            </w:r>
          </w:p>
        </w:tc>
        <w:tc>
          <w:tcPr>
            <w:tcW w:w="0" w:type="auto"/>
            <w:vAlign w:val="center"/>
            <w:hideMark/>
          </w:tcPr>
          <w:p w14:paraId="2F3ED419"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Both</w:t>
            </w:r>
          </w:p>
        </w:tc>
        <w:tc>
          <w:tcPr>
            <w:tcW w:w="0" w:type="auto"/>
            <w:vAlign w:val="center"/>
            <w:hideMark/>
          </w:tcPr>
          <w:p w14:paraId="185B9FB2"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NR</w:t>
            </w:r>
          </w:p>
        </w:tc>
        <w:tc>
          <w:tcPr>
            <w:tcW w:w="0" w:type="auto"/>
            <w:vAlign w:val="center"/>
            <w:hideMark/>
          </w:tcPr>
          <w:p w14:paraId="0E0A36A0"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Semi</w:t>
            </w:r>
            <w:r w:rsidRPr="005C7353">
              <w:rPr>
                <w:rFonts w:ascii="Arial" w:hAnsi="Arial" w:cs="Arial"/>
                <w:sz w:val="22"/>
                <w:szCs w:val="22"/>
              </w:rPr>
              <w:noBreakHyphen/>
              <w:t>structured interviews</w:t>
            </w:r>
          </w:p>
        </w:tc>
        <w:tc>
          <w:tcPr>
            <w:tcW w:w="0" w:type="auto"/>
            <w:vAlign w:val="center"/>
            <w:hideMark/>
          </w:tcPr>
          <w:p w14:paraId="38DE4C20"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To explore adolescents’ experiences of accessin</w:t>
            </w:r>
            <w:r w:rsidRPr="005C7353">
              <w:rPr>
                <w:rFonts w:ascii="Arial" w:hAnsi="Arial" w:cs="Arial"/>
                <w:sz w:val="22"/>
                <w:szCs w:val="22"/>
              </w:rPr>
              <w:lastRenderedPageBreak/>
              <w:t>g CAMHS.</w:t>
            </w:r>
          </w:p>
        </w:tc>
        <w:tc>
          <w:tcPr>
            <w:tcW w:w="0" w:type="auto"/>
            <w:vAlign w:val="center"/>
            <w:hideMark/>
          </w:tcPr>
          <w:p w14:paraId="431B43B6"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lastRenderedPageBreak/>
              <w:t xml:space="preserve">Referral pathways, confidentiality concerns and digital exclusion affected </w:t>
            </w:r>
            <w:r w:rsidRPr="005C7353">
              <w:rPr>
                <w:rFonts w:ascii="Arial" w:hAnsi="Arial" w:cs="Arial"/>
                <w:sz w:val="22"/>
                <w:szCs w:val="22"/>
              </w:rPr>
              <w:lastRenderedPageBreak/>
              <w:t>access to CAMHS.</w:t>
            </w:r>
          </w:p>
        </w:tc>
      </w:tr>
      <w:tr w:rsidR="00282C2A" w:rsidRPr="00282C2A" w14:paraId="06FF0501" w14:textId="77777777">
        <w:trPr>
          <w:tblCellSpacing w:w="15" w:type="dxa"/>
        </w:trPr>
        <w:tc>
          <w:tcPr>
            <w:tcW w:w="0" w:type="auto"/>
            <w:vAlign w:val="center"/>
            <w:hideMark/>
          </w:tcPr>
          <w:p w14:paraId="3C993707"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lastRenderedPageBreak/>
              <w:t xml:space="preserve">Radez </w:t>
            </w:r>
            <w:r w:rsidRPr="00282C2A">
              <w:rPr>
                <w:rFonts w:ascii="Arial" w:hAnsi="Arial" w:cs="Arial"/>
                <w:b/>
                <w:bCs/>
                <w:i/>
                <w:iCs/>
                <w:sz w:val="22"/>
                <w:szCs w:val="22"/>
              </w:rPr>
              <w:t>et al.</w:t>
            </w:r>
          </w:p>
        </w:tc>
        <w:tc>
          <w:tcPr>
            <w:tcW w:w="0" w:type="auto"/>
            <w:vAlign w:val="center"/>
            <w:hideMark/>
          </w:tcPr>
          <w:p w14:paraId="5CE0E102"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2021</w:t>
            </w:r>
          </w:p>
        </w:tc>
        <w:tc>
          <w:tcPr>
            <w:tcW w:w="0" w:type="auto"/>
            <w:vAlign w:val="center"/>
            <w:hideMark/>
          </w:tcPr>
          <w:p w14:paraId="3A24DEEC"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United Kingdom</w:t>
            </w:r>
          </w:p>
        </w:tc>
        <w:tc>
          <w:tcPr>
            <w:tcW w:w="0" w:type="auto"/>
            <w:vAlign w:val="center"/>
            <w:hideMark/>
          </w:tcPr>
          <w:p w14:paraId="3388CB5E"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Qualitative study</w:t>
            </w:r>
          </w:p>
        </w:tc>
        <w:tc>
          <w:tcPr>
            <w:tcW w:w="0" w:type="auto"/>
            <w:vAlign w:val="center"/>
            <w:hideMark/>
          </w:tcPr>
          <w:p w14:paraId="21EEA181"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Adolescents</w:t>
            </w:r>
          </w:p>
        </w:tc>
        <w:tc>
          <w:tcPr>
            <w:tcW w:w="0" w:type="auto"/>
            <w:vAlign w:val="center"/>
            <w:hideMark/>
          </w:tcPr>
          <w:p w14:paraId="5AB688DC"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10–19</w:t>
            </w:r>
          </w:p>
        </w:tc>
        <w:tc>
          <w:tcPr>
            <w:tcW w:w="0" w:type="auto"/>
            <w:vAlign w:val="center"/>
            <w:hideMark/>
          </w:tcPr>
          <w:p w14:paraId="27AD4633"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Both</w:t>
            </w:r>
          </w:p>
        </w:tc>
        <w:tc>
          <w:tcPr>
            <w:tcW w:w="0" w:type="auto"/>
            <w:vAlign w:val="center"/>
            <w:hideMark/>
          </w:tcPr>
          <w:p w14:paraId="3D6AEA0B"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NR</w:t>
            </w:r>
          </w:p>
        </w:tc>
        <w:tc>
          <w:tcPr>
            <w:tcW w:w="0" w:type="auto"/>
            <w:vAlign w:val="center"/>
            <w:hideMark/>
          </w:tcPr>
          <w:p w14:paraId="49A187D4"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Interviews and focus groups</w:t>
            </w:r>
          </w:p>
        </w:tc>
        <w:tc>
          <w:tcPr>
            <w:tcW w:w="0" w:type="auto"/>
            <w:vAlign w:val="center"/>
            <w:hideMark/>
          </w:tcPr>
          <w:p w14:paraId="54E4B611"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To identify barriers to help</w:t>
            </w:r>
            <w:r w:rsidRPr="005C7353">
              <w:rPr>
                <w:rFonts w:ascii="Arial" w:hAnsi="Arial" w:cs="Arial"/>
                <w:sz w:val="22"/>
                <w:szCs w:val="22"/>
              </w:rPr>
              <w:noBreakHyphen/>
              <w:t>seeking and mental health service access.</w:t>
            </w:r>
          </w:p>
        </w:tc>
        <w:tc>
          <w:tcPr>
            <w:tcW w:w="0" w:type="auto"/>
            <w:vAlign w:val="center"/>
            <w:hideMark/>
          </w:tcPr>
          <w:p w14:paraId="65299326"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Stigma, confidentiality concerns and lack of trust reduced help</w:t>
            </w:r>
            <w:r w:rsidRPr="005C7353">
              <w:rPr>
                <w:rFonts w:ascii="Arial" w:hAnsi="Arial" w:cs="Arial"/>
                <w:sz w:val="22"/>
                <w:szCs w:val="22"/>
              </w:rPr>
              <w:noBreakHyphen/>
              <w:t>seeking behaviour.</w:t>
            </w:r>
          </w:p>
        </w:tc>
      </w:tr>
      <w:tr w:rsidR="00282C2A" w:rsidRPr="00282C2A" w14:paraId="11BA6374" w14:textId="77777777">
        <w:trPr>
          <w:tblCellSpacing w:w="15" w:type="dxa"/>
        </w:trPr>
        <w:tc>
          <w:tcPr>
            <w:tcW w:w="0" w:type="auto"/>
            <w:vAlign w:val="center"/>
            <w:hideMark/>
          </w:tcPr>
          <w:p w14:paraId="006FB5EF"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 xml:space="preserve">Aguirre Velasco </w:t>
            </w:r>
            <w:r w:rsidRPr="00282C2A">
              <w:rPr>
                <w:rFonts w:ascii="Arial" w:hAnsi="Arial" w:cs="Arial"/>
                <w:b/>
                <w:bCs/>
                <w:i/>
                <w:iCs/>
                <w:sz w:val="22"/>
                <w:szCs w:val="22"/>
              </w:rPr>
              <w:t>et al.</w:t>
            </w:r>
          </w:p>
        </w:tc>
        <w:tc>
          <w:tcPr>
            <w:tcW w:w="0" w:type="auto"/>
            <w:vAlign w:val="center"/>
            <w:hideMark/>
          </w:tcPr>
          <w:p w14:paraId="58A338A3"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2020</w:t>
            </w:r>
          </w:p>
        </w:tc>
        <w:tc>
          <w:tcPr>
            <w:tcW w:w="0" w:type="auto"/>
            <w:vAlign w:val="center"/>
            <w:hideMark/>
          </w:tcPr>
          <w:p w14:paraId="08C0A281"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United Kingdom*</w:t>
            </w:r>
          </w:p>
        </w:tc>
        <w:tc>
          <w:tcPr>
            <w:tcW w:w="0" w:type="auto"/>
            <w:vAlign w:val="center"/>
            <w:hideMark/>
          </w:tcPr>
          <w:p w14:paraId="6126F345"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Systematic review</w:t>
            </w:r>
          </w:p>
        </w:tc>
        <w:tc>
          <w:tcPr>
            <w:tcW w:w="0" w:type="auto"/>
            <w:vAlign w:val="center"/>
            <w:hideMark/>
          </w:tcPr>
          <w:p w14:paraId="2E4F980D"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Adolescents</w:t>
            </w:r>
          </w:p>
        </w:tc>
        <w:tc>
          <w:tcPr>
            <w:tcW w:w="0" w:type="auto"/>
            <w:vAlign w:val="center"/>
            <w:hideMark/>
          </w:tcPr>
          <w:p w14:paraId="3E88F979"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10–19</w:t>
            </w:r>
          </w:p>
        </w:tc>
        <w:tc>
          <w:tcPr>
            <w:tcW w:w="0" w:type="auto"/>
            <w:vAlign w:val="center"/>
            <w:hideMark/>
          </w:tcPr>
          <w:p w14:paraId="27D76D20"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Both</w:t>
            </w:r>
          </w:p>
        </w:tc>
        <w:tc>
          <w:tcPr>
            <w:tcW w:w="0" w:type="auto"/>
            <w:vAlign w:val="center"/>
            <w:hideMark/>
          </w:tcPr>
          <w:p w14:paraId="0E823A1F"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NR</w:t>
            </w:r>
          </w:p>
        </w:tc>
        <w:tc>
          <w:tcPr>
            <w:tcW w:w="0" w:type="auto"/>
            <w:vAlign w:val="center"/>
            <w:hideMark/>
          </w:tcPr>
          <w:p w14:paraId="34FC7467"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Systematic review of qualitative and quantitative studies</w:t>
            </w:r>
          </w:p>
        </w:tc>
        <w:tc>
          <w:tcPr>
            <w:tcW w:w="0" w:type="auto"/>
            <w:vAlign w:val="center"/>
            <w:hideMark/>
          </w:tcPr>
          <w:p w14:paraId="540A75A6"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To identify barriers and facilitators influencing adolescent mental health help</w:t>
            </w:r>
            <w:r w:rsidRPr="005C7353">
              <w:rPr>
                <w:rFonts w:ascii="Arial" w:hAnsi="Arial" w:cs="Arial"/>
                <w:sz w:val="22"/>
                <w:szCs w:val="22"/>
              </w:rPr>
              <w:noBreakHyphen/>
              <w:t>seeking.</w:t>
            </w:r>
          </w:p>
        </w:tc>
        <w:tc>
          <w:tcPr>
            <w:tcW w:w="0" w:type="auto"/>
            <w:vAlign w:val="center"/>
            <w:hideMark/>
          </w:tcPr>
          <w:p w14:paraId="3050402A" w14:textId="77777777" w:rsidR="00282C2A" w:rsidRPr="005C7353" w:rsidRDefault="00282C2A" w:rsidP="00282C2A">
            <w:pPr>
              <w:spacing w:line="360" w:lineRule="auto"/>
              <w:jc w:val="both"/>
              <w:rPr>
                <w:rFonts w:ascii="Arial" w:hAnsi="Arial" w:cs="Arial"/>
                <w:sz w:val="22"/>
                <w:szCs w:val="22"/>
              </w:rPr>
            </w:pPr>
            <w:r w:rsidRPr="005C7353">
              <w:rPr>
                <w:rFonts w:ascii="Arial" w:hAnsi="Arial" w:cs="Arial"/>
                <w:sz w:val="22"/>
                <w:szCs w:val="22"/>
              </w:rPr>
              <w:t>Stigma, accessibility, transport barriers and socioeconomic disadvantage influenced help</w:t>
            </w:r>
            <w:r w:rsidRPr="005C7353">
              <w:rPr>
                <w:rFonts w:ascii="Arial" w:hAnsi="Arial" w:cs="Arial"/>
                <w:sz w:val="22"/>
                <w:szCs w:val="22"/>
              </w:rPr>
              <w:noBreakHyphen/>
              <w:t>seeking and service utilisation.</w:t>
            </w:r>
          </w:p>
        </w:tc>
      </w:tr>
      <w:tr w:rsidR="00282C2A" w:rsidRPr="00282C2A" w14:paraId="4675042E" w14:textId="77777777">
        <w:trPr>
          <w:tblCellSpacing w:w="15" w:type="dxa"/>
        </w:trPr>
        <w:tc>
          <w:tcPr>
            <w:tcW w:w="0" w:type="auto"/>
            <w:vAlign w:val="center"/>
            <w:hideMark/>
          </w:tcPr>
          <w:p w14:paraId="3686049A"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lastRenderedPageBreak/>
              <w:t>NHS Digital</w:t>
            </w:r>
          </w:p>
        </w:tc>
        <w:tc>
          <w:tcPr>
            <w:tcW w:w="0" w:type="auto"/>
            <w:vAlign w:val="center"/>
            <w:hideMark/>
          </w:tcPr>
          <w:p w14:paraId="4E6B48E8"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2022</w:t>
            </w:r>
          </w:p>
        </w:tc>
        <w:tc>
          <w:tcPr>
            <w:tcW w:w="0" w:type="auto"/>
            <w:vAlign w:val="center"/>
            <w:hideMark/>
          </w:tcPr>
          <w:p w14:paraId="04D8D8A2"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England</w:t>
            </w:r>
          </w:p>
        </w:tc>
        <w:tc>
          <w:tcPr>
            <w:tcW w:w="0" w:type="auto"/>
            <w:vAlign w:val="center"/>
            <w:hideMark/>
          </w:tcPr>
          <w:p w14:paraId="0DFB64FE"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Cross</w:t>
            </w:r>
            <w:r w:rsidRPr="00396808">
              <w:rPr>
                <w:rFonts w:ascii="Arial" w:hAnsi="Arial" w:cs="Arial"/>
                <w:sz w:val="22"/>
                <w:szCs w:val="22"/>
              </w:rPr>
              <w:noBreakHyphen/>
              <w:t>sectional survey</w:t>
            </w:r>
          </w:p>
        </w:tc>
        <w:tc>
          <w:tcPr>
            <w:tcW w:w="0" w:type="auto"/>
            <w:vAlign w:val="center"/>
            <w:hideMark/>
          </w:tcPr>
          <w:p w14:paraId="005E2936"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Children and adolescents</w:t>
            </w:r>
          </w:p>
        </w:tc>
        <w:tc>
          <w:tcPr>
            <w:tcW w:w="0" w:type="auto"/>
            <w:vAlign w:val="center"/>
            <w:hideMark/>
          </w:tcPr>
          <w:p w14:paraId="375FB44A"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7–17</w:t>
            </w:r>
          </w:p>
        </w:tc>
        <w:tc>
          <w:tcPr>
            <w:tcW w:w="0" w:type="auto"/>
            <w:vAlign w:val="center"/>
            <w:hideMark/>
          </w:tcPr>
          <w:p w14:paraId="6D945326"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Both</w:t>
            </w:r>
          </w:p>
        </w:tc>
        <w:tc>
          <w:tcPr>
            <w:tcW w:w="0" w:type="auto"/>
            <w:vAlign w:val="center"/>
            <w:hideMark/>
          </w:tcPr>
          <w:p w14:paraId="6E46BFFA"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2,866</w:t>
            </w:r>
          </w:p>
        </w:tc>
        <w:tc>
          <w:tcPr>
            <w:tcW w:w="0" w:type="auto"/>
            <w:vAlign w:val="center"/>
            <w:hideMark/>
          </w:tcPr>
          <w:p w14:paraId="2B3FDEAB"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National survey and administrative data</w:t>
            </w:r>
          </w:p>
        </w:tc>
        <w:tc>
          <w:tcPr>
            <w:tcW w:w="0" w:type="auto"/>
            <w:vAlign w:val="center"/>
            <w:hideMark/>
          </w:tcPr>
          <w:p w14:paraId="4C4E21E8"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To examine the prevalence of probable mental disorders and service utilisation.</w:t>
            </w:r>
          </w:p>
        </w:tc>
        <w:tc>
          <w:tcPr>
            <w:tcW w:w="0" w:type="auto"/>
            <w:vAlign w:val="center"/>
            <w:hideMark/>
          </w:tcPr>
          <w:p w14:paraId="6C77AEAD"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Increasing prevalence of mental health difficulties placed additional pressure on CAMHS.</w:t>
            </w:r>
          </w:p>
        </w:tc>
      </w:tr>
      <w:tr w:rsidR="00282C2A" w:rsidRPr="00282C2A" w14:paraId="50A5007C" w14:textId="77777777">
        <w:trPr>
          <w:tblCellSpacing w:w="15" w:type="dxa"/>
        </w:trPr>
        <w:tc>
          <w:tcPr>
            <w:tcW w:w="0" w:type="auto"/>
            <w:vAlign w:val="center"/>
            <w:hideMark/>
          </w:tcPr>
          <w:p w14:paraId="122E30C1"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NHS Digital</w:t>
            </w:r>
          </w:p>
        </w:tc>
        <w:tc>
          <w:tcPr>
            <w:tcW w:w="0" w:type="auto"/>
            <w:vAlign w:val="center"/>
            <w:hideMark/>
          </w:tcPr>
          <w:p w14:paraId="11112000"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2023</w:t>
            </w:r>
          </w:p>
        </w:tc>
        <w:tc>
          <w:tcPr>
            <w:tcW w:w="0" w:type="auto"/>
            <w:vAlign w:val="center"/>
            <w:hideMark/>
          </w:tcPr>
          <w:p w14:paraId="59056934"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England</w:t>
            </w:r>
          </w:p>
        </w:tc>
        <w:tc>
          <w:tcPr>
            <w:tcW w:w="0" w:type="auto"/>
            <w:vAlign w:val="center"/>
            <w:hideMark/>
          </w:tcPr>
          <w:p w14:paraId="3FA1DB7D"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Cross</w:t>
            </w:r>
            <w:r w:rsidRPr="00396808">
              <w:rPr>
                <w:rFonts w:ascii="Arial" w:hAnsi="Arial" w:cs="Arial"/>
                <w:sz w:val="22"/>
                <w:szCs w:val="22"/>
              </w:rPr>
              <w:noBreakHyphen/>
              <w:t>sectional survey</w:t>
            </w:r>
          </w:p>
        </w:tc>
        <w:tc>
          <w:tcPr>
            <w:tcW w:w="0" w:type="auto"/>
            <w:vAlign w:val="center"/>
            <w:hideMark/>
          </w:tcPr>
          <w:p w14:paraId="3F6E1DF5"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Children and adolescents</w:t>
            </w:r>
          </w:p>
        </w:tc>
        <w:tc>
          <w:tcPr>
            <w:tcW w:w="0" w:type="auto"/>
            <w:vAlign w:val="center"/>
            <w:hideMark/>
          </w:tcPr>
          <w:p w14:paraId="7E8007C8"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7–17</w:t>
            </w:r>
          </w:p>
        </w:tc>
        <w:tc>
          <w:tcPr>
            <w:tcW w:w="0" w:type="auto"/>
            <w:vAlign w:val="center"/>
            <w:hideMark/>
          </w:tcPr>
          <w:p w14:paraId="10B78450"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Both</w:t>
            </w:r>
          </w:p>
        </w:tc>
        <w:tc>
          <w:tcPr>
            <w:tcW w:w="0" w:type="auto"/>
            <w:vAlign w:val="center"/>
            <w:hideMark/>
          </w:tcPr>
          <w:p w14:paraId="6B5B9FE4"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3,707</w:t>
            </w:r>
          </w:p>
        </w:tc>
        <w:tc>
          <w:tcPr>
            <w:tcW w:w="0" w:type="auto"/>
            <w:vAlign w:val="center"/>
            <w:hideMark/>
          </w:tcPr>
          <w:p w14:paraId="3511DBD3"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National administrative dataset</w:t>
            </w:r>
          </w:p>
        </w:tc>
        <w:tc>
          <w:tcPr>
            <w:tcW w:w="0" w:type="auto"/>
            <w:vAlign w:val="center"/>
            <w:hideMark/>
          </w:tcPr>
          <w:p w14:paraId="092AFA02"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To examine referral patterns and service utilisation.</w:t>
            </w:r>
          </w:p>
        </w:tc>
        <w:tc>
          <w:tcPr>
            <w:tcW w:w="0" w:type="auto"/>
            <w:vAlign w:val="center"/>
            <w:hideMark/>
          </w:tcPr>
          <w:p w14:paraId="50C5D5B9"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Increasing waiting times and restrictive referral thresholds limited timely access to CAMHS.</w:t>
            </w:r>
          </w:p>
        </w:tc>
      </w:tr>
      <w:tr w:rsidR="00282C2A" w:rsidRPr="00282C2A" w14:paraId="0ABE844B" w14:textId="77777777">
        <w:trPr>
          <w:tblCellSpacing w:w="15" w:type="dxa"/>
        </w:trPr>
        <w:tc>
          <w:tcPr>
            <w:tcW w:w="0" w:type="auto"/>
            <w:vAlign w:val="center"/>
            <w:hideMark/>
          </w:tcPr>
          <w:p w14:paraId="03BFDD44" w14:textId="77777777" w:rsidR="005C7353" w:rsidRDefault="005C7353" w:rsidP="00282C2A">
            <w:pPr>
              <w:spacing w:line="360" w:lineRule="auto"/>
              <w:jc w:val="both"/>
              <w:rPr>
                <w:rFonts w:ascii="Arial" w:hAnsi="Arial" w:cs="Arial"/>
                <w:b/>
                <w:bCs/>
                <w:sz w:val="22"/>
                <w:szCs w:val="22"/>
              </w:rPr>
            </w:pPr>
          </w:p>
          <w:p w14:paraId="50FC070C" w14:textId="77777777" w:rsidR="005C7353" w:rsidRDefault="005C7353" w:rsidP="00282C2A">
            <w:pPr>
              <w:spacing w:line="360" w:lineRule="auto"/>
              <w:jc w:val="both"/>
              <w:rPr>
                <w:rFonts w:ascii="Arial" w:hAnsi="Arial" w:cs="Arial"/>
                <w:b/>
                <w:bCs/>
                <w:sz w:val="22"/>
                <w:szCs w:val="22"/>
              </w:rPr>
            </w:pPr>
          </w:p>
          <w:p w14:paraId="7FD19842" w14:textId="77777777" w:rsidR="005C7353" w:rsidRDefault="005C7353" w:rsidP="00282C2A">
            <w:pPr>
              <w:spacing w:line="360" w:lineRule="auto"/>
              <w:jc w:val="both"/>
              <w:rPr>
                <w:rFonts w:ascii="Arial" w:hAnsi="Arial" w:cs="Arial"/>
                <w:b/>
                <w:bCs/>
                <w:sz w:val="22"/>
                <w:szCs w:val="22"/>
              </w:rPr>
            </w:pPr>
          </w:p>
          <w:p w14:paraId="65106C90" w14:textId="6FA74A12"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Children’s Commissi</w:t>
            </w:r>
            <w:r w:rsidRPr="00282C2A">
              <w:rPr>
                <w:rFonts w:ascii="Arial" w:hAnsi="Arial" w:cs="Arial"/>
                <w:b/>
                <w:bCs/>
                <w:sz w:val="22"/>
                <w:szCs w:val="22"/>
              </w:rPr>
              <w:lastRenderedPageBreak/>
              <w:t>oner for England</w:t>
            </w:r>
          </w:p>
        </w:tc>
        <w:tc>
          <w:tcPr>
            <w:tcW w:w="0" w:type="auto"/>
            <w:vAlign w:val="center"/>
            <w:hideMark/>
          </w:tcPr>
          <w:p w14:paraId="4221B025"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lastRenderedPageBreak/>
              <w:t>2024</w:t>
            </w:r>
          </w:p>
        </w:tc>
        <w:tc>
          <w:tcPr>
            <w:tcW w:w="0" w:type="auto"/>
            <w:vAlign w:val="center"/>
            <w:hideMark/>
          </w:tcPr>
          <w:p w14:paraId="216F617F"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England</w:t>
            </w:r>
          </w:p>
        </w:tc>
        <w:tc>
          <w:tcPr>
            <w:tcW w:w="0" w:type="auto"/>
            <w:vAlign w:val="center"/>
            <w:hideMark/>
          </w:tcPr>
          <w:p w14:paraId="48FC07BF"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National audit</w:t>
            </w:r>
          </w:p>
        </w:tc>
        <w:tc>
          <w:tcPr>
            <w:tcW w:w="0" w:type="auto"/>
            <w:vAlign w:val="center"/>
            <w:hideMark/>
          </w:tcPr>
          <w:p w14:paraId="07C21696"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Children and young people</w:t>
            </w:r>
          </w:p>
        </w:tc>
        <w:tc>
          <w:tcPr>
            <w:tcW w:w="0" w:type="auto"/>
            <w:vAlign w:val="center"/>
            <w:hideMark/>
          </w:tcPr>
          <w:p w14:paraId="3BE9370F"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NR</w:t>
            </w:r>
          </w:p>
        </w:tc>
        <w:tc>
          <w:tcPr>
            <w:tcW w:w="0" w:type="auto"/>
            <w:vAlign w:val="center"/>
            <w:hideMark/>
          </w:tcPr>
          <w:p w14:paraId="7CF2079F"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Both</w:t>
            </w:r>
          </w:p>
        </w:tc>
        <w:tc>
          <w:tcPr>
            <w:tcW w:w="0" w:type="auto"/>
            <w:vAlign w:val="center"/>
            <w:hideMark/>
          </w:tcPr>
          <w:p w14:paraId="6C1B6269"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270,000+</w:t>
            </w:r>
          </w:p>
        </w:tc>
        <w:tc>
          <w:tcPr>
            <w:tcW w:w="0" w:type="auto"/>
            <w:vAlign w:val="center"/>
            <w:hideMark/>
          </w:tcPr>
          <w:p w14:paraId="719B3587"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National administrative data</w:t>
            </w:r>
          </w:p>
        </w:tc>
        <w:tc>
          <w:tcPr>
            <w:tcW w:w="0" w:type="auto"/>
            <w:vAlign w:val="center"/>
            <w:hideMark/>
          </w:tcPr>
          <w:p w14:paraId="6A615EB9"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 xml:space="preserve">To evaluate children’s access to mental </w:t>
            </w:r>
            <w:r w:rsidRPr="00396808">
              <w:rPr>
                <w:rFonts w:ascii="Arial" w:hAnsi="Arial" w:cs="Arial"/>
                <w:sz w:val="22"/>
                <w:szCs w:val="22"/>
              </w:rPr>
              <w:lastRenderedPageBreak/>
              <w:t>health services.</w:t>
            </w:r>
          </w:p>
        </w:tc>
        <w:tc>
          <w:tcPr>
            <w:tcW w:w="0" w:type="auto"/>
            <w:vAlign w:val="center"/>
            <w:hideMark/>
          </w:tcPr>
          <w:p w14:paraId="347BC197"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lastRenderedPageBreak/>
              <w:t xml:space="preserve">High numbers of referrals were rejected or delayed </w:t>
            </w:r>
            <w:r w:rsidRPr="00396808">
              <w:rPr>
                <w:rFonts w:ascii="Arial" w:hAnsi="Arial" w:cs="Arial"/>
                <w:sz w:val="22"/>
                <w:szCs w:val="22"/>
              </w:rPr>
              <w:lastRenderedPageBreak/>
              <w:t>because of service capacity pressures.</w:t>
            </w:r>
          </w:p>
        </w:tc>
      </w:tr>
      <w:tr w:rsidR="00282C2A" w:rsidRPr="00282C2A" w14:paraId="3BC61F36" w14:textId="77777777">
        <w:trPr>
          <w:tblCellSpacing w:w="15" w:type="dxa"/>
        </w:trPr>
        <w:tc>
          <w:tcPr>
            <w:tcW w:w="0" w:type="auto"/>
            <w:vAlign w:val="center"/>
            <w:hideMark/>
          </w:tcPr>
          <w:p w14:paraId="49E5DAD5"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lastRenderedPageBreak/>
              <w:t>Royal College of Psychiatrists</w:t>
            </w:r>
          </w:p>
        </w:tc>
        <w:tc>
          <w:tcPr>
            <w:tcW w:w="0" w:type="auto"/>
            <w:vAlign w:val="center"/>
            <w:hideMark/>
          </w:tcPr>
          <w:p w14:paraId="1208EFF4"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2025</w:t>
            </w:r>
          </w:p>
        </w:tc>
        <w:tc>
          <w:tcPr>
            <w:tcW w:w="0" w:type="auto"/>
            <w:vAlign w:val="center"/>
            <w:hideMark/>
          </w:tcPr>
          <w:p w14:paraId="7BEA1D8F"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United Kingdom</w:t>
            </w:r>
          </w:p>
        </w:tc>
        <w:tc>
          <w:tcPr>
            <w:tcW w:w="0" w:type="auto"/>
            <w:vAlign w:val="center"/>
            <w:hideMark/>
          </w:tcPr>
          <w:p w14:paraId="5F7CE072"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National workforce audit</w:t>
            </w:r>
          </w:p>
        </w:tc>
        <w:tc>
          <w:tcPr>
            <w:tcW w:w="0" w:type="auto"/>
            <w:vAlign w:val="center"/>
            <w:hideMark/>
          </w:tcPr>
          <w:p w14:paraId="54BB6C06"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CAMHS services and crisis care provision</w:t>
            </w:r>
          </w:p>
        </w:tc>
        <w:tc>
          <w:tcPr>
            <w:tcW w:w="0" w:type="auto"/>
            <w:vAlign w:val="center"/>
            <w:hideMark/>
          </w:tcPr>
          <w:p w14:paraId="352C10A0"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N/A</w:t>
            </w:r>
          </w:p>
        </w:tc>
        <w:tc>
          <w:tcPr>
            <w:tcW w:w="0" w:type="auto"/>
            <w:vAlign w:val="center"/>
            <w:hideMark/>
          </w:tcPr>
          <w:p w14:paraId="768699EC"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N/A</w:t>
            </w:r>
          </w:p>
        </w:tc>
        <w:tc>
          <w:tcPr>
            <w:tcW w:w="0" w:type="auto"/>
            <w:vAlign w:val="center"/>
            <w:hideMark/>
          </w:tcPr>
          <w:p w14:paraId="24CBDDBC"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5,120</w:t>
            </w:r>
          </w:p>
        </w:tc>
        <w:tc>
          <w:tcPr>
            <w:tcW w:w="0" w:type="auto"/>
            <w:vAlign w:val="center"/>
            <w:hideMark/>
          </w:tcPr>
          <w:p w14:paraId="3C063776"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Workforce and service data</w:t>
            </w:r>
          </w:p>
        </w:tc>
        <w:tc>
          <w:tcPr>
            <w:tcW w:w="0" w:type="auto"/>
            <w:vAlign w:val="center"/>
            <w:hideMark/>
          </w:tcPr>
          <w:p w14:paraId="558A6C41"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To examine workforce capacity within CAMHS.</w:t>
            </w:r>
          </w:p>
        </w:tc>
        <w:tc>
          <w:tcPr>
            <w:tcW w:w="0" w:type="auto"/>
            <w:vAlign w:val="center"/>
            <w:hideMark/>
          </w:tcPr>
          <w:p w14:paraId="3A67D0E8"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Workforce shortages contributed to delays, reduced service capacity and poorer continuity of care.</w:t>
            </w:r>
          </w:p>
        </w:tc>
      </w:tr>
      <w:tr w:rsidR="00282C2A" w:rsidRPr="00282C2A" w14:paraId="4A8154E2" w14:textId="77777777">
        <w:trPr>
          <w:tblCellSpacing w:w="15" w:type="dxa"/>
        </w:trPr>
        <w:tc>
          <w:tcPr>
            <w:tcW w:w="0" w:type="auto"/>
            <w:vAlign w:val="center"/>
            <w:hideMark/>
          </w:tcPr>
          <w:p w14:paraId="3AA826AC"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YoungMinds</w:t>
            </w:r>
          </w:p>
        </w:tc>
        <w:tc>
          <w:tcPr>
            <w:tcW w:w="0" w:type="auto"/>
            <w:vAlign w:val="center"/>
            <w:hideMark/>
          </w:tcPr>
          <w:p w14:paraId="5FE055F8"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t>2022</w:t>
            </w:r>
          </w:p>
        </w:tc>
        <w:tc>
          <w:tcPr>
            <w:tcW w:w="0" w:type="auto"/>
            <w:vAlign w:val="center"/>
            <w:hideMark/>
          </w:tcPr>
          <w:p w14:paraId="3C4F01DB"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United Kingdom</w:t>
            </w:r>
          </w:p>
        </w:tc>
        <w:tc>
          <w:tcPr>
            <w:tcW w:w="0" w:type="auto"/>
            <w:vAlign w:val="center"/>
            <w:hideMark/>
          </w:tcPr>
          <w:p w14:paraId="3E070494"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National survey report</w:t>
            </w:r>
          </w:p>
        </w:tc>
        <w:tc>
          <w:tcPr>
            <w:tcW w:w="0" w:type="auto"/>
            <w:vAlign w:val="center"/>
            <w:hideMark/>
          </w:tcPr>
          <w:p w14:paraId="2E476953"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Young people</w:t>
            </w:r>
          </w:p>
        </w:tc>
        <w:tc>
          <w:tcPr>
            <w:tcW w:w="0" w:type="auto"/>
            <w:vAlign w:val="center"/>
            <w:hideMark/>
          </w:tcPr>
          <w:p w14:paraId="04A05A8A"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11–18</w:t>
            </w:r>
          </w:p>
        </w:tc>
        <w:tc>
          <w:tcPr>
            <w:tcW w:w="0" w:type="auto"/>
            <w:vAlign w:val="center"/>
            <w:hideMark/>
          </w:tcPr>
          <w:p w14:paraId="16BE1B41"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Both</w:t>
            </w:r>
          </w:p>
        </w:tc>
        <w:tc>
          <w:tcPr>
            <w:tcW w:w="0" w:type="auto"/>
            <w:vAlign w:val="center"/>
            <w:hideMark/>
          </w:tcPr>
          <w:p w14:paraId="16284C28"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NR</w:t>
            </w:r>
          </w:p>
        </w:tc>
        <w:tc>
          <w:tcPr>
            <w:tcW w:w="0" w:type="auto"/>
            <w:vAlign w:val="center"/>
            <w:hideMark/>
          </w:tcPr>
          <w:p w14:paraId="22FE4F35"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National survey</w:t>
            </w:r>
          </w:p>
        </w:tc>
        <w:tc>
          <w:tcPr>
            <w:tcW w:w="0" w:type="auto"/>
            <w:vAlign w:val="center"/>
            <w:hideMark/>
          </w:tcPr>
          <w:p w14:paraId="11317255"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To explore young people’s experiences of accessing mental health support.</w:t>
            </w:r>
          </w:p>
        </w:tc>
        <w:tc>
          <w:tcPr>
            <w:tcW w:w="0" w:type="auto"/>
            <w:vAlign w:val="center"/>
            <w:hideMark/>
          </w:tcPr>
          <w:p w14:paraId="30FBE4B2"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 xml:space="preserve">Young people reported long waiting times, stigma and difficulties accessing timely mental </w:t>
            </w:r>
            <w:r w:rsidRPr="00396808">
              <w:rPr>
                <w:rFonts w:ascii="Arial" w:hAnsi="Arial" w:cs="Arial"/>
                <w:sz w:val="22"/>
                <w:szCs w:val="22"/>
              </w:rPr>
              <w:lastRenderedPageBreak/>
              <w:t>health support.</w:t>
            </w:r>
          </w:p>
        </w:tc>
      </w:tr>
      <w:tr w:rsidR="00282C2A" w:rsidRPr="00282C2A" w14:paraId="3FE6FED5" w14:textId="77777777">
        <w:trPr>
          <w:tblCellSpacing w:w="15" w:type="dxa"/>
        </w:trPr>
        <w:tc>
          <w:tcPr>
            <w:tcW w:w="0" w:type="auto"/>
            <w:vAlign w:val="center"/>
            <w:hideMark/>
          </w:tcPr>
          <w:p w14:paraId="5EA2423C" w14:textId="77777777" w:rsidR="00282C2A" w:rsidRPr="00282C2A" w:rsidRDefault="00282C2A" w:rsidP="00282C2A">
            <w:pPr>
              <w:spacing w:line="360" w:lineRule="auto"/>
              <w:jc w:val="both"/>
              <w:rPr>
                <w:rFonts w:ascii="Arial" w:hAnsi="Arial" w:cs="Arial"/>
                <w:b/>
                <w:bCs/>
                <w:sz w:val="22"/>
                <w:szCs w:val="22"/>
              </w:rPr>
            </w:pPr>
            <w:r w:rsidRPr="00282C2A">
              <w:rPr>
                <w:rFonts w:ascii="Arial" w:hAnsi="Arial" w:cs="Arial"/>
                <w:b/>
                <w:bCs/>
                <w:sz w:val="22"/>
                <w:szCs w:val="22"/>
              </w:rPr>
              <w:lastRenderedPageBreak/>
              <w:t>NHS England</w:t>
            </w:r>
          </w:p>
        </w:tc>
        <w:tc>
          <w:tcPr>
            <w:tcW w:w="0" w:type="auto"/>
            <w:vAlign w:val="center"/>
            <w:hideMark/>
          </w:tcPr>
          <w:p w14:paraId="11D3D35D"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2023</w:t>
            </w:r>
          </w:p>
        </w:tc>
        <w:tc>
          <w:tcPr>
            <w:tcW w:w="0" w:type="auto"/>
            <w:vAlign w:val="center"/>
            <w:hideMark/>
          </w:tcPr>
          <w:p w14:paraId="066048EB"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England</w:t>
            </w:r>
          </w:p>
        </w:tc>
        <w:tc>
          <w:tcPr>
            <w:tcW w:w="0" w:type="auto"/>
            <w:vAlign w:val="center"/>
            <w:hideMark/>
          </w:tcPr>
          <w:p w14:paraId="36DA0057"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National service report</w:t>
            </w:r>
          </w:p>
        </w:tc>
        <w:tc>
          <w:tcPr>
            <w:tcW w:w="0" w:type="auto"/>
            <w:vAlign w:val="center"/>
            <w:hideMark/>
          </w:tcPr>
          <w:p w14:paraId="644BE072"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Children and young people</w:t>
            </w:r>
          </w:p>
        </w:tc>
        <w:tc>
          <w:tcPr>
            <w:tcW w:w="0" w:type="auto"/>
            <w:vAlign w:val="center"/>
            <w:hideMark/>
          </w:tcPr>
          <w:p w14:paraId="4DEE6342"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NR</w:t>
            </w:r>
          </w:p>
        </w:tc>
        <w:tc>
          <w:tcPr>
            <w:tcW w:w="0" w:type="auto"/>
            <w:vAlign w:val="center"/>
            <w:hideMark/>
          </w:tcPr>
          <w:p w14:paraId="4D62BFC1"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Both</w:t>
            </w:r>
          </w:p>
        </w:tc>
        <w:tc>
          <w:tcPr>
            <w:tcW w:w="0" w:type="auto"/>
            <w:vAlign w:val="center"/>
            <w:hideMark/>
          </w:tcPr>
          <w:p w14:paraId="606334B7"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NR</w:t>
            </w:r>
          </w:p>
        </w:tc>
        <w:tc>
          <w:tcPr>
            <w:tcW w:w="0" w:type="auto"/>
            <w:vAlign w:val="center"/>
            <w:hideMark/>
          </w:tcPr>
          <w:p w14:paraId="58EA3602"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National service data</w:t>
            </w:r>
          </w:p>
        </w:tc>
        <w:tc>
          <w:tcPr>
            <w:tcW w:w="0" w:type="auto"/>
            <w:vAlign w:val="center"/>
            <w:hideMark/>
          </w:tcPr>
          <w:p w14:paraId="2C26C94A"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To evaluate national CAMHS activity and service performance.</w:t>
            </w:r>
          </w:p>
        </w:tc>
        <w:tc>
          <w:tcPr>
            <w:tcW w:w="0" w:type="auto"/>
            <w:vAlign w:val="center"/>
            <w:hideMark/>
          </w:tcPr>
          <w:p w14:paraId="6704D833" w14:textId="77777777" w:rsidR="00282C2A" w:rsidRPr="00396808" w:rsidRDefault="00282C2A" w:rsidP="00282C2A">
            <w:pPr>
              <w:spacing w:line="360" w:lineRule="auto"/>
              <w:jc w:val="both"/>
              <w:rPr>
                <w:rFonts w:ascii="Arial" w:hAnsi="Arial" w:cs="Arial"/>
                <w:sz w:val="22"/>
                <w:szCs w:val="22"/>
              </w:rPr>
            </w:pPr>
            <w:r w:rsidRPr="00396808">
              <w:rPr>
                <w:rFonts w:ascii="Arial" w:hAnsi="Arial" w:cs="Arial"/>
                <w:sz w:val="22"/>
                <w:szCs w:val="22"/>
              </w:rPr>
              <w:t>Increasing service demand and workforce pressures contributed to longer waiting times and reduced access to care.</w:t>
            </w:r>
          </w:p>
        </w:tc>
      </w:tr>
    </w:tbl>
    <w:p w14:paraId="7B85EB2B" w14:textId="77777777" w:rsidR="00493425" w:rsidRDefault="00493425" w:rsidP="00E97E42">
      <w:pPr>
        <w:spacing w:line="360" w:lineRule="auto"/>
        <w:jc w:val="both"/>
        <w:rPr>
          <w:rFonts w:ascii="Arial" w:hAnsi="Arial" w:cs="Arial"/>
          <w:b/>
          <w:bCs/>
          <w:sz w:val="22"/>
          <w:szCs w:val="22"/>
        </w:rPr>
      </w:pPr>
    </w:p>
    <w:p w14:paraId="542A9FC0" w14:textId="225A4140" w:rsidR="00E97E42" w:rsidRPr="00E97E42" w:rsidRDefault="00E97E42" w:rsidP="00D3531F">
      <w:pPr>
        <w:pStyle w:val="Heading2"/>
      </w:pPr>
      <w:bookmarkStart w:id="49" w:name="_Toc233828717"/>
      <w:r w:rsidRPr="00E97E42">
        <w:t>5.5 Themes</w:t>
      </w:r>
      <w:bookmarkEnd w:id="49"/>
      <w:r w:rsidRPr="00E97E42">
        <w:t xml:space="preserve"> </w:t>
      </w:r>
    </w:p>
    <w:p w14:paraId="023F5D46" w14:textId="77777777" w:rsidR="00E97E42" w:rsidRPr="00E97E42" w:rsidRDefault="00E97E42" w:rsidP="00D3531F">
      <w:pPr>
        <w:pStyle w:val="Heading2"/>
      </w:pPr>
      <w:bookmarkStart w:id="50" w:name="_Toc233828718"/>
      <w:r w:rsidRPr="00E97E42">
        <w:t>Table 5.2: Themes and Sub</w:t>
      </w:r>
      <w:r w:rsidRPr="00E97E42">
        <w:noBreakHyphen/>
        <w:t>themes Emerging from the Thematic Synthesis</w:t>
      </w:r>
      <w:bookmarkEnd w:id="50"/>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797"/>
        <w:gridCol w:w="2772"/>
        <w:gridCol w:w="3457"/>
      </w:tblGrid>
      <w:tr w:rsidR="00E97E42" w:rsidRPr="00E97E42" w14:paraId="69F54A12" w14:textId="77777777" w:rsidTr="00486E52">
        <w:trPr>
          <w:tblHeader/>
          <w:tblCellSpacing w:w="15" w:type="dxa"/>
        </w:trPr>
        <w:tc>
          <w:tcPr>
            <w:tcW w:w="0" w:type="auto"/>
            <w:vAlign w:val="center"/>
            <w:hideMark/>
          </w:tcPr>
          <w:p w14:paraId="53E9F5B5" w14:textId="77777777" w:rsidR="00E97E42" w:rsidRPr="00E97E42" w:rsidRDefault="00E97E42" w:rsidP="00E97E42">
            <w:pPr>
              <w:spacing w:line="360" w:lineRule="auto"/>
              <w:jc w:val="both"/>
              <w:rPr>
                <w:rFonts w:ascii="Arial" w:hAnsi="Arial" w:cs="Arial"/>
                <w:b/>
                <w:bCs/>
                <w:sz w:val="22"/>
                <w:szCs w:val="22"/>
              </w:rPr>
            </w:pPr>
            <w:r w:rsidRPr="00E97E42">
              <w:rPr>
                <w:rFonts w:ascii="Arial" w:hAnsi="Arial" w:cs="Arial"/>
                <w:b/>
                <w:bCs/>
                <w:sz w:val="22"/>
                <w:szCs w:val="22"/>
              </w:rPr>
              <w:t>Theme</w:t>
            </w:r>
          </w:p>
        </w:tc>
        <w:tc>
          <w:tcPr>
            <w:tcW w:w="0" w:type="auto"/>
            <w:vAlign w:val="center"/>
            <w:hideMark/>
          </w:tcPr>
          <w:p w14:paraId="51841232" w14:textId="77777777" w:rsidR="00E97E42" w:rsidRPr="00E97E42" w:rsidRDefault="00E97E42" w:rsidP="00E97E42">
            <w:pPr>
              <w:spacing w:line="360" w:lineRule="auto"/>
              <w:jc w:val="both"/>
              <w:rPr>
                <w:rFonts w:ascii="Arial" w:hAnsi="Arial" w:cs="Arial"/>
                <w:b/>
                <w:bCs/>
                <w:sz w:val="22"/>
                <w:szCs w:val="22"/>
              </w:rPr>
            </w:pPr>
            <w:r w:rsidRPr="00E97E42">
              <w:rPr>
                <w:rFonts w:ascii="Arial" w:hAnsi="Arial" w:cs="Arial"/>
                <w:b/>
                <w:bCs/>
                <w:sz w:val="22"/>
                <w:szCs w:val="22"/>
              </w:rPr>
              <w:t>Sub</w:t>
            </w:r>
            <w:r w:rsidRPr="00E97E42">
              <w:rPr>
                <w:rFonts w:ascii="Arial" w:hAnsi="Arial" w:cs="Arial"/>
                <w:b/>
                <w:bCs/>
                <w:sz w:val="22"/>
                <w:szCs w:val="22"/>
              </w:rPr>
              <w:noBreakHyphen/>
              <w:t>theme</w:t>
            </w:r>
          </w:p>
        </w:tc>
        <w:tc>
          <w:tcPr>
            <w:tcW w:w="0" w:type="auto"/>
            <w:vAlign w:val="center"/>
            <w:hideMark/>
          </w:tcPr>
          <w:p w14:paraId="52BAF928" w14:textId="77777777" w:rsidR="00E97E42" w:rsidRPr="00E97E42" w:rsidRDefault="00E97E42" w:rsidP="00E97E42">
            <w:pPr>
              <w:spacing w:line="360" w:lineRule="auto"/>
              <w:jc w:val="both"/>
              <w:rPr>
                <w:rFonts w:ascii="Arial" w:hAnsi="Arial" w:cs="Arial"/>
                <w:b/>
                <w:bCs/>
                <w:sz w:val="22"/>
                <w:szCs w:val="22"/>
              </w:rPr>
            </w:pPr>
            <w:r w:rsidRPr="00E97E42">
              <w:rPr>
                <w:rFonts w:ascii="Arial" w:hAnsi="Arial" w:cs="Arial"/>
                <w:b/>
                <w:bCs/>
                <w:sz w:val="22"/>
                <w:szCs w:val="22"/>
              </w:rPr>
              <w:t>Key Studies</w:t>
            </w:r>
          </w:p>
        </w:tc>
      </w:tr>
      <w:tr w:rsidR="00E97E42" w:rsidRPr="00E97E42" w14:paraId="7374C505" w14:textId="77777777" w:rsidTr="00486E52">
        <w:trPr>
          <w:tblCellSpacing w:w="15" w:type="dxa"/>
        </w:trPr>
        <w:tc>
          <w:tcPr>
            <w:tcW w:w="0" w:type="auto"/>
            <w:vAlign w:val="center"/>
            <w:hideMark/>
          </w:tcPr>
          <w:p w14:paraId="02278CE1" w14:textId="77777777" w:rsidR="00E97E42" w:rsidRPr="00E97E42" w:rsidRDefault="00E97E42" w:rsidP="00E97E42">
            <w:pPr>
              <w:spacing w:line="360" w:lineRule="auto"/>
              <w:jc w:val="both"/>
              <w:rPr>
                <w:rFonts w:ascii="Arial" w:hAnsi="Arial" w:cs="Arial"/>
                <w:b/>
                <w:bCs/>
                <w:sz w:val="22"/>
                <w:szCs w:val="22"/>
              </w:rPr>
            </w:pPr>
            <w:r w:rsidRPr="00E97E42">
              <w:rPr>
                <w:rFonts w:ascii="Arial" w:hAnsi="Arial" w:cs="Arial"/>
                <w:b/>
                <w:bCs/>
                <w:sz w:val="22"/>
                <w:szCs w:val="22"/>
              </w:rPr>
              <w:t>Theme 1: Macro</w:t>
            </w:r>
            <w:r w:rsidRPr="00E97E42">
              <w:rPr>
                <w:rFonts w:ascii="Arial" w:hAnsi="Arial" w:cs="Arial"/>
                <w:b/>
                <w:bCs/>
                <w:sz w:val="22"/>
                <w:szCs w:val="22"/>
              </w:rPr>
              <w:noBreakHyphen/>
              <w:t>Systemic Rationing and Institutional Gatekeeping</w:t>
            </w:r>
          </w:p>
        </w:tc>
        <w:tc>
          <w:tcPr>
            <w:tcW w:w="0" w:type="auto"/>
            <w:vAlign w:val="center"/>
            <w:hideMark/>
          </w:tcPr>
          <w:p w14:paraId="42543C46"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b/>
                <w:bCs/>
                <w:sz w:val="22"/>
                <w:szCs w:val="22"/>
              </w:rPr>
              <w:t>1.1 Escalating Entry Thresholds and Administrative Dismissals</w:t>
            </w:r>
          </w:p>
        </w:tc>
        <w:tc>
          <w:tcPr>
            <w:tcW w:w="0" w:type="auto"/>
            <w:vAlign w:val="center"/>
            <w:hideMark/>
          </w:tcPr>
          <w:p w14:paraId="34992D8A"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sz w:val="22"/>
                <w:szCs w:val="22"/>
              </w:rPr>
              <w:t>Children’s Commissioner for England (2024); NHS Digital (2022, 2023, 2025); YoungMinds (2022); NHS England (2023)</w:t>
            </w:r>
          </w:p>
        </w:tc>
      </w:tr>
      <w:tr w:rsidR="00E97E42" w:rsidRPr="00E97E42" w14:paraId="22D0C63E" w14:textId="77777777" w:rsidTr="00486E52">
        <w:trPr>
          <w:tblCellSpacing w:w="15" w:type="dxa"/>
        </w:trPr>
        <w:tc>
          <w:tcPr>
            <w:tcW w:w="0" w:type="auto"/>
            <w:vAlign w:val="center"/>
            <w:hideMark/>
          </w:tcPr>
          <w:p w14:paraId="61B7525E" w14:textId="77777777" w:rsidR="00E97E42" w:rsidRPr="00E97E42" w:rsidRDefault="00E97E42" w:rsidP="00E97E42">
            <w:pPr>
              <w:spacing w:line="360" w:lineRule="auto"/>
              <w:jc w:val="both"/>
              <w:rPr>
                <w:rFonts w:ascii="Arial" w:hAnsi="Arial" w:cs="Arial"/>
                <w:sz w:val="22"/>
                <w:szCs w:val="22"/>
              </w:rPr>
            </w:pPr>
          </w:p>
        </w:tc>
        <w:tc>
          <w:tcPr>
            <w:tcW w:w="0" w:type="auto"/>
            <w:vAlign w:val="center"/>
            <w:hideMark/>
          </w:tcPr>
          <w:p w14:paraId="50DFBC3C"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b/>
                <w:bCs/>
                <w:sz w:val="22"/>
                <w:szCs w:val="22"/>
              </w:rPr>
              <w:t>1.2 Workforce Depletion and the Post</w:t>
            </w:r>
            <w:r w:rsidRPr="00E97E42">
              <w:rPr>
                <w:rFonts w:ascii="Arial" w:hAnsi="Arial" w:cs="Arial"/>
                <w:b/>
                <w:bCs/>
                <w:sz w:val="22"/>
                <w:szCs w:val="22"/>
              </w:rPr>
              <w:noBreakHyphen/>
              <w:t>18 Transition Cliff Edge</w:t>
            </w:r>
          </w:p>
        </w:tc>
        <w:tc>
          <w:tcPr>
            <w:tcW w:w="0" w:type="auto"/>
            <w:vAlign w:val="center"/>
            <w:hideMark/>
          </w:tcPr>
          <w:p w14:paraId="32452CB4"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sz w:val="22"/>
                <w:szCs w:val="22"/>
              </w:rPr>
              <w:t>Royal College of Psychiatrists (2025); Lowther</w:t>
            </w:r>
            <w:r w:rsidRPr="00E97E42">
              <w:rPr>
                <w:rFonts w:ascii="Arial" w:hAnsi="Arial" w:cs="Arial"/>
                <w:sz w:val="22"/>
                <w:szCs w:val="22"/>
              </w:rPr>
              <w:noBreakHyphen/>
              <w:t>Payne et al. (2023); Radez et al. (2021); YoungMinds (2022)</w:t>
            </w:r>
          </w:p>
        </w:tc>
      </w:tr>
      <w:tr w:rsidR="00E97E42" w:rsidRPr="00E97E42" w14:paraId="01A94697" w14:textId="77777777" w:rsidTr="00486E52">
        <w:trPr>
          <w:tblCellSpacing w:w="15" w:type="dxa"/>
        </w:trPr>
        <w:tc>
          <w:tcPr>
            <w:tcW w:w="0" w:type="auto"/>
            <w:vAlign w:val="center"/>
            <w:hideMark/>
          </w:tcPr>
          <w:p w14:paraId="3E51EBA0" w14:textId="77777777" w:rsidR="00E97E42" w:rsidRPr="00E97E42" w:rsidRDefault="00E97E42" w:rsidP="00E97E42">
            <w:pPr>
              <w:spacing w:line="360" w:lineRule="auto"/>
              <w:jc w:val="both"/>
              <w:rPr>
                <w:rFonts w:ascii="Arial" w:hAnsi="Arial" w:cs="Arial"/>
                <w:b/>
                <w:bCs/>
                <w:sz w:val="22"/>
                <w:szCs w:val="22"/>
              </w:rPr>
            </w:pPr>
            <w:r w:rsidRPr="00E97E42">
              <w:rPr>
                <w:rFonts w:ascii="Arial" w:hAnsi="Arial" w:cs="Arial"/>
                <w:b/>
                <w:bCs/>
                <w:sz w:val="22"/>
                <w:szCs w:val="22"/>
              </w:rPr>
              <w:t>Theme 2: Socio</w:t>
            </w:r>
            <w:r w:rsidRPr="00E97E42">
              <w:rPr>
                <w:rFonts w:ascii="Arial" w:hAnsi="Arial" w:cs="Arial"/>
                <w:b/>
                <w:bCs/>
                <w:sz w:val="22"/>
                <w:szCs w:val="22"/>
              </w:rPr>
              <w:noBreakHyphen/>
              <w:t>Economic Stratification and Structural Determinants</w:t>
            </w:r>
          </w:p>
        </w:tc>
        <w:tc>
          <w:tcPr>
            <w:tcW w:w="0" w:type="auto"/>
            <w:vAlign w:val="center"/>
            <w:hideMark/>
          </w:tcPr>
          <w:p w14:paraId="67C92E51"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b/>
                <w:bCs/>
                <w:sz w:val="22"/>
                <w:szCs w:val="22"/>
              </w:rPr>
              <w:t>2.1 Spatial Disparities and the Regional Postcode Lottery</w:t>
            </w:r>
          </w:p>
        </w:tc>
        <w:tc>
          <w:tcPr>
            <w:tcW w:w="0" w:type="auto"/>
            <w:vAlign w:val="center"/>
            <w:hideMark/>
          </w:tcPr>
          <w:p w14:paraId="2C02C76C"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sz w:val="22"/>
                <w:szCs w:val="22"/>
              </w:rPr>
              <w:t>NHS Digital (2023, 2025); Children’s Commissioner for England (2024); Lowther</w:t>
            </w:r>
            <w:r w:rsidRPr="00E97E42">
              <w:rPr>
                <w:rFonts w:ascii="Arial" w:hAnsi="Arial" w:cs="Arial"/>
                <w:sz w:val="22"/>
                <w:szCs w:val="22"/>
              </w:rPr>
              <w:noBreakHyphen/>
              <w:t>Payne et al. (2023); NHS England (2023)</w:t>
            </w:r>
          </w:p>
        </w:tc>
      </w:tr>
      <w:tr w:rsidR="00E97E42" w:rsidRPr="00E97E42" w14:paraId="48E5F501" w14:textId="77777777" w:rsidTr="00486E52">
        <w:trPr>
          <w:tblCellSpacing w:w="15" w:type="dxa"/>
        </w:trPr>
        <w:tc>
          <w:tcPr>
            <w:tcW w:w="0" w:type="auto"/>
            <w:vAlign w:val="center"/>
            <w:hideMark/>
          </w:tcPr>
          <w:p w14:paraId="5605C5DA" w14:textId="77777777" w:rsidR="00E97E42" w:rsidRPr="00E97E42" w:rsidRDefault="00E97E42" w:rsidP="00E97E42">
            <w:pPr>
              <w:spacing w:line="360" w:lineRule="auto"/>
              <w:jc w:val="both"/>
              <w:rPr>
                <w:rFonts w:ascii="Arial" w:hAnsi="Arial" w:cs="Arial"/>
                <w:sz w:val="22"/>
                <w:szCs w:val="22"/>
              </w:rPr>
            </w:pPr>
          </w:p>
        </w:tc>
        <w:tc>
          <w:tcPr>
            <w:tcW w:w="0" w:type="auto"/>
            <w:vAlign w:val="center"/>
            <w:hideMark/>
          </w:tcPr>
          <w:p w14:paraId="36842279"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b/>
                <w:bCs/>
                <w:sz w:val="22"/>
                <w:szCs w:val="22"/>
              </w:rPr>
              <w:t>2.2 Material Deprivation, Transport Barriers and Digital Exclusion</w:t>
            </w:r>
          </w:p>
        </w:tc>
        <w:tc>
          <w:tcPr>
            <w:tcW w:w="0" w:type="auto"/>
            <w:vAlign w:val="center"/>
            <w:hideMark/>
          </w:tcPr>
          <w:p w14:paraId="062B5EF1"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sz w:val="22"/>
                <w:szCs w:val="22"/>
              </w:rPr>
              <w:t>Lowther</w:t>
            </w:r>
            <w:r w:rsidRPr="00E97E42">
              <w:rPr>
                <w:rFonts w:ascii="Arial" w:hAnsi="Arial" w:cs="Arial"/>
                <w:sz w:val="22"/>
                <w:szCs w:val="22"/>
              </w:rPr>
              <w:noBreakHyphen/>
              <w:t>Payne et al. (2023); Aguirre Velasco et al. (2020); NHS Digital (2025); YoungMinds (2022)</w:t>
            </w:r>
          </w:p>
        </w:tc>
      </w:tr>
      <w:tr w:rsidR="00E97E42" w:rsidRPr="00E97E42" w14:paraId="03E01574" w14:textId="77777777" w:rsidTr="00486E52">
        <w:trPr>
          <w:tblCellSpacing w:w="15" w:type="dxa"/>
        </w:trPr>
        <w:tc>
          <w:tcPr>
            <w:tcW w:w="0" w:type="auto"/>
            <w:vAlign w:val="center"/>
            <w:hideMark/>
          </w:tcPr>
          <w:p w14:paraId="38F4FCB5" w14:textId="77777777" w:rsidR="00E97E42" w:rsidRPr="00E97E42" w:rsidRDefault="00E97E42" w:rsidP="00E97E42">
            <w:pPr>
              <w:spacing w:line="360" w:lineRule="auto"/>
              <w:jc w:val="both"/>
              <w:rPr>
                <w:rFonts w:ascii="Arial" w:hAnsi="Arial" w:cs="Arial"/>
                <w:b/>
                <w:bCs/>
                <w:sz w:val="22"/>
                <w:szCs w:val="22"/>
              </w:rPr>
            </w:pPr>
            <w:r w:rsidRPr="00E97E42">
              <w:rPr>
                <w:rFonts w:ascii="Arial" w:hAnsi="Arial" w:cs="Arial"/>
                <w:b/>
                <w:bCs/>
                <w:sz w:val="22"/>
                <w:szCs w:val="22"/>
              </w:rPr>
              <w:t>Theme 3: Relational Stigma, Intersectional Vulnerability and Distrust</w:t>
            </w:r>
          </w:p>
        </w:tc>
        <w:tc>
          <w:tcPr>
            <w:tcW w:w="0" w:type="auto"/>
            <w:vAlign w:val="center"/>
            <w:hideMark/>
          </w:tcPr>
          <w:p w14:paraId="298F8153"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b/>
                <w:bCs/>
                <w:sz w:val="22"/>
                <w:szCs w:val="22"/>
              </w:rPr>
              <w:t>3.1 Internalised Social Shame and Confidentiality Apprehensions</w:t>
            </w:r>
          </w:p>
        </w:tc>
        <w:tc>
          <w:tcPr>
            <w:tcW w:w="0" w:type="auto"/>
            <w:vAlign w:val="center"/>
            <w:hideMark/>
          </w:tcPr>
          <w:p w14:paraId="01611144"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sz w:val="22"/>
                <w:szCs w:val="22"/>
              </w:rPr>
              <w:t>Radez et al. (2021); Lowther</w:t>
            </w:r>
            <w:r w:rsidRPr="00E97E42">
              <w:rPr>
                <w:rFonts w:ascii="Arial" w:hAnsi="Arial" w:cs="Arial"/>
                <w:sz w:val="22"/>
                <w:szCs w:val="22"/>
              </w:rPr>
              <w:noBreakHyphen/>
              <w:t>Payne et al. (2023); Aguirre Velasco et al. (2020); YoungMinds (2022)</w:t>
            </w:r>
          </w:p>
        </w:tc>
      </w:tr>
      <w:tr w:rsidR="00E97E42" w:rsidRPr="00E97E42" w14:paraId="1010C8D9" w14:textId="77777777" w:rsidTr="00486E52">
        <w:trPr>
          <w:tblCellSpacing w:w="15" w:type="dxa"/>
        </w:trPr>
        <w:tc>
          <w:tcPr>
            <w:tcW w:w="0" w:type="auto"/>
            <w:vAlign w:val="center"/>
            <w:hideMark/>
          </w:tcPr>
          <w:p w14:paraId="46A3BC03" w14:textId="77777777" w:rsidR="00E97E42" w:rsidRPr="00E97E42" w:rsidRDefault="00E97E42" w:rsidP="00E97E42">
            <w:pPr>
              <w:spacing w:line="360" w:lineRule="auto"/>
              <w:jc w:val="both"/>
              <w:rPr>
                <w:rFonts w:ascii="Arial" w:hAnsi="Arial" w:cs="Arial"/>
                <w:sz w:val="22"/>
                <w:szCs w:val="22"/>
              </w:rPr>
            </w:pPr>
          </w:p>
        </w:tc>
        <w:tc>
          <w:tcPr>
            <w:tcW w:w="0" w:type="auto"/>
            <w:vAlign w:val="center"/>
            <w:hideMark/>
          </w:tcPr>
          <w:p w14:paraId="12709F42"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b/>
                <w:bCs/>
                <w:sz w:val="22"/>
                <w:szCs w:val="22"/>
              </w:rPr>
              <w:t>3.2 Cultural Responsiveness, Trust and Social Inequalities</w:t>
            </w:r>
          </w:p>
        </w:tc>
        <w:tc>
          <w:tcPr>
            <w:tcW w:w="0" w:type="auto"/>
            <w:vAlign w:val="center"/>
            <w:hideMark/>
          </w:tcPr>
          <w:p w14:paraId="059A6B3D"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sz w:val="22"/>
                <w:szCs w:val="22"/>
              </w:rPr>
              <w:t>Leavey et al. (2019); Lowther</w:t>
            </w:r>
            <w:r w:rsidRPr="00E97E42">
              <w:rPr>
                <w:rFonts w:ascii="Arial" w:hAnsi="Arial" w:cs="Arial"/>
                <w:sz w:val="22"/>
                <w:szCs w:val="22"/>
              </w:rPr>
              <w:noBreakHyphen/>
              <w:t>Payne et al. (2023); Radez et al. (2021); Aguirre Velasco et al. (2020)</w:t>
            </w:r>
          </w:p>
        </w:tc>
      </w:tr>
    </w:tbl>
    <w:p w14:paraId="6EF5DD75" w14:textId="77777777" w:rsidR="00E97E42" w:rsidRPr="00E97E42" w:rsidRDefault="00E97E42" w:rsidP="00E97E42">
      <w:pPr>
        <w:spacing w:line="360" w:lineRule="auto"/>
        <w:jc w:val="both"/>
        <w:rPr>
          <w:rFonts w:ascii="Arial" w:hAnsi="Arial" w:cs="Arial"/>
          <w:b/>
          <w:bCs/>
          <w:sz w:val="22"/>
          <w:szCs w:val="22"/>
        </w:rPr>
      </w:pPr>
    </w:p>
    <w:p w14:paraId="693DCD49"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b/>
          <w:bCs/>
          <w:sz w:val="22"/>
          <w:szCs w:val="22"/>
        </w:rPr>
        <w:t>Source:</w:t>
      </w:r>
      <w:r w:rsidRPr="00E97E42">
        <w:rPr>
          <w:rFonts w:ascii="Arial" w:hAnsi="Arial" w:cs="Arial"/>
          <w:sz w:val="22"/>
          <w:szCs w:val="22"/>
        </w:rPr>
        <w:t xml:space="preserve"> Author’s thematic synthesis of the included studies.</w:t>
      </w:r>
    </w:p>
    <w:p w14:paraId="02F9460F" w14:textId="77777777" w:rsidR="00E97E42" w:rsidRPr="00E97E42" w:rsidRDefault="00E97E42" w:rsidP="00E97E42">
      <w:pPr>
        <w:spacing w:line="360" w:lineRule="auto"/>
        <w:jc w:val="both"/>
        <w:rPr>
          <w:rFonts w:ascii="Arial" w:hAnsi="Arial" w:cs="Arial"/>
          <w:sz w:val="22"/>
          <w:szCs w:val="22"/>
        </w:rPr>
      </w:pPr>
      <w:r w:rsidRPr="00E97E42">
        <w:rPr>
          <w:rFonts w:ascii="Arial" w:hAnsi="Arial" w:cs="Arial"/>
          <w:sz w:val="22"/>
          <w:szCs w:val="22"/>
        </w:rPr>
        <w:t>The themes and sub-themes presented in Table 5.2 provide the analytical framework for the findings discussed in the following sections. Together, they illustrate the interconnected structural, socioeconomic and socio-cultural barriers influencing adolescents' access to Child and Adolescent Mental Health Services (CAMHS) within the United Kingdom. The discussion begins with Theme 1, which examines structural and organisational barriers affecting service access.</w:t>
      </w:r>
    </w:p>
    <w:p w14:paraId="55583A5C" w14:textId="77777777" w:rsidR="00954979" w:rsidRPr="00954979" w:rsidRDefault="00954979" w:rsidP="00D3531F">
      <w:pPr>
        <w:pStyle w:val="Heading2"/>
      </w:pPr>
      <w:bookmarkStart w:id="51" w:name="_Toc233828719"/>
      <w:r w:rsidRPr="00954979">
        <w:t>Theme 1: Macro-Systemic Rationing and Institutional Gatekeeping</w:t>
      </w:r>
      <w:bookmarkEnd w:id="51"/>
    </w:p>
    <w:p w14:paraId="34C3B137" w14:textId="62731CAC" w:rsidR="00954979" w:rsidRPr="00954979" w:rsidRDefault="00954979" w:rsidP="00954979">
      <w:pPr>
        <w:spacing w:line="360" w:lineRule="auto"/>
        <w:jc w:val="both"/>
        <w:rPr>
          <w:rFonts w:ascii="Arial" w:hAnsi="Arial" w:cs="Arial"/>
          <w:sz w:val="22"/>
          <w:szCs w:val="22"/>
        </w:rPr>
      </w:pPr>
      <w:r w:rsidRPr="00954979">
        <w:rPr>
          <w:rFonts w:ascii="Arial" w:hAnsi="Arial" w:cs="Arial"/>
          <w:sz w:val="22"/>
          <w:szCs w:val="22"/>
        </w:rPr>
        <w:t xml:space="preserve">This theme examines how structural pressures within the United Kingdom mental health system influence adolescents’ access to Child and Adolescent Mental Health Services </w:t>
      </w:r>
      <w:r w:rsidRPr="00954979">
        <w:rPr>
          <w:rFonts w:ascii="Arial" w:hAnsi="Arial" w:cs="Arial"/>
          <w:sz w:val="22"/>
          <w:szCs w:val="22"/>
        </w:rPr>
        <w:lastRenderedPageBreak/>
        <w:t xml:space="preserve">(CAMHS). The evidence indicates that increasing demand, workforce shortages and </w:t>
      </w:r>
      <w:r w:rsidR="003F41D8">
        <w:rPr>
          <w:rFonts w:ascii="Arial" w:hAnsi="Arial" w:cs="Arial"/>
          <w:sz w:val="22"/>
          <w:szCs w:val="22"/>
        </w:rPr>
        <w:t>limited-service</w:t>
      </w:r>
      <w:r w:rsidRPr="00954979">
        <w:rPr>
          <w:rFonts w:ascii="Arial" w:hAnsi="Arial" w:cs="Arial"/>
          <w:sz w:val="22"/>
          <w:szCs w:val="22"/>
        </w:rPr>
        <w:t xml:space="preserve"> capacity have shifted CAMHS towards a crisis-oriented model of care, reducing opportunities for timely intervention and preventative support (Children’s Commissioner for England, 2024; NHS Digital, 2023; Royal College of Psychiatrists, 2025). Valentine et al. (2024) further demonstrated that prolonged waiting lists have become a defining feature of CAMHS access, with many young people experiencing substantial delays before receiving assessment or treatment.</w:t>
      </w:r>
    </w:p>
    <w:p w14:paraId="527263FF" w14:textId="77777777" w:rsidR="00954979" w:rsidRPr="00954979" w:rsidRDefault="00954979" w:rsidP="00954979">
      <w:pPr>
        <w:spacing w:line="360" w:lineRule="auto"/>
        <w:jc w:val="both"/>
        <w:rPr>
          <w:rFonts w:ascii="Arial" w:hAnsi="Arial" w:cs="Arial"/>
          <w:sz w:val="22"/>
          <w:szCs w:val="22"/>
        </w:rPr>
      </w:pPr>
      <w:r w:rsidRPr="00954979">
        <w:rPr>
          <w:rFonts w:ascii="Arial" w:hAnsi="Arial" w:cs="Arial"/>
          <w:sz w:val="22"/>
          <w:szCs w:val="22"/>
        </w:rPr>
        <w:t>Across the included studies, service access was frequently shaped by organisational constraints rather than clinical need alone, resulting in increasingly restrictive referral pathways and delayed intervention for many adolescents (Children’s Commissioner for England, 2024; NHS Digital, 2023; Royal College of Psychiatrists, 2025). Similarly, Rocks et al. (2020) found that although the introduction of Single Points of Access (SPA) aimed to streamline referral pathways, structural pressures and high demand often limited their effectiveness in improving access.</w:t>
      </w:r>
    </w:p>
    <w:p w14:paraId="5925B2F3" w14:textId="77777777" w:rsidR="00642F40" w:rsidRPr="00642F40" w:rsidRDefault="00642F40" w:rsidP="00D3531F">
      <w:pPr>
        <w:pStyle w:val="Heading2"/>
      </w:pPr>
      <w:bookmarkStart w:id="52" w:name="_Toc233828720"/>
      <w:r w:rsidRPr="00642F40">
        <w:t>1.1 Escalating Entry Thresholds and Administrative Dismissals</w:t>
      </w:r>
      <w:bookmarkEnd w:id="52"/>
    </w:p>
    <w:p w14:paraId="164EFA42" w14:textId="77777777" w:rsidR="00642F40" w:rsidRPr="00BA668E" w:rsidRDefault="00642F40" w:rsidP="00642F40">
      <w:pPr>
        <w:spacing w:line="360" w:lineRule="auto"/>
        <w:jc w:val="both"/>
        <w:rPr>
          <w:rFonts w:ascii="Arial" w:hAnsi="Arial" w:cs="Arial"/>
          <w:sz w:val="22"/>
          <w:szCs w:val="22"/>
        </w:rPr>
      </w:pPr>
      <w:r w:rsidRPr="00BA668E">
        <w:rPr>
          <w:rFonts w:ascii="Arial" w:hAnsi="Arial" w:cs="Arial"/>
          <w:sz w:val="22"/>
          <w:szCs w:val="22"/>
        </w:rPr>
        <w:t>Across the included studies, evidence indicated that Child and Adolescent Mental Health Services (CAMHS) in the United Kingdom have increasingly shifted from preventative and early intervention approaches towards a reactive model centred on crisis management (Children’s Commissioner for England, 2024; NHS Digital, 2023). NHS Digital (2022) and NHS Digital (2025) similarly reported a substantial rise in adolescent mental health difficulties without a corresponding increase in service capacity. Consequently, referral thresholds have become increasingly restrictive, with access influenced by organisational pressures as well as clinical need (Children’s Commissioner for England, 2024; Royal College of Psychiatrists, 2025).</w:t>
      </w:r>
    </w:p>
    <w:p w14:paraId="6EE38001" w14:textId="77777777" w:rsidR="00642F40" w:rsidRPr="00BA668E" w:rsidRDefault="00642F40" w:rsidP="00642F40">
      <w:pPr>
        <w:spacing w:line="360" w:lineRule="auto"/>
        <w:jc w:val="both"/>
        <w:rPr>
          <w:rFonts w:ascii="Arial" w:hAnsi="Arial" w:cs="Arial"/>
          <w:sz w:val="22"/>
          <w:szCs w:val="22"/>
        </w:rPr>
      </w:pPr>
      <w:r w:rsidRPr="00BA668E">
        <w:rPr>
          <w:rFonts w:ascii="Arial" w:hAnsi="Arial" w:cs="Arial"/>
          <w:sz w:val="22"/>
          <w:szCs w:val="22"/>
        </w:rPr>
        <w:t>Administrative datasets identified high levels of rejected, delayed and prematurely closed referrals, indicating that eligibility criteria frequently prioritise risk and severity over early intervention (Children’s Commissioner for England, 2024; NHS Digital, 2023). Qualitative evidence also showed that adolescents perceived referral and triage processes as exclusionary, particularly when emotional distress was considered insufficiently severe to warrant specialist intervention (Lowther-Payne et al., 2023; YoungMinds, 2022). These findings highlight a mismatch between increasing demand and available mental health support.</w:t>
      </w:r>
    </w:p>
    <w:p w14:paraId="28B291E3" w14:textId="77777777" w:rsidR="00642F40" w:rsidRPr="00BA668E" w:rsidRDefault="00642F40" w:rsidP="00642F40">
      <w:pPr>
        <w:spacing w:line="360" w:lineRule="auto"/>
        <w:jc w:val="both"/>
        <w:rPr>
          <w:rFonts w:ascii="Arial" w:hAnsi="Arial" w:cs="Arial"/>
          <w:sz w:val="22"/>
          <w:szCs w:val="22"/>
        </w:rPr>
      </w:pPr>
      <w:r w:rsidRPr="00BA668E">
        <w:rPr>
          <w:rFonts w:ascii="Arial" w:hAnsi="Arial" w:cs="Arial"/>
          <w:sz w:val="22"/>
          <w:szCs w:val="22"/>
        </w:rPr>
        <w:t xml:space="preserve">Prolonged waiting times emerged as a further barrier. The Royal College of Psychiatrists (2025) and NHS Digital (2023) reported that treatment delays contributed to worsening mental health and increased crisis presentations. Collectively, the findings indicate that restrictive </w:t>
      </w:r>
      <w:r w:rsidRPr="00BA668E">
        <w:rPr>
          <w:rFonts w:ascii="Arial" w:hAnsi="Arial" w:cs="Arial"/>
          <w:sz w:val="22"/>
          <w:szCs w:val="22"/>
        </w:rPr>
        <w:lastRenderedPageBreak/>
        <w:t>referral thresholds and administrative gatekeeping act as major structural barriers to timely access. Within Andersen’s Behavioural Model, these barriers represent health system factors that constrain service utilisation regardless of individual need, reinforcing inequalities in access to mental health support (Andersen, 1995).</w:t>
      </w:r>
    </w:p>
    <w:p w14:paraId="54FFBF78" w14:textId="77777777" w:rsidR="002B53E6" w:rsidRPr="002B53E6" w:rsidRDefault="002B53E6" w:rsidP="00D3531F">
      <w:pPr>
        <w:pStyle w:val="Heading2"/>
      </w:pPr>
      <w:bookmarkStart w:id="53" w:name="_Toc233828721"/>
      <w:r w:rsidRPr="002B53E6">
        <w:t>1.2 Workforce Depletion and the Post-18 Transition Cliff Edge</w:t>
      </w:r>
      <w:bookmarkEnd w:id="53"/>
    </w:p>
    <w:p w14:paraId="72613908" w14:textId="77777777" w:rsidR="002B53E6" w:rsidRPr="002B53E6" w:rsidRDefault="002B53E6" w:rsidP="002B53E6">
      <w:pPr>
        <w:spacing w:line="360" w:lineRule="auto"/>
        <w:jc w:val="both"/>
        <w:rPr>
          <w:rFonts w:ascii="Arial" w:hAnsi="Arial" w:cs="Arial"/>
          <w:sz w:val="22"/>
          <w:szCs w:val="22"/>
        </w:rPr>
      </w:pPr>
      <w:r w:rsidRPr="002B53E6">
        <w:rPr>
          <w:rFonts w:ascii="Arial" w:hAnsi="Arial" w:cs="Arial"/>
          <w:sz w:val="22"/>
          <w:szCs w:val="22"/>
        </w:rPr>
        <w:t>Workforce shortages emerged as a consistent barrier to adolescent mental health service access across the included studies. National evidence indicated that demand for Child and Adolescent Mental Health Services (CAMHS) has increased substantially, while the availability of qualified mental health professionals has failed to keep pace with demand (Royal College of Psychiatrists, 2025; NHS Digital, 2025). NHS Digital (2023) reported that workforce deficits contributed to increased caseloads, reduced appointment availability and prolonged waiting times. Lowther-Payne et al. (2023) further found that staffing shortages were particularly evident in rural and socioeconomically disadvantaged areas, widening existing inequalities in access.</w:t>
      </w:r>
    </w:p>
    <w:p w14:paraId="16D5CAF7" w14:textId="77777777" w:rsidR="002B53E6" w:rsidRPr="002B53E6" w:rsidRDefault="002B53E6" w:rsidP="002B53E6">
      <w:pPr>
        <w:spacing w:line="360" w:lineRule="auto"/>
        <w:jc w:val="both"/>
        <w:rPr>
          <w:rFonts w:ascii="Arial" w:hAnsi="Arial" w:cs="Arial"/>
          <w:sz w:val="22"/>
          <w:szCs w:val="22"/>
        </w:rPr>
      </w:pPr>
      <w:r w:rsidRPr="002B53E6">
        <w:rPr>
          <w:rFonts w:ascii="Arial" w:hAnsi="Arial" w:cs="Arial"/>
          <w:sz w:val="22"/>
          <w:szCs w:val="22"/>
        </w:rPr>
        <w:t>Limited staffing also reduced opportunities for sustained therapeutic engagement and restricted the provision of early intervention support (Royal College of Psychiatrists, 2025; Lowther-Payne et al., 2023). Collectively, the findings indicate that workforce shortages are a major structural constraint affecting both the accessibility and effectiveness of mental health services.</w:t>
      </w:r>
    </w:p>
    <w:p w14:paraId="22D81E4E" w14:textId="77777777" w:rsidR="002B53E6" w:rsidRPr="002B53E6" w:rsidRDefault="002B53E6" w:rsidP="002B53E6">
      <w:pPr>
        <w:spacing w:line="360" w:lineRule="auto"/>
        <w:jc w:val="both"/>
        <w:rPr>
          <w:rFonts w:ascii="Arial" w:hAnsi="Arial" w:cs="Arial"/>
          <w:sz w:val="22"/>
          <w:szCs w:val="22"/>
        </w:rPr>
      </w:pPr>
      <w:r w:rsidRPr="002B53E6">
        <w:rPr>
          <w:rFonts w:ascii="Arial" w:hAnsi="Arial" w:cs="Arial"/>
          <w:sz w:val="22"/>
          <w:szCs w:val="22"/>
        </w:rPr>
        <w:t>The transition from CAMHS to Adult Mental Health Services (AMHS) also emerged as a significant barrier. Children’s Commissioner for England (2024) and YoungMinds (2022) reported that many adolescents experienced reduced support after reaching 18 years of age because of stricter eligibility criteria, fragmented care pathways and disruption to established therapeutic relationships. Qualitative evidence further showed that inadequate communication between services contributed to uncertainty, anxiety and disengagement during this transition (Lowther-Payne et al., 2023; Radez et al., 2021).</w:t>
      </w:r>
    </w:p>
    <w:p w14:paraId="580F4F21" w14:textId="77777777" w:rsidR="002B53E6" w:rsidRPr="002B53E6" w:rsidRDefault="002B53E6" w:rsidP="002B53E6">
      <w:pPr>
        <w:spacing w:line="360" w:lineRule="auto"/>
        <w:jc w:val="both"/>
        <w:rPr>
          <w:rFonts w:ascii="Arial" w:hAnsi="Arial" w:cs="Arial"/>
          <w:sz w:val="22"/>
          <w:szCs w:val="22"/>
        </w:rPr>
      </w:pPr>
      <w:r w:rsidRPr="002B53E6">
        <w:rPr>
          <w:rFonts w:ascii="Arial" w:hAnsi="Arial" w:cs="Arial"/>
          <w:sz w:val="22"/>
          <w:szCs w:val="22"/>
        </w:rPr>
        <w:t>Taken together, these findings demonstrate that workforce shortages and poorly coordinated transitions create substantial barriers to continuity of care. Within Andersen’s Behavioural Model, these represent organisational and service-level factors that restrict access and contribute to unequal patterns of service utilisation among adolescents (Andersen, 1995).</w:t>
      </w:r>
    </w:p>
    <w:p w14:paraId="5E89EE45" w14:textId="77777777" w:rsidR="000453AF" w:rsidRPr="000453AF" w:rsidRDefault="000453AF" w:rsidP="00D3531F">
      <w:pPr>
        <w:pStyle w:val="Heading2"/>
      </w:pPr>
      <w:bookmarkStart w:id="54" w:name="_Toc233828722"/>
      <w:r w:rsidRPr="000453AF">
        <w:t>Theme 2: Socio-Economic Stratification and Structural Determinants</w:t>
      </w:r>
      <w:bookmarkEnd w:id="54"/>
    </w:p>
    <w:p w14:paraId="6C86A7F4" w14:textId="77777777" w:rsidR="000453AF" w:rsidRPr="000453AF" w:rsidRDefault="000453AF" w:rsidP="000453AF">
      <w:pPr>
        <w:spacing w:line="360" w:lineRule="auto"/>
        <w:jc w:val="both"/>
        <w:rPr>
          <w:rFonts w:ascii="Arial" w:hAnsi="Arial" w:cs="Arial"/>
          <w:sz w:val="22"/>
          <w:szCs w:val="22"/>
        </w:rPr>
      </w:pPr>
      <w:r w:rsidRPr="000453AF">
        <w:rPr>
          <w:rFonts w:ascii="Arial" w:hAnsi="Arial" w:cs="Arial"/>
          <w:sz w:val="22"/>
          <w:szCs w:val="22"/>
        </w:rPr>
        <w:t xml:space="preserve">This theme examines how socioeconomic and geographical inequalities influence adolescents' access to Child and Adolescent Mental Health Services (CAMHS) across the United Kingdom. The included studies consistently demonstrated that access to mental health </w:t>
      </w:r>
      <w:r w:rsidRPr="000453AF">
        <w:rPr>
          <w:rFonts w:ascii="Arial" w:hAnsi="Arial" w:cs="Arial"/>
          <w:sz w:val="22"/>
          <w:szCs w:val="22"/>
        </w:rPr>
        <w:lastRenderedPageBreak/>
        <w:t>support is shaped not only by individual need but also by wider social and economic conditions (Children’s Commissioner for England, 2024; NHS Digital, 2023; Radez et al., 2021). Disparities in funding, workforce distribution, transport availability and digital resources contributed to unequal patterns of service utilisation, particularly among adolescents living in deprived or underserved communities. Collectively, the findings indicate that structural inequalities limit equitable access to mental health support.</w:t>
      </w:r>
    </w:p>
    <w:p w14:paraId="5B0733E2" w14:textId="77777777" w:rsidR="00BC512D" w:rsidRPr="00BC512D" w:rsidRDefault="00BC512D" w:rsidP="00D3531F">
      <w:pPr>
        <w:pStyle w:val="Heading2"/>
      </w:pPr>
      <w:bookmarkStart w:id="55" w:name="_Toc233828723"/>
      <w:r w:rsidRPr="00BC512D">
        <w:t>2.1 Spatial Disparities and the Regional Postcode Lottery</w:t>
      </w:r>
      <w:bookmarkEnd w:id="55"/>
    </w:p>
    <w:p w14:paraId="3E5E598A" w14:textId="77777777" w:rsidR="00BC512D" w:rsidRPr="00BC512D" w:rsidRDefault="00BC512D" w:rsidP="00BC512D">
      <w:pPr>
        <w:spacing w:line="360" w:lineRule="auto"/>
        <w:jc w:val="both"/>
        <w:rPr>
          <w:rFonts w:ascii="Arial" w:hAnsi="Arial" w:cs="Arial"/>
          <w:sz w:val="22"/>
          <w:szCs w:val="22"/>
        </w:rPr>
      </w:pPr>
      <w:r w:rsidRPr="00BC512D">
        <w:rPr>
          <w:rFonts w:ascii="Arial" w:hAnsi="Arial" w:cs="Arial"/>
          <w:sz w:val="22"/>
          <w:szCs w:val="22"/>
        </w:rPr>
        <w:t>A prominent finding across the included studies was the unequal geographical distribution of adolescent mental health services across the United Kingdom. Children’s Commissioner for England (2024) and NHS Digital (2023) identified substantial regional variation in referral thresholds, waiting times and service availability. Despite national policy commitments to equitable access, significant differences persist in workforce capacity, funding allocation and specialist service provision (Royal College of Psychiatrists, 2025; UK Government, 2024).</w:t>
      </w:r>
    </w:p>
    <w:p w14:paraId="449DE750" w14:textId="77777777" w:rsidR="00BC512D" w:rsidRPr="00BC512D" w:rsidRDefault="00BC512D" w:rsidP="00BC512D">
      <w:pPr>
        <w:spacing w:line="360" w:lineRule="auto"/>
        <w:jc w:val="both"/>
        <w:rPr>
          <w:rFonts w:ascii="Arial" w:hAnsi="Arial" w:cs="Arial"/>
          <w:sz w:val="22"/>
          <w:szCs w:val="22"/>
        </w:rPr>
      </w:pPr>
      <w:r w:rsidRPr="00BC512D">
        <w:rPr>
          <w:rFonts w:ascii="Arial" w:hAnsi="Arial" w:cs="Arial"/>
          <w:sz w:val="22"/>
          <w:szCs w:val="22"/>
        </w:rPr>
        <w:t>Qualitative evidence showed that adolescents living in rural and geographically isolated communities often experienced reduced access to specialist mental health services and longer travel distances when seeking support (Lowther-Payne et al., 2023; Radez et al., 2021). National audits linked these disparities to local differences in commissioning arrangements, staffing levels and resource allocation, resulting in longer waiting times and more restrictive eligibility criteria (Children’s Commissioner for England, 2024; Royal College of Psychiatrists, 2025).</w:t>
      </w:r>
    </w:p>
    <w:p w14:paraId="78BFBC47" w14:textId="77992CE7" w:rsidR="00BC512D" w:rsidRPr="00BC512D" w:rsidRDefault="00BC512D" w:rsidP="00BC512D">
      <w:pPr>
        <w:spacing w:line="360" w:lineRule="auto"/>
        <w:jc w:val="both"/>
        <w:rPr>
          <w:rFonts w:ascii="Arial" w:hAnsi="Arial" w:cs="Arial"/>
          <w:sz w:val="22"/>
          <w:szCs w:val="22"/>
        </w:rPr>
      </w:pPr>
      <w:r w:rsidRPr="00BC512D">
        <w:rPr>
          <w:rFonts w:ascii="Arial" w:hAnsi="Arial" w:cs="Arial"/>
          <w:sz w:val="22"/>
          <w:szCs w:val="22"/>
        </w:rPr>
        <w:t xml:space="preserve">Geographical inequalities also </w:t>
      </w:r>
      <w:r w:rsidR="00D3531F">
        <w:rPr>
          <w:rFonts w:ascii="Arial" w:hAnsi="Arial" w:cs="Arial"/>
          <w:sz w:val="22"/>
          <w:szCs w:val="22"/>
        </w:rPr>
        <w:t>interact</w:t>
      </w:r>
      <w:r w:rsidRPr="00BC512D">
        <w:rPr>
          <w:rFonts w:ascii="Arial" w:hAnsi="Arial" w:cs="Arial"/>
          <w:sz w:val="22"/>
          <w:szCs w:val="22"/>
        </w:rPr>
        <w:t xml:space="preserve"> with social and economic disadvantage. Adolescents living in deprived communities frequently </w:t>
      </w:r>
      <w:r w:rsidR="00D3531F">
        <w:rPr>
          <w:rFonts w:ascii="Arial" w:hAnsi="Arial" w:cs="Arial"/>
          <w:sz w:val="22"/>
          <w:szCs w:val="22"/>
        </w:rPr>
        <w:t>experience</w:t>
      </w:r>
      <w:r w:rsidRPr="00BC512D">
        <w:rPr>
          <w:rFonts w:ascii="Arial" w:hAnsi="Arial" w:cs="Arial"/>
          <w:sz w:val="22"/>
          <w:szCs w:val="22"/>
        </w:rPr>
        <w:t xml:space="preserve"> greater mental health need alongside reduced service availability, widening inequalities in access (NHS Digital, 2025; Radez et al., 2021). Collectively, the findings indicate that geographical location remains a significant determinant of service accessibility. Within Andersen’s Behavioural Model, the availability of local services represents an enabling factor that can either facilitate or restrict access to care depending on local circumstances (Andersen, 1995).</w:t>
      </w:r>
    </w:p>
    <w:p w14:paraId="6EA6F649" w14:textId="77777777" w:rsidR="00BC512D" w:rsidRPr="00BC512D" w:rsidRDefault="00BC512D" w:rsidP="00BC512D">
      <w:pPr>
        <w:spacing w:line="360" w:lineRule="auto"/>
        <w:jc w:val="both"/>
        <w:rPr>
          <w:rFonts w:ascii="Arial" w:hAnsi="Arial" w:cs="Arial"/>
          <w:sz w:val="22"/>
          <w:szCs w:val="22"/>
        </w:rPr>
      </w:pPr>
      <w:r w:rsidRPr="00BC512D">
        <w:rPr>
          <w:rFonts w:ascii="Arial" w:hAnsi="Arial" w:cs="Arial"/>
          <w:sz w:val="22"/>
          <w:szCs w:val="22"/>
        </w:rPr>
        <w:t>Overall, the evidence demonstrates that the regional postcode lottery continues to shape adolescents' opportunities to access timely and appropriate mental health support, contributing to unequal health outcomes across the United Kingdom.</w:t>
      </w:r>
    </w:p>
    <w:p w14:paraId="31B3BA78" w14:textId="49BAE44D" w:rsidR="00211923" w:rsidRPr="00211923" w:rsidRDefault="00211923" w:rsidP="00211923">
      <w:pPr>
        <w:spacing w:line="360" w:lineRule="auto"/>
        <w:jc w:val="both"/>
        <w:rPr>
          <w:rFonts w:ascii="Arial" w:hAnsi="Arial" w:cs="Arial"/>
          <w:sz w:val="22"/>
          <w:szCs w:val="22"/>
        </w:rPr>
      </w:pPr>
      <w:r w:rsidRPr="00211923">
        <w:rPr>
          <w:rFonts w:ascii="Arial" w:hAnsi="Arial" w:cs="Arial"/>
          <w:sz w:val="22"/>
          <w:szCs w:val="22"/>
        </w:rPr>
        <w:t>mental health support, contributing to unequal health outcomes across the United Kingdom.</w:t>
      </w:r>
    </w:p>
    <w:p w14:paraId="6723C134" w14:textId="77777777" w:rsidR="00E754F9" w:rsidRPr="00E754F9" w:rsidRDefault="00E754F9" w:rsidP="00D3531F">
      <w:pPr>
        <w:pStyle w:val="Heading2"/>
      </w:pPr>
      <w:bookmarkStart w:id="56" w:name="_Toc233828724"/>
      <w:r w:rsidRPr="00E754F9">
        <w:lastRenderedPageBreak/>
        <w:t>2.2 Material Deprivation, Transport Barriers and Digital Exclusion</w:t>
      </w:r>
      <w:bookmarkEnd w:id="56"/>
    </w:p>
    <w:p w14:paraId="61B7D5F5" w14:textId="77777777" w:rsidR="00E754F9" w:rsidRPr="00E754F9" w:rsidRDefault="00E754F9" w:rsidP="00E754F9">
      <w:pPr>
        <w:spacing w:line="360" w:lineRule="auto"/>
        <w:jc w:val="both"/>
        <w:rPr>
          <w:rFonts w:ascii="Arial" w:hAnsi="Arial" w:cs="Arial"/>
          <w:sz w:val="22"/>
          <w:szCs w:val="22"/>
        </w:rPr>
      </w:pPr>
      <w:r w:rsidRPr="00E754F9">
        <w:rPr>
          <w:rFonts w:ascii="Arial" w:hAnsi="Arial" w:cs="Arial"/>
          <w:sz w:val="22"/>
          <w:szCs w:val="22"/>
        </w:rPr>
        <w:t>Socioeconomic deprivation emerged as a significant determinant of adolescent mental health service access across the included studies. Lowther-Payne et al. (2023) and Radez et al. (2021) found that adolescents from disadvantaged households frequently encountered multiple barriers, including financial hardship, limited access to transport and reduced availability of local support services. These barriers often occurred simultaneously, creating cumulative disadvantages that restricted opportunities to seek and engage with mental health support.</w:t>
      </w:r>
    </w:p>
    <w:p w14:paraId="649811AF" w14:textId="77777777" w:rsidR="00E754F9" w:rsidRPr="00E754F9" w:rsidRDefault="00E754F9" w:rsidP="00E754F9">
      <w:pPr>
        <w:spacing w:line="360" w:lineRule="auto"/>
        <w:jc w:val="both"/>
        <w:rPr>
          <w:rFonts w:ascii="Arial" w:hAnsi="Arial" w:cs="Arial"/>
          <w:sz w:val="22"/>
          <w:szCs w:val="22"/>
        </w:rPr>
      </w:pPr>
      <w:r w:rsidRPr="00E754F9">
        <w:rPr>
          <w:rFonts w:ascii="Arial" w:hAnsi="Arial" w:cs="Arial"/>
          <w:sz w:val="22"/>
          <w:szCs w:val="22"/>
        </w:rPr>
        <w:t>Although NHS services are provided free at the point of delivery, indirect costs remained an important obstacle for many families. Lowther-Payne et al. (2023) and Aguirre Velasco et al. (2020) reported that travel expenses, parental absence from work and the practical challenges associated with attending appointments discouraged service utilisation among lower-income households. These findings indicate that financial barriers extend beyond direct healthcare costs and continue to influence access despite universal healthcare provision.</w:t>
      </w:r>
    </w:p>
    <w:p w14:paraId="38EB662E" w14:textId="77777777" w:rsidR="00E754F9" w:rsidRPr="00E754F9" w:rsidRDefault="00E754F9" w:rsidP="00E754F9">
      <w:pPr>
        <w:spacing w:line="360" w:lineRule="auto"/>
        <w:jc w:val="both"/>
        <w:rPr>
          <w:rFonts w:ascii="Arial" w:hAnsi="Arial" w:cs="Arial"/>
          <w:sz w:val="22"/>
          <w:szCs w:val="22"/>
        </w:rPr>
      </w:pPr>
      <w:r w:rsidRPr="00E754F9">
        <w:rPr>
          <w:rFonts w:ascii="Arial" w:hAnsi="Arial" w:cs="Arial"/>
          <w:sz w:val="22"/>
          <w:szCs w:val="22"/>
        </w:rPr>
        <w:t>Digital exclusion also emerged as a recurring theme. The increased use of remote consultations and digital service delivery created new opportunities for some adolescents while presenting additional challenges for others (Lowther-Payne et al., 2023; YoungMinds, 2022). Adolescents without reliable internet access, suitable devices or private spaces for confidential conversations experienced greater difficulty engaging with online services. In contrast, some young people benefited from the flexibility and convenience of remote support, demonstrating that digital provision may both reduce and reinforce inequalities depending on individual circumstances (Lowther-Payne et al., 2023; YoungMinds, 2022).</w:t>
      </w:r>
    </w:p>
    <w:p w14:paraId="39BBB300" w14:textId="77777777" w:rsidR="00E754F9" w:rsidRPr="00E754F9" w:rsidRDefault="00E754F9" w:rsidP="00E754F9">
      <w:pPr>
        <w:spacing w:line="360" w:lineRule="auto"/>
        <w:jc w:val="both"/>
        <w:rPr>
          <w:rFonts w:ascii="Arial" w:hAnsi="Arial" w:cs="Arial"/>
          <w:sz w:val="22"/>
          <w:szCs w:val="22"/>
        </w:rPr>
      </w:pPr>
      <w:r w:rsidRPr="00E754F9">
        <w:rPr>
          <w:rFonts w:ascii="Arial" w:hAnsi="Arial" w:cs="Arial"/>
          <w:sz w:val="22"/>
          <w:szCs w:val="22"/>
        </w:rPr>
        <w:t>Taken together, the findings demonstrate that socioeconomic disadvantage influences access through a combination of financial, geographical and technological barriers. Within Andersen’s Behavioural Model, these represent enabling resources that influence an individual's ability to utilise healthcare services. Consequently, adolescents from deprived backgrounds may experience disproportionate barriers to timely and appropriate mental health support, reinforcing existing health inequalities (Andersen, 1995).</w:t>
      </w:r>
    </w:p>
    <w:p w14:paraId="5F5D33EF" w14:textId="77777777" w:rsidR="00E97E42" w:rsidRPr="00E97E42" w:rsidRDefault="00E97E42" w:rsidP="00D3531F">
      <w:pPr>
        <w:pStyle w:val="Heading2"/>
      </w:pPr>
      <w:bookmarkStart w:id="57" w:name="_Toc233828725"/>
      <w:r w:rsidRPr="00E97E42">
        <w:t>Theme 3: Relational Stigma, Intersectional Vulnerability and Distrust</w:t>
      </w:r>
      <w:bookmarkEnd w:id="57"/>
    </w:p>
    <w:p w14:paraId="21B2B558" w14:textId="5D046842" w:rsidR="00117725" w:rsidRPr="00E97E42" w:rsidRDefault="00E97E42" w:rsidP="00E97E42">
      <w:pPr>
        <w:spacing w:line="360" w:lineRule="auto"/>
        <w:jc w:val="both"/>
        <w:rPr>
          <w:rFonts w:ascii="Arial" w:hAnsi="Arial" w:cs="Arial"/>
          <w:sz w:val="22"/>
          <w:szCs w:val="22"/>
        </w:rPr>
      </w:pPr>
      <w:r w:rsidRPr="00E97E42">
        <w:rPr>
          <w:rFonts w:ascii="Arial" w:hAnsi="Arial" w:cs="Arial"/>
          <w:sz w:val="22"/>
          <w:szCs w:val="22"/>
        </w:rPr>
        <w:t>This theme examines how social, cultural and identity</w:t>
      </w:r>
      <w:r w:rsidRPr="00E97E42">
        <w:rPr>
          <w:rFonts w:ascii="Arial" w:hAnsi="Arial" w:cs="Arial"/>
          <w:sz w:val="22"/>
          <w:szCs w:val="22"/>
        </w:rPr>
        <w:noBreakHyphen/>
        <w:t>related factors shape adolescents’ willingness to seek and engage with mental health services. Across the included studies, stigma, confidentiality concerns and experiences of discrimination emerged as significant barriers to help</w:t>
      </w:r>
      <w:r w:rsidRPr="00E97E42">
        <w:rPr>
          <w:rFonts w:ascii="Arial" w:hAnsi="Arial" w:cs="Arial"/>
          <w:sz w:val="22"/>
          <w:szCs w:val="22"/>
        </w:rPr>
        <w:noBreakHyphen/>
        <w:t>seeking (Radez et al., 2021; Lowther</w:t>
      </w:r>
      <w:r w:rsidRPr="00E97E42">
        <w:rPr>
          <w:rFonts w:ascii="Arial" w:hAnsi="Arial" w:cs="Arial"/>
          <w:sz w:val="22"/>
          <w:szCs w:val="22"/>
        </w:rPr>
        <w:noBreakHyphen/>
        <w:t xml:space="preserve">Payne et al., 2023). Similarly, broader </w:t>
      </w:r>
      <w:r w:rsidRPr="00E97E42">
        <w:rPr>
          <w:rFonts w:ascii="Arial" w:hAnsi="Arial" w:cs="Arial"/>
          <w:sz w:val="22"/>
          <w:szCs w:val="22"/>
        </w:rPr>
        <w:lastRenderedPageBreak/>
        <w:t>social influences shaped perceptions of inclusion, trust and service responsiveness, resulting in unequal access among different adolescent groups.</w:t>
      </w:r>
    </w:p>
    <w:p w14:paraId="0CFC80A6" w14:textId="77777777" w:rsidR="00BD4DB4" w:rsidRPr="00BD4DB4" w:rsidRDefault="00BD4DB4" w:rsidP="00D3531F">
      <w:pPr>
        <w:pStyle w:val="Heading2"/>
      </w:pPr>
      <w:bookmarkStart w:id="58" w:name="_Toc233828726"/>
      <w:r w:rsidRPr="00BD4DB4">
        <w:t>3.1 Internalised Social Shame and Confidentiality Apprehensions</w:t>
      </w:r>
      <w:bookmarkEnd w:id="58"/>
    </w:p>
    <w:p w14:paraId="4DE01966" w14:textId="77777777" w:rsidR="00BD4DB4" w:rsidRPr="00BD4DB4" w:rsidRDefault="00BD4DB4" w:rsidP="00BD4DB4">
      <w:pPr>
        <w:spacing w:line="360" w:lineRule="auto"/>
        <w:jc w:val="both"/>
        <w:rPr>
          <w:rFonts w:ascii="Arial" w:hAnsi="Arial" w:cs="Arial"/>
          <w:sz w:val="22"/>
          <w:szCs w:val="22"/>
        </w:rPr>
      </w:pPr>
      <w:r w:rsidRPr="00BD4DB4">
        <w:rPr>
          <w:rFonts w:ascii="Arial" w:hAnsi="Arial" w:cs="Arial"/>
          <w:sz w:val="22"/>
          <w:szCs w:val="22"/>
        </w:rPr>
        <w:t>Stigma, shame and confidentiality concerns were consistently identified as important barriers to adolescent help-seeking across the included studies. Radez et al. (2021) and Lowther-Payne et al. (2023) reported that many adolescents delayed or avoided seeking support because of fears of negative judgement from peers, family members and wider society. Qualitative evidence further demonstrated that young people frequently internalised negative perceptions of mental illness, resulting in embarrassment, self-blame and reluctance to disclose emotional difficulties (Radez et al., 2021; YoungMinds, 2022). These findings are consistent with Appleton et al. (2022), who found that young people experiencing gaps in mental health transition pathways often avoided seeking help because of shame, perceived stigma and fears of being judged by professionals.</w:t>
      </w:r>
    </w:p>
    <w:p w14:paraId="293B47A1" w14:textId="77777777" w:rsidR="00BD4DB4" w:rsidRPr="00BD4DB4" w:rsidRDefault="00BD4DB4" w:rsidP="00BD4DB4">
      <w:pPr>
        <w:spacing w:line="360" w:lineRule="auto"/>
        <w:jc w:val="both"/>
        <w:rPr>
          <w:rFonts w:ascii="Arial" w:hAnsi="Arial" w:cs="Arial"/>
          <w:sz w:val="22"/>
          <w:szCs w:val="22"/>
        </w:rPr>
      </w:pPr>
      <w:r w:rsidRPr="00BD4DB4">
        <w:rPr>
          <w:rFonts w:ascii="Arial" w:hAnsi="Arial" w:cs="Arial"/>
          <w:sz w:val="22"/>
          <w:szCs w:val="22"/>
        </w:rPr>
        <w:t>Confidentiality concerns also emerged as a significant barrier to service engagement. Adolescents frequently expressed uncertainty about how personal information would be managed and whether disclosures might be shared with parents, schools or other agencies without their consent (Lowther-Payne et al., 2023; Radez et al., 2021). These concerns were particularly evident among younger adolescents, who reported fears of losing privacy and autonomy when accessing support services. Appleton et al. (2022) similarly identified anxiety about confidentiality breaches as a factor contributing to disengagement and reduced trust in services.</w:t>
      </w:r>
    </w:p>
    <w:p w14:paraId="6237C2B4" w14:textId="214F0195" w:rsidR="00BD4DB4" w:rsidRPr="00BD4DB4" w:rsidRDefault="00BD4DB4" w:rsidP="00BD4DB4">
      <w:pPr>
        <w:spacing w:line="360" w:lineRule="auto"/>
        <w:jc w:val="both"/>
        <w:rPr>
          <w:rFonts w:ascii="Arial" w:hAnsi="Arial" w:cs="Arial"/>
          <w:sz w:val="22"/>
          <w:szCs w:val="22"/>
        </w:rPr>
      </w:pPr>
      <w:r w:rsidRPr="00BD4DB4">
        <w:rPr>
          <w:rFonts w:ascii="Arial" w:hAnsi="Arial" w:cs="Arial"/>
          <w:sz w:val="22"/>
          <w:szCs w:val="22"/>
        </w:rPr>
        <w:t xml:space="preserve">Trust in healthcare professionals was also identified as an important influence on engagement. Radez et al. (2021) and Aguirre Velasco et al. (2020) found that adolescents were more likely to engage when practitioners demonstrated empathy, respect and </w:t>
      </w:r>
      <w:r>
        <w:rPr>
          <w:rFonts w:ascii="Arial" w:hAnsi="Arial" w:cs="Arial"/>
          <w:sz w:val="22"/>
          <w:szCs w:val="22"/>
        </w:rPr>
        <w:t>non-judgmental</w:t>
      </w:r>
      <w:r w:rsidRPr="00BD4DB4">
        <w:rPr>
          <w:rFonts w:ascii="Arial" w:hAnsi="Arial" w:cs="Arial"/>
          <w:sz w:val="22"/>
          <w:szCs w:val="22"/>
        </w:rPr>
        <w:t xml:space="preserve"> communication, whereas feeling misunderstood or dismissed discouraged continued service use. Rocks et al. (2020) likewise reported that Single Points of Access (SPA) within CAMHS were most effective when staff demonstrated relational warmth and clear communication, highlighting the importance of trusting therapeutic relationships in facilitating help-seeking.</w:t>
      </w:r>
    </w:p>
    <w:p w14:paraId="221BA768" w14:textId="6BE9F00C" w:rsidR="00117725" w:rsidRPr="00E97E42" w:rsidRDefault="00BD4DB4" w:rsidP="00E97E42">
      <w:pPr>
        <w:spacing w:line="360" w:lineRule="auto"/>
        <w:jc w:val="both"/>
        <w:rPr>
          <w:rFonts w:ascii="Arial" w:hAnsi="Arial" w:cs="Arial"/>
          <w:sz w:val="22"/>
          <w:szCs w:val="22"/>
        </w:rPr>
      </w:pPr>
      <w:r w:rsidRPr="00BD4DB4">
        <w:rPr>
          <w:rFonts w:ascii="Arial" w:hAnsi="Arial" w:cs="Arial"/>
          <w:sz w:val="22"/>
          <w:szCs w:val="22"/>
        </w:rPr>
        <w:t xml:space="preserve">Overall, the evidence indicates that stigma, confidentiality concerns and trust operate as key psychosocial barriers to help-seeking. Within Andersen’s Behavioural Model, these factors represent predisposing influences that shape attitudes towards service utilisation. Consequently, fears surrounding </w:t>
      </w:r>
      <w:r>
        <w:rPr>
          <w:rFonts w:ascii="Arial" w:hAnsi="Arial" w:cs="Arial"/>
          <w:sz w:val="22"/>
          <w:szCs w:val="22"/>
        </w:rPr>
        <w:t>judgment</w:t>
      </w:r>
      <w:r w:rsidRPr="00BD4DB4">
        <w:rPr>
          <w:rFonts w:ascii="Arial" w:hAnsi="Arial" w:cs="Arial"/>
          <w:sz w:val="22"/>
          <w:szCs w:val="22"/>
        </w:rPr>
        <w:t xml:space="preserve"> and disclosure may discourage adolescents from accessing mental health support even when services are available (Andersen, 1995).</w:t>
      </w:r>
    </w:p>
    <w:p w14:paraId="45EBE587" w14:textId="77777777" w:rsidR="00CB15F4" w:rsidRPr="00CB15F4" w:rsidRDefault="00CB15F4" w:rsidP="00D3531F">
      <w:pPr>
        <w:pStyle w:val="Heading2"/>
      </w:pPr>
      <w:bookmarkStart w:id="59" w:name="_Toc233828727"/>
      <w:r w:rsidRPr="00CB15F4">
        <w:lastRenderedPageBreak/>
        <w:t>3.2 Minority Stress and Culturally Non-Responsive Diagnostic Frameworks</w:t>
      </w:r>
      <w:bookmarkEnd w:id="59"/>
    </w:p>
    <w:p w14:paraId="05D137F3" w14:textId="77777777" w:rsidR="00CB15F4" w:rsidRPr="00CB15F4" w:rsidRDefault="00CB15F4" w:rsidP="00CB15F4">
      <w:pPr>
        <w:spacing w:line="360" w:lineRule="auto"/>
        <w:jc w:val="both"/>
        <w:rPr>
          <w:rFonts w:ascii="Arial" w:hAnsi="Arial" w:cs="Arial"/>
          <w:sz w:val="22"/>
          <w:szCs w:val="22"/>
        </w:rPr>
      </w:pPr>
      <w:r w:rsidRPr="00CB15F4">
        <w:rPr>
          <w:rFonts w:ascii="Arial" w:hAnsi="Arial" w:cs="Arial"/>
          <w:sz w:val="22"/>
          <w:szCs w:val="22"/>
        </w:rPr>
        <w:t>The included studies demonstrated that barriers to mental health service access are not experienced equally across adolescent populations. Leavey et al. (2019) and Lowther-Payne et al. (2023) found that ethnicity, culture, gender, sexuality and socioeconomic status significantly shaped young people’s experiences of service engagement, with marginalised groups encountering additional barriers beyond those experienced by the wider population. Appleton et al. (2022) similarly reported that young people who had fallen through the mental health transition gap experienced substantial difficulties accessing appropriate support when services failed to recognise their individual needs. Herlitz et al. (2024) reinforced these findings by showing that primary care barriers, including limited practitioner confidence and insufficient consultation time, further restricted access to mental health support.</w:t>
      </w:r>
    </w:p>
    <w:p w14:paraId="465C18D4" w14:textId="77777777" w:rsidR="00CB15F4" w:rsidRPr="00CB15F4" w:rsidRDefault="00CB15F4" w:rsidP="00CB15F4">
      <w:pPr>
        <w:spacing w:line="360" w:lineRule="auto"/>
        <w:jc w:val="both"/>
        <w:rPr>
          <w:rFonts w:ascii="Arial" w:hAnsi="Arial" w:cs="Arial"/>
          <w:sz w:val="22"/>
          <w:szCs w:val="22"/>
        </w:rPr>
      </w:pPr>
      <w:r w:rsidRPr="00CB15F4">
        <w:rPr>
          <w:rFonts w:ascii="Arial" w:hAnsi="Arial" w:cs="Arial"/>
          <w:sz w:val="22"/>
          <w:szCs w:val="22"/>
        </w:rPr>
        <w:t>LGBTQ+ adolescents frequently reported minority stress, discrimination and concerns about whether professionals possessed sufficient understanding of their identities (Radez et al., 2021; Stonewall, 2018). These concerns reduced confidence in services and discouraged help-seeking, particularly where disclosure was feared to result in misunderstanding or judgement. Similarly, adolescents from minority ethnic backgrounds described cultural stereotyping, limited cultural sensitivity and misinterpretation of distress, which undermined trust and engagement with mental health services (Leavey et al., 2019; Radez et al., 2021). O’Brien et al. (2016) likewise found that primary care practitioners often felt insufficiently prepared to respond to culturally diverse presentations, contributing to delays in assessment and reduced accessibility for minority groups.</w:t>
      </w:r>
    </w:p>
    <w:p w14:paraId="563155A8" w14:textId="77777777" w:rsidR="00CB15F4" w:rsidRPr="00CB15F4" w:rsidRDefault="00CB15F4" w:rsidP="00CB15F4">
      <w:pPr>
        <w:spacing w:line="360" w:lineRule="auto"/>
        <w:jc w:val="both"/>
        <w:rPr>
          <w:rFonts w:ascii="Arial" w:hAnsi="Arial" w:cs="Arial"/>
          <w:sz w:val="22"/>
          <w:szCs w:val="22"/>
        </w:rPr>
      </w:pPr>
      <w:r w:rsidRPr="00CB15F4">
        <w:rPr>
          <w:rFonts w:ascii="Arial" w:hAnsi="Arial" w:cs="Arial"/>
          <w:sz w:val="22"/>
          <w:szCs w:val="22"/>
        </w:rPr>
        <w:t>Several studies also raised concerns regarding the cultural responsiveness of existing diagnostic frameworks. Leavey et al. (2019) and Lowther-Payne et al. (2023) observed that diagnostic systems, although designed to promote consistency, may not fully account for cultural variation in symptom expression. Consequently, some adolescents perceived assessment processes as culturally misaligned, reducing their willingness to engage with support. Appleton et al. (2022) further reported that young people navigating transition pathways often felt that assessment processes failed to reflect their lived experiences, contributing to disengagement and unmet need. Herlitz et al. (2024) similarly found that primary care assessments frequently failed to capture the complexity of young people's mental health needs when cultural and contextual factors influenced how distress was expressed.</w:t>
      </w:r>
    </w:p>
    <w:p w14:paraId="5E8704BE" w14:textId="77777777" w:rsidR="00E97E42" w:rsidRPr="00E97E42" w:rsidRDefault="00E97E42" w:rsidP="00D3531F">
      <w:pPr>
        <w:pStyle w:val="Heading2"/>
      </w:pPr>
      <w:bookmarkStart w:id="60" w:name="_Toc233828728"/>
      <w:r w:rsidRPr="00E97E42">
        <w:lastRenderedPageBreak/>
        <w:t>5.6 Chapter Summary</w:t>
      </w:r>
      <w:bookmarkEnd w:id="60"/>
    </w:p>
    <w:p w14:paraId="7CCDD445" w14:textId="77777777" w:rsidR="00E97E42" w:rsidRDefault="00E97E42" w:rsidP="00E97E42">
      <w:pPr>
        <w:spacing w:line="360" w:lineRule="auto"/>
        <w:jc w:val="both"/>
        <w:rPr>
          <w:rFonts w:ascii="Arial" w:hAnsi="Arial" w:cs="Arial"/>
          <w:sz w:val="22"/>
          <w:szCs w:val="22"/>
        </w:rPr>
      </w:pPr>
      <w:r w:rsidRPr="00E97E42">
        <w:rPr>
          <w:rFonts w:ascii="Arial" w:hAnsi="Arial" w:cs="Arial"/>
          <w:sz w:val="22"/>
          <w:szCs w:val="22"/>
        </w:rPr>
        <w:t>This chapter presented the findings of the thematic synthesis, drawing together evidence from ten United Kingdom-based studies to identify the key barriers influencing adolescent access to Child and Adolescent Mental Health Services (CAMHS). Three overarching themes and six sub-themes were generated, highlighting the influence of structural, socioeconomic and socio-cultural determinants on service accessibility. The findings demonstrated that restrictive referral thresholds, workforce shortages, geographical inequalities, material deprivation, stigma and cultural factors collectively contribute to unequal patterns of service utilisation. Overall, the evidence indicates that barriers to CAMHS access are interconnected and operate across multiple levels of the health and social care system. These findings provide the foundation for the critical discussion and interpretation presented in Chapter 6.</w:t>
      </w:r>
    </w:p>
    <w:p w14:paraId="7A2E6C73" w14:textId="77777777" w:rsidR="00D3531F" w:rsidRDefault="00D3531F" w:rsidP="00E97E42">
      <w:pPr>
        <w:spacing w:line="360" w:lineRule="auto"/>
        <w:jc w:val="both"/>
        <w:rPr>
          <w:rFonts w:ascii="Arial" w:hAnsi="Arial" w:cs="Arial"/>
          <w:sz w:val="22"/>
          <w:szCs w:val="22"/>
        </w:rPr>
      </w:pPr>
    </w:p>
    <w:p w14:paraId="36C33086" w14:textId="77777777" w:rsidR="00D3531F" w:rsidRDefault="00D3531F" w:rsidP="00E97E42">
      <w:pPr>
        <w:spacing w:line="360" w:lineRule="auto"/>
        <w:jc w:val="both"/>
        <w:rPr>
          <w:rFonts w:ascii="Arial" w:hAnsi="Arial" w:cs="Arial"/>
          <w:sz w:val="22"/>
          <w:szCs w:val="22"/>
        </w:rPr>
      </w:pPr>
    </w:p>
    <w:p w14:paraId="43B9FEE0" w14:textId="77777777" w:rsidR="00D3531F" w:rsidRDefault="00D3531F" w:rsidP="00E97E42">
      <w:pPr>
        <w:spacing w:line="360" w:lineRule="auto"/>
        <w:jc w:val="both"/>
        <w:rPr>
          <w:rFonts w:ascii="Arial" w:hAnsi="Arial" w:cs="Arial"/>
          <w:sz w:val="22"/>
          <w:szCs w:val="22"/>
        </w:rPr>
      </w:pPr>
    </w:p>
    <w:p w14:paraId="5EDB1738" w14:textId="77777777" w:rsidR="00D3531F" w:rsidRDefault="00D3531F" w:rsidP="00E97E42">
      <w:pPr>
        <w:spacing w:line="360" w:lineRule="auto"/>
        <w:jc w:val="both"/>
        <w:rPr>
          <w:rFonts w:ascii="Arial" w:hAnsi="Arial" w:cs="Arial"/>
          <w:sz w:val="22"/>
          <w:szCs w:val="22"/>
        </w:rPr>
      </w:pPr>
    </w:p>
    <w:p w14:paraId="7EBCD230" w14:textId="77777777" w:rsidR="00D3531F" w:rsidRDefault="00D3531F" w:rsidP="00E97E42">
      <w:pPr>
        <w:spacing w:line="360" w:lineRule="auto"/>
        <w:jc w:val="both"/>
        <w:rPr>
          <w:rFonts w:ascii="Arial" w:hAnsi="Arial" w:cs="Arial"/>
          <w:sz w:val="22"/>
          <w:szCs w:val="22"/>
        </w:rPr>
      </w:pPr>
    </w:p>
    <w:p w14:paraId="06C46312" w14:textId="77777777" w:rsidR="00D3531F" w:rsidRDefault="00D3531F" w:rsidP="00E97E42">
      <w:pPr>
        <w:spacing w:line="360" w:lineRule="auto"/>
        <w:jc w:val="both"/>
        <w:rPr>
          <w:rFonts w:ascii="Arial" w:hAnsi="Arial" w:cs="Arial"/>
          <w:sz w:val="22"/>
          <w:szCs w:val="22"/>
        </w:rPr>
      </w:pPr>
    </w:p>
    <w:p w14:paraId="65767894" w14:textId="77777777" w:rsidR="00D3531F" w:rsidRDefault="00D3531F" w:rsidP="00E97E42">
      <w:pPr>
        <w:spacing w:line="360" w:lineRule="auto"/>
        <w:jc w:val="both"/>
        <w:rPr>
          <w:rFonts w:ascii="Arial" w:hAnsi="Arial" w:cs="Arial"/>
          <w:sz w:val="22"/>
          <w:szCs w:val="22"/>
        </w:rPr>
      </w:pPr>
    </w:p>
    <w:p w14:paraId="5321E7DE" w14:textId="77777777" w:rsidR="00D3531F" w:rsidRDefault="00D3531F" w:rsidP="00E97E42">
      <w:pPr>
        <w:spacing w:line="360" w:lineRule="auto"/>
        <w:jc w:val="both"/>
        <w:rPr>
          <w:rFonts w:ascii="Arial" w:hAnsi="Arial" w:cs="Arial"/>
          <w:sz w:val="22"/>
          <w:szCs w:val="22"/>
        </w:rPr>
      </w:pPr>
    </w:p>
    <w:p w14:paraId="79F3ACC7" w14:textId="77777777" w:rsidR="00D3531F" w:rsidRDefault="00D3531F" w:rsidP="00E97E42">
      <w:pPr>
        <w:spacing w:line="360" w:lineRule="auto"/>
        <w:jc w:val="both"/>
        <w:rPr>
          <w:rFonts w:ascii="Arial" w:hAnsi="Arial" w:cs="Arial"/>
          <w:sz w:val="22"/>
          <w:szCs w:val="22"/>
        </w:rPr>
      </w:pPr>
    </w:p>
    <w:p w14:paraId="4CC3EB81" w14:textId="77777777" w:rsidR="00D3531F" w:rsidRDefault="00D3531F" w:rsidP="00E97E42">
      <w:pPr>
        <w:spacing w:line="360" w:lineRule="auto"/>
        <w:jc w:val="both"/>
        <w:rPr>
          <w:rFonts w:ascii="Arial" w:hAnsi="Arial" w:cs="Arial"/>
          <w:sz w:val="22"/>
          <w:szCs w:val="22"/>
        </w:rPr>
      </w:pPr>
    </w:p>
    <w:p w14:paraId="7D5514AB" w14:textId="77777777" w:rsidR="00D3531F" w:rsidRDefault="00D3531F" w:rsidP="00E97E42">
      <w:pPr>
        <w:spacing w:line="360" w:lineRule="auto"/>
        <w:jc w:val="both"/>
        <w:rPr>
          <w:rFonts w:ascii="Arial" w:hAnsi="Arial" w:cs="Arial"/>
          <w:sz w:val="22"/>
          <w:szCs w:val="22"/>
        </w:rPr>
      </w:pPr>
    </w:p>
    <w:p w14:paraId="589FE83E" w14:textId="77777777" w:rsidR="00D3531F" w:rsidRDefault="00D3531F" w:rsidP="00E97E42">
      <w:pPr>
        <w:spacing w:line="360" w:lineRule="auto"/>
        <w:jc w:val="both"/>
        <w:rPr>
          <w:rFonts w:ascii="Arial" w:hAnsi="Arial" w:cs="Arial"/>
          <w:sz w:val="22"/>
          <w:szCs w:val="22"/>
        </w:rPr>
      </w:pPr>
    </w:p>
    <w:p w14:paraId="7B666E82" w14:textId="77777777" w:rsidR="00D3531F" w:rsidRDefault="00D3531F" w:rsidP="00E97E42">
      <w:pPr>
        <w:spacing w:line="360" w:lineRule="auto"/>
        <w:jc w:val="both"/>
        <w:rPr>
          <w:rFonts w:ascii="Arial" w:hAnsi="Arial" w:cs="Arial"/>
          <w:sz w:val="22"/>
          <w:szCs w:val="22"/>
        </w:rPr>
      </w:pPr>
    </w:p>
    <w:p w14:paraId="5CC5BB05" w14:textId="77777777" w:rsidR="00D3531F" w:rsidRDefault="00D3531F" w:rsidP="00E97E42">
      <w:pPr>
        <w:spacing w:line="360" w:lineRule="auto"/>
        <w:jc w:val="both"/>
        <w:rPr>
          <w:rFonts w:ascii="Arial" w:hAnsi="Arial" w:cs="Arial"/>
          <w:sz w:val="22"/>
          <w:szCs w:val="22"/>
        </w:rPr>
      </w:pPr>
    </w:p>
    <w:p w14:paraId="4CE47224" w14:textId="77777777" w:rsidR="00D3531F" w:rsidRDefault="00D3531F" w:rsidP="00E97E42">
      <w:pPr>
        <w:spacing w:line="360" w:lineRule="auto"/>
        <w:jc w:val="both"/>
        <w:rPr>
          <w:rFonts w:ascii="Arial" w:hAnsi="Arial" w:cs="Arial"/>
          <w:sz w:val="22"/>
          <w:szCs w:val="22"/>
        </w:rPr>
      </w:pPr>
    </w:p>
    <w:p w14:paraId="3B04F71F" w14:textId="77777777" w:rsidR="00D3531F" w:rsidRDefault="00D3531F" w:rsidP="00E97E42">
      <w:pPr>
        <w:spacing w:line="360" w:lineRule="auto"/>
        <w:jc w:val="both"/>
        <w:rPr>
          <w:rFonts w:ascii="Arial" w:hAnsi="Arial" w:cs="Arial"/>
          <w:sz w:val="22"/>
          <w:szCs w:val="22"/>
        </w:rPr>
      </w:pPr>
    </w:p>
    <w:p w14:paraId="53C04688" w14:textId="77777777" w:rsidR="00D3531F" w:rsidRDefault="00D3531F" w:rsidP="00E97E42">
      <w:pPr>
        <w:spacing w:line="360" w:lineRule="auto"/>
        <w:jc w:val="both"/>
        <w:rPr>
          <w:rFonts w:ascii="Arial" w:hAnsi="Arial" w:cs="Arial"/>
          <w:sz w:val="22"/>
          <w:szCs w:val="22"/>
        </w:rPr>
      </w:pPr>
    </w:p>
    <w:p w14:paraId="53A3F22A" w14:textId="77777777" w:rsidR="00D3531F" w:rsidRPr="00E97E42" w:rsidRDefault="00D3531F" w:rsidP="00E97E42">
      <w:pPr>
        <w:spacing w:line="360" w:lineRule="auto"/>
        <w:jc w:val="both"/>
        <w:rPr>
          <w:rFonts w:ascii="Arial" w:hAnsi="Arial" w:cs="Arial"/>
          <w:sz w:val="22"/>
          <w:szCs w:val="22"/>
        </w:rPr>
      </w:pPr>
    </w:p>
    <w:p w14:paraId="113B66C7" w14:textId="77777777" w:rsidR="009F7DDB" w:rsidRPr="009F7DDB" w:rsidRDefault="009F7DDB" w:rsidP="00D3531F">
      <w:pPr>
        <w:pStyle w:val="Heading1"/>
      </w:pPr>
      <w:bookmarkStart w:id="61" w:name="_Toc233828729"/>
      <w:r w:rsidRPr="009F7DDB">
        <w:lastRenderedPageBreak/>
        <w:t>CHAPTER SIX</w:t>
      </w:r>
      <w:bookmarkEnd w:id="61"/>
    </w:p>
    <w:p w14:paraId="2EE28DC7" w14:textId="77777777" w:rsidR="009F7DDB" w:rsidRPr="009F7DDB" w:rsidRDefault="009F7DDB" w:rsidP="00D3531F">
      <w:pPr>
        <w:pStyle w:val="Heading2"/>
      </w:pPr>
      <w:bookmarkStart w:id="62" w:name="_Toc233828730"/>
      <w:r w:rsidRPr="009F7DDB">
        <w:t>6.1 Introduction to Chapter</w:t>
      </w:r>
      <w:bookmarkEnd w:id="62"/>
    </w:p>
    <w:p w14:paraId="4465C896"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This chapter critically discusses the findings generated through this systematic literature review on barriers to adolescent mental health service access within the United Kingdom (Aveyard, 2023; Page et al., 2021). Building on the thematic synthesis presented in Chapter 5, the discussion compares these findings with existing literature, theoretical perspectives and contemporary evidence to evaluate their implications for policy and practice (Popay et al., 2006; Thomas and Harden, 2008). The chapter is structured around the three overarching themes and includes a critical evaluation of the strengths and limitations of the evidence base to contextualise the findings and identify implications for future research (Cottrell, 2014; Bettany</w:t>
      </w:r>
      <w:r w:rsidRPr="009F7DDB">
        <w:rPr>
          <w:rFonts w:ascii="Arial" w:hAnsi="Arial" w:cs="Arial"/>
          <w:sz w:val="22"/>
          <w:szCs w:val="22"/>
        </w:rPr>
        <w:noBreakHyphen/>
        <w:t>Saltikov and McSherry, 2025).</w:t>
      </w:r>
    </w:p>
    <w:p w14:paraId="0FCCEC4D" w14:textId="77777777" w:rsidR="009F7DDB" w:rsidRPr="009F7DDB" w:rsidRDefault="009F7DDB" w:rsidP="00D3531F">
      <w:pPr>
        <w:pStyle w:val="Heading2"/>
      </w:pPr>
      <w:bookmarkStart w:id="63" w:name="_Toc233828731"/>
      <w:r w:rsidRPr="009F7DDB">
        <w:t>6.2 Discussion of Key Findings</w:t>
      </w:r>
      <w:bookmarkEnd w:id="63"/>
    </w:p>
    <w:p w14:paraId="4391F63A"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This section critically discusses the findings generated through the thematic synthesis presented in Chapter 5 by comparing them with existing literature, theoretical perspectives and contemporary evidence relating to adolescent mental health service access within the United Kingdom (Aveyard, 2023; Popay et al., 2006). The discussion is organised around three overarching themes: macro-systemic rationing and institutional gatekeeping, socio-economic stratification and structural determinants, and relational stigma, intersectional vulnerability and distrust (Thomas and Harden, 2008; Page et al., 2021).</w:t>
      </w:r>
    </w:p>
    <w:p w14:paraId="519FE802" w14:textId="77777777" w:rsidR="009F7DDB" w:rsidRPr="009F7DDB" w:rsidRDefault="009F7DDB" w:rsidP="00D3531F">
      <w:pPr>
        <w:pStyle w:val="Heading2"/>
      </w:pPr>
      <w:bookmarkStart w:id="64" w:name="_Toc233828732"/>
      <w:r w:rsidRPr="009F7DDB">
        <w:t>6.2.1 Macro-Systemic Rationing and Institutional Gatekeeping</w:t>
      </w:r>
      <w:bookmarkEnd w:id="64"/>
    </w:p>
    <w:p w14:paraId="7E9485DD" w14:textId="1A61E175"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The findings of this review indicate that adolescent mental health service access within the United Kingdom is increasingly constrained by a mismatch between rising levels of mental health need and </w:t>
      </w:r>
      <w:proofErr w:type="gramStart"/>
      <w:r w:rsidR="00D3531F">
        <w:rPr>
          <w:rFonts w:ascii="Arial" w:hAnsi="Arial" w:cs="Arial"/>
          <w:sz w:val="22"/>
          <w:szCs w:val="22"/>
        </w:rPr>
        <w:t>limited service</w:t>
      </w:r>
      <w:proofErr w:type="gramEnd"/>
      <w:r w:rsidRPr="009F7DDB">
        <w:rPr>
          <w:rFonts w:ascii="Arial" w:hAnsi="Arial" w:cs="Arial"/>
          <w:sz w:val="22"/>
          <w:szCs w:val="22"/>
        </w:rPr>
        <w:t xml:space="preserve"> capacity. This is consistent with national evidence demonstrating increasing prevalence of mental health difficulties among young people alongside growing demand for Child and Adolescent Mental Health Services (CAMHS) (NHS Digital, 2022; NHS Digital, 2023; Children’s Commissioner for England, 2024; Royal College of Psychiatrists, 2025). Consequently, many services have implemented restrictive referral thresholds, contributing to prolonged waiting times and reduced access to specialist support (Lowther-Payne et al., 2023; YoungMinds, 2022).</w:t>
      </w:r>
    </w:p>
    <w:p w14:paraId="22E07A21"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The review further suggests that CAMHS provision has shifted from preventative and early intervention approaches towards crisis-led models of care, whereby access is frequently determined by symptom severity rather than emerging need (Children’s Commissioner for England, 2024; Royal College of Psychiatrists, 2025). This is concerning because early </w:t>
      </w:r>
      <w:r w:rsidRPr="009F7DDB">
        <w:rPr>
          <w:rFonts w:ascii="Arial" w:hAnsi="Arial" w:cs="Arial"/>
          <w:sz w:val="22"/>
          <w:szCs w:val="22"/>
        </w:rPr>
        <w:lastRenderedPageBreak/>
        <w:t>intervention is consistently associated with improved outcomes and reduced long-term service demand (NHS England, 2021; Aveyard, 2023). Current service arrangements may therefore unintentionally contribute to worsening mental health difficulties before support is provided (Lowther-Payne et al., 2023).</w:t>
      </w:r>
    </w:p>
    <w:p w14:paraId="18BA0DCC"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These findings align with Andersen’s Behavioural Model, which proposes that healthcare utilisation is influenced by enabling factors such as service availability, workforce capacity and organisational structures (Andersen, 1995). Although adolescents may demonstrate significant clinical need, access to care remains dependent upon service capacity and eligibility criteria. As a result, unmet need may persist despite active help-seeking behaviour (Andersen, 1995).</w:t>
      </w:r>
    </w:p>
    <w:p w14:paraId="34AFFB5D" w14:textId="75CB304B"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A particularly important finding was the emergence of a care exclusion </w:t>
      </w:r>
      <w:r w:rsidR="008D2B13" w:rsidRPr="009F7DDB">
        <w:rPr>
          <w:rFonts w:ascii="Arial" w:hAnsi="Arial" w:cs="Arial"/>
          <w:sz w:val="22"/>
          <w:szCs w:val="22"/>
        </w:rPr>
        <w:t>paradox</w:t>
      </w:r>
      <w:r w:rsidR="008D2B13">
        <w:rPr>
          <w:rFonts w:ascii="Arial" w:hAnsi="Arial" w:cs="Arial"/>
          <w:sz w:val="22"/>
          <w:szCs w:val="22"/>
        </w:rPr>
        <w:t>;</w:t>
      </w:r>
      <w:r w:rsidRPr="009F7DDB">
        <w:rPr>
          <w:rFonts w:ascii="Arial" w:hAnsi="Arial" w:cs="Arial"/>
          <w:sz w:val="22"/>
          <w:szCs w:val="22"/>
        </w:rPr>
        <w:t xml:space="preserve"> whereby increasingly restrictive thresholds may delay intervention until young people reach </w:t>
      </w:r>
      <w:r>
        <w:rPr>
          <w:rFonts w:ascii="Arial" w:hAnsi="Arial" w:cs="Arial"/>
          <w:sz w:val="22"/>
          <w:szCs w:val="22"/>
        </w:rPr>
        <w:t xml:space="preserve">a </w:t>
      </w:r>
      <w:r w:rsidRPr="009F7DDB">
        <w:rPr>
          <w:rFonts w:ascii="Arial" w:hAnsi="Arial" w:cs="Arial"/>
          <w:sz w:val="22"/>
          <w:szCs w:val="22"/>
        </w:rPr>
        <w:t>crisis point. This challenges assumptions that stricter referral criteria improve efficiency, as delayed intervention may increase future demand for intensive or emergency support (BMA, 2025; CQC, 2025). The finding raises concerns regarding whether current commissioning arrangements adequately support preventative models of care.</w:t>
      </w:r>
    </w:p>
    <w:p w14:paraId="5E4AF7B9"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Workforce shortages also emerged as a significant barrier. Consistent with previous research, shortages of mental health professionals were associated with increased waiting times, reduced continuity of care and limited opportunities for therapeutic engagement (Royal College of Psychiatrists, 2025; NHS Digital, 2025). These challenges were particularly evident during the transition from CAMHS to Adult Mental Health Services, where fragmented pathways and stricter eligibility criteria frequently disrupted continuity of support (Lowther-Payne et al., 2023; Radez et al., 2021).</w:t>
      </w:r>
    </w:p>
    <w:p w14:paraId="7D0E6558"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Overall, the findings suggest that restrictive referral thresholds, workforce shortages and fragmented transition arrangements operate as interconnected structural barriers to adolescent mental health service access. Addressing these challenges will require greater investment in workforce capacity alongside a renewed emphasis on early intervention and continuity of care across service pathways (Children’s Commissioner for England, 2024; Royal College of Psychiatrists, 2025).</w:t>
      </w:r>
    </w:p>
    <w:p w14:paraId="2C52EBD0" w14:textId="77777777" w:rsidR="009F7DDB" w:rsidRPr="009F7DDB" w:rsidRDefault="009F7DDB" w:rsidP="00D3531F">
      <w:pPr>
        <w:pStyle w:val="Heading2"/>
      </w:pPr>
      <w:bookmarkStart w:id="65" w:name="_Toc233828733"/>
      <w:r w:rsidRPr="009F7DDB">
        <w:t>6.2.2 Socio-Economic Stratification and Structural Determinants</w:t>
      </w:r>
      <w:bookmarkEnd w:id="65"/>
    </w:p>
    <w:p w14:paraId="042D545F"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The findings of this review indicate that socioeconomic disadvantage remains a significant determinant of adolescent mental health service access within the United Kingdom. Adolescents living in deprived communities were found to experience both higher levels of mental health need and lower levels of successful service engagement. This is consistent with </w:t>
      </w:r>
      <w:r w:rsidRPr="009F7DDB">
        <w:rPr>
          <w:rFonts w:ascii="Arial" w:hAnsi="Arial" w:cs="Arial"/>
          <w:sz w:val="22"/>
          <w:szCs w:val="22"/>
        </w:rPr>
        <w:lastRenderedPageBreak/>
        <w:t>national evidence demonstrating persistent inequalities in mental health outcomes and healthcare utilisation among young people from disadvantaged backgrounds (NHS Digital, 2022; NHS Digital, 2025; Lowther-Payne et al., 2023).</w:t>
      </w:r>
    </w:p>
    <w:p w14:paraId="5A0A70C4" w14:textId="24DA5B96"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These findings strongly support Tudor Hart’s Inverse Care Law, which proposes that individuals with the greatest healthcare needs are often the least likely to receive appropriate care (Tudor Hart, 1971). Despite experiencing greater psychological distress, adolescents in deprived areas frequently encounter additional barriers, including service shortages, transport difficulties</w:t>
      </w:r>
      <w:r w:rsidR="00D70DD7">
        <w:rPr>
          <w:rFonts w:ascii="Arial" w:hAnsi="Arial" w:cs="Arial"/>
          <w:sz w:val="22"/>
          <w:szCs w:val="22"/>
        </w:rPr>
        <w:t>,</w:t>
      </w:r>
      <w:r w:rsidRPr="009F7DDB">
        <w:rPr>
          <w:rFonts w:ascii="Arial" w:hAnsi="Arial" w:cs="Arial"/>
          <w:sz w:val="22"/>
          <w:szCs w:val="22"/>
        </w:rPr>
        <w:t xml:space="preserve"> and longer waiting times (Lowther-Payne et al., 2023; NHS Digital, 2025; UK Government, 2025). Similarly, Andersen’s Behavioural Model suggests that healthcare utilisation is influenced by enabling resources such as service availability and socioeconomic circumstances (Andersen, 1995). Consequently, structural inequalities may restrict access even where clinical need is evident.</w:t>
      </w:r>
    </w:p>
    <w:p w14:paraId="5D94E824"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A further finding was the persistence of a regional postcode lottery in mental health service provision. The evidence suggests that local differences in funding, commissioning arrangements and workforce capacity contribute to geographical variation in service accessibility (Children’s Commissioner for England, 2024; Royal College of Psychiatrists, 2025; UK Government, 2025). As a result, adolescents with similar mental health needs may experience substantially different access outcomes depending on where they live.</w:t>
      </w:r>
    </w:p>
    <w:p w14:paraId="349A9E39"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Digital exclusion also emerged as an important structural barrier. Although remote consultations and digital interventions may improve accessibility for some young people, they can disadvantage those experiencing poverty, housing insecurity and limited internet access (Lowther-Payne et al., 2023; YoungMinds, 2022). This highlights the risk that technological innovation may inadvertently reinforce existing inequalities if broader social determinants are not addressed.</w:t>
      </w:r>
    </w:p>
    <w:p w14:paraId="2AB4AED3"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However, much of the existing evidence relies on area-level deprivation indicators and administrative datasets, which may overlook individual experiences of poverty and service access. This suggests that current evidence may underestimate the complexity of socioeconomic barriers affecting adolescents (Cottrell, 2014). Furthermore, adolescents living within the same geographical area may experience differing levels of financial hardship, family support and service accessibility, highlighting the limitations of relying solely on area-based measures of deprivation.</w:t>
      </w:r>
    </w:p>
    <w:p w14:paraId="70A39E61"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Overall, the findings indicate that deprivation, geographical inequalities and digital exclusion operate as interconnected barriers to adolescent mental health service access. Addressing these inequalities will require improvements in service provision alongside wider action </w:t>
      </w:r>
      <w:r w:rsidRPr="009F7DDB">
        <w:rPr>
          <w:rFonts w:ascii="Arial" w:hAnsi="Arial" w:cs="Arial"/>
          <w:sz w:val="22"/>
          <w:szCs w:val="22"/>
        </w:rPr>
        <w:lastRenderedPageBreak/>
        <w:t>targeting the social determinants of health (NHS Digital, 2025; Lowther-Payne et al., 2023; UK Government, 2025).</w:t>
      </w:r>
    </w:p>
    <w:p w14:paraId="4FFFE540" w14:textId="77777777" w:rsidR="009F7DDB" w:rsidRPr="009F7DDB" w:rsidRDefault="009F7DDB" w:rsidP="00D3531F">
      <w:pPr>
        <w:pStyle w:val="Heading2"/>
      </w:pPr>
      <w:bookmarkStart w:id="66" w:name="_Toc233828734"/>
      <w:r w:rsidRPr="009F7DDB">
        <w:t>6.2.3 Relational Stigma, Intersectional Vulnerability and Distrust</w:t>
      </w:r>
      <w:bookmarkEnd w:id="66"/>
    </w:p>
    <w:p w14:paraId="270AA563"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The findings of this review suggest that barriers to adolescent mental health service access extend beyond structural and organisational factors and are also shaped by socio-cultural influences. Internalised stigma, fear of judgement and concerns regarding social labelling were consistently identified as barriers to help-seeking behaviour among adolescents (Radez </w:t>
      </w:r>
      <w:r w:rsidRPr="009F7DDB">
        <w:rPr>
          <w:rFonts w:ascii="Arial" w:hAnsi="Arial" w:cs="Arial"/>
          <w:i/>
          <w:iCs/>
          <w:sz w:val="22"/>
          <w:szCs w:val="22"/>
        </w:rPr>
        <w:t>et al.</w:t>
      </w:r>
      <w:r w:rsidRPr="009F7DDB">
        <w:rPr>
          <w:rFonts w:ascii="Arial" w:hAnsi="Arial" w:cs="Arial"/>
          <w:sz w:val="22"/>
          <w:szCs w:val="22"/>
        </w:rPr>
        <w:t xml:space="preserve">, 2021; Aguirre Velasco </w:t>
      </w:r>
      <w:r w:rsidRPr="009F7DDB">
        <w:rPr>
          <w:rFonts w:ascii="Arial" w:hAnsi="Arial" w:cs="Arial"/>
          <w:i/>
          <w:iCs/>
          <w:sz w:val="22"/>
          <w:szCs w:val="22"/>
        </w:rPr>
        <w:t>et al.</w:t>
      </w:r>
      <w:r w:rsidRPr="009F7DDB">
        <w:rPr>
          <w:rFonts w:ascii="Arial" w:hAnsi="Arial" w:cs="Arial"/>
          <w:sz w:val="22"/>
          <w:szCs w:val="22"/>
        </w:rPr>
        <w:t>, 2020; YoungMinds, 2022). These findings support wider evidence indicating that negative perceptions of mental health continue to discourage disclosure and delay engagement with support services (</w:t>
      </w:r>
      <w:r w:rsidRPr="008D2B13">
        <w:rPr>
          <w:rFonts w:ascii="Arial" w:hAnsi="Arial" w:cs="Arial"/>
          <w:sz w:val="22"/>
          <w:szCs w:val="22"/>
        </w:rPr>
        <w:t>Radez et al.,</w:t>
      </w:r>
      <w:r w:rsidRPr="009F7DDB">
        <w:rPr>
          <w:rFonts w:ascii="Arial" w:hAnsi="Arial" w:cs="Arial"/>
          <w:sz w:val="22"/>
          <w:szCs w:val="22"/>
        </w:rPr>
        <w:t xml:space="preserve"> 2021; O’Brien </w:t>
      </w:r>
      <w:r w:rsidRPr="009F7DDB">
        <w:rPr>
          <w:rFonts w:ascii="Arial" w:hAnsi="Arial" w:cs="Arial"/>
          <w:i/>
          <w:iCs/>
          <w:sz w:val="22"/>
          <w:szCs w:val="22"/>
        </w:rPr>
        <w:t>et al.</w:t>
      </w:r>
      <w:r w:rsidRPr="009F7DDB">
        <w:rPr>
          <w:rFonts w:ascii="Arial" w:hAnsi="Arial" w:cs="Arial"/>
          <w:sz w:val="22"/>
          <w:szCs w:val="22"/>
        </w:rPr>
        <w:t>, 2024).</w:t>
      </w:r>
    </w:p>
    <w:p w14:paraId="5E779856"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From the perspective of Andersen’s Behavioural Model, stigma may be viewed as a predisposing factor that influences attitudes towards healthcare utilisation before contact with services occurs (Andersen, 1995). Consequently, adolescents may avoid seeking support even when services are available, suggesting that improving service capacity alone is unlikely to eliminate barriers without parallel efforts to improve mental health literacy and reduce stigma (Andersen, 1995; Aveyard, 2023).</w:t>
      </w:r>
    </w:p>
    <w:p w14:paraId="2D1BFF20"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Confidentiality concerns also emerged as a significant barrier to service engagement. Several studies reported that adolescents were reluctant to disclose psychological distress because of fears that personal information might be shared with parents, schools or other agencies without their consent (Lowther-Payne </w:t>
      </w:r>
      <w:r w:rsidRPr="009F7DDB">
        <w:rPr>
          <w:rFonts w:ascii="Arial" w:hAnsi="Arial" w:cs="Arial"/>
          <w:i/>
          <w:iCs/>
          <w:sz w:val="22"/>
          <w:szCs w:val="22"/>
        </w:rPr>
        <w:t>et al.</w:t>
      </w:r>
      <w:r w:rsidRPr="009F7DDB">
        <w:rPr>
          <w:rFonts w:ascii="Arial" w:hAnsi="Arial" w:cs="Arial"/>
          <w:sz w:val="22"/>
          <w:szCs w:val="22"/>
        </w:rPr>
        <w:t xml:space="preserve">, 2023; </w:t>
      </w:r>
      <w:r w:rsidRPr="008D2B13">
        <w:rPr>
          <w:rFonts w:ascii="Arial" w:hAnsi="Arial" w:cs="Arial"/>
          <w:sz w:val="22"/>
          <w:szCs w:val="22"/>
        </w:rPr>
        <w:t>Radez et al.,</w:t>
      </w:r>
      <w:r w:rsidRPr="009F7DDB">
        <w:rPr>
          <w:rFonts w:ascii="Arial" w:hAnsi="Arial" w:cs="Arial"/>
          <w:sz w:val="22"/>
          <w:szCs w:val="22"/>
        </w:rPr>
        <w:t xml:space="preserve"> 2021). This highlights the importance of trust within therapeutic relationships and supports previous research identifying confidentiality as a key determinant of adolescent help-seeking behaviour (Aguirre Velasco </w:t>
      </w:r>
      <w:r w:rsidRPr="009F7DDB">
        <w:rPr>
          <w:rFonts w:ascii="Arial" w:hAnsi="Arial" w:cs="Arial"/>
          <w:i/>
          <w:iCs/>
          <w:sz w:val="22"/>
          <w:szCs w:val="22"/>
        </w:rPr>
        <w:t>et al.</w:t>
      </w:r>
      <w:r w:rsidRPr="009F7DDB">
        <w:rPr>
          <w:rFonts w:ascii="Arial" w:hAnsi="Arial" w:cs="Arial"/>
          <w:sz w:val="22"/>
          <w:szCs w:val="22"/>
        </w:rPr>
        <w:t>, 2020; YoungMinds, 2022). Furthermore, uncertainty regarding confidentiality boundaries may unintentionally discourage early engagement with support services despite the necessity of safeguarding procedures. This suggests that effective communication about confidentiality policies may be as important as service availability in promoting access to care.</w:t>
      </w:r>
    </w:p>
    <w:p w14:paraId="261726F9"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The review also identified disproportionate barriers affecting LGBTQ+ adolescents and young people from minoritised ethnic backgrounds. These groups frequently reported experiences of discrimination, cultural misunderstanding and concerns regarding the inclusivity of mental health services (Leavey </w:t>
      </w:r>
      <w:r w:rsidRPr="008D2B13">
        <w:rPr>
          <w:rFonts w:ascii="Arial" w:hAnsi="Arial" w:cs="Arial"/>
          <w:sz w:val="22"/>
          <w:szCs w:val="22"/>
        </w:rPr>
        <w:t>et al.,</w:t>
      </w:r>
      <w:r w:rsidRPr="009F7DDB">
        <w:rPr>
          <w:rFonts w:ascii="Arial" w:hAnsi="Arial" w:cs="Arial"/>
          <w:sz w:val="22"/>
          <w:szCs w:val="22"/>
        </w:rPr>
        <w:t xml:space="preserve"> 2019; O’Brien </w:t>
      </w:r>
      <w:r w:rsidRPr="00C81772">
        <w:rPr>
          <w:rFonts w:ascii="Arial" w:hAnsi="Arial" w:cs="Arial"/>
          <w:sz w:val="22"/>
          <w:szCs w:val="22"/>
        </w:rPr>
        <w:t>et al.,</w:t>
      </w:r>
      <w:r w:rsidRPr="009F7DDB">
        <w:rPr>
          <w:rFonts w:ascii="Arial" w:hAnsi="Arial" w:cs="Arial"/>
          <w:sz w:val="22"/>
          <w:szCs w:val="22"/>
        </w:rPr>
        <w:t xml:space="preserve"> 2024; </w:t>
      </w:r>
      <w:r w:rsidRPr="008D2B13">
        <w:rPr>
          <w:rFonts w:ascii="Arial" w:hAnsi="Arial" w:cs="Arial"/>
          <w:sz w:val="22"/>
          <w:szCs w:val="22"/>
        </w:rPr>
        <w:t>Radez et al., 2021</w:t>
      </w:r>
      <w:r w:rsidRPr="009F7DDB">
        <w:rPr>
          <w:rFonts w:ascii="Arial" w:hAnsi="Arial" w:cs="Arial"/>
          <w:sz w:val="22"/>
          <w:szCs w:val="22"/>
        </w:rPr>
        <w:t xml:space="preserve">). Such findings are consistent with Minority Stress Theory, which proposes that chronic exposure to stigma and discrimination contributes to poorer mental health outcomes and reduced engagement with healthcare services (Meyer, 2003; O’Brien </w:t>
      </w:r>
      <w:r w:rsidRPr="008D2B13">
        <w:rPr>
          <w:rFonts w:ascii="Arial" w:hAnsi="Arial" w:cs="Arial"/>
          <w:sz w:val="22"/>
          <w:szCs w:val="22"/>
        </w:rPr>
        <w:t>et al.,</w:t>
      </w:r>
      <w:r w:rsidRPr="009F7DDB">
        <w:rPr>
          <w:rFonts w:ascii="Arial" w:hAnsi="Arial" w:cs="Arial"/>
          <w:sz w:val="22"/>
          <w:szCs w:val="22"/>
        </w:rPr>
        <w:t xml:space="preserve"> 2024). The findings also reflect the principles of Intersectionality Theory, which suggest that multiple social identities interact to </w:t>
      </w:r>
      <w:r w:rsidRPr="009F7DDB">
        <w:rPr>
          <w:rFonts w:ascii="Arial" w:hAnsi="Arial" w:cs="Arial"/>
          <w:sz w:val="22"/>
          <w:szCs w:val="22"/>
        </w:rPr>
        <w:lastRenderedPageBreak/>
        <w:t>create overlapping forms of disadvantage and inequality that influence access to healthcare and support services (Crenshaw, 1989). Consequently, inequalities in access appear to be shaped not only by socioeconomic disadvantage but also by the cumulative effects of discrimination, marginalisation and social exclusion.</w:t>
      </w:r>
    </w:p>
    <w:p w14:paraId="613EE8B6" w14:textId="0C4EFB26"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Structural pressures within CAMHS further compound these socio-cultural barriers. Prolonged waiting times and limited-service capacity have been shown to delay access to assessment and treatment, with many </w:t>
      </w:r>
      <w:r w:rsidR="00C81772" w:rsidRPr="009F7DDB">
        <w:rPr>
          <w:rFonts w:ascii="Arial" w:hAnsi="Arial" w:cs="Arial"/>
          <w:sz w:val="22"/>
          <w:szCs w:val="22"/>
        </w:rPr>
        <w:t>adolescents’</w:t>
      </w:r>
      <w:r w:rsidRPr="009F7DDB">
        <w:rPr>
          <w:rFonts w:ascii="Arial" w:hAnsi="Arial" w:cs="Arial"/>
          <w:sz w:val="22"/>
          <w:szCs w:val="22"/>
        </w:rPr>
        <w:t xml:space="preserve"> experiencing significant deterioration while awaiting support (Valentine </w:t>
      </w:r>
      <w:r w:rsidRPr="00C81772">
        <w:rPr>
          <w:rFonts w:ascii="Arial" w:hAnsi="Arial" w:cs="Arial"/>
          <w:sz w:val="22"/>
          <w:szCs w:val="22"/>
        </w:rPr>
        <w:t>et al.,</w:t>
      </w:r>
      <w:r w:rsidRPr="009F7DDB">
        <w:rPr>
          <w:rFonts w:ascii="Arial" w:hAnsi="Arial" w:cs="Arial"/>
          <w:sz w:val="22"/>
          <w:szCs w:val="22"/>
        </w:rPr>
        <w:t xml:space="preserve"> 2024). Additionally, organisational reforms such as the introduction of Single Points of Access (SPA) have aimed to streamline referral pathways, yet evidence suggests that structural constraints and rising demand often limit their effectiveness in improving timely access (Rocks </w:t>
      </w:r>
      <w:r w:rsidRPr="00C81772">
        <w:rPr>
          <w:rFonts w:ascii="Arial" w:hAnsi="Arial" w:cs="Arial"/>
          <w:sz w:val="22"/>
          <w:szCs w:val="22"/>
        </w:rPr>
        <w:t>et al.,</w:t>
      </w:r>
      <w:r w:rsidRPr="009F7DDB">
        <w:rPr>
          <w:rFonts w:ascii="Arial" w:hAnsi="Arial" w:cs="Arial"/>
          <w:sz w:val="22"/>
          <w:szCs w:val="22"/>
        </w:rPr>
        <w:t xml:space="preserve"> 2020).</w:t>
      </w:r>
    </w:p>
    <w:p w14:paraId="4572682E"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Overall, the findings suggest that relational stigma, confidentiality concerns and intersectional inequalities remain important barriers to adolescent mental health service access. Addressing these barriers requires not only improvements in service provision but also greater emphasis on inclusivity, cultural competence and trust-building within mental health services.</w:t>
      </w:r>
    </w:p>
    <w:p w14:paraId="51139349" w14:textId="77777777" w:rsidR="009F7DDB" w:rsidRPr="009F7DDB" w:rsidRDefault="009F7DDB" w:rsidP="00D3531F">
      <w:pPr>
        <w:pStyle w:val="Heading2"/>
      </w:pPr>
      <w:bookmarkStart w:id="67" w:name="_Toc233828735"/>
      <w:r w:rsidRPr="009F7DDB">
        <w:t>6.2.4 Critique of the Research Approach and Methodological Limitations</w:t>
      </w:r>
      <w:bookmarkEnd w:id="67"/>
    </w:p>
    <w:p w14:paraId="77064AE8"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The findings of this review should be interpreted in light of several methodological limitations within the included evidence base. A major strength of the literature was the inclusion of large national datasets and service audits, which provided valuable insight into referral patterns, waiting times and service utilisation across the United Kingdom (Children’s Commissioner for England, 2024; NHS Digital, 2023; Royal College of Psychiatrists, 2025). The consistency of findings across multiple studies strengthens confidence in the overall conclusions of the review (Page et al., 2021).</w:t>
      </w:r>
    </w:p>
    <w:p w14:paraId="47749BFE"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However, much of the evidence was derived from cross-sectional, observational and administrative datasets, limiting the ability to establish causal relationships between identified barriers and long-term mental health outcomes (Coughlan et al., 2007; Aveyard, 2023). In addition, qualitative studies were generally based on relatively small samples and specific localities, which may reduce the transferability of findings across the wider adolescent population (Lowther-Payne et al., 2023; Aguirre Velasco et al.,2020). Consequently, the experiences reported may not fully reflect the diversity of adolescent mental health service users across different regions and communities within the United Kingdom.</w:t>
      </w:r>
    </w:p>
    <w:p w14:paraId="5F9146E6"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A further limitation concerns the underrepresentation of marginalised groups within the literature. Although several studies explored inequalities affecting LGBTQ+ adolescents and </w:t>
      </w:r>
      <w:r w:rsidRPr="009F7DDB">
        <w:rPr>
          <w:rFonts w:ascii="Arial" w:hAnsi="Arial" w:cs="Arial"/>
          <w:sz w:val="22"/>
          <w:szCs w:val="22"/>
        </w:rPr>
        <w:lastRenderedPageBreak/>
        <w:t>young people from minority ethnic backgrounds, evidence examining the interaction of multiple disadvantages remains limited (Leavey et al., 2019; O’Brien et al., 2024). As noted by Cottrell (2014), ethical and practical challenges associated with researching vulnerable populations may contribute to these gaps.</w:t>
      </w:r>
    </w:p>
    <w:p w14:paraId="7662A679" w14:textId="3467082F"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Nevertheless, the convergence of findings across qualitative and quantitative studies suggests that the barriers identified represent persistent challenges to adolescent mental health service access within the United Kingdom (Page et al., 2021; Aveyard, 2023).</w:t>
      </w:r>
    </w:p>
    <w:p w14:paraId="41996645" w14:textId="77777777" w:rsidR="009F7DDB" w:rsidRPr="009F7DDB" w:rsidRDefault="009F7DDB" w:rsidP="00D3531F">
      <w:pPr>
        <w:pStyle w:val="Heading2"/>
      </w:pPr>
      <w:bookmarkStart w:id="68" w:name="_Toc233828736"/>
      <w:r w:rsidRPr="009F7DDB">
        <w:t>6.3 Strengths and Limitations</w:t>
      </w:r>
      <w:bookmarkEnd w:id="68"/>
    </w:p>
    <w:p w14:paraId="34F537B7" w14:textId="075F5CF0"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This systematic literature review possesses several important strengths. Adherence to the PRISMA 2020 guidelines ensured a transparent and systematic approach to study identification, screening and selection, thereby enhancing the credibility and reproducibility of the review process (Page et al., 2021; Aveyard, 2023). Furthermore, the inclusion of both qualitative and quantitative evidence enabled methodological triangulation, allowing statistical trends identified within national datasets to be interpreted alongside </w:t>
      </w:r>
      <w:r w:rsidR="002F0A44">
        <w:rPr>
          <w:rFonts w:ascii="Arial" w:hAnsi="Arial" w:cs="Arial"/>
          <w:sz w:val="22"/>
          <w:szCs w:val="22"/>
        </w:rPr>
        <w:t>adolescents</w:t>
      </w:r>
      <w:r w:rsidRPr="009F7DDB">
        <w:rPr>
          <w:rFonts w:ascii="Arial" w:hAnsi="Arial" w:cs="Arial"/>
          <w:sz w:val="22"/>
          <w:szCs w:val="22"/>
        </w:rPr>
        <w:t xml:space="preserve"> lived experiences of accessing mental health services (Thomas and Harden, 2008). The use of established critical appraisal tools, including the CASP Qualitative Checklist and the Coughlan framework, further strengthened the methodological rigour of the review (CASP, 2024; Coughlan et al., 2007).</w:t>
      </w:r>
    </w:p>
    <w:p w14:paraId="3E67285E" w14:textId="77777777" w:rsidR="009F7DDB" w:rsidRPr="009F7DDB" w:rsidRDefault="009F7DDB" w:rsidP="009F7DDB">
      <w:pPr>
        <w:spacing w:line="360" w:lineRule="auto"/>
        <w:jc w:val="both"/>
        <w:rPr>
          <w:rFonts w:ascii="Arial" w:hAnsi="Arial" w:cs="Arial"/>
          <w:sz w:val="22"/>
          <w:szCs w:val="22"/>
        </w:rPr>
      </w:pPr>
      <w:r w:rsidRPr="009F7DDB">
        <w:rPr>
          <w:rFonts w:ascii="Arial" w:hAnsi="Arial" w:cs="Arial"/>
          <w:sz w:val="22"/>
          <w:szCs w:val="22"/>
        </w:rPr>
        <w:t>However, several limitations should be acknowledged. As a secondary research study, the review was dependent upon the quality and availability of existing literature and was therefore unable to generate primary data (Bettany-Saltikov and McSherry, 2025). Additionally, restricting inclusion to UK-based studies enhanced contextual relevance but may limit the transferability of findings to other healthcare systems (Aveyard, 2023). Despite these limitations, the review provides a credible and evidence-based synthesis of contemporary UK literature relating to adolescent mental health service access barriers, offering valuable insights for policy development, service improvement and future research (Page et al., 2021).</w:t>
      </w:r>
    </w:p>
    <w:p w14:paraId="16848387" w14:textId="77777777" w:rsidR="009F7DDB" w:rsidRPr="009F7DDB" w:rsidRDefault="009F7DDB" w:rsidP="00D3531F">
      <w:pPr>
        <w:pStyle w:val="Heading2"/>
      </w:pPr>
      <w:bookmarkStart w:id="69" w:name="_Toc233828737"/>
      <w:r w:rsidRPr="009F7DDB">
        <w:t>6.4 Chapter Summary</w:t>
      </w:r>
      <w:bookmarkEnd w:id="69"/>
    </w:p>
    <w:p w14:paraId="74B6A2AA" w14:textId="77777777" w:rsidR="009F7DDB" w:rsidRDefault="009F7DDB" w:rsidP="009F7DDB">
      <w:pPr>
        <w:spacing w:line="360" w:lineRule="auto"/>
        <w:jc w:val="both"/>
        <w:rPr>
          <w:rFonts w:ascii="Arial" w:hAnsi="Arial" w:cs="Arial"/>
          <w:sz w:val="22"/>
          <w:szCs w:val="22"/>
        </w:rPr>
      </w:pPr>
      <w:r w:rsidRPr="009F7DDB">
        <w:rPr>
          <w:rFonts w:ascii="Arial" w:hAnsi="Arial" w:cs="Arial"/>
          <w:sz w:val="22"/>
          <w:szCs w:val="22"/>
        </w:rPr>
        <w:t xml:space="preserve">This chapter critically discussed the findings generated through the thematic synthesis by comparing them with existing literature, theoretical perspectives and contemporary evidence relating to adolescent mental health service access within the United Kingdom (Aveyard, 2023; Andersen, 1995; Tudor Hart, 1971). The discussion demonstrated that access barriers are shaped by interconnected structural, socioeconomic and socio-cultural factors, including restrictive referral thresholds, workforce shortages, deprivation, digital exclusion, stigma and confidentiality concerns (Lowther-Payne et al., 2023; Radez et al., 2021; Royal College of </w:t>
      </w:r>
      <w:r w:rsidRPr="009F7DDB">
        <w:rPr>
          <w:rFonts w:ascii="Arial" w:hAnsi="Arial" w:cs="Arial"/>
          <w:sz w:val="22"/>
          <w:szCs w:val="22"/>
        </w:rPr>
        <w:lastRenderedPageBreak/>
        <w:t>Psychiatrists, 2025). Drawing upon these findings, Chapter 7 presents the conclusions and evidence-based recommendations for policy, practice and future research.</w:t>
      </w:r>
    </w:p>
    <w:p w14:paraId="12FB5182" w14:textId="77777777" w:rsidR="00D3531F" w:rsidRDefault="00D3531F" w:rsidP="009F7DDB">
      <w:pPr>
        <w:spacing w:line="360" w:lineRule="auto"/>
        <w:jc w:val="both"/>
        <w:rPr>
          <w:rFonts w:ascii="Arial" w:hAnsi="Arial" w:cs="Arial"/>
          <w:sz w:val="22"/>
          <w:szCs w:val="22"/>
        </w:rPr>
      </w:pPr>
    </w:p>
    <w:p w14:paraId="1E4D743F" w14:textId="77777777" w:rsidR="00D3531F" w:rsidRDefault="00D3531F" w:rsidP="009F7DDB">
      <w:pPr>
        <w:spacing w:line="360" w:lineRule="auto"/>
        <w:jc w:val="both"/>
        <w:rPr>
          <w:rFonts w:ascii="Arial" w:hAnsi="Arial" w:cs="Arial"/>
          <w:sz w:val="22"/>
          <w:szCs w:val="22"/>
        </w:rPr>
      </w:pPr>
    </w:p>
    <w:p w14:paraId="41D4FF3E" w14:textId="77777777" w:rsidR="00D3531F" w:rsidRDefault="00D3531F" w:rsidP="009F7DDB">
      <w:pPr>
        <w:spacing w:line="360" w:lineRule="auto"/>
        <w:jc w:val="both"/>
        <w:rPr>
          <w:rFonts w:ascii="Arial" w:hAnsi="Arial" w:cs="Arial"/>
          <w:sz w:val="22"/>
          <w:szCs w:val="22"/>
        </w:rPr>
      </w:pPr>
    </w:p>
    <w:p w14:paraId="6A200D6F" w14:textId="77777777" w:rsidR="00D3531F" w:rsidRDefault="00D3531F" w:rsidP="009F7DDB">
      <w:pPr>
        <w:spacing w:line="360" w:lineRule="auto"/>
        <w:jc w:val="both"/>
        <w:rPr>
          <w:rFonts w:ascii="Arial" w:hAnsi="Arial" w:cs="Arial"/>
          <w:sz w:val="22"/>
          <w:szCs w:val="22"/>
        </w:rPr>
      </w:pPr>
    </w:p>
    <w:p w14:paraId="0724E4B7" w14:textId="77777777" w:rsidR="00D3531F" w:rsidRDefault="00D3531F" w:rsidP="009F7DDB">
      <w:pPr>
        <w:spacing w:line="360" w:lineRule="auto"/>
        <w:jc w:val="both"/>
        <w:rPr>
          <w:rFonts w:ascii="Arial" w:hAnsi="Arial" w:cs="Arial"/>
          <w:sz w:val="22"/>
          <w:szCs w:val="22"/>
        </w:rPr>
      </w:pPr>
    </w:p>
    <w:p w14:paraId="61E62CF5" w14:textId="77777777" w:rsidR="00D3531F" w:rsidRDefault="00D3531F" w:rsidP="009F7DDB">
      <w:pPr>
        <w:spacing w:line="360" w:lineRule="auto"/>
        <w:jc w:val="both"/>
        <w:rPr>
          <w:rFonts w:ascii="Arial" w:hAnsi="Arial" w:cs="Arial"/>
          <w:sz w:val="22"/>
          <w:szCs w:val="22"/>
        </w:rPr>
      </w:pPr>
    </w:p>
    <w:p w14:paraId="7BF8FBA4" w14:textId="77777777" w:rsidR="00D3531F" w:rsidRDefault="00D3531F" w:rsidP="009F7DDB">
      <w:pPr>
        <w:spacing w:line="360" w:lineRule="auto"/>
        <w:jc w:val="both"/>
        <w:rPr>
          <w:rFonts w:ascii="Arial" w:hAnsi="Arial" w:cs="Arial"/>
          <w:sz w:val="22"/>
          <w:szCs w:val="22"/>
        </w:rPr>
      </w:pPr>
    </w:p>
    <w:p w14:paraId="76BD37DA" w14:textId="77777777" w:rsidR="00D3531F" w:rsidRDefault="00D3531F" w:rsidP="009F7DDB">
      <w:pPr>
        <w:spacing w:line="360" w:lineRule="auto"/>
        <w:jc w:val="both"/>
        <w:rPr>
          <w:rFonts w:ascii="Arial" w:hAnsi="Arial" w:cs="Arial"/>
          <w:sz w:val="22"/>
          <w:szCs w:val="22"/>
        </w:rPr>
      </w:pPr>
    </w:p>
    <w:p w14:paraId="3873FB0A" w14:textId="77777777" w:rsidR="00D3531F" w:rsidRDefault="00D3531F" w:rsidP="009F7DDB">
      <w:pPr>
        <w:spacing w:line="360" w:lineRule="auto"/>
        <w:jc w:val="both"/>
        <w:rPr>
          <w:rFonts w:ascii="Arial" w:hAnsi="Arial" w:cs="Arial"/>
          <w:sz w:val="22"/>
          <w:szCs w:val="22"/>
        </w:rPr>
      </w:pPr>
    </w:p>
    <w:p w14:paraId="48188512" w14:textId="77777777" w:rsidR="00D3531F" w:rsidRDefault="00D3531F" w:rsidP="009F7DDB">
      <w:pPr>
        <w:spacing w:line="360" w:lineRule="auto"/>
        <w:jc w:val="both"/>
        <w:rPr>
          <w:rFonts w:ascii="Arial" w:hAnsi="Arial" w:cs="Arial"/>
          <w:sz w:val="22"/>
          <w:szCs w:val="22"/>
        </w:rPr>
      </w:pPr>
    </w:p>
    <w:p w14:paraId="2E008F2A" w14:textId="77777777" w:rsidR="00D3531F" w:rsidRDefault="00D3531F" w:rsidP="009F7DDB">
      <w:pPr>
        <w:spacing w:line="360" w:lineRule="auto"/>
        <w:jc w:val="both"/>
        <w:rPr>
          <w:rFonts w:ascii="Arial" w:hAnsi="Arial" w:cs="Arial"/>
          <w:sz w:val="22"/>
          <w:szCs w:val="22"/>
        </w:rPr>
      </w:pPr>
    </w:p>
    <w:p w14:paraId="7DB4F4B9" w14:textId="77777777" w:rsidR="00D3531F" w:rsidRDefault="00D3531F" w:rsidP="009F7DDB">
      <w:pPr>
        <w:spacing w:line="360" w:lineRule="auto"/>
        <w:jc w:val="both"/>
        <w:rPr>
          <w:rFonts w:ascii="Arial" w:hAnsi="Arial" w:cs="Arial"/>
          <w:sz w:val="22"/>
          <w:szCs w:val="22"/>
        </w:rPr>
      </w:pPr>
    </w:p>
    <w:p w14:paraId="58C6B739" w14:textId="77777777" w:rsidR="00D3531F" w:rsidRDefault="00D3531F" w:rsidP="009F7DDB">
      <w:pPr>
        <w:spacing w:line="360" w:lineRule="auto"/>
        <w:jc w:val="both"/>
        <w:rPr>
          <w:rFonts w:ascii="Arial" w:hAnsi="Arial" w:cs="Arial"/>
          <w:sz w:val="22"/>
          <w:szCs w:val="22"/>
        </w:rPr>
      </w:pPr>
    </w:p>
    <w:p w14:paraId="11052DDA" w14:textId="77777777" w:rsidR="00D3531F" w:rsidRDefault="00D3531F" w:rsidP="009F7DDB">
      <w:pPr>
        <w:spacing w:line="360" w:lineRule="auto"/>
        <w:jc w:val="both"/>
        <w:rPr>
          <w:rFonts w:ascii="Arial" w:hAnsi="Arial" w:cs="Arial"/>
          <w:sz w:val="22"/>
          <w:szCs w:val="22"/>
        </w:rPr>
      </w:pPr>
    </w:p>
    <w:p w14:paraId="7C460BF8" w14:textId="77777777" w:rsidR="00D3531F" w:rsidRDefault="00D3531F" w:rsidP="009F7DDB">
      <w:pPr>
        <w:spacing w:line="360" w:lineRule="auto"/>
        <w:jc w:val="both"/>
        <w:rPr>
          <w:rFonts w:ascii="Arial" w:hAnsi="Arial" w:cs="Arial"/>
          <w:sz w:val="22"/>
          <w:szCs w:val="22"/>
        </w:rPr>
      </w:pPr>
    </w:p>
    <w:p w14:paraId="69721F65" w14:textId="77777777" w:rsidR="00D3531F" w:rsidRDefault="00D3531F" w:rsidP="009F7DDB">
      <w:pPr>
        <w:spacing w:line="360" w:lineRule="auto"/>
        <w:jc w:val="both"/>
        <w:rPr>
          <w:rFonts w:ascii="Arial" w:hAnsi="Arial" w:cs="Arial"/>
          <w:sz w:val="22"/>
          <w:szCs w:val="22"/>
        </w:rPr>
      </w:pPr>
    </w:p>
    <w:p w14:paraId="4CE57FE4" w14:textId="77777777" w:rsidR="00D3531F" w:rsidRDefault="00D3531F" w:rsidP="009F7DDB">
      <w:pPr>
        <w:spacing w:line="360" w:lineRule="auto"/>
        <w:jc w:val="both"/>
        <w:rPr>
          <w:rFonts w:ascii="Arial" w:hAnsi="Arial" w:cs="Arial"/>
          <w:sz w:val="22"/>
          <w:szCs w:val="22"/>
        </w:rPr>
      </w:pPr>
    </w:p>
    <w:p w14:paraId="05A6FE38" w14:textId="77777777" w:rsidR="00D3531F" w:rsidRDefault="00D3531F" w:rsidP="009F7DDB">
      <w:pPr>
        <w:spacing w:line="360" w:lineRule="auto"/>
        <w:jc w:val="both"/>
        <w:rPr>
          <w:rFonts w:ascii="Arial" w:hAnsi="Arial" w:cs="Arial"/>
          <w:sz w:val="22"/>
          <w:szCs w:val="22"/>
        </w:rPr>
      </w:pPr>
    </w:p>
    <w:p w14:paraId="4FDD27B5" w14:textId="77777777" w:rsidR="00D3531F" w:rsidRDefault="00D3531F" w:rsidP="009F7DDB">
      <w:pPr>
        <w:spacing w:line="360" w:lineRule="auto"/>
        <w:jc w:val="both"/>
        <w:rPr>
          <w:rFonts w:ascii="Arial" w:hAnsi="Arial" w:cs="Arial"/>
          <w:sz w:val="22"/>
          <w:szCs w:val="22"/>
        </w:rPr>
      </w:pPr>
    </w:p>
    <w:p w14:paraId="7EC24236" w14:textId="77777777" w:rsidR="00D3531F" w:rsidRDefault="00D3531F" w:rsidP="009F7DDB">
      <w:pPr>
        <w:spacing w:line="360" w:lineRule="auto"/>
        <w:jc w:val="both"/>
        <w:rPr>
          <w:rFonts w:ascii="Arial" w:hAnsi="Arial" w:cs="Arial"/>
          <w:sz w:val="22"/>
          <w:szCs w:val="22"/>
        </w:rPr>
      </w:pPr>
    </w:p>
    <w:p w14:paraId="3FD9158F" w14:textId="77777777" w:rsidR="00D3531F" w:rsidRDefault="00D3531F" w:rsidP="009F7DDB">
      <w:pPr>
        <w:spacing w:line="360" w:lineRule="auto"/>
        <w:jc w:val="both"/>
        <w:rPr>
          <w:rFonts w:ascii="Arial" w:hAnsi="Arial" w:cs="Arial"/>
          <w:sz w:val="22"/>
          <w:szCs w:val="22"/>
        </w:rPr>
      </w:pPr>
    </w:p>
    <w:p w14:paraId="1B5DFE9D" w14:textId="77777777" w:rsidR="00D3531F" w:rsidRDefault="00D3531F" w:rsidP="009F7DDB">
      <w:pPr>
        <w:spacing w:line="360" w:lineRule="auto"/>
        <w:jc w:val="both"/>
        <w:rPr>
          <w:rFonts w:ascii="Arial" w:hAnsi="Arial" w:cs="Arial"/>
          <w:sz w:val="22"/>
          <w:szCs w:val="22"/>
        </w:rPr>
      </w:pPr>
    </w:p>
    <w:p w14:paraId="3C5D2612" w14:textId="77777777" w:rsidR="00D3531F" w:rsidRDefault="00D3531F" w:rsidP="009F7DDB">
      <w:pPr>
        <w:spacing w:line="360" w:lineRule="auto"/>
        <w:jc w:val="both"/>
        <w:rPr>
          <w:rFonts w:ascii="Arial" w:hAnsi="Arial" w:cs="Arial"/>
          <w:sz w:val="22"/>
          <w:szCs w:val="22"/>
        </w:rPr>
      </w:pPr>
    </w:p>
    <w:p w14:paraId="42E80AD7" w14:textId="77777777" w:rsidR="00D3531F" w:rsidRPr="009F7DDB" w:rsidRDefault="00D3531F" w:rsidP="009F7DDB">
      <w:pPr>
        <w:spacing w:line="360" w:lineRule="auto"/>
        <w:jc w:val="both"/>
        <w:rPr>
          <w:rFonts w:ascii="Arial" w:hAnsi="Arial" w:cs="Arial"/>
          <w:sz w:val="22"/>
          <w:szCs w:val="22"/>
        </w:rPr>
      </w:pPr>
    </w:p>
    <w:p w14:paraId="76A07B92" w14:textId="77777777" w:rsidR="004816CD" w:rsidRPr="004816CD" w:rsidRDefault="004816CD" w:rsidP="00D3531F">
      <w:pPr>
        <w:pStyle w:val="Heading1"/>
      </w:pPr>
      <w:bookmarkStart w:id="70" w:name="_Toc233828738"/>
      <w:r w:rsidRPr="004816CD">
        <w:lastRenderedPageBreak/>
        <w:t>CHAPTER SEVEN</w:t>
      </w:r>
      <w:bookmarkEnd w:id="70"/>
    </w:p>
    <w:p w14:paraId="05B17E43" w14:textId="77777777" w:rsidR="004816CD" w:rsidRPr="004816CD" w:rsidRDefault="004816CD" w:rsidP="00D3531F">
      <w:pPr>
        <w:pStyle w:val="Heading2"/>
      </w:pPr>
      <w:bookmarkStart w:id="71" w:name="_Toc233828739"/>
      <w:r w:rsidRPr="004816CD">
        <w:t>7.1 Introduction</w:t>
      </w:r>
      <w:bookmarkEnd w:id="71"/>
    </w:p>
    <w:p w14:paraId="05458B50" w14:textId="77777777" w:rsidR="004816CD" w:rsidRPr="004816CD" w:rsidRDefault="004816CD" w:rsidP="004816CD">
      <w:pPr>
        <w:spacing w:line="360" w:lineRule="auto"/>
        <w:jc w:val="both"/>
        <w:rPr>
          <w:rFonts w:ascii="Arial" w:hAnsi="Arial" w:cs="Arial"/>
          <w:sz w:val="22"/>
          <w:szCs w:val="22"/>
        </w:rPr>
      </w:pPr>
      <w:r w:rsidRPr="004816CD">
        <w:rPr>
          <w:rFonts w:ascii="Arial" w:hAnsi="Arial" w:cs="Arial"/>
          <w:sz w:val="22"/>
          <w:szCs w:val="22"/>
        </w:rPr>
        <w:t>This final chapter presents the key conclusions drawn from the systematic review and outlines a series of evidence</w:t>
      </w:r>
      <w:r w:rsidRPr="004816CD">
        <w:rPr>
          <w:rFonts w:ascii="Arial" w:hAnsi="Arial" w:cs="Arial"/>
          <w:sz w:val="22"/>
          <w:szCs w:val="22"/>
        </w:rPr>
        <w:noBreakHyphen/>
        <w:t xml:space="preserve">informed recommendations to improve adolescent mental health service access in the United Kingdom. It builds on the findings discussed in the previous chapter and translates them into practical implications for policy, service design and future research. </w:t>
      </w:r>
    </w:p>
    <w:p w14:paraId="57FE2DAA" w14:textId="77777777" w:rsidR="004816CD" w:rsidRPr="004816CD" w:rsidRDefault="004816CD" w:rsidP="004816CD">
      <w:pPr>
        <w:spacing w:line="360" w:lineRule="auto"/>
        <w:jc w:val="both"/>
        <w:rPr>
          <w:rFonts w:ascii="Arial" w:hAnsi="Arial" w:cs="Arial"/>
          <w:sz w:val="22"/>
          <w:szCs w:val="22"/>
        </w:rPr>
      </w:pPr>
      <w:r w:rsidRPr="004816CD">
        <w:rPr>
          <w:rFonts w:ascii="Arial" w:hAnsi="Arial" w:cs="Arial"/>
          <w:sz w:val="22"/>
          <w:szCs w:val="22"/>
        </w:rPr>
        <w:t>The chapter first sets out recommendations for strengthening early intervention, reducing inequalities and improving service capacity. It then identifies priorities for further investigation before concluding with a summary of the overall contribution and significance of the review.</w:t>
      </w:r>
    </w:p>
    <w:p w14:paraId="4D2AB60A" w14:textId="77777777" w:rsidR="004816CD" w:rsidRPr="004816CD" w:rsidRDefault="004816CD" w:rsidP="00D3531F">
      <w:pPr>
        <w:pStyle w:val="Heading2"/>
      </w:pPr>
      <w:bookmarkStart w:id="72" w:name="_Toc233828740"/>
      <w:r w:rsidRPr="004816CD">
        <w:t>7.2 Implications of Findings</w:t>
      </w:r>
      <w:bookmarkEnd w:id="72"/>
    </w:p>
    <w:p w14:paraId="7A966AF5" w14:textId="77777777" w:rsidR="004816CD" w:rsidRPr="004816CD" w:rsidRDefault="004816CD" w:rsidP="004816CD">
      <w:pPr>
        <w:spacing w:line="360" w:lineRule="auto"/>
        <w:jc w:val="both"/>
        <w:rPr>
          <w:rFonts w:ascii="Arial" w:hAnsi="Arial" w:cs="Arial"/>
          <w:sz w:val="22"/>
          <w:szCs w:val="22"/>
        </w:rPr>
      </w:pPr>
      <w:r w:rsidRPr="004816CD">
        <w:rPr>
          <w:rFonts w:ascii="Arial" w:hAnsi="Arial" w:cs="Arial"/>
          <w:sz w:val="22"/>
          <w:szCs w:val="22"/>
        </w:rPr>
        <w:t>The findings of this review indicate that adolescent access to Child and Adolescent Mental Health Services (CAMHS) remains influenced by a mismatch between increasing levels of need and available service provision (Children’s Commissioner for England, 2024; YoungMinds, 2022; Lowther Payne et al., 2023). High referral thresholds, workforce shortages and increasing demand continue to restrict timely access to support, limiting opportunities for early intervention and increasing reliance on crisis-led care pathways.</w:t>
      </w:r>
    </w:p>
    <w:p w14:paraId="3C849C36" w14:textId="7D101774" w:rsidR="004816CD" w:rsidRPr="004816CD" w:rsidRDefault="004816CD" w:rsidP="004816CD">
      <w:pPr>
        <w:spacing w:line="360" w:lineRule="auto"/>
        <w:jc w:val="both"/>
        <w:rPr>
          <w:rFonts w:ascii="Arial" w:hAnsi="Arial" w:cs="Arial"/>
          <w:sz w:val="22"/>
          <w:szCs w:val="22"/>
        </w:rPr>
      </w:pPr>
      <w:r w:rsidRPr="004816CD">
        <w:rPr>
          <w:rFonts w:ascii="Arial" w:hAnsi="Arial" w:cs="Arial"/>
          <w:sz w:val="22"/>
          <w:szCs w:val="22"/>
        </w:rPr>
        <w:t>Within Andersen’s Behavioural Model, barriers to service utilisation are shaped by the interaction of predisposing, enabling and need factors (Andersen, 1995). Stigma, cultural attitudes and low mental health literacy may reduce willingness to seek support, while service availability, referral processes and digital accessibility influence the ability to obtain care (Radez et al., 2021; NHS Digital, 2025). Furthermore, the persistence of geographical inequalities and socioeconomic disadvantage reflects the principles of the Inverse Care Law, whereby those with the greatest need often experience the greatest barriers to accessing services (Tudor Hart, 1971; NHS England, 2023). Collectively, these findings suggest that reducing inequalities in access requires a more equitable, preventative and needs-led approach to adolescent mental health provision.</w:t>
      </w:r>
    </w:p>
    <w:p w14:paraId="11A1D0E7" w14:textId="77777777" w:rsidR="00FF4AFB" w:rsidRPr="00FF4AFB" w:rsidRDefault="00FF4AFB" w:rsidP="00D3531F">
      <w:pPr>
        <w:pStyle w:val="Heading2"/>
      </w:pPr>
      <w:bookmarkStart w:id="73" w:name="_Toc233828741"/>
      <w:r w:rsidRPr="00FF4AFB">
        <w:t>7.3 Recommendations for Practice</w:t>
      </w:r>
      <w:bookmarkEnd w:id="73"/>
    </w:p>
    <w:p w14:paraId="07D7F22E" w14:textId="77777777" w:rsidR="00FF4AFB" w:rsidRPr="00FF4AFB" w:rsidRDefault="00FF4AFB" w:rsidP="00FF4AFB">
      <w:pPr>
        <w:spacing w:line="360" w:lineRule="auto"/>
        <w:jc w:val="both"/>
        <w:rPr>
          <w:rFonts w:ascii="Arial" w:hAnsi="Arial" w:cs="Arial"/>
          <w:sz w:val="22"/>
          <w:szCs w:val="22"/>
        </w:rPr>
      </w:pPr>
      <w:r w:rsidRPr="00FF4AFB">
        <w:rPr>
          <w:rFonts w:ascii="Arial" w:hAnsi="Arial" w:cs="Arial"/>
          <w:sz w:val="22"/>
          <w:szCs w:val="22"/>
        </w:rPr>
        <w:t>To address the inequalities identified in this review, mental health services should implement structural reforms that promote equitable access to Child and Adolescent Mental Health Services (CAMHS) (Andersen, 1995; Tudor Hart, 1971; Aveyard, 2023).</w:t>
      </w:r>
    </w:p>
    <w:p w14:paraId="02729466" w14:textId="77777777" w:rsidR="00FF4AFB" w:rsidRPr="00FF4AFB" w:rsidRDefault="00FF4AFB" w:rsidP="00FF4AFB">
      <w:pPr>
        <w:spacing w:line="360" w:lineRule="auto"/>
        <w:jc w:val="both"/>
        <w:rPr>
          <w:rFonts w:ascii="Arial" w:hAnsi="Arial" w:cs="Arial"/>
          <w:sz w:val="22"/>
          <w:szCs w:val="22"/>
        </w:rPr>
      </w:pPr>
      <w:r w:rsidRPr="00FF4AFB">
        <w:rPr>
          <w:rFonts w:ascii="Arial" w:hAnsi="Arial" w:cs="Arial"/>
          <w:sz w:val="22"/>
          <w:szCs w:val="22"/>
        </w:rPr>
        <w:t xml:space="preserve">First, community-based youth mental health hubs should be expanded to reduce reliance on crisis-led pathways and provide earlier support for adolescents with emerging mental health </w:t>
      </w:r>
      <w:r w:rsidRPr="00FF4AFB">
        <w:rPr>
          <w:rFonts w:ascii="Arial" w:hAnsi="Arial" w:cs="Arial"/>
          <w:sz w:val="22"/>
          <w:szCs w:val="22"/>
        </w:rPr>
        <w:lastRenderedPageBreak/>
        <w:t>needs (Children’s Commissioner for England, 2024; UK Government, 2024; Lowther-Payne et al., 2023).</w:t>
      </w:r>
    </w:p>
    <w:p w14:paraId="00B3BDB0" w14:textId="77777777" w:rsidR="00FF4AFB" w:rsidRPr="00FF4AFB" w:rsidRDefault="00FF4AFB" w:rsidP="00FF4AFB">
      <w:pPr>
        <w:spacing w:line="360" w:lineRule="auto"/>
        <w:jc w:val="both"/>
        <w:rPr>
          <w:rFonts w:ascii="Arial" w:hAnsi="Arial" w:cs="Arial"/>
          <w:sz w:val="22"/>
          <w:szCs w:val="22"/>
        </w:rPr>
      </w:pPr>
      <w:r w:rsidRPr="00FF4AFB">
        <w:rPr>
          <w:rFonts w:ascii="Arial" w:hAnsi="Arial" w:cs="Arial"/>
          <w:sz w:val="22"/>
          <w:szCs w:val="22"/>
        </w:rPr>
        <w:t>Second, Mental Health Support Teams should be further embedded within schools to strengthen early identification and facilitate timely referral to appropriate services (NHS England, 2023; Sheridan et al., 2021; Radez et al., 2021).</w:t>
      </w:r>
    </w:p>
    <w:p w14:paraId="0A80B800" w14:textId="77777777" w:rsidR="00FF4AFB" w:rsidRPr="00FF4AFB" w:rsidRDefault="00FF4AFB" w:rsidP="00FF4AFB">
      <w:pPr>
        <w:spacing w:line="360" w:lineRule="auto"/>
        <w:jc w:val="both"/>
        <w:rPr>
          <w:rFonts w:ascii="Arial" w:hAnsi="Arial" w:cs="Arial"/>
          <w:sz w:val="22"/>
          <w:szCs w:val="22"/>
        </w:rPr>
      </w:pPr>
      <w:r w:rsidRPr="00FF4AFB">
        <w:rPr>
          <w:rFonts w:ascii="Arial" w:hAnsi="Arial" w:cs="Arial"/>
          <w:sz w:val="22"/>
          <w:szCs w:val="22"/>
        </w:rPr>
        <w:t>Third, services should strengthen cultural competence and co-production to reduce barriers associated with stigma, mistrust and discrimination among minoritised populations (Aguirre Velasco et al., 2020; Radez et al., 2021; Children’s Commissioner for England, 2024). This should include meaningful involvement of young people in service design and evaluation.</w:t>
      </w:r>
    </w:p>
    <w:p w14:paraId="071F7ED0" w14:textId="77777777" w:rsidR="00FF4AFB" w:rsidRPr="00FF4AFB" w:rsidRDefault="00FF4AFB" w:rsidP="00FF4AFB">
      <w:pPr>
        <w:spacing w:line="360" w:lineRule="auto"/>
        <w:jc w:val="both"/>
        <w:rPr>
          <w:rFonts w:ascii="Arial" w:hAnsi="Arial" w:cs="Arial"/>
          <w:sz w:val="22"/>
          <w:szCs w:val="22"/>
        </w:rPr>
      </w:pPr>
      <w:r w:rsidRPr="00FF4AFB">
        <w:rPr>
          <w:rFonts w:ascii="Arial" w:hAnsi="Arial" w:cs="Arial"/>
          <w:sz w:val="22"/>
          <w:szCs w:val="22"/>
        </w:rPr>
        <w:t>Finally, a hybrid model of community-based, school-based and digital care should be adopted to increase flexibility and reduce inequalities in service access (NHS Digital, 2025; Sheridan et al., 2021; UK Government, 2024).</w:t>
      </w:r>
    </w:p>
    <w:p w14:paraId="521138CF" w14:textId="77777777" w:rsidR="00BC00BA" w:rsidRPr="00BC00BA" w:rsidRDefault="00BC00BA" w:rsidP="00D3531F">
      <w:pPr>
        <w:pStyle w:val="Heading2"/>
      </w:pPr>
      <w:bookmarkStart w:id="74" w:name="_Toc233828742"/>
      <w:r w:rsidRPr="00BC00BA">
        <w:t>7.4 Recommendations for Future Research</w:t>
      </w:r>
      <w:bookmarkEnd w:id="74"/>
    </w:p>
    <w:p w14:paraId="79BD47F8" w14:textId="77777777" w:rsidR="00BC00BA" w:rsidRPr="00BC00BA" w:rsidRDefault="00BC00BA" w:rsidP="00BC00BA">
      <w:pPr>
        <w:spacing w:line="360" w:lineRule="auto"/>
        <w:jc w:val="both"/>
        <w:rPr>
          <w:rFonts w:ascii="Arial" w:hAnsi="Arial" w:cs="Arial"/>
          <w:sz w:val="22"/>
          <w:szCs w:val="22"/>
        </w:rPr>
      </w:pPr>
      <w:r w:rsidRPr="00BC00BA">
        <w:rPr>
          <w:rFonts w:ascii="Arial" w:hAnsi="Arial" w:cs="Arial"/>
          <w:sz w:val="22"/>
          <w:szCs w:val="22"/>
        </w:rPr>
        <w:t>Future research should prioritise longitudinal United Kingdom-based studies examining how barriers to accessing Child and Adolescent Mental Health Services (CAMHS) influence long-term mental health outcomes and service engagement (Cottrell, 2014; Page et al., 2021; Andersen, 1995). Such research would provide greater insight into the long-term effects of delayed access to mental health support.</w:t>
      </w:r>
    </w:p>
    <w:p w14:paraId="6D7EEF13" w14:textId="77777777" w:rsidR="00BC00BA" w:rsidRPr="00BC00BA" w:rsidRDefault="00BC00BA" w:rsidP="00BC00BA">
      <w:pPr>
        <w:spacing w:line="360" w:lineRule="auto"/>
        <w:jc w:val="both"/>
        <w:rPr>
          <w:rFonts w:ascii="Arial" w:hAnsi="Arial" w:cs="Arial"/>
          <w:sz w:val="22"/>
          <w:szCs w:val="22"/>
        </w:rPr>
      </w:pPr>
      <w:r w:rsidRPr="00BC00BA">
        <w:rPr>
          <w:rFonts w:ascii="Arial" w:hAnsi="Arial" w:cs="Arial"/>
          <w:sz w:val="22"/>
          <w:szCs w:val="22"/>
        </w:rPr>
        <w:t>There is also a need for qualitative research exploring the experiences of marginalised groups, including adolescents from minority ethnic backgrounds, LGBTQ+ communities and socioeconomically disadvantaged populations. Greater attention should be given to how stigma, discrimination and cultural factors influence help-seeking behaviour and service utilisation (Aguirre Velasco et al., 2020; Radez et al., 2021; Fergie et al., 2023).</w:t>
      </w:r>
    </w:p>
    <w:p w14:paraId="39A6A104" w14:textId="77777777" w:rsidR="00BC00BA" w:rsidRPr="00BC00BA" w:rsidRDefault="00BC00BA" w:rsidP="00BC00BA">
      <w:pPr>
        <w:spacing w:line="360" w:lineRule="auto"/>
        <w:jc w:val="both"/>
        <w:rPr>
          <w:rFonts w:ascii="Arial" w:hAnsi="Arial" w:cs="Arial"/>
          <w:sz w:val="22"/>
          <w:szCs w:val="22"/>
        </w:rPr>
      </w:pPr>
      <w:r w:rsidRPr="00BC00BA">
        <w:rPr>
          <w:rFonts w:ascii="Arial" w:hAnsi="Arial" w:cs="Arial"/>
          <w:sz w:val="22"/>
          <w:szCs w:val="22"/>
        </w:rPr>
        <w:t>Further research should evaluate whether recent policy initiatives and service reforms have improved equity of access and reduced the effects of the Inverse Care Law within CAMHS (Tudor Hart, 1971; NHS England, 2023; UK Government, 2024). Additional research should also assess the effectiveness, accessibility and impact of digital mental health interventions in reducing inequalities among adolescents across different regions of the United Kingdom (NHS Digital, 2025; Sheridan et al., 2021; YoungMinds, 2022).</w:t>
      </w:r>
    </w:p>
    <w:p w14:paraId="312C1D21" w14:textId="77777777" w:rsidR="009464AE" w:rsidRPr="009464AE" w:rsidRDefault="009464AE" w:rsidP="00D3531F">
      <w:pPr>
        <w:pStyle w:val="Heading2"/>
      </w:pPr>
      <w:bookmarkStart w:id="75" w:name="_Toc233828743"/>
      <w:r w:rsidRPr="009464AE">
        <w:t>7.5 Conclusion</w:t>
      </w:r>
      <w:bookmarkEnd w:id="75"/>
    </w:p>
    <w:p w14:paraId="04665283" w14:textId="56D9A2A0" w:rsidR="009464AE" w:rsidRPr="009464AE" w:rsidRDefault="009464AE" w:rsidP="009464AE">
      <w:pPr>
        <w:spacing w:line="360" w:lineRule="auto"/>
        <w:jc w:val="both"/>
        <w:rPr>
          <w:rFonts w:ascii="Arial" w:hAnsi="Arial" w:cs="Arial"/>
          <w:sz w:val="22"/>
          <w:szCs w:val="22"/>
        </w:rPr>
      </w:pPr>
      <w:r w:rsidRPr="009464AE">
        <w:rPr>
          <w:rFonts w:ascii="Arial" w:hAnsi="Arial" w:cs="Arial"/>
          <w:sz w:val="22"/>
          <w:szCs w:val="22"/>
        </w:rPr>
        <w:t xml:space="preserve">This systematic literature review examined the public health and social care barriers </w:t>
      </w:r>
      <w:r w:rsidR="009118AB">
        <w:rPr>
          <w:rFonts w:ascii="Arial" w:hAnsi="Arial" w:cs="Arial"/>
          <w:sz w:val="22"/>
          <w:szCs w:val="22"/>
        </w:rPr>
        <w:t>that influence adolescents' access to Child and Adolescent Mental Health Services (CAMHS) in</w:t>
      </w:r>
      <w:r w:rsidRPr="009464AE">
        <w:rPr>
          <w:rFonts w:ascii="Arial" w:hAnsi="Arial" w:cs="Arial"/>
          <w:sz w:val="22"/>
          <w:szCs w:val="22"/>
        </w:rPr>
        <w:t xml:space="preserve"> the United Kingdom. The review addressed the research question: </w:t>
      </w:r>
      <w:r w:rsidRPr="00C3263E">
        <w:rPr>
          <w:rFonts w:ascii="Arial" w:hAnsi="Arial" w:cs="Arial"/>
          <w:b/>
          <w:bCs/>
          <w:i/>
          <w:iCs/>
          <w:sz w:val="22"/>
          <w:szCs w:val="22"/>
        </w:rPr>
        <w:t xml:space="preserve">What public health and </w:t>
      </w:r>
      <w:r w:rsidRPr="00C3263E">
        <w:rPr>
          <w:rFonts w:ascii="Arial" w:hAnsi="Arial" w:cs="Arial"/>
          <w:b/>
          <w:bCs/>
          <w:i/>
          <w:iCs/>
          <w:sz w:val="22"/>
          <w:szCs w:val="22"/>
        </w:rPr>
        <w:lastRenderedPageBreak/>
        <w:t>social care barriers influence adolescents’ access to mental health services in the United Kingdom?</w:t>
      </w:r>
      <w:r w:rsidRPr="009464AE">
        <w:rPr>
          <w:rFonts w:ascii="Arial" w:hAnsi="Arial" w:cs="Arial"/>
          <w:sz w:val="22"/>
          <w:szCs w:val="22"/>
        </w:rPr>
        <w:t xml:space="preserve"> Through the systematic identification, critical appraisal and thematic synthesis of evidence from ten included studies, the review explored how structural, socioeconomic and socio-cultural factors shape access to mental health support among adolescents aged 10–19 years.</w:t>
      </w:r>
    </w:p>
    <w:p w14:paraId="647815B3" w14:textId="77777777" w:rsidR="009464AE" w:rsidRPr="009464AE" w:rsidRDefault="009464AE" w:rsidP="009464AE">
      <w:pPr>
        <w:spacing w:line="360" w:lineRule="auto"/>
        <w:jc w:val="both"/>
        <w:rPr>
          <w:rFonts w:ascii="Arial" w:hAnsi="Arial" w:cs="Arial"/>
          <w:sz w:val="22"/>
          <w:szCs w:val="22"/>
        </w:rPr>
      </w:pPr>
      <w:r w:rsidRPr="009464AE">
        <w:rPr>
          <w:rFonts w:ascii="Arial" w:hAnsi="Arial" w:cs="Arial"/>
          <w:sz w:val="22"/>
          <w:szCs w:val="22"/>
        </w:rPr>
        <w:t>The findings demonstrated that barriers to CAMHS access operate across multiple and interconnected levels of the healthcare system. Structural barriers, including restrictive referral thresholds, workforce shortages, long waiting times and fragmented transition pathways, consistently limited timely access to support, reduced opportunities for early intervention and increased reliance on crisis-oriented models of care. Commissioning research further suggests that organisational pressures and variation in local decision-making exacerbate these challenges (Allen et al., 2024). National analyses have also identified persistent NHS workforce strain, rising demand and insufficient service capacity as continuing barriers to responsive care (Darzi, 2024; British Medical Association, 2025).</w:t>
      </w:r>
    </w:p>
    <w:p w14:paraId="6DE55103" w14:textId="77777777" w:rsidR="009464AE" w:rsidRPr="009464AE" w:rsidRDefault="009464AE" w:rsidP="009464AE">
      <w:pPr>
        <w:spacing w:line="360" w:lineRule="auto"/>
        <w:jc w:val="both"/>
        <w:rPr>
          <w:rFonts w:ascii="Arial" w:hAnsi="Arial" w:cs="Arial"/>
          <w:sz w:val="22"/>
          <w:szCs w:val="22"/>
        </w:rPr>
      </w:pPr>
      <w:r w:rsidRPr="009464AE">
        <w:rPr>
          <w:rFonts w:ascii="Arial" w:hAnsi="Arial" w:cs="Arial"/>
          <w:sz w:val="22"/>
          <w:szCs w:val="22"/>
        </w:rPr>
        <w:t>Socioeconomic inequalities, including deprivation, geographical variation in service provision, transport difficulties and digital exclusion, further reinforced disparities in access. Socio-cultural barriers, including stigma, confidentiality concerns, discrimination and limited cultural responsiveness, also reduced help-seeking behaviour and engagement with services among many adolescents.</w:t>
      </w:r>
    </w:p>
    <w:p w14:paraId="1161C9E4" w14:textId="77777777" w:rsidR="009464AE" w:rsidRPr="009464AE" w:rsidRDefault="009464AE" w:rsidP="009464AE">
      <w:pPr>
        <w:spacing w:line="360" w:lineRule="auto"/>
        <w:jc w:val="both"/>
        <w:rPr>
          <w:rFonts w:ascii="Arial" w:hAnsi="Arial" w:cs="Arial"/>
          <w:sz w:val="22"/>
          <w:szCs w:val="22"/>
        </w:rPr>
      </w:pPr>
      <w:r w:rsidRPr="009464AE">
        <w:rPr>
          <w:rFonts w:ascii="Arial" w:hAnsi="Arial" w:cs="Arial"/>
          <w:sz w:val="22"/>
          <w:szCs w:val="22"/>
        </w:rPr>
        <w:t>The application of Andersen’s Behavioural Model provided a valuable framework for understanding how predisposing, enabling and need factors interact to influence service utilisation (Andersen, 1995). Similarly, the Inverse Care Law explained the unequal distribution of mental health support by demonstrating that adolescents with the greatest need frequently encounter the greatest barriers to accessing care (Tudor Hart, 1971). Together, these theoretical perspectives demonstrate that inequalities in access are shaped by wider organisational, social and structural determinants rather than individual choices alone.</w:t>
      </w:r>
    </w:p>
    <w:p w14:paraId="6F8AF595" w14:textId="77777777" w:rsidR="009464AE" w:rsidRPr="009464AE" w:rsidRDefault="009464AE" w:rsidP="009464AE">
      <w:pPr>
        <w:spacing w:line="360" w:lineRule="auto"/>
        <w:jc w:val="both"/>
        <w:rPr>
          <w:rFonts w:ascii="Arial" w:hAnsi="Arial" w:cs="Arial"/>
          <w:sz w:val="22"/>
          <w:szCs w:val="22"/>
        </w:rPr>
      </w:pPr>
      <w:r w:rsidRPr="009464AE">
        <w:rPr>
          <w:rFonts w:ascii="Arial" w:hAnsi="Arial" w:cs="Arial"/>
          <w:sz w:val="22"/>
          <w:szCs w:val="22"/>
        </w:rPr>
        <w:t>Overall, the evidence suggests that current policy commitments to early intervention and equitable mental health provision have not yet been fully realised. Despite continued investment and service reform, significant inequalities persist in access to CAMHS across the United Kingdom. Addressing these inequalities requires more than expanding service capacity; it also demands action on the wider social, economic and cultural determinants that influence help-seeking, service engagement and continuity of care.</w:t>
      </w:r>
    </w:p>
    <w:p w14:paraId="40FC5974" w14:textId="77777777" w:rsidR="009464AE" w:rsidRPr="009464AE" w:rsidRDefault="009464AE" w:rsidP="009464AE">
      <w:pPr>
        <w:spacing w:line="360" w:lineRule="auto"/>
        <w:jc w:val="both"/>
        <w:rPr>
          <w:rFonts w:ascii="Arial" w:hAnsi="Arial" w:cs="Arial"/>
          <w:sz w:val="22"/>
          <w:szCs w:val="22"/>
        </w:rPr>
      </w:pPr>
      <w:r w:rsidRPr="009464AE">
        <w:rPr>
          <w:rFonts w:ascii="Arial" w:hAnsi="Arial" w:cs="Arial"/>
          <w:sz w:val="22"/>
          <w:szCs w:val="22"/>
        </w:rPr>
        <w:t xml:space="preserve">This review contributes to the growing evidence base on adolescent mental health inequalities by providing a comprehensive synthesis of the structural, socioeconomic and socio-cultural barriers affecting access to care within the United Kingdom. The findings demonstrate that </w:t>
      </w:r>
      <w:r w:rsidRPr="009464AE">
        <w:rPr>
          <w:rFonts w:ascii="Arial" w:hAnsi="Arial" w:cs="Arial"/>
          <w:sz w:val="22"/>
          <w:szCs w:val="22"/>
        </w:rPr>
        <w:lastRenderedPageBreak/>
        <w:t>inequalities are embedded within wider organisational and social systems rather than arising solely from individual help-seeking behaviours. Consequently, achieving equitable access requires a shift from predominantly reactive models of care towards preventative, accessible and culturally responsive services. Sustained investment in workforce development, early intervention, community-based provision and culturally responsive practice will be essential to improve access and reduce inequalities across the United Kingdom.</w:t>
      </w:r>
    </w:p>
    <w:p w14:paraId="5F25F3D5" w14:textId="77777777" w:rsidR="004816CD" w:rsidRPr="004816CD" w:rsidRDefault="004816CD" w:rsidP="004816CD">
      <w:pPr>
        <w:spacing w:line="360" w:lineRule="auto"/>
        <w:jc w:val="both"/>
        <w:rPr>
          <w:rFonts w:ascii="Arial" w:hAnsi="Arial" w:cs="Arial"/>
          <w:sz w:val="22"/>
          <w:szCs w:val="22"/>
        </w:rPr>
      </w:pPr>
    </w:p>
    <w:p w14:paraId="4E080EEA" w14:textId="77777777" w:rsidR="004816CD" w:rsidRPr="004816CD" w:rsidRDefault="004816CD" w:rsidP="004816CD">
      <w:pPr>
        <w:spacing w:line="360" w:lineRule="auto"/>
        <w:jc w:val="both"/>
        <w:rPr>
          <w:rFonts w:ascii="Arial" w:hAnsi="Arial" w:cs="Arial"/>
          <w:sz w:val="22"/>
          <w:szCs w:val="22"/>
        </w:rPr>
      </w:pPr>
    </w:p>
    <w:p w14:paraId="26310D5D" w14:textId="77777777" w:rsidR="004816CD" w:rsidRPr="004816CD" w:rsidRDefault="004816CD" w:rsidP="004816CD">
      <w:pPr>
        <w:spacing w:line="360" w:lineRule="auto"/>
        <w:jc w:val="both"/>
        <w:rPr>
          <w:rFonts w:ascii="Arial" w:hAnsi="Arial" w:cs="Arial"/>
          <w:sz w:val="22"/>
          <w:szCs w:val="22"/>
        </w:rPr>
      </w:pPr>
    </w:p>
    <w:p w14:paraId="42DA60E8" w14:textId="77777777" w:rsidR="004816CD" w:rsidRPr="004816CD" w:rsidRDefault="004816CD" w:rsidP="004816CD">
      <w:pPr>
        <w:spacing w:line="360" w:lineRule="auto"/>
        <w:jc w:val="both"/>
        <w:rPr>
          <w:rFonts w:ascii="Arial" w:hAnsi="Arial" w:cs="Arial"/>
          <w:sz w:val="22"/>
          <w:szCs w:val="22"/>
        </w:rPr>
      </w:pPr>
    </w:p>
    <w:p w14:paraId="4EC47FFE" w14:textId="77777777" w:rsidR="004816CD" w:rsidRPr="004816CD" w:rsidRDefault="004816CD" w:rsidP="004816CD">
      <w:pPr>
        <w:spacing w:line="360" w:lineRule="auto"/>
        <w:jc w:val="both"/>
        <w:rPr>
          <w:rFonts w:ascii="Arial" w:hAnsi="Arial" w:cs="Arial"/>
          <w:sz w:val="22"/>
          <w:szCs w:val="22"/>
        </w:rPr>
      </w:pPr>
    </w:p>
    <w:p w14:paraId="636F19B3" w14:textId="77777777" w:rsidR="004816CD" w:rsidRPr="004816CD" w:rsidRDefault="004816CD" w:rsidP="004816CD">
      <w:pPr>
        <w:spacing w:line="360" w:lineRule="auto"/>
        <w:jc w:val="both"/>
        <w:rPr>
          <w:rFonts w:ascii="Arial" w:hAnsi="Arial" w:cs="Arial"/>
          <w:sz w:val="22"/>
          <w:szCs w:val="22"/>
        </w:rPr>
      </w:pPr>
    </w:p>
    <w:p w14:paraId="3839CD7B" w14:textId="77777777" w:rsidR="004816CD" w:rsidRPr="004816CD" w:rsidRDefault="004816CD" w:rsidP="004816CD">
      <w:pPr>
        <w:spacing w:line="360" w:lineRule="auto"/>
        <w:jc w:val="both"/>
        <w:rPr>
          <w:rFonts w:ascii="Arial" w:hAnsi="Arial" w:cs="Arial"/>
          <w:sz w:val="22"/>
          <w:szCs w:val="22"/>
        </w:rPr>
      </w:pPr>
    </w:p>
    <w:p w14:paraId="1C8CBF47" w14:textId="77777777" w:rsidR="004816CD" w:rsidRPr="004816CD" w:rsidRDefault="004816CD" w:rsidP="004816CD">
      <w:pPr>
        <w:spacing w:line="360" w:lineRule="auto"/>
        <w:jc w:val="both"/>
        <w:rPr>
          <w:rFonts w:ascii="Arial" w:hAnsi="Arial" w:cs="Arial"/>
          <w:sz w:val="22"/>
          <w:szCs w:val="22"/>
        </w:rPr>
      </w:pPr>
    </w:p>
    <w:p w14:paraId="5E92C73B" w14:textId="77777777" w:rsidR="004816CD" w:rsidRPr="004816CD" w:rsidRDefault="004816CD" w:rsidP="004816CD">
      <w:pPr>
        <w:spacing w:line="360" w:lineRule="auto"/>
        <w:jc w:val="both"/>
        <w:rPr>
          <w:rFonts w:ascii="Arial" w:hAnsi="Arial" w:cs="Arial"/>
          <w:sz w:val="22"/>
          <w:szCs w:val="22"/>
        </w:rPr>
      </w:pPr>
    </w:p>
    <w:p w14:paraId="3FF2045D" w14:textId="77777777" w:rsidR="004816CD" w:rsidRPr="004816CD" w:rsidRDefault="004816CD" w:rsidP="004816CD">
      <w:pPr>
        <w:spacing w:line="360" w:lineRule="auto"/>
        <w:jc w:val="both"/>
        <w:rPr>
          <w:rFonts w:ascii="Arial" w:hAnsi="Arial" w:cs="Arial"/>
          <w:sz w:val="22"/>
          <w:szCs w:val="22"/>
        </w:rPr>
      </w:pPr>
    </w:p>
    <w:p w14:paraId="429E4D22" w14:textId="77777777" w:rsidR="004816CD" w:rsidRPr="004816CD" w:rsidRDefault="004816CD" w:rsidP="004816CD">
      <w:pPr>
        <w:spacing w:line="360" w:lineRule="auto"/>
        <w:jc w:val="both"/>
        <w:rPr>
          <w:rFonts w:ascii="Arial" w:hAnsi="Arial" w:cs="Arial"/>
          <w:sz w:val="22"/>
          <w:szCs w:val="22"/>
        </w:rPr>
      </w:pPr>
    </w:p>
    <w:p w14:paraId="1D8B3EAF" w14:textId="77777777" w:rsidR="009F7DDB" w:rsidRDefault="009F7DDB" w:rsidP="009F7DDB">
      <w:pPr>
        <w:spacing w:line="360" w:lineRule="auto"/>
        <w:jc w:val="both"/>
        <w:rPr>
          <w:rFonts w:ascii="Arial" w:hAnsi="Arial" w:cs="Arial"/>
          <w:sz w:val="22"/>
          <w:szCs w:val="22"/>
        </w:rPr>
      </w:pPr>
    </w:p>
    <w:p w14:paraId="20CBE862" w14:textId="77777777" w:rsidR="006106A9" w:rsidRDefault="006106A9" w:rsidP="009F7DDB">
      <w:pPr>
        <w:spacing w:line="360" w:lineRule="auto"/>
        <w:jc w:val="both"/>
        <w:rPr>
          <w:rFonts w:ascii="Arial" w:hAnsi="Arial" w:cs="Arial"/>
          <w:sz w:val="22"/>
          <w:szCs w:val="22"/>
        </w:rPr>
      </w:pPr>
    </w:p>
    <w:p w14:paraId="018766DD" w14:textId="77777777" w:rsidR="00CB2FB0" w:rsidRDefault="00CB2FB0" w:rsidP="009F7DDB">
      <w:pPr>
        <w:spacing w:line="360" w:lineRule="auto"/>
        <w:jc w:val="both"/>
        <w:rPr>
          <w:rFonts w:ascii="Arial" w:hAnsi="Arial" w:cs="Arial"/>
          <w:sz w:val="22"/>
          <w:szCs w:val="22"/>
        </w:rPr>
      </w:pPr>
    </w:p>
    <w:p w14:paraId="0B4F8F11" w14:textId="77777777" w:rsidR="00CB2FB0" w:rsidRDefault="00CB2FB0" w:rsidP="009F7DDB">
      <w:pPr>
        <w:spacing w:line="360" w:lineRule="auto"/>
        <w:jc w:val="both"/>
        <w:rPr>
          <w:rFonts w:ascii="Arial" w:hAnsi="Arial" w:cs="Arial"/>
          <w:sz w:val="22"/>
          <w:szCs w:val="22"/>
        </w:rPr>
      </w:pPr>
    </w:p>
    <w:p w14:paraId="0563FC31" w14:textId="77777777" w:rsidR="00CB2FB0" w:rsidRDefault="00CB2FB0" w:rsidP="009F7DDB">
      <w:pPr>
        <w:spacing w:line="360" w:lineRule="auto"/>
        <w:jc w:val="both"/>
        <w:rPr>
          <w:rFonts w:ascii="Arial" w:hAnsi="Arial" w:cs="Arial"/>
          <w:sz w:val="22"/>
          <w:szCs w:val="22"/>
        </w:rPr>
      </w:pPr>
    </w:p>
    <w:p w14:paraId="7D461CAD" w14:textId="77777777" w:rsidR="00CB2FB0" w:rsidRDefault="00CB2FB0" w:rsidP="009F7DDB">
      <w:pPr>
        <w:spacing w:line="360" w:lineRule="auto"/>
        <w:jc w:val="both"/>
        <w:rPr>
          <w:rFonts w:ascii="Arial" w:hAnsi="Arial" w:cs="Arial"/>
          <w:sz w:val="22"/>
          <w:szCs w:val="22"/>
        </w:rPr>
      </w:pPr>
    </w:p>
    <w:p w14:paraId="3F869729" w14:textId="77777777" w:rsidR="00CB2FB0" w:rsidRDefault="00CB2FB0" w:rsidP="009F7DDB">
      <w:pPr>
        <w:spacing w:line="360" w:lineRule="auto"/>
        <w:jc w:val="both"/>
        <w:rPr>
          <w:rFonts w:ascii="Arial" w:hAnsi="Arial" w:cs="Arial"/>
          <w:sz w:val="22"/>
          <w:szCs w:val="22"/>
        </w:rPr>
      </w:pPr>
    </w:p>
    <w:p w14:paraId="29A2F634" w14:textId="77777777" w:rsidR="00CB2FB0" w:rsidRDefault="00CB2FB0" w:rsidP="009F7DDB">
      <w:pPr>
        <w:spacing w:line="360" w:lineRule="auto"/>
        <w:jc w:val="both"/>
        <w:rPr>
          <w:rFonts w:ascii="Arial" w:hAnsi="Arial" w:cs="Arial"/>
          <w:sz w:val="22"/>
          <w:szCs w:val="22"/>
        </w:rPr>
      </w:pPr>
    </w:p>
    <w:p w14:paraId="0AB18735" w14:textId="77777777" w:rsidR="00CB2FB0" w:rsidRDefault="00CB2FB0" w:rsidP="009F7DDB">
      <w:pPr>
        <w:spacing w:line="360" w:lineRule="auto"/>
        <w:jc w:val="both"/>
        <w:rPr>
          <w:rFonts w:ascii="Arial" w:hAnsi="Arial" w:cs="Arial"/>
          <w:sz w:val="22"/>
          <w:szCs w:val="22"/>
        </w:rPr>
      </w:pPr>
    </w:p>
    <w:p w14:paraId="30A6EF43" w14:textId="77777777" w:rsidR="00CB2FB0" w:rsidRDefault="00CB2FB0" w:rsidP="009F7DDB">
      <w:pPr>
        <w:spacing w:line="360" w:lineRule="auto"/>
        <w:jc w:val="both"/>
        <w:rPr>
          <w:rFonts w:ascii="Arial" w:hAnsi="Arial" w:cs="Arial"/>
          <w:sz w:val="22"/>
          <w:szCs w:val="22"/>
        </w:rPr>
      </w:pPr>
    </w:p>
    <w:p w14:paraId="4559EED6" w14:textId="77777777" w:rsidR="007F3449" w:rsidRPr="007F3449" w:rsidRDefault="007F3449" w:rsidP="00D3531F">
      <w:pPr>
        <w:pStyle w:val="Heading2"/>
      </w:pPr>
      <w:bookmarkStart w:id="76" w:name="_Toc233828744"/>
      <w:r w:rsidRPr="007F3449">
        <w:lastRenderedPageBreak/>
        <w:t>REFERENCE LIST:</w:t>
      </w:r>
      <w:bookmarkEnd w:id="76"/>
    </w:p>
    <w:p w14:paraId="262C584B" w14:textId="4D1EE1EA"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Aguirre Velasco, A., Cruz, I.S.S., Billings, J., Jimenez, M. and Rowe, S. (2020) ‘What are the barriers, facilitators and interventions targeting help-seeking behaviours for common mental health problems in adolescents? A systematic review, </w:t>
      </w:r>
      <w:r w:rsidRPr="007F3449">
        <w:rPr>
          <w:rFonts w:ascii="Arial" w:hAnsi="Arial" w:cs="Arial"/>
          <w:i/>
          <w:iCs/>
          <w:sz w:val="22"/>
          <w:szCs w:val="22"/>
        </w:rPr>
        <w:t>BMC Psychiatry</w:t>
      </w:r>
      <w:r w:rsidRPr="007F3449">
        <w:rPr>
          <w:rFonts w:ascii="Arial" w:hAnsi="Arial" w:cs="Arial"/>
          <w:sz w:val="22"/>
          <w:szCs w:val="22"/>
        </w:rPr>
        <w:t xml:space="preserve">, 20, p. 293. Available at: </w:t>
      </w:r>
      <w:hyperlink r:id="rId10" w:tgtFrame="_blank" w:tooltip="doi.org" w:history="1">
        <w:r w:rsidRPr="007F3449">
          <w:rPr>
            <w:rStyle w:val="Hyperlink"/>
            <w:rFonts w:ascii="Arial" w:hAnsi="Arial" w:cs="Arial"/>
            <w:sz w:val="22"/>
            <w:szCs w:val="22"/>
          </w:rPr>
          <w:t>https://doi.org/10.1186/s12888-020-02659-0</w:t>
        </w:r>
      </w:hyperlink>
      <w:r w:rsidRPr="007F3449">
        <w:rPr>
          <w:rFonts w:ascii="Arial" w:hAnsi="Arial" w:cs="Arial"/>
          <w:sz w:val="22"/>
          <w:szCs w:val="22"/>
        </w:rPr>
        <w:t>.</w:t>
      </w:r>
    </w:p>
    <w:p w14:paraId="0E43F2D7"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Allen, K., Trethewey, S.P., Mathews, F. and Newlove-Delgado, T. (2024) ‘Experiences of commissioning services for child and adolescent mental health in England, UK: a qualitative framework analysis’, </w:t>
      </w:r>
      <w:r w:rsidRPr="007F3449">
        <w:rPr>
          <w:rFonts w:ascii="Arial" w:hAnsi="Arial" w:cs="Arial"/>
          <w:i/>
          <w:iCs/>
          <w:sz w:val="22"/>
          <w:szCs w:val="22"/>
        </w:rPr>
        <w:t>BMJ Open</w:t>
      </w:r>
      <w:r w:rsidRPr="007F3449">
        <w:rPr>
          <w:rFonts w:ascii="Arial" w:hAnsi="Arial" w:cs="Arial"/>
          <w:sz w:val="22"/>
          <w:szCs w:val="22"/>
        </w:rPr>
        <w:t xml:space="preserve">, 14, e086403. Available at: </w:t>
      </w:r>
      <w:hyperlink r:id="rId11" w:tgtFrame="_blank" w:tooltip="doi.org" w:history="1">
        <w:r w:rsidRPr="007F3449">
          <w:rPr>
            <w:rStyle w:val="Hyperlink"/>
            <w:rFonts w:ascii="Arial" w:hAnsi="Arial" w:cs="Arial"/>
            <w:sz w:val="22"/>
            <w:szCs w:val="22"/>
          </w:rPr>
          <w:t>https://doi.org/10.1136/bmjopen-2024-086403</w:t>
        </w:r>
      </w:hyperlink>
      <w:r w:rsidRPr="007F3449">
        <w:rPr>
          <w:rFonts w:ascii="Arial" w:hAnsi="Arial" w:cs="Arial"/>
          <w:sz w:val="22"/>
          <w:szCs w:val="22"/>
        </w:rPr>
        <w:t>.</w:t>
      </w:r>
    </w:p>
    <w:p w14:paraId="5FC7E16B"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Andersen, R.M. (1995) ‘Revisiting the behavioural model and access to medical care: does it matter?’, </w:t>
      </w:r>
      <w:r w:rsidRPr="007F3449">
        <w:rPr>
          <w:rFonts w:ascii="Arial" w:hAnsi="Arial" w:cs="Arial"/>
          <w:i/>
          <w:iCs/>
          <w:sz w:val="22"/>
          <w:szCs w:val="22"/>
        </w:rPr>
        <w:t>Journal of Health and Social Behaviour</w:t>
      </w:r>
      <w:r w:rsidRPr="007F3449">
        <w:rPr>
          <w:rFonts w:ascii="Arial" w:hAnsi="Arial" w:cs="Arial"/>
          <w:sz w:val="22"/>
          <w:szCs w:val="22"/>
        </w:rPr>
        <w:t xml:space="preserve">, 36(1), pp. 1–10. Available at: </w:t>
      </w:r>
      <w:hyperlink r:id="rId12" w:tgtFrame="_new" w:history="1">
        <w:r w:rsidRPr="007F3449">
          <w:rPr>
            <w:rStyle w:val="Hyperlink"/>
            <w:rFonts w:ascii="Arial" w:hAnsi="Arial" w:cs="Arial"/>
            <w:sz w:val="22"/>
            <w:szCs w:val="22"/>
          </w:rPr>
          <w:t>https://www.jstor.org/stable/2137284</w:t>
        </w:r>
      </w:hyperlink>
      <w:r w:rsidRPr="007F3449">
        <w:rPr>
          <w:rFonts w:ascii="Arial" w:hAnsi="Arial" w:cs="Arial"/>
          <w:sz w:val="22"/>
          <w:szCs w:val="22"/>
        </w:rPr>
        <w:t xml:space="preserve"> (Accessed: 6 June 2026).</w:t>
      </w:r>
    </w:p>
    <w:p w14:paraId="121FB25F"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Anderson, J.K., Howarth, E., Vainre, M., Jones, P.B. and Humphrey, A. (2017) ‘A scoping literature review of service-level barriers for access and engagement with mental health services for children and young people’, </w:t>
      </w:r>
      <w:r w:rsidRPr="007F3449">
        <w:rPr>
          <w:rFonts w:ascii="Arial" w:hAnsi="Arial" w:cs="Arial"/>
          <w:i/>
          <w:iCs/>
          <w:sz w:val="22"/>
          <w:szCs w:val="22"/>
        </w:rPr>
        <w:t>Children and Youth Services Review</w:t>
      </w:r>
      <w:r w:rsidRPr="007F3449">
        <w:rPr>
          <w:rFonts w:ascii="Arial" w:hAnsi="Arial" w:cs="Arial"/>
          <w:sz w:val="22"/>
          <w:szCs w:val="22"/>
        </w:rPr>
        <w:t xml:space="preserve">, 77, pp. 164–176. Available at: </w:t>
      </w:r>
      <w:hyperlink r:id="rId13" w:tgtFrame="_new" w:history="1">
        <w:r w:rsidRPr="007F3449">
          <w:rPr>
            <w:rStyle w:val="Hyperlink"/>
            <w:rFonts w:ascii="Arial" w:hAnsi="Arial" w:cs="Arial"/>
            <w:sz w:val="22"/>
            <w:szCs w:val="22"/>
          </w:rPr>
          <w:t>https://doi.org/10.1016/j.childyouth.2017.04.017</w:t>
        </w:r>
      </w:hyperlink>
      <w:r w:rsidRPr="007F3449">
        <w:rPr>
          <w:rFonts w:ascii="Arial" w:hAnsi="Arial" w:cs="Arial"/>
          <w:sz w:val="22"/>
          <w:szCs w:val="22"/>
        </w:rPr>
        <w:t>.</w:t>
      </w:r>
    </w:p>
    <w:p w14:paraId="650A9A96"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Appleton, R., Connell, C., Fairclough, E., Tuomainen, H., Singh, S.P. and Islam, Z. (2022) ‘Young people who have fallen through the mental health transition gap: a qualitative study on primary care support’, </w:t>
      </w:r>
      <w:r w:rsidRPr="007F3449">
        <w:rPr>
          <w:rFonts w:ascii="Arial" w:hAnsi="Arial" w:cs="Arial"/>
          <w:i/>
          <w:iCs/>
          <w:sz w:val="22"/>
          <w:szCs w:val="22"/>
        </w:rPr>
        <w:t>British Journal of General Practice</w:t>
      </w:r>
      <w:r w:rsidRPr="007F3449">
        <w:rPr>
          <w:rFonts w:ascii="Arial" w:hAnsi="Arial" w:cs="Arial"/>
          <w:sz w:val="22"/>
          <w:szCs w:val="22"/>
        </w:rPr>
        <w:t xml:space="preserve">, 72(719), pp. e413–e420. Available at: </w:t>
      </w:r>
      <w:hyperlink r:id="rId14" w:tgtFrame="_blank" w:tooltip="doi.org" w:history="1">
        <w:r w:rsidRPr="007F3449">
          <w:rPr>
            <w:rStyle w:val="Hyperlink"/>
            <w:rFonts w:ascii="Arial" w:hAnsi="Arial" w:cs="Arial"/>
            <w:sz w:val="22"/>
            <w:szCs w:val="22"/>
          </w:rPr>
          <w:t>https://doi.org/10.3399/BJGP.2021.0678</w:t>
        </w:r>
      </w:hyperlink>
      <w:r w:rsidRPr="007F3449">
        <w:rPr>
          <w:rFonts w:ascii="Arial" w:hAnsi="Arial" w:cs="Arial"/>
          <w:sz w:val="22"/>
          <w:szCs w:val="22"/>
        </w:rPr>
        <w:t>.</w:t>
      </w:r>
    </w:p>
    <w:p w14:paraId="62D94F8C"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Ashworth, E. et al. (2025) ‘Accumulating harm and waiting for crisis: barriers to Child and Adolescent Mental Health Services for autistic children and young people’, </w:t>
      </w:r>
      <w:r w:rsidRPr="007F3449">
        <w:rPr>
          <w:rFonts w:ascii="Arial" w:hAnsi="Arial" w:cs="Arial"/>
          <w:i/>
          <w:iCs/>
          <w:sz w:val="22"/>
          <w:szCs w:val="22"/>
        </w:rPr>
        <w:t>Autism</w:t>
      </w:r>
      <w:r w:rsidRPr="007F3449">
        <w:rPr>
          <w:rFonts w:ascii="Arial" w:hAnsi="Arial" w:cs="Arial"/>
          <w:sz w:val="22"/>
          <w:szCs w:val="22"/>
        </w:rPr>
        <w:t xml:space="preserve">. Available at: </w:t>
      </w:r>
      <w:hyperlink r:id="rId15" w:tgtFrame="_new" w:history="1">
        <w:r w:rsidRPr="007F3449">
          <w:rPr>
            <w:rStyle w:val="Hyperlink"/>
            <w:rFonts w:ascii="Arial" w:hAnsi="Arial" w:cs="Arial"/>
            <w:sz w:val="22"/>
            <w:szCs w:val="22"/>
          </w:rPr>
          <w:t>https://pubmed.ncbi.nlm.nih.gov/40304085/</w:t>
        </w:r>
      </w:hyperlink>
      <w:r w:rsidRPr="007F3449">
        <w:rPr>
          <w:rFonts w:ascii="Arial" w:hAnsi="Arial" w:cs="Arial"/>
          <w:sz w:val="22"/>
          <w:szCs w:val="22"/>
        </w:rPr>
        <w:t xml:space="preserve">. </w:t>
      </w:r>
    </w:p>
    <w:p w14:paraId="45CD8CA5"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Aveyard, H. (2023) </w:t>
      </w:r>
      <w:r w:rsidRPr="007F3449">
        <w:rPr>
          <w:rFonts w:ascii="Arial" w:hAnsi="Arial" w:cs="Arial"/>
          <w:i/>
          <w:iCs/>
          <w:sz w:val="22"/>
          <w:szCs w:val="22"/>
        </w:rPr>
        <w:t>Doing a Literature Review in Health and Social Care</w:t>
      </w:r>
      <w:r w:rsidRPr="007F3449">
        <w:rPr>
          <w:rFonts w:ascii="Arial" w:hAnsi="Arial" w:cs="Arial"/>
          <w:sz w:val="22"/>
          <w:szCs w:val="22"/>
        </w:rPr>
        <w:t>. 5th edn. Maidenhead: Open University Press.</w:t>
      </w:r>
    </w:p>
    <w:p w14:paraId="79996729"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Bargiela, S., Steward, R. and Mandy, W. (2016) 'The experiences of late-diagnosed women with autism spectrum conditions: an investigation of the female autism phenotype', </w:t>
      </w:r>
      <w:r w:rsidRPr="007F3449">
        <w:rPr>
          <w:rFonts w:ascii="Arial" w:hAnsi="Arial" w:cs="Arial"/>
          <w:i/>
          <w:iCs/>
          <w:sz w:val="22"/>
          <w:szCs w:val="22"/>
        </w:rPr>
        <w:t>Journal of Autism and Developmental Disorders</w:t>
      </w:r>
      <w:r w:rsidRPr="007F3449">
        <w:rPr>
          <w:rFonts w:ascii="Arial" w:hAnsi="Arial" w:cs="Arial"/>
          <w:sz w:val="22"/>
          <w:szCs w:val="22"/>
        </w:rPr>
        <w:t xml:space="preserve">, 46(10), pp. 3281–3294. Available at: </w:t>
      </w:r>
      <w:hyperlink r:id="rId16" w:history="1">
        <w:r w:rsidRPr="007F3449">
          <w:rPr>
            <w:rStyle w:val="Hyperlink"/>
            <w:rFonts w:ascii="Arial" w:hAnsi="Arial" w:cs="Arial"/>
            <w:sz w:val="22"/>
            <w:szCs w:val="22"/>
          </w:rPr>
          <w:t xml:space="preserve">The Experiences of Late-diagnosed Women with Autism Spectrum Conditions: An Investigation of the Female Autism Phenotype | </w:t>
        </w:r>
        <w:r w:rsidRPr="007F3449">
          <w:rPr>
            <w:rStyle w:val="Hyperlink"/>
            <w:rFonts w:ascii="Arial" w:hAnsi="Arial" w:cs="Arial"/>
            <w:i/>
            <w:iCs/>
            <w:sz w:val="22"/>
            <w:szCs w:val="22"/>
          </w:rPr>
          <w:t>Journal of Autism and</w:t>
        </w:r>
        <w:r w:rsidRPr="007F3449">
          <w:rPr>
            <w:rStyle w:val="Hyperlink"/>
            <w:rFonts w:ascii="Arial" w:hAnsi="Arial" w:cs="Arial"/>
            <w:sz w:val="22"/>
            <w:szCs w:val="22"/>
          </w:rPr>
          <w:t xml:space="preserve"> </w:t>
        </w:r>
        <w:r w:rsidRPr="007F3449">
          <w:rPr>
            <w:rStyle w:val="Hyperlink"/>
            <w:rFonts w:ascii="Arial" w:hAnsi="Arial" w:cs="Arial"/>
            <w:i/>
            <w:iCs/>
            <w:sz w:val="22"/>
            <w:szCs w:val="22"/>
          </w:rPr>
          <w:t>Developmental Disorders</w:t>
        </w:r>
        <w:r w:rsidRPr="007F3449">
          <w:rPr>
            <w:rStyle w:val="Hyperlink"/>
            <w:rFonts w:ascii="Arial" w:hAnsi="Arial" w:cs="Arial"/>
            <w:sz w:val="22"/>
            <w:szCs w:val="22"/>
          </w:rPr>
          <w:t xml:space="preserve"> | Springer Nature Link</w:t>
        </w:r>
      </w:hyperlink>
      <w:r w:rsidRPr="007F3449">
        <w:rPr>
          <w:rFonts w:ascii="Arial" w:hAnsi="Arial" w:cs="Arial"/>
          <w:sz w:val="22"/>
          <w:szCs w:val="22"/>
        </w:rPr>
        <w:t>. (Accessed: 2 June 2026).</w:t>
      </w:r>
    </w:p>
    <w:p w14:paraId="0D178C34"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Barnardo's and King's College London (2022) </w:t>
      </w:r>
      <w:r w:rsidRPr="007F3449">
        <w:rPr>
          <w:rFonts w:ascii="Arial" w:hAnsi="Arial" w:cs="Arial"/>
          <w:i/>
          <w:iCs/>
          <w:sz w:val="22"/>
          <w:szCs w:val="22"/>
        </w:rPr>
        <w:t>‘I am concerned about young people’s mental health and that they have less hope for their future’</w:t>
      </w:r>
      <w:r w:rsidRPr="007F3449">
        <w:rPr>
          <w:rFonts w:ascii="Arial" w:hAnsi="Arial" w:cs="Arial"/>
          <w:sz w:val="22"/>
          <w:szCs w:val="22"/>
        </w:rPr>
        <w:t xml:space="preserve">. Available at: </w:t>
      </w:r>
      <w:hyperlink r:id="rId17" w:tgtFrame="_new" w:history="1">
        <w:r w:rsidRPr="007F3449">
          <w:rPr>
            <w:rStyle w:val="Hyperlink"/>
            <w:rFonts w:ascii="Arial" w:hAnsi="Arial" w:cs="Arial"/>
            <w:sz w:val="22"/>
            <w:szCs w:val="22"/>
          </w:rPr>
          <w:t>https://www.barnardos.org.uk/sites/default/files/uploads/KCL%20%26%20Barnardo%27s%20QPS%20report.pdf</w:t>
        </w:r>
      </w:hyperlink>
      <w:r w:rsidRPr="007F3449">
        <w:rPr>
          <w:rFonts w:ascii="Arial" w:hAnsi="Arial" w:cs="Arial"/>
          <w:sz w:val="22"/>
          <w:szCs w:val="22"/>
        </w:rPr>
        <w:t xml:space="preserve"> (Accessed: 7 June 2026).</w:t>
      </w:r>
    </w:p>
    <w:p w14:paraId="5B6A678D"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Belling, R., McLaren, S., Paul, M., Ford, T., Kramer, T., Weaver, T., </w:t>
      </w:r>
      <w:proofErr w:type="spellStart"/>
      <w:r w:rsidRPr="007F3449">
        <w:rPr>
          <w:rFonts w:ascii="Arial" w:hAnsi="Arial" w:cs="Arial"/>
          <w:sz w:val="22"/>
          <w:szCs w:val="22"/>
        </w:rPr>
        <w:t>Hovish</w:t>
      </w:r>
      <w:proofErr w:type="spellEnd"/>
      <w:r w:rsidRPr="007F3449">
        <w:rPr>
          <w:rFonts w:ascii="Arial" w:hAnsi="Arial" w:cs="Arial"/>
          <w:sz w:val="22"/>
          <w:szCs w:val="22"/>
        </w:rPr>
        <w:t xml:space="preserve">, K., Islam, Z., White, S. and Singh, S.P. (2014) ‘The effect of organisational resources and eligibility issues on transition from child and adolescent to adult mental health services’, </w:t>
      </w:r>
      <w:r w:rsidRPr="007F3449">
        <w:rPr>
          <w:rFonts w:ascii="Arial" w:hAnsi="Arial" w:cs="Arial"/>
          <w:i/>
          <w:iCs/>
          <w:sz w:val="22"/>
          <w:szCs w:val="22"/>
        </w:rPr>
        <w:t>Journal of Health Services Research &amp; Policy</w:t>
      </w:r>
      <w:r w:rsidRPr="007F3449">
        <w:rPr>
          <w:rFonts w:ascii="Arial" w:hAnsi="Arial" w:cs="Arial"/>
          <w:sz w:val="22"/>
          <w:szCs w:val="22"/>
        </w:rPr>
        <w:t xml:space="preserve">, 19(3), pp. 169–176. Available at: </w:t>
      </w:r>
      <w:hyperlink r:id="rId18" w:tgtFrame="_blank" w:tooltip="doi.org" w:history="1">
        <w:r w:rsidRPr="007F3449">
          <w:rPr>
            <w:rStyle w:val="Hyperlink"/>
            <w:rFonts w:ascii="Arial" w:hAnsi="Arial" w:cs="Arial"/>
            <w:sz w:val="22"/>
            <w:szCs w:val="22"/>
          </w:rPr>
          <w:t>https://doi.org/10.1177/1355819614527439</w:t>
        </w:r>
      </w:hyperlink>
      <w:r w:rsidRPr="007F3449">
        <w:rPr>
          <w:rFonts w:ascii="Arial" w:hAnsi="Arial" w:cs="Arial"/>
          <w:sz w:val="22"/>
          <w:szCs w:val="22"/>
        </w:rPr>
        <w:t>.</w:t>
      </w:r>
    </w:p>
    <w:p w14:paraId="1C138310"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Bettany-Saltikov, J. and McSherry, R. (2025) </w:t>
      </w:r>
      <w:r w:rsidRPr="007F3449">
        <w:rPr>
          <w:rFonts w:ascii="Arial" w:hAnsi="Arial" w:cs="Arial"/>
          <w:i/>
          <w:iCs/>
          <w:sz w:val="22"/>
          <w:szCs w:val="22"/>
        </w:rPr>
        <w:t>How to Do a Systematic Literature Review in Nursing and Healthcare: A Step-by-Step Guide</w:t>
      </w:r>
      <w:r w:rsidRPr="007F3449">
        <w:rPr>
          <w:rFonts w:ascii="Arial" w:hAnsi="Arial" w:cs="Arial"/>
          <w:sz w:val="22"/>
          <w:szCs w:val="22"/>
        </w:rPr>
        <w:t>. 3rd edn. Chichester: Wiley-Blackwell.</w:t>
      </w:r>
    </w:p>
    <w:p w14:paraId="3397B370"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Biddle, L., Gunnell, D., Sharp, D. and Donovan, J. (2007) ‘Factors influencing help</w:t>
      </w:r>
      <w:r w:rsidRPr="007F3449">
        <w:rPr>
          <w:rFonts w:ascii="Arial" w:hAnsi="Arial" w:cs="Arial"/>
          <w:sz w:val="22"/>
          <w:szCs w:val="22"/>
        </w:rPr>
        <w:noBreakHyphen/>
        <w:t>seeking in mentally distressed young adults: A cross</w:t>
      </w:r>
      <w:r w:rsidRPr="007F3449">
        <w:rPr>
          <w:rFonts w:ascii="Arial" w:hAnsi="Arial" w:cs="Arial"/>
          <w:sz w:val="22"/>
          <w:szCs w:val="22"/>
        </w:rPr>
        <w:noBreakHyphen/>
        <w:t xml:space="preserve">sectional survey’, </w:t>
      </w:r>
      <w:r w:rsidRPr="007F3449">
        <w:rPr>
          <w:rFonts w:ascii="Arial" w:hAnsi="Arial" w:cs="Arial"/>
          <w:i/>
          <w:iCs/>
          <w:sz w:val="22"/>
          <w:szCs w:val="22"/>
        </w:rPr>
        <w:t>British Journal of General Practice</w:t>
      </w:r>
      <w:r w:rsidRPr="007F3449">
        <w:rPr>
          <w:rFonts w:ascii="Arial" w:hAnsi="Arial" w:cs="Arial"/>
          <w:sz w:val="22"/>
          <w:szCs w:val="22"/>
        </w:rPr>
        <w:t xml:space="preserve">, 57(544), pp. 807–813. Available at: </w:t>
      </w:r>
      <w:hyperlink r:id="rId19" w:tgtFrame="_blank" w:tooltip="bjgp.org" w:history="1">
        <w:r w:rsidRPr="007F3449">
          <w:rPr>
            <w:rStyle w:val="Hyperlink"/>
            <w:rFonts w:ascii="Arial" w:hAnsi="Arial" w:cs="Arial"/>
            <w:sz w:val="22"/>
            <w:szCs w:val="22"/>
          </w:rPr>
          <w:t>https://bjgp.org/content/57/544/807</w:t>
        </w:r>
      </w:hyperlink>
      <w:r w:rsidRPr="007F3449">
        <w:rPr>
          <w:rFonts w:ascii="Arial" w:hAnsi="Arial" w:cs="Arial"/>
          <w:sz w:val="22"/>
          <w:szCs w:val="22"/>
        </w:rPr>
        <w:t xml:space="preserve"> (Accessed: 29 June 2026).</w:t>
      </w:r>
    </w:p>
    <w:p w14:paraId="5DCB931F"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Booth, A., Sutton, A. and Papaioannou, D. (2016) </w:t>
      </w:r>
      <w:r w:rsidRPr="007F3449">
        <w:rPr>
          <w:rFonts w:ascii="Arial" w:hAnsi="Arial" w:cs="Arial"/>
          <w:i/>
          <w:iCs/>
          <w:sz w:val="22"/>
          <w:szCs w:val="22"/>
        </w:rPr>
        <w:t>Systematic Approaches to a Successful Literature Review</w:t>
      </w:r>
      <w:r w:rsidRPr="007F3449">
        <w:rPr>
          <w:rFonts w:ascii="Arial" w:hAnsi="Arial" w:cs="Arial"/>
          <w:sz w:val="22"/>
          <w:szCs w:val="22"/>
        </w:rPr>
        <w:t>. 2nd edn. London: Sage.</w:t>
      </w:r>
    </w:p>
    <w:p w14:paraId="65D7F862"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Braun, V. and Clarke, V. (2006) ‘Using thematic analysis in psychology’, </w:t>
      </w:r>
      <w:r w:rsidRPr="007F3449">
        <w:rPr>
          <w:rFonts w:ascii="Arial" w:hAnsi="Arial" w:cs="Arial"/>
          <w:i/>
          <w:iCs/>
          <w:sz w:val="22"/>
          <w:szCs w:val="22"/>
        </w:rPr>
        <w:t>Qualitative Research in Psychology</w:t>
      </w:r>
      <w:r w:rsidRPr="007F3449">
        <w:rPr>
          <w:rFonts w:ascii="Arial" w:hAnsi="Arial" w:cs="Arial"/>
          <w:sz w:val="22"/>
          <w:szCs w:val="22"/>
        </w:rPr>
        <w:t xml:space="preserve">, 3(2), pp. 77–101. Available at: </w:t>
      </w:r>
      <w:hyperlink r:id="rId20" w:tgtFrame="_blank" w:tooltip="doi.org" w:history="1">
        <w:r w:rsidRPr="007F3449">
          <w:rPr>
            <w:rStyle w:val="Hyperlink"/>
            <w:rFonts w:ascii="Arial" w:hAnsi="Arial" w:cs="Arial"/>
            <w:sz w:val="22"/>
            <w:szCs w:val="22"/>
          </w:rPr>
          <w:t>https://doi.org/10.1191/1478088706qp063oa</w:t>
        </w:r>
      </w:hyperlink>
      <w:r w:rsidRPr="007F3449">
        <w:rPr>
          <w:rFonts w:ascii="Arial" w:hAnsi="Arial" w:cs="Arial"/>
          <w:sz w:val="22"/>
          <w:szCs w:val="22"/>
        </w:rPr>
        <w:t>.</w:t>
      </w:r>
    </w:p>
    <w:p w14:paraId="2960A590"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British Medical Association (2025) </w:t>
      </w:r>
      <w:r w:rsidRPr="007F3449">
        <w:rPr>
          <w:rFonts w:ascii="Arial" w:hAnsi="Arial" w:cs="Arial"/>
          <w:i/>
          <w:iCs/>
          <w:sz w:val="22"/>
          <w:szCs w:val="22"/>
        </w:rPr>
        <w:t>Children and young people’s mental health services in England</w:t>
      </w:r>
      <w:r w:rsidRPr="007F3449">
        <w:rPr>
          <w:rFonts w:ascii="Arial" w:hAnsi="Arial" w:cs="Arial"/>
          <w:sz w:val="22"/>
          <w:szCs w:val="22"/>
        </w:rPr>
        <w:t xml:space="preserve">. Available at: </w:t>
      </w:r>
      <w:hyperlink r:id="rId21" w:tgtFrame="_blank" w:tooltip="www.bma.org.uk" w:history="1">
        <w:r w:rsidRPr="007F3449">
          <w:rPr>
            <w:rStyle w:val="Hyperlink"/>
            <w:rFonts w:ascii="Arial" w:hAnsi="Arial" w:cs="Arial"/>
            <w:sz w:val="22"/>
            <w:szCs w:val="22"/>
          </w:rPr>
          <w:t>https://www.bma.org.uk/advice-and-support/nhs-delivery-and-workforce/pressures/children-and-young-people-s-mental-health-services-in-england</w:t>
        </w:r>
      </w:hyperlink>
      <w:r w:rsidRPr="007F3449">
        <w:rPr>
          <w:rFonts w:ascii="Arial" w:hAnsi="Arial" w:cs="Arial"/>
          <w:sz w:val="22"/>
          <w:szCs w:val="22"/>
        </w:rPr>
        <w:t xml:space="preserve"> (Accessed: 29 June 2026).</w:t>
      </w:r>
    </w:p>
    <w:p w14:paraId="7BBC569B"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British Medical Association (2025) </w:t>
      </w:r>
      <w:r w:rsidRPr="007F3449">
        <w:rPr>
          <w:rFonts w:ascii="Arial" w:hAnsi="Arial" w:cs="Arial"/>
          <w:i/>
          <w:iCs/>
          <w:sz w:val="22"/>
          <w:szCs w:val="22"/>
        </w:rPr>
        <w:t>Mental Health Pressures in England: Data Analysis</w:t>
      </w:r>
      <w:r w:rsidRPr="007F3449">
        <w:rPr>
          <w:rFonts w:ascii="Arial" w:hAnsi="Arial" w:cs="Arial"/>
          <w:sz w:val="22"/>
          <w:szCs w:val="22"/>
        </w:rPr>
        <w:t xml:space="preserve">. Available at: </w:t>
      </w:r>
      <w:hyperlink r:id="rId22" w:tgtFrame="_new" w:history="1">
        <w:r w:rsidRPr="007F3449">
          <w:rPr>
            <w:rStyle w:val="Hyperlink"/>
            <w:rFonts w:ascii="Arial" w:hAnsi="Arial" w:cs="Arial"/>
            <w:sz w:val="22"/>
            <w:szCs w:val="22"/>
          </w:rPr>
          <w:t>https://www.bma.org.uk</w:t>
        </w:r>
      </w:hyperlink>
      <w:r w:rsidRPr="007F3449">
        <w:rPr>
          <w:rFonts w:ascii="Arial" w:hAnsi="Arial" w:cs="Arial"/>
          <w:sz w:val="22"/>
          <w:szCs w:val="22"/>
        </w:rPr>
        <w:t xml:space="preserve"> (Accessed: 7 June 2026).</w:t>
      </w:r>
    </w:p>
    <w:p w14:paraId="03537B96"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British Psychological Society (2021) </w:t>
      </w:r>
      <w:r w:rsidRPr="007F3449">
        <w:rPr>
          <w:rFonts w:ascii="Arial" w:hAnsi="Arial" w:cs="Arial"/>
          <w:i/>
          <w:iCs/>
          <w:sz w:val="22"/>
          <w:szCs w:val="22"/>
        </w:rPr>
        <w:t>Code of Human Research Ethics</w:t>
      </w:r>
      <w:r w:rsidRPr="007F3449">
        <w:rPr>
          <w:rFonts w:ascii="Arial" w:hAnsi="Arial" w:cs="Arial"/>
          <w:sz w:val="22"/>
          <w:szCs w:val="22"/>
        </w:rPr>
        <w:t xml:space="preserve">. 4th edn. Leicester: British Psychological Society. Available at: </w:t>
      </w:r>
      <w:hyperlink r:id="rId23" w:tgtFrame="_blank" w:tooltip="www.bps.org.uk" w:history="1">
        <w:r w:rsidRPr="007F3449">
          <w:rPr>
            <w:rStyle w:val="Hyperlink"/>
            <w:rFonts w:ascii="Arial" w:hAnsi="Arial" w:cs="Arial"/>
            <w:sz w:val="22"/>
            <w:szCs w:val="22"/>
          </w:rPr>
          <w:t>https://www.bps.org.uk</w:t>
        </w:r>
      </w:hyperlink>
      <w:r w:rsidRPr="007F3449">
        <w:rPr>
          <w:rFonts w:ascii="Arial" w:hAnsi="Arial" w:cs="Arial"/>
          <w:sz w:val="22"/>
          <w:szCs w:val="22"/>
        </w:rPr>
        <w:t xml:space="preserve"> (Accessed: 6 June 2026).</w:t>
      </w:r>
    </w:p>
    <w:p w14:paraId="34B8E5F6"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Bye, A., Wilson</w:t>
      </w:r>
      <w:r w:rsidRPr="007F3449">
        <w:rPr>
          <w:rFonts w:ascii="Arial" w:hAnsi="Arial" w:cs="Arial"/>
          <w:sz w:val="22"/>
          <w:szCs w:val="22"/>
        </w:rPr>
        <w:noBreakHyphen/>
        <w:t>Lemoine, E., Trevillion, K., Carter, B. and Dutta, R. (2025) ‘Factors that affect clinical youth engagement in digital mental health research: a qualitative sub</w:t>
      </w:r>
      <w:r w:rsidRPr="007F3449">
        <w:rPr>
          <w:rFonts w:ascii="Arial" w:hAnsi="Arial" w:cs="Arial"/>
          <w:sz w:val="22"/>
          <w:szCs w:val="22"/>
        </w:rPr>
        <w:noBreakHyphen/>
        <w:t xml:space="preserve">study nested within a prospective cohort study’, </w:t>
      </w:r>
      <w:r w:rsidRPr="007F3449">
        <w:rPr>
          <w:rFonts w:ascii="Arial" w:hAnsi="Arial" w:cs="Arial"/>
          <w:i/>
          <w:iCs/>
          <w:sz w:val="22"/>
          <w:szCs w:val="22"/>
        </w:rPr>
        <w:t>BMC Medical Research Methodology</w:t>
      </w:r>
      <w:r w:rsidRPr="007F3449">
        <w:rPr>
          <w:rFonts w:ascii="Arial" w:hAnsi="Arial" w:cs="Arial"/>
          <w:sz w:val="22"/>
          <w:szCs w:val="22"/>
        </w:rPr>
        <w:t xml:space="preserve">, 25, p. 118. Available at: </w:t>
      </w:r>
      <w:hyperlink r:id="rId24" w:tgtFrame="_blank" w:tooltip="doi.org" w:history="1">
        <w:r w:rsidRPr="007F3449">
          <w:rPr>
            <w:rStyle w:val="Hyperlink"/>
            <w:rFonts w:ascii="Arial" w:hAnsi="Arial" w:cs="Arial"/>
            <w:sz w:val="22"/>
            <w:szCs w:val="22"/>
          </w:rPr>
          <w:t>https://doi.org/10.1186/s12874-025-02571-9</w:t>
        </w:r>
      </w:hyperlink>
      <w:r w:rsidRPr="007F3449">
        <w:rPr>
          <w:rFonts w:ascii="Arial" w:hAnsi="Arial" w:cs="Arial"/>
          <w:sz w:val="22"/>
          <w:szCs w:val="22"/>
        </w:rPr>
        <w:t>.</w:t>
      </w:r>
    </w:p>
    <w:p w14:paraId="345AD840"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Care Quality Commission (2025) </w:t>
      </w:r>
      <w:r w:rsidRPr="007F3449">
        <w:rPr>
          <w:rFonts w:ascii="Arial" w:hAnsi="Arial" w:cs="Arial"/>
          <w:i/>
          <w:iCs/>
          <w:sz w:val="22"/>
          <w:szCs w:val="22"/>
        </w:rPr>
        <w:t>Monitoring the Mental Health Act in 2023/24</w:t>
      </w:r>
      <w:r w:rsidRPr="007F3449">
        <w:rPr>
          <w:rFonts w:ascii="Arial" w:hAnsi="Arial" w:cs="Arial"/>
          <w:sz w:val="22"/>
          <w:szCs w:val="22"/>
        </w:rPr>
        <w:t xml:space="preserve">. Newcastle upon Tyne: Care Quality Commission. Available at: </w:t>
      </w:r>
      <w:hyperlink r:id="rId25" w:tgtFrame="_blank" w:tooltip="www.cqc.org.uk" w:history="1">
        <w:r w:rsidRPr="007F3449">
          <w:rPr>
            <w:rStyle w:val="Hyperlink"/>
            <w:rFonts w:ascii="Arial" w:hAnsi="Arial" w:cs="Arial"/>
            <w:sz w:val="22"/>
            <w:szCs w:val="22"/>
          </w:rPr>
          <w:t>https://www.cqc.org.uk</w:t>
        </w:r>
      </w:hyperlink>
      <w:r w:rsidRPr="007F3449">
        <w:rPr>
          <w:rFonts w:ascii="Arial" w:hAnsi="Arial" w:cs="Arial"/>
          <w:sz w:val="22"/>
          <w:szCs w:val="22"/>
        </w:rPr>
        <w:t xml:space="preserve"> (search: ‘Monitoring the Mental Health Act 2023/24’) (Accessed: 7 June 2026).</w:t>
      </w:r>
    </w:p>
    <w:p w14:paraId="1C26DD7A"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lastRenderedPageBreak/>
        <w:t xml:space="preserve">Care Quality Commission (2025a) </w:t>
      </w:r>
      <w:r w:rsidRPr="007F3449">
        <w:rPr>
          <w:rFonts w:ascii="Arial" w:hAnsi="Arial" w:cs="Arial"/>
          <w:i/>
          <w:iCs/>
          <w:sz w:val="22"/>
          <w:szCs w:val="22"/>
        </w:rPr>
        <w:t>The state of health care and adult social care in England 2024/25</w:t>
      </w:r>
      <w:r w:rsidRPr="007F3449">
        <w:rPr>
          <w:rFonts w:ascii="Arial" w:hAnsi="Arial" w:cs="Arial"/>
          <w:sz w:val="22"/>
          <w:szCs w:val="22"/>
        </w:rPr>
        <w:t xml:space="preserve">. Available at: </w:t>
      </w:r>
      <w:hyperlink r:id="rId26" w:tgtFrame="_new" w:history="1">
        <w:r w:rsidRPr="007F3449">
          <w:rPr>
            <w:rStyle w:val="Hyperlink"/>
            <w:rFonts w:ascii="Arial" w:hAnsi="Arial" w:cs="Arial"/>
            <w:sz w:val="22"/>
            <w:szCs w:val="22"/>
          </w:rPr>
          <w:t>https://www.cqc.org.uk/publications</w:t>
        </w:r>
      </w:hyperlink>
      <w:r w:rsidRPr="007F3449">
        <w:rPr>
          <w:rFonts w:ascii="Arial" w:hAnsi="Arial" w:cs="Arial"/>
          <w:sz w:val="22"/>
          <w:szCs w:val="22"/>
        </w:rPr>
        <w:t xml:space="preserve"> (Accessed: 5 June 2026).</w:t>
      </w:r>
    </w:p>
    <w:p w14:paraId="1A0B5D13"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Care Quality Commission (2025b) </w:t>
      </w:r>
      <w:r w:rsidRPr="007F3449">
        <w:rPr>
          <w:rFonts w:ascii="Arial" w:hAnsi="Arial" w:cs="Arial"/>
          <w:i/>
          <w:iCs/>
          <w:sz w:val="22"/>
          <w:szCs w:val="22"/>
        </w:rPr>
        <w:t>Rebuilding CQC: progress during 2025</w:t>
      </w:r>
      <w:r w:rsidRPr="007F3449">
        <w:rPr>
          <w:rFonts w:ascii="Arial" w:hAnsi="Arial" w:cs="Arial"/>
          <w:sz w:val="22"/>
          <w:szCs w:val="22"/>
        </w:rPr>
        <w:t xml:space="preserve">. Available at: </w:t>
      </w:r>
      <w:hyperlink r:id="rId27" w:tgtFrame="_new" w:history="1">
        <w:r w:rsidRPr="007F3449">
          <w:rPr>
            <w:rStyle w:val="Hyperlink"/>
            <w:rFonts w:ascii="Arial" w:hAnsi="Arial" w:cs="Arial"/>
            <w:sz w:val="22"/>
            <w:szCs w:val="22"/>
          </w:rPr>
          <w:t>https://www.cqc.org.uk/about-us/improving-how-we-work/1225-update</w:t>
        </w:r>
      </w:hyperlink>
      <w:r w:rsidRPr="007F3449">
        <w:rPr>
          <w:rFonts w:ascii="Arial" w:hAnsi="Arial" w:cs="Arial"/>
          <w:sz w:val="22"/>
          <w:szCs w:val="22"/>
        </w:rPr>
        <w:t xml:space="preserve"> (Accessed: 15 June 2026).</w:t>
      </w:r>
    </w:p>
    <w:p w14:paraId="40FE6DE1"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Cetintas, S., Van </w:t>
      </w:r>
      <w:proofErr w:type="spellStart"/>
      <w:r w:rsidRPr="007F3449">
        <w:rPr>
          <w:rFonts w:ascii="Arial" w:hAnsi="Arial" w:cs="Arial"/>
          <w:sz w:val="22"/>
          <w:szCs w:val="22"/>
        </w:rPr>
        <w:t>Herwegen</w:t>
      </w:r>
      <w:proofErr w:type="spellEnd"/>
      <w:r w:rsidRPr="007F3449">
        <w:rPr>
          <w:rFonts w:ascii="Arial" w:hAnsi="Arial" w:cs="Arial"/>
          <w:sz w:val="22"/>
          <w:szCs w:val="22"/>
        </w:rPr>
        <w:t>, J., Al</w:t>
      </w:r>
      <w:r w:rsidRPr="007F3449">
        <w:rPr>
          <w:rFonts w:ascii="Arial" w:hAnsi="Arial" w:cs="Arial"/>
          <w:sz w:val="22"/>
          <w:szCs w:val="22"/>
        </w:rPr>
        <w:noBreakHyphen/>
        <w:t xml:space="preserve">Jayoosi, H., McEvoy, R., Hurry, J. and Pavlopoulou, G. (2026) ‘A qualitative examination of the role of school leadership teams in secondary school mental health policy and practice for autistic students’, </w:t>
      </w:r>
      <w:r w:rsidRPr="007F3449">
        <w:rPr>
          <w:rFonts w:ascii="Arial" w:hAnsi="Arial" w:cs="Arial"/>
          <w:i/>
          <w:iCs/>
          <w:sz w:val="22"/>
          <w:szCs w:val="22"/>
        </w:rPr>
        <w:t>Frontiers in Education</w:t>
      </w:r>
      <w:r w:rsidRPr="007F3449">
        <w:rPr>
          <w:rFonts w:ascii="Arial" w:hAnsi="Arial" w:cs="Arial"/>
          <w:sz w:val="22"/>
          <w:szCs w:val="22"/>
        </w:rPr>
        <w:t xml:space="preserve">, 10, 1662602. Available at: </w:t>
      </w:r>
      <w:hyperlink r:id="rId28" w:tgtFrame="_blank" w:tooltip="doi.org" w:history="1">
        <w:r w:rsidRPr="007F3449">
          <w:rPr>
            <w:rStyle w:val="Hyperlink"/>
            <w:rFonts w:ascii="Arial" w:hAnsi="Arial" w:cs="Arial"/>
            <w:sz w:val="22"/>
            <w:szCs w:val="22"/>
          </w:rPr>
          <w:t>https://doi.org/10.3389/feduc.2025.1662602</w:t>
        </w:r>
      </w:hyperlink>
      <w:r w:rsidRPr="007F3449">
        <w:rPr>
          <w:rFonts w:ascii="Arial" w:hAnsi="Arial" w:cs="Arial"/>
          <w:sz w:val="22"/>
          <w:szCs w:val="22"/>
        </w:rPr>
        <w:t>.</w:t>
      </w:r>
    </w:p>
    <w:p w14:paraId="7BCA319E"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Children’s Commissioner for England (2024) </w:t>
      </w:r>
      <w:r w:rsidRPr="007F3449">
        <w:rPr>
          <w:rFonts w:ascii="Arial" w:hAnsi="Arial" w:cs="Arial"/>
          <w:i/>
          <w:iCs/>
          <w:sz w:val="22"/>
          <w:szCs w:val="22"/>
        </w:rPr>
        <w:t>Children’s Mental Health Services: Access and Waiting Times</w:t>
      </w:r>
      <w:r w:rsidRPr="007F3449">
        <w:rPr>
          <w:rFonts w:ascii="Arial" w:hAnsi="Arial" w:cs="Arial"/>
          <w:sz w:val="22"/>
          <w:szCs w:val="22"/>
        </w:rPr>
        <w:t xml:space="preserve">. London: Children’s Commissioner for England. Available at: </w:t>
      </w:r>
      <w:hyperlink r:id="rId29" w:tgtFrame="_blank" w:tooltip="www.childrenscommissioner.gov.uk" w:history="1">
        <w:r w:rsidRPr="007F3449">
          <w:rPr>
            <w:rStyle w:val="Hyperlink"/>
            <w:rFonts w:ascii="Arial" w:hAnsi="Arial" w:cs="Arial"/>
            <w:sz w:val="22"/>
            <w:szCs w:val="22"/>
          </w:rPr>
          <w:t>https://www.childrenscommissioner.gov.uk</w:t>
        </w:r>
      </w:hyperlink>
      <w:r w:rsidRPr="007F3449">
        <w:rPr>
          <w:rFonts w:ascii="Arial" w:hAnsi="Arial" w:cs="Arial"/>
          <w:sz w:val="22"/>
          <w:szCs w:val="22"/>
        </w:rPr>
        <w:t xml:space="preserve"> (Accessed: 7 June 2026).</w:t>
      </w:r>
    </w:p>
    <w:p w14:paraId="16DE7549"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Children’s Commissioner for England (2024a) </w:t>
      </w:r>
      <w:r w:rsidRPr="007F3449">
        <w:rPr>
          <w:rFonts w:ascii="Arial" w:hAnsi="Arial" w:cs="Arial"/>
          <w:i/>
          <w:iCs/>
          <w:sz w:val="22"/>
          <w:szCs w:val="22"/>
        </w:rPr>
        <w:t>Waiting times for assessment and support for autism, ADHD and other neurodevelopmental conditions</w:t>
      </w:r>
      <w:r w:rsidRPr="007F3449">
        <w:rPr>
          <w:rFonts w:ascii="Arial" w:hAnsi="Arial" w:cs="Arial"/>
          <w:sz w:val="22"/>
          <w:szCs w:val="22"/>
        </w:rPr>
        <w:t xml:space="preserve">. Available at: </w:t>
      </w:r>
      <w:hyperlink r:id="rId30" w:tgtFrame="_new" w:history="1">
        <w:r w:rsidRPr="007F3449">
          <w:rPr>
            <w:rStyle w:val="Hyperlink"/>
            <w:rFonts w:ascii="Arial" w:hAnsi="Arial" w:cs="Arial"/>
            <w:sz w:val="22"/>
            <w:szCs w:val="22"/>
          </w:rPr>
          <w:t>https://www.childrenscommissioner.gov.uk</w:t>
        </w:r>
      </w:hyperlink>
      <w:r w:rsidRPr="007F3449">
        <w:rPr>
          <w:rFonts w:ascii="Arial" w:hAnsi="Arial" w:cs="Arial"/>
          <w:sz w:val="22"/>
          <w:szCs w:val="22"/>
        </w:rPr>
        <w:t xml:space="preserve"> (Accessed: 5 June 2026).</w:t>
      </w:r>
    </w:p>
    <w:p w14:paraId="6F4620CC"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Children’s Commissioner for England (2025) </w:t>
      </w:r>
      <w:r w:rsidRPr="007F3449">
        <w:rPr>
          <w:rFonts w:ascii="Arial" w:hAnsi="Arial" w:cs="Arial"/>
          <w:i/>
          <w:iCs/>
          <w:sz w:val="22"/>
          <w:szCs w:val="22"/>
        </w:rPr>
        <w:t>Children’s Mental Health Services 2023–24</w:t>
      </w:r>
      <w:r w:rsidRPr="007F3449">
        <w:rPr>
          <w:rFonts w:ascii="Arial" w:hAnsi="Arial" w:cs="Arial"/>
          <w:sz w:val="22"/>
          <w:szCs w:val="22"/>
        </w:rPr>
        <w:t xml:space="preserve">. Available at: </w:t>
      </w:r>
      <w:hyperlink r:id="rId31" w:tgtFrame="_blank" w:tooltip="assets.childrenscommissioner.gov.uk" w:history="1">
        <w:r w:rsidRPr="007F3449">
          <w:rPr>
            <w:rStyle w:val="Hyperlink"/>
            <w:rFonts w:ascii="Arial" w:hAnsi="Arial" w:cs="Arial"/>
            <w:sz w:val="22"/>
            <w:szCs w:val="22"/>
          </w:rPr>
          <w:t>https://assets.childrenscommissioner.gov.uk/wpuploads/2025/05/cco-childrens-mental-health-annual-briefing-may-2025.pdf</w:t>
        </w:r>
      </w:hyperlink>
      <w:r w:rsidRPr="007F3449">
        <w:rPr>
          <w:rFonts w:ascii="Arial" w:hAnsi="Arial" w:cs="Arial"/>
          <w:sz w:val="22"/>
          <w:szCs w:val="22"/>
        </w:rPr>
        <w:t xml:space="preserve"> (Accessed: 5 June 2026).</w:t>
      </w:r>
    </w:p>
    <w:p w14:paraId="7065238C"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Clement, S., Schauman, O., Graham, T., Maggioni, F., Evans</w:t>
      </w:r>
      <w:r w:rsidRPr="007F3449">
        <w:rPr>
          <w:rFonts w:ascii="Arial" w:hAnsi="Arial" w:cs="Arial"/>
          <w:sz w:val="22"/>
          <w:szCs w:val="22"/>
        </w:rPr>
        <w:noBreakHyphen/>
        <w:t xml:space="preserve">Lacko, S., </w:t>
      </w:r>
      <w:proofErr w:type="spellStart"/>
      <w:r w:rsidRPr="007F3449">
        <w:rPr>
          <w:rFonts w:ascii="Arial" w:hAnsi="Arial" w:cs="Arial"/>
          <w:sz w:val="22"/>
          <w:szCs w:val="22"/>
        </w:rPr>
        <w:t>Bezborodovs</w:t>
      </w:r>
      <w:proofErr w:type="spellEnd"/>
      <w:r w:rsidRPr="007F3449">
        <w:rPr>
          <w:rFonts w:ascii="Arial" w:hAnsi="Arial" w:cs="Arial"/>
          <w:sz w:val="22"/>
          <w:szCs w:val="22"/>
        </w:rPr>
        <w:t xml:space="preserve">, N., Morgan, C., </w:t>
      </w:r>
      <w:proofErr w:type="spellStart"/>
      <w:r w:rsidRPr="007F3449">
        <w:rPr>
          <w:rFonts w:ascii="Arial" w:hAnsi="Arial" w:cs="Arial"/>
          <w:sz w:val="22"/>
          <w:szCs w:val="22"/>
        </w:rPr>
        <w:t>Rüsch</w:t>
      </w:r>
      <w:proofErr w:type="spellEnd"/>
      <w:r w:rsidRPr="007F3449">
        <w:rPr>
          <w:rFonts w:ascii="Arial" w:hAnsi="Arial" w:cs="Arial"/>
          <w:sz w:val="22"/>
          <w:szCs w:val="22"/>
        </w:rPr>
        <w:t>, N., Brown, J.S.L. and Thornicroft, G. (2015) ‘What is the impact of mental health</w:t>
      </w:r>
      <w:r w:rsidRPr="007F3449">
        <w:rPr>
          <w:rFonts w:ascii="Arial" w:hAnsi="Arial" w:cs="Arial"/>
          <w:sz w:val="22"/>
          <w:szCs w:val="22"/>
        </w:rPr>
        <w:noBreakHyphen/>
        <w:t>related stigma on help</w:t>
      </w:r>
      <w:r w:rsidRPr="007F3449">
        <w:rPr>
          <w:rFonts w:ascii="Arial" w:hAnsi="Arial" w:cs="Arial"/>
          <w:sz w:val="22"/>
          <w:szCs w:val="22"/>
        </w:rPr>
        <w:noBreakHyphen/>
        <w:t xml:space="preserve">seeking? A systematic review of quantitative and qualitative studies’, </w:t>
      </w:r>
      <w:r w:rsidRPr="007F3449">
        <w:rPr>
          <w:rFonts w:ascii="Arial" w:hAnsi="Arial" w:cs="Arial"/>
          <w:i/>
          <w:iCs/>
          <w:sz w:val="22"/>
          <w:szCs w:val="22"/>
        </w:rPr>
        <w:t>Psychological Medicine</w:t>
      </w:r>
      <w:r w:rsidRPr="007F3449">
        <w:rPr>
          <w:rFonts w:ascii="Arial" w:hAnsi="Arial" w:cs="Arial"/>
          <w:sz w:val="22"/>
          <w:szCs w:val="22"/>
        </w:rPr>
        <w:t xml:space="preserve">, 45(1), pp. 11–27. Available at: </w:t>
      </w:r>
      <w:hyperlink r:id="rId32" w:tgtFrame="_blank" w:tooltip="doi.org" w:history="1">
        <w:r w:rsidRPr="007F3449">
          <w:rPr>
            <w:rStyle w:val="Hyperlink"/>
            <w:rFonts w:ascii="Arial" w:hAnsi="Arial" w:cs="Arial"/>
            <w:sz w:val="22"/>
            <w:szCs w:val="22"/>
          </w:rPr>
          <w:t>https://doi.org/10.1017/S0033291714000129</w:t>
        </w:r>
      </w:hyperlink>
      <w:r w:rsidRPr="007F3449">
        <w:rPr>
          <w:rFonts w:ascii="Arial" w:hAnsi="Arial" w:cs="Arial"/>
          <w:sz w:val="22"/>
          <w:szCs w:val="22"/>
        </w:rPr>
        <w:t>.</w:t>
      </w:r>
    </w:p>
    <w:p w14:paraId="7311B25C"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Cottrell, S. (2014) </w:t>
      </w:r>
      <w:r w:rsidRPr="007F3449">
        <w:rPr>
          <w:rFonts w:ascii="Arial" w:hAnsi="Arial" w:cs="Arial"/>
          <w:i/>
          <w:iCs/>
          <w:sz w:val="22"/>
          <w:szCs w:val="22"/>
        </w:rPr>
        <w:t>The Study Skills Handbook</w:t>
      </w:r>
      <w:r w:rsidRPr="007F3449">
        <w:rPr>
          <w:rFonts w:ascii="Arial" w:hAnsi="Arial" w:cs="Arial"/>
          <w:sz w:val="22"/>
          <w:szCs w:val="22"/>
        </w:rPr>
        <w:t>. 5th edn. London: Red Globe Press.</w:t>
      </w:r>
    </w:p>
    <w:p w14:paraId="08F4610C"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Coughlan, M., Cronin, P. and Ryan, F. (2007) ‘Step</w:t>
      </w:r>
      <w:r w:rsidRPr="007F3449">
        <w:rPr>
          <w:rFonts w:ascii="Arial" w:hAnsi="Arial" w:cs="Arial"/>
          <w:sz w:val="22"/>
          <w:szCs w:val="22"/>
        </w:rPr>
        <w:noBreakHyphen/>
        <w:t>by</w:t>
      </w:r>
      <w:r w:rsidRPr="007F3449">
        <w:rPr>
          <w:rFonts w:ascii="Arial" w:hAnsi="Arial" w:cs="Arial"/>
          <w:sz w:val="22"/>
          <w:szCs w:val="22"/>
        </w:rPr>
        <w:noBreakHyphen/>
        <w:t xml:space="preserve">step guide to critiquing research. Part 1: Quantitative research’, </w:t>
      </w:r>
      <w:r w:rsidRPr="007F3449">
        <w:rPr>
          <w:rFonts w:ascii="Arial" w:hAnsi="Arial" w:cs="Arial"/>
          <w:i/>
          <w:iCs/>
          <w:sz w:val="22"/>
          <w:szCs w:val="22"/>
        </w:rPr>
        <w:t>British Journal of Nursing</w:t>
      </w:r>
      <w:r w:rsidRPr="007F3449">
        <w:rPr>
          <w:rFonts w:ascii="Arial" w:hAnsi="Arial" w:cs="Arial"/>
          <w:sz w:val="22"/>
          <w:szCs w:val="22"/>
        </w:rPr>
        <w:t xml:space="preserve">, 16(11), pp. 658–663. Available at: </w:t>
      </w:r>
      <w:hyperlink r:id="rId33" w:tgtFrame="_blank" w:tooltip="doi.org" w:history="1">
        <w:r w:rsidRPr="007F3449">
          <w:rPr>
            <w:rStyle w:val="Hyperlink"/>
            <w:rFonts w:ascii="Arial" w:hAnsi="Arial" w:cs="Arial"/>
            <w:sz w:val="22"/>
            <w:szCs w:val="22"/>
          </w:rPr>
          <w:t>https://doi.org/10.12968/bjon.2007.16.11.23681</w:t>
        </w:r>
      </w:hyperlink>
      <w:r w:rsidRPr="007F3449">
        <w:rPr>
          <w:rFonts w:ascii="Arial" w:hAnsi="Arial" w:cs="Arial"/>
          <w:sz w:val="22"/>
          <w:szCs w:val="22"/>
        </w:rPr>
        <w:t>.</w:t>
      </w:r>
    </w:p>
    <w:p w14:paraId="223BB2F2"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Crenshaw, K. (1989) ‘Demarginalizing the intersection of race and sex: a black feminist critique of antidiscrimination doctrine, feminist theory and antiracist politics’, </w:t>
      </w:r>
      <w:r w:rsidRPr="007F3449">
        <w:rPr>
          <w:rFonts w:ascii="Arial" w:hAnsi="Arial" w:cs="Arial"/>
          <w:i/>
          <w:iCs/>
          <w:sz w:val="22"/>
          <w:szCs w:val="22"/>
        </w:rPr>
        <w:t>University of Chicago Legal Forum</w:t>
      </w:r>
      <w:r w:rsidRPr="007F3449">
        <w:rPr>
          <w:rFonts w:ascii="Arial" w:hAnsi="Arial" w:cs="Arial"/>
          <w:sz w:val="22"/>
          <w:szCs w:val="22"/>
        </w:rPr>
        <w:t xml:space="preserve">, 1989(1), pp. 139–167. Available at: </w:t>
      </w:r>
      <w:hyperlink r:id="rId34" w:tgtFrame="_new" w:history="1">
        <w:r w:rsidRPr="007F3449">
          <w:rPr>
            <w:rStyle w:val="Hyperlink"/>
            <w:rFonts w:ascii="Arial" w:hAnsi="Arial" w:cs="Arial"/>
            <w:sz w:val="22"/>
            <w:szCs w:val="22"/>
          </w:rPr>
          <w:t>https://chicagounbound.uchicago.edu/uclf/vol1989/iss1/8/</w:t>
        </w:r>
      </w:hyperlink>
      <w:r w:rsidRPr="007F3449">
        <w:rPr>
          <w:rFonts w:ascii="Arial" w:hAnsi="Arial" w:cs="Arial"/>
          <w:sz w:val="22"/>
          <w:szCs w:val="22"/>
        </w:rPr>
        <w:t xml:space="preserve"> (Accessed: 6 June 2026).</w:t>
      </w:r>
    </w:p>
    <w:p w14:paraId="674CC07C"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lastRenderedPageBreak/>
        <w:t xml:space="preserve">Creswell, C., Waite, P. and Cooper, P.J. (2014) ‘Assessment and management of anxiety disorders in children and adolescents’, </w:t>
      </w:r>
      <w:r w:rsidRPr="007F3449">
        <w:rPr>
          <w:rFonts w:ascii="Arial" w:hAnsi="Arial" w:cs="Arial"/>
          <w:i/>
          <w:iCs/>
          <w:sz w:val="22"/>
          <w:szCs w:val="22"/>
        </w:rPr>
        <w:t>Archives of Disease in Childhood</w:t>
      </w:r>
      <w:r w:rsidRPr="007F3449">
        <w:rPr>
          <w:rFonts w:ascii="Arial" w:hAnsi="Arial" w:cs="Arial"/>
          <w:sz w:val="22"/>
          <w:szCs w:val="22"/>
        </w:rPr>
        <w:t xml:space="preserve">, 99(7), pp. 674–678. Available at: https://pmc.ncbi.nlm.nih.gov/articles/PMC4078705/ </w:t>
      </w:r>
      <w:hyperlink r:id="rId35" w:tgtFrame="_blank" w:tooltip="www.bing.com" w:history="1">
        <w:r w:rsidRPr="007F3449">
          <w:rPr>
            <w:rStyle w:val="Hyperlink"/>
            <w:rFonts w:ascii="Arial" w:hAnsi="Arial" w:cs="Arial"/>
            <w:sz w:val="22"/>
            <w:szCs w:val="22"/>
          </w:rPr>
          <w:t>(pmc.ncbi.nlm.nih.gov in Bing)</w:t>
        </w:r>
      </w:hyperlink>
      <w:r w:rsidRPr="007F3449">
        <w:rPr>
          <w:rFonts w:ascii="Arial" w:hAnsi="Arial" w:cs="Arial"/>
          <w:sz w:val="22"/>
          <w:szCs w:val="22"/>
        </w:rPr>
        <w:t xml:space="preserve"> (Accessed: 29 June 2026).</w:t>
      </w:r>
    </w:p>
    <w:p w14:paraId="06813555"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Critical Appraisal Skills Programme (CASP) (2024) </w:t>
      </w:r>
      <w:r w:rsidRPr="007F3449">
        <w:rPr>
          <w:rFonts w:ascii="Arial" w:hAnsi="Arial" w:cs="Arial"/>
          <w:i/>
          <w:iCs/>
          <w:sz w:val="22"/>
          <w:szCs w:val="22"/>
        </w:rPr>
        <w:t>CASP Qualitative Studies Checklist</w:t>
      </w:r>
      <w:r w:rsidRPr="007F3449">
        <w:rPr>
          <w:rFonts w:ascii="Arial" w:hAnsi="Arial" w:cs="Arial"/>
          <w:sz w:val="22"/>
          <w:szCs w:val="22"/>
        </w:rPr>
        <w:t xml:space="preserve">. Available at: </w:t>
      </w:r>
      <w:hyperlink r:id="rId36" w:tgtFrame="_blank" w:tooltip="casp-uk.net" w:history="1">
        <w:r w:rsidRPr="007F3449">
          <w:rPr>
            <w:rStyle w:val="Hyperlink"/>
            <w:rFonts w:ascii="Arial" w:hAnsi="Arial" w:cs="Arial"/>
            <w:sz w:val="22"/>
            <w:szCs w:val="22"/>
          </w:rPr>
          <w:t>https://casp-uk.net/casp-tools-checklists/</w:t>
        </w:r>
      </w:hyperlink>
      <w:r w:rsidRPr="007F3449">
        <w:rPr>
          <w:rFonts w:ascii="Arial" w:hAnsi="Arial" w:cs="Arial"/>
          <w:sz w:val="22"/>
          <w:szCs w:val="22"/>
        </w:rPr>
        <w:t xml:space="preserve"> (Accessed: 7 June 2026).</w:t>
      </w:r>
    </w:p>
    <w:p w14:paraId="25E7C104"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Darzi, A. (2024</w:t>
      </w:r>
      <w:r w:rsidRPr="007F3449">
        <w:rPr>
          <w:rFonts w:ascii="Arial" w:hAnsi="Arial" w:cs="Arial"/>
          <w:b/>
          <w:bCs/>
          <w:sz w:val="22"/>
          <w:szCs w:val="22"/>
        </w:rPr>
        <w:t>)</w:t>
      </w:r>
      <w:r w:rsidRPr="007F3449">
        <w:rPr>
          <w:rFonts w:ascii="Arial" w:hAnsi="Arial" w:cs="Arial"/>
          <w:sz w:val="22"/>
          <w:szCs w:val="22"/>
        </w:rPr>
        <w:t xml:space="preserve"> </w:t>
      </w:r>
      <w:r w:rsidRPr="007F3449">
        <w:rPr>
          <w:rFonts w:ascii="Arial" w:hAnsi="Arial" w:cs="Arial"/>
          <w:i/>
          <w:iCs/>
          <w:sz w:val="22"/>
          <w:szCs w:val="22"/>
        </w:rPr>
        <w:t>Independent Investigation of the National Health Service in England</w:t>
      </w:r>
      <w:r w:rsidRPr="007F3449">
        <w:rPr>
          <w:rFonts w:ascii="Arial" w:hAnsi="Arial" w:cs="Arial"/>
          <w:sz w:val="22"/>
          <w:szCs w:val="22"/>
        </w:rPr>
        <w:t xml:space="preserve">. London: Department of Health and Social Care. Available at: </w:t>
      </w:r>
      <w:hyperlink r:id="rId37" w:tgtFrame="_blank" w:tooltip="www.gov.uk" w:history="1">
        <w:r w:rsidRPr="007F3449">
          <w:rPr>
            <w:rStyle w:val="Hyperlink"/>
            <w:rFonts w:ascii="Arial" w:hAnsi="Arial" w:cs="Arial"/>
            <w:sz w:val="22"/>
            <w:szCs w:val="22"/>
          </w:rPr>
          <w:t>https://www.gov.uk/government/publications/independent-investigation-of-the-nhs-in-england</w:t>
        </w:r>
      </w:hyperlink>
      <w:r w:rsidRPr="007F3449">
        <w:rPr>
          <w:rFonts w:ascii="Arial" w:hAnsi="Arial" w:cs="Arial"/>
          <w:sz w:val="22"/>
          <w:szCs w:val="22"/>
        </w:rPr>
        <w:t xml:space="preserve"> (Accessed: 29 June 2026).</w:t>
      </w:r>
    </w:p>
    <w:p w14:paraId="46E486B4"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Deighton, J., </w:t>
      </w:r>
      <w:proofErr w:type="spellStart"/>
      <w:r w:rsidRPr="007F3449">
        <w:rPr>
          <w:rFonts w:ascii="Arial" w:hAnsi="Arial" w:cs="Arial"/>
          <w:sz w:val="22"/>
          <w:szCs w:val="22"/>
        </w:rPr>
        <w:t>Croudace</w:t>
      </w:r>
      <w:proofErr w:type="spellEnd"/>
      <w:r w:rsidRPr="007F3449">
        <w:rPr>
          <w:rFonts w:ascii="Arial" w:hAnsi="Arial" w:cs="Arial"/>
          <w:sz w:val="22"/>
          <w:szCs w:val="22"/>
        </w:rPr>
        <w:t>, T., Fonagy, P., Brown, J., Patalay, P. and Wolpert, M. (2014) ‘Measuring mental health and wellbeing outcomes for children and adolescents to inform practice and policy: A review of child self</w:t>
      </w:r>
      <w:r w:rsidRPr="007F3449">
        <w:rPr>
          <w:rFonts w:ascii="Arial" w:hAnsi="Arial" w:cs="Arial"/>
          <w:sz w:val="22"/>
          <w:szCs w:val="22"/>
        </w:rPr>
        <w:noBreakHyphen/>
        <w:t xml:space="preserve">report measures’, </w:t>
      </w:r>
      <w:r w:rsidRPr="007F3449">
        <w:rPr>
          <w:rFonts w:ascii="Arial" w:hAnsi="Arial" w:cs="Arial"/>
          <w:i/>
          <w:iCs/>
          <w:sz w:val="22"/>
          <w:szCs w:val="22"/>
        </w:rPr>
        <w:t>Child and Adolescent Psychiatry and Mental Health</w:t>
      </w:r>
      <w:r w:rsidRPr="007F3449">
        <w:rPr>
          <w:rFonts w:ascii="Arial" w:hAnsi="Arial" w:cs="Arial"/>
          <w:sz w:val="22"/>
          <w:szCs w:val="22"/>
        </w:rPr>
        <w:t xml:space="preserve">, 8(1), p. 14. Available at: </w:t>
      </w:r>
      <w:hyperlink r:id="rId38" w:tgtFrame="_blank" w:tooltip="pmc.ncbi.nlm.nih.gov" w:history="1">
        <w:r w:rsidRPr="007F3449">
          <w:rPr>
            <w:rStyle w:val="Hyperlink"/>
            <w:rFonts w:ascii="Arial" w:hAnsi="Arial" w:cs="Arial"/>
            <w:sz w:val="22"/>
            <w:szCs w:val="22"/>
          </w:rPr>
          <w:t>https://pmc.ncbi.nlm.nih.gov/articles/PMC4078705/</w:t>
        </w:r>
      </w:hyperlink>
      <w:r w:rsidRPr="007F3449">
        <w:rPr>
          <w:rFonts w:ascii="Arial" w:hAnsi="Arial" w:cs="Arial"/>
          <w:sz w:val="22"/>
          <w:szCs w:val="22"/>
        </w:rPr>
        <w:t xml:space="preserve"> (Accessed: 29 June 2026).</w:t>
      </w:r>
    </w:p>
    <w:p w14:paraId="48106F79"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Fergie, G., Hilton, S., Hunt, K. and MacLean, A. (2023) ‘Young people’s experiences of mental health stigma: a qualitative evidence synthesis’, </w:t>
      </w:r>
      <w:r w:rsidRPr="007F3449">
        <w:rPr>
          <w:rFonts w:ascii="Arial" w:hAnsi="Arial" w:cs="Arial"/>
          <w:i/>
          <w:iCs/>
          <w:sz w:val="22"/>
          <w:szCs w:val="22"/>
        </w:rPr>
        <w:t>Journal of Youth Studies</w:t>
      </w:r>
      <w:r w:rsidRPr="007F3449">
        <w:rPr>
          <w:rFonts w:ascii="Arial" w:hAnsi="Arial" w:cs="Arial"/>
          <w:sz w:val="22"/>
          <w:szCs w:val="22"/>
        </w:rPr>
        <w:t xml:space="preserve">, 26(4), pp. 567–584. Available at: </w:t>
      </w:r>
      <w:hyperlink r:id="rId39" w:tgtFrame="_new" w:history="1">
        <w:r w:rsidRPr="007F3449">
          <w:rPr>
            <w:rStyle w:val="Hyperlink"/>
            <w:rFonts w:ascii="Arial" w:hAnsi="Arial" w:cs="Arial"/>
            <w:sz w:val="22"/>
            <w:szCs w:val="22"/>
          </w:rPr>
          <w:t>https://doi.org/10.1080/13676261.2022.2046983</w:t>
        </w:r>
      </w:hyperlink>
      <w:r w:rsidRPr="007F3449">
        <w:rPr>
          <w:rFonts w:ascii="Arial" w:hAnsi="Arial" w:cs="Arial"/>
          <w:sz w:val="22"/>
          <w:szCs w:val="22"/>
        </w:rPr>
        <w:t>.</w:t>
      </w:r>
    </w:p>
    <w:p w14:paraId="399144C2"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Gough, D., Oliver, S. and Thomas, J. (2017) </w:t>
      </w:r>
      <w:r w:rsidRPr="007F3449">
        <w:rPr>
          <w:rFonts w:ascii="Arial" w:hAnsi="Arial" w:cs="Arial"/>
          <w:i/>
          <w:iCs/>
          <w:sz w:val="22"/>
          <w:szCs w:val="22"/>
        </w:rPr>
        <w:t>An Introduction to Systematic Reviews</w:t>
      </w:r>
      <w:r w:rsidRPr="007F3449">
        <w:rPr>
          <w:rFonts w:ascii="Arial" w:hAnsi="Arial" w:cs="Arial"/>
          <w:sz w:val="22"/>
          <w:szCs w:val="22"/>
        </w:rPr>
        <w:t>. 2nd edn. London: Sage.</w:t>
      </w:r>
    </w:p>
    <w:p w14:paraId="15078B1D"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Gulliver, A., Griffiths, K.M. and Christensen, H. (2010) ‘Perceived barriers and facilitators to mental health help</w:t>
      </w:r>
      <w:r w:rsidRPr="007F3449">
        <w:rPr>
          <w:rFonts w:ascii="Arial" w:hAnsi="Arial" w:cs="Arial"/>
          <w:sz w:val="22"/>
          <w:szCs w:val="22"/>
        </w:rPr>
        <w:noBreakHyphen/>
        <w:t xml:space="preserve">seeking in young people: A systematic review’, </w:t>
      </w:r>
      <w:r w:rsidRPr="007F3449">
        <w:rPr>
          <w:rFonts w:ascii="Arial" w:hAnsi="Arial" w:cs="Arial"/>
          <w:i/>
          <w:iCs/>
          <w:sz w:val="22"/>
          <w:szCs w:val="22"/>
        </w:rPr>
        <w:t>BMC Psychiatry</w:t>
      </w:r>
      <w:r w:rsidRPr="007F3449">
        <w:rPr>
          <w:rFonts w:ascii="Arial" w:hAnsi="Arial" w:cs="Arial"/>
          <w:sz w:val="22"/>
          <w:szCs w:val="22"/>
        </w:rPr>
        <w:t xml:space="preserve">, 10(1), p. 113. Available at: </w:t>
      </w:r>
      <w:hyperlink r:id="rId40" w:history="1">
        <w:r w:rsidRPr="007F3449">
          <w:rPr>
            <w:rStyle w:val="Hyperlink"/>
            <w:rFonts w:ascii="Arial" w:hAnsi="Arial" w:cs="Arial"/>
            <w:sz w:val="22"/>
            <w:szCs w:val="22"/>
          </w:rPr>
          <w:t>https://pubmed.ncbi.nlm.nih.gov/21192795/</w:t>
        </w:r>
      </w:hyperlink>
      <w:r w:rsidRPr="007F3449">
        <w:rPr>
          <w:rFonts w:ascii="Arial" w:hAnsi="Arial" w:cs="Arial"/>
          <w:sz w:val="22"/>
          <w:szCs w:val="22"/>
        </w:rPr>
        <w:t xml:space="preserve">  (Accessed: 29 June 2026).</w:t>
      </w:r>
    </w:p>
    <w:p w14:paraId="5D7099B2"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Han, E., Burton, A., Bradbury, A., Hayes, D., Wright, J., Sticpewich, L., Page, J. and Fancourt, D. (2026) ‘Experiences of youth and caregivers waiting for mental health services in the UK: a qualitative study to inform policy and practice’, </w:t>
      </w:r>
      <w:r w:rsidRPr="007F3449">
        <w:rPr>
          <w:rFonts w:ascii="Arial" w:hAnsi="Arial" w:cs="Arial"/>
          <w:i/>
          <w:iCs/>
          <w:sz w:val="22"/>
          <w:szCs w:val="22"/>
        </w:rPr>
        <w:t>European Child &amp; Adolescent Psychiatry</w:t>
      </w:r>
      <w:r w:rsidRPr="007F3449">
        <w:rPr>
          <w:rFonts w:ascii="Arial" w:hAnsi="Arial" w:cs="Arial"/>
          <w:sz w:val="22"/>
          <w:szCs w:val="22"/>
        </w:rPr>
        <w:t xml:space="preserve">. Available at: </w:t>
      </w:r>
      <w:hyperlink r:id="rId41" w:tgtFrame="_new" w:history="1">
        <w:r w:rsidRPr="007F3449">
          <w:rPr>
            <w:rStyle w:val="Hyperlink"/>
            <w:rFonts w:ascii="Arial" w:hAnsi="Arial" w:cs="Arial"/>
            <w:sz w:val="22"/>
            <w:szCs w:val="22"/>
          </w:rPr>
          <w:t>https://doi.org/10.1007/s00787-025-02952-</w:t>
        </w:r>
      </w:hyperlink>
      <w:r w:rsidRPr="007F3449">
        <w:rPr>
          <w:rFonts w:ascii="Arial" w:hAnsi="Arial" w:cs="Arial"/>
          <w:sz w:val="22"/>
          <w:szCs w:val="22"/>
        </w:rPr>
        <w:t>.</w:t>
      </w:r>
    </w:p>
    <w:p w14:paraId="43C52A6A"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Herlitz, L., </w:t>
      </w:r>
      <w:r w:rsidRPr="007F3449">
        <w:rPr>
          <w:rFonts w:ascii="Arial" w:hAnsi="Arial" w:cs="Arial"/>
          <w:i/>
          <w:iCs/>
          <w:sz w:val="22"/>
          <w:szCs w:val="22"/>
        </w:rPr>
        <w:t>et al.</w:t>
      </w:r>
      <w:r w:rsidRPr="007F3449">
        <w:rPr>
          <w:rFonts w:ascii="Arial" w:hAnsi="Arial" w:cs="Arial"/>
          <w:sz w:val="22"/>
          <w:szCs w:val="22"/>
        </w:rPr>
        <w:t xml:space="preserve"> (2024) ‘Access to primary care for children and young people with mental health problems: a qualitative evidence synthesis’, </w:t>
      </w:r>
      <w:r w:rsidRPr="007F3449">
        <w:rPr>
          <w:rFonts w:ascii="Arial" w:hAnsi="Arial" w:cs="Arial"/>
          <w:i/>
          <w:iCs/>
          <w:sz w:val="22"/>
          <w:szCs w:val="22"/>
        </w:rPr>
        <w:t>BMJ Open</w:t>
      </w:r>
      <w:r w:rsidRPr="007F3449">
        <w:rPr>
          <w:rFonts w:ascii="Arial" w:hAnsi="Arial" w:cs="Arial"/>
          <w:sz w:val="22"/>
          <w:szCs w:val="22"/>
        </w:rPr>
        <w:t xml:space="preserve">, 14(5). Available at: </w:t>
      </w:r>
      <w:hyperlink r:id="rId42" w:tgtFrame="_blank" w:tooltip="doi.org" w:history="1">
        <w:r w:rsidRPr="007F3449">
          <w:rPr>
            <w:rStyle w:val="Hyperlink"/>
            <w:rFonts w:ascii="Arial" w:hAnsi="Arial" w:cs="Arial"/>
            <w:sz w:val="22"/>
            <w:szCs w:val="22"/>
          </w:rPr>
          <w:t>https://doi.org/10.1136/bmjopen-2023-081620</w:t>
        </w:r>
      </w:hyperlink>
      <w:r w:rsidRPr="007F3449">
        <w:rPr>
          <w:rFonts w:ascii="Arial" w:hAnsi="Arial" w:cs="Arial"/>
          <w:sz w:val="22"/>
          <w:szCs w:val="22"/>
        </w:rPr>
        <w:t>.</w:t>
      </w:r>
    </w:p>
    <w:p w14:paraId="7DF8FBCC"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Higgins, J.P.T., Thomas, J., Chandler, J., Cumpston, M., Li, T., Page, M.J. and Welch, V.A. (eds.) (2022) </w:t>
      </w:r>
      <w:r w:rsidRPr="007F3449">
        <w:rPr>
          <w:rFonts w:ascii="Arial" w:hAnsi="Arial" w:cs="Arial"/>
          <w:i/>
          <w:iCs/>
          <w:sz w:val="22"/>
          <w:szCs w:val="22"/>
        </w:rPr>
        <w:t>Cochrane Handbook for Systematic Reviews of Interventions</w:t>
      </w:r>
      <w:r w:rsidRPr="007F3449">
        <w:rPr>
          <w:rFonts w:ascii="Arial" w:hAnsi="Arial" w:cs="Arial"/>
          <w:sz w:val="22"/>
          <w:szCs w:val="22"/>
        </w:rPr>
        <w:t xml:space="preserve">. Version 6.3. Available at: </w:t>
      </w:r>
      <w:hyperlink r:id="rId43" w:tgtFrame="_blank" w:tooltip="training.cochrane.org" w:history="1">
        <w:r w:rsidRPr="007F3449">
          <w:rPr>
            <w:rStyle w:val="Hyperlink"/>
            <w:rFonts w:ascii="Arial" w:hAnsi="Arial" w:cs="Arial"/>
            <w:sz w:val="22"/>
            <w:szCs w:val="22"/>
          </w:rPr>
          <w:t>https://training.cochrane.org/handbook</w:t>
        </w:r>
      </w:hyperlink>
      <w:r w:rsidRPr="007F3449">
        <w:rPr>
          <w:rFonts w:ascii="Arial" w:hAnsi="Arial" w:cs="Arial"/>
          <w:sz w:val="22"/>
          <w:szCs w:val="22"/>
        </w:rPr>
        <w:t xml:space="preserve"> (Accessed: 7 June 2026).</w:t>
      </w:r>
    </w:p>
    <w:p w14:paraId="53E0B266"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lastRenderedPageBreak/>
        <w:t xml:space="preserve">Hodes, M., Patel, R. and Sengun Filiz, E. (2026) ‘Child and adolescent refugees and asylum-seekers’ contact with specialist mental health services: a systematic review’, </w:t>
      </w:r>
      <w:r w:rsidRPr="007F3449">
        <w:rPr>
          <w:rFonts w:ascii="Arial" w:hAnsi="Arial" w:cs="Arial"/>
          <w:i/>
          <w:iCs/>
          <w:sz w:val="22"/>
          <w:szCs w:val="22"/>
        </w:rPr>
        <w:t>Journal of the American Academy of Child &amp; Adolescent Psychiatry</w:t>
      </w:r>
      <w:r w:rsidRPr="007F3449">
        <w:rPr>
          <w:rFonts w:ascii="Arial" w:hAnsi="Arial" w:cs="Arial"/>
          <w:sz w:val="22"/>
          <w:szCs w:val="22"/>
        </w:rPr>
        <w:t xml:space="preserve">. Available at: </w:t>
      </w:r>
      <w:hyperlink r:id="rId44" w:tgtFrame="_new" w:history="1">
        <w:r w:rsidRPr="007F3449">
          <w:rPr>
            <w:rStyle w:val="Hyperlink"/>
            <w:rFonts w:ascii="Arial" w:hAnsi="Arial" w:cs="Arial"/>
            <w:sz w:val="22"/>
            <w:szCs w:val="22"/>
          </w:rPr>
          <w:t>https://doi.org/10.1016/j.jaac.2026.01.011</w:t>
        </w:r>
      </w:hyperlink>
      <w:r w:rsidRPr="007F3449">
        <w:rPr>
          <w:rFonts w:ascii="Arial" w:hAnsi="Arial" w:cs="Arial"/>
          <w:sz w:val="22"/>
          <w:szCs w:val="22"/>
        </w:rPr>
        <w:t>.</w:t>
      </w:r>
    </w:p>
    <w:p w14:paraId="6E28E578"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Holding, E., Crowder, M., Woodrow, N., Griffin, N., Knights, N., Goyder, E., McKeown, R. and Fairbrother, H. (2022) ‘Exploring young people’s perspectives on mental health support: a qualitative study across three geographical areas in England, UK’, </w:t>
      </w:r>
      <w:r w:rsidRPr="007F3449">
        <w:rPr>
          <w:rFonts w:ascii="Arial" w:hAnsi="Arial" w:cs="Arial"/>
          <w:i/>
          <w:iCs/>
          <w:sz w:val="22"/>
          <w:szCs w:val="22"/>
        </w:rPr>
        <w:t>Health &amp; Social Care in the Community</w:t>
      </w:r>
      <w:r w:rsidRPr="007F3449">
        <w:rPr>
          <w:rFonts w:ascii="Arial" w:hAnsi="Arial" w:cs="Arial"/>
          <w:sz w:val="22"/>
          <w:szCs w:val="22"/>
        </w:rPr>
        <w:t xml:space="preserve">, 30(6), pp. e6366–e6375. Available at: </w:t>
      </w:r>
      <w:hyperlink r:id="rId45" w:tgtFrame="_new" w:history="1">
        <w:r w:rsidRPr="007F3449">
          <w:rPr>
            <w:rStyle w:val="Hyperlink"/>
            <w:rFonts w:ascii="Arial" w:hAnsi="Arial" w:cs="Arial"/>
            <w:sz w:val="22"/>
            <w:szCs w:val="22"/>
          </w:rPr>
          <w:t>https://doi.org/10.1111/hsc.14078</w:t>
        </w:r>
      </w:hyperlink>
      <w:r w:rsidRPr="007F3449">
        <w:rPr>
          <w:rFonts w:ascii="Arial" w:hAnsi="Arial" w:cs="Arial"/>
          <w:sz w:val="22"/>
          <w:szCs w:val="22"/>
        </w:rPr>
        <w:t>.</w:t>
      </w:r>
    </w:p>
    <w:p w14:paraId="31F81472"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Hollis, C., Falconer, C.J., Martin, J.L., Whittington, C., Stockton, S., Glazebrook, C. and Davies, E.B. (2017) ‘Annual Research Review: Digital health interventions for children and young people with mental health problems – a systematic and meta</w:t>
      </w:r>
      <w:r w:rsidRPr="007F3449">
        <w:rPr>
          <w:rFonts w:ascii="Arial" w:hAnsi="Arial" w:cs="Arial"/>
          <w:sz w:val="22"/>
          <w:szCs w:val="22"/>
        </w:rPr>
        <w:noBreakHyphen/>
        <w:t xml:space="preserve">review’, </w:t>
      </w:r>
      <w:r w:rsidRPr="007F3449">
        <w:rPr>
          <w:rFonts w:ascii="Arial" w:hAnsi="Arial" w:cs="Arial"/>
          <w:i/>
          <w:iCs/>
          <w:sz w:val="22"/>
          <w:szCs w:val="22"/>
        </w:rPr>
        <w:t>Journal of Child Psychology and Psychiatry</w:t>
      </w:r>
      <w:r w:rsidRPr="007F3449">
        <w:rPr>
          <w:rFonts w:ascii="Arial" w:hAnsi="Arial" w:cs="Arial"/>
          <w:sz w:val="22"/>
          <w:szCs w:val="22"/>
        </w:rPr>
        <w:t xml:space="preserve">, 58(4), pp. 474–503. Available at: </w:t>
      </w:r>
      <w:hyperlink r:id="rId46" w:tgtFrame="_blank" w:tooltip="doi.org" w:history="1">
        <w:r w:rsidRPr="007F3449">
          <w:rPr>
            <w:rStyle w:val="Hyperlink"/>
            <w:rFonts w:ascii="Arial" w:hAnsi="Arial" w:cs="Arial"/>
            <w:sz w:val="22"/>
            <w:szCs w:val="22"/>
          </w:rPr>
          <w:t>https://doi.org/10.1111/jcpp.12663</w:t>
        </w:r>
      </w:hyperlink>
      <w:r w:rsidRPr="007F3449">
        <w:rPr>
          <w:rFonts w:ascii="Arial" w:hAnsi="Arial" w:cs="Arial"/>
          <w:sz w:val="22"/>
          <w:szCs w:val="22"/>
        </w:rPr>
        <w:t>.</w:t>
      </w:r>
    </w:p>
    <w:p w14:paraId="153529F7"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Kessler, R.C., Berglund, P., Demler, O., Jin, R., Merikangas, K.R. and Walters, E.E. (2005) ‘Lifetime prevalence and age</w:t>
      </w:r>
      <w:r w:rsidRPr="007F3449">
        <w:rPr>
          <w:rFonts w:ascii="Arial" w:hAnsi="Arial" w:cs="Arial"/>
          <w:sz w:val="22"/>
          <w:szCs w:val="22"/>
        </w:rPr>
        <w:noBreakHyphen/>
        <w:t>of</w:t>
      </w:r>
      <w:r w:rsidRPr="007F3449">
        <w:rPr>
          <w:rFonts w:ascii="Arial" w:hAnsi="Arial" w:cs="Arial"/>
          <w:sz w:val="22"/>
          <w:szCs w:val="22"/>
        </w:rPr>
        <w:noBreakHyphen/>
        <w:t>onset distributions of DSM</w:t>
      </w:r>
      <w:r w:rsidRPr="007F3449">
        <w:rPr>
          <w:rFonts w:ascii="Arial" w:hAnsi="Arial" w:cs="Arial"/>
          <w:sz w:val="22"/>
          <w:szCs w:val="22"/>
        </w:rPr>
        <w:noBreakHyphen/>
        <w:t xml:space="preserve">IV disorders in the National Comorbidity Survey Replication’, </w:t>
      </w:r>
      <w:r w:rsidRPr="007F3449">
        <w:rPr>
          <w:rFonts w:ascii="Arial" w:hAnsi="Arial" w:cs="Arial"/>
          <w:i/>
          <w:iCs/>
          <w:sz w:val="22"/>
          <w:szCs w:val="22"/>
        </w:rPr>
        <w:t>Archives of General Psychiatry</w:t>
      </w:r>
      <w:r w:rsidRPr="007F3449">
        <w:rPr>
          <w:rFonts w:ascii="Arial" w:hAnsi="Arial" w:cs="Arial"/>
          <w:sz w:val="22"/>
          <w:szCs w:val="22"/>
        </w:rPr>
        <w:t xml:space="preserve">, 62(6), pp. 593–602. Available at: </w:t>
      </w:r>
      <w:hyperlink r:id="rId47" w:tgtFrame="_blank" w:tooltip="doi.org" w:history="1">
        <w:r w:rsidRPr="007F3449">
          <w:rPr>
            <w:rStyle w:val="Hyperlink"/>
            <w:rFonts w:ascii="Arial" w:hAnsi="Arial" w:cs="Arial"/>
            <w:sz w:val="22"/>
            <w:szCs w:val="22"/>
          </w:rPr>
          <w:t>https://doi.org/10.1001/archpsyc.62.6.593</w:t>
        </w:r>
      </w:hyperlink>
      <w:r w:rsidRPr="007F3449">
        <w:rPr>
          <w:rFonts w:ascii="Arial" w:hAnsi="Arial" w:cs="Arial"/>
          <w:sz w:val="22"/>
          <w:szCs w:val="22"/>
        </w:rPr>
        <w:t>.</w:t>
      </w:r>
    </w:p>
    <w:p w14:paraId="3397A653"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Kidger, J., Gunnell, D., Biddle, L., Campbell, R. and Donovan, J. (2012) ‘Partnership between schools and CAMHS: A qualitative study of barriers to help</w:t>
      </w:r>
      <w:r w:rsidRPr="007F3449">
        <w:rPr>
          <w:rFonts w:ascii="Arial" w:hAnsi="Arial" w:cs="Arial"/>
          <w:sz w:val="22"/>
          <w:szCs w:val="22"/>
        </w:rPr>
        <w:noBreakHyphen/>
        <w:t xml:space="preserve">seeking’, </w:t>
      </w:r>
      <w:r w:rsidRPr="007F3449">
        <w:rPr>
          <w:rFonts w:ascii="Arial" w:hAnsi="Arial" w:cs="Arial"/>
          <w:i/>
          <w:iCs/>
          <w:sz w:val="22"/>
          <w:szCs w:val="22"/>
        </w:rPr>
        <w:t>BMJ Open</w:t>
      </w:r>
      <w:r w:rsidRPr="007F3449">
        <w:rPr>
          <w:rFonts w:ascii="Arial" w:hAnsi="Arial" w:cs="Arial"/>
          <w:sz w:val="22"/>
          <w:szCs w:val="22"/>
        </w:rPr>
        <w:t xml:space="preserve">, 2(6), e000317. Available at: </w:t>
      </w:r>
      <w:hyperlink r:id="rId48" w:history="1">
        <w:r w:rsidRPr="007F3449">
          <w:rPr>
            <w:rStyle w:val="Hyperlink"/>
            <w:rFonts w:ascii="Arial" w:hAnsi="Arial" w:cs="Arial"/>
            <w:sz w:val="22"/>
            <w:szCs w:val="22"/>
          </w:rPr>
          <w:t>https://bmjopen.bmj.com/content/2/6/e000317</w:t>
        </w:r>
      </w:hyperlink>
      <w:r w:rsidRPr="007F3449">
        <w:rPr>
          <w:rFonts w:ascii="Arial" w:hAnsi="Arial" w:cs="Arial"/>
          <w:sz w:val="22"/>
          <w:szCs w:val="22"/>
        </w:rPr>
        <w:t xml:space="preserve"> (Accessed: 29 June 2026).</w:t>
      </w:r>
    </w:p>
    <w:p w14:paraId="5BD47D77"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Larsen, K., Roennfeldt, H., Carlon, D., Hodges, E. and Byrne, L. (2025) ‘Clinical ceiling: barriers to lived experience-led approaches in the mental health sector’, </w:t>
      </w:r>
      <w:r w:rsidRPr="007F3449">
        <w:rPr>
          <w:rFonts w:ascii="Arial" w:hAnsi="Arial" w:cs="Arial"/>
          <w:i/>
          <w:iCs/>
          <w:sz w:val="22"/>
          <w:szCs w:val="22"/>
        </w:rPr>
        <w:t>International Journal of Mental Health Nursing</w:t>
      </w:r>
      <w:r w:rsidRPr="007F3449">
        <w:rPr>
          <w:rFonts w:ascii="Arial" w:hAnsi="Arial" w:cs="Arial"/>
          <w:sz w:val="22"/>
          <w:szCs w:val="22"/>
        </w:rPr>
        <w:t xml:space="preserve">. Available at: </w:t>
      </w:r>
      <w:hyperlink r:id="rId49" w:tgtFrame="_new" w:history="1">
        <w:r w:rsidRPr="007F3449">
          <w:rPr>
            <w:rStyle w:val="Hyperlink"/>
            <w:rFonts w:ascii="Arial" w:hAnsi="Arial" w:cs="Arial"/>
            <w:sz w:val="22"/>
            <w:szCs w:val="22"/>
          </w:rPr>
          <w:t>https://doi.org/10.1111/inm.70159</w:t>
        </w:r>
      </w:hyperlink>
      <w:r w:rsidRPr="007F3449">
        <w:rPr>
          <w:rFonts w:ascii="Arial" w:hAnsi="Arial" w:cs="Arial"/>
          <w:sz w:val="22"/>
          <w:szCs w:val="22"/>
        </w:rPr>
        <w:t>.</w:t>
      </w:r>
    </w:p>
    <w:p w14:paraId="01DE2ABB"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Leavey, G., McGrellis, S., Forbes, T., Thampi, A., Davidson, G., Rosato, M., Bunting, B., Divin, N., Hughes, L., Toal, A., Paul, M. and Singh, S.P. (2019) ‘Improving mental health pathways and care for adolescents in transition to adult services (IMPACT): a retrospective case note review of social and clinical determinants of transition’, </w:t>
      </w:r>
      <w:r w:rsidRPr="007F3449">
        <w:rPr>
          <w:rFonts w:ascii="Arial" w:hAnsi="Arial" w:cs="Arial"/>
          <w:i/>
          <w:iCs/>
          <w:sz w:val="22"/>
          <w:szCs w:val="22"/>
        </w:rPr>
        <w:t>Social Psychiatry and Psychiatric Epidemiology</w:t>
      </w:r>
      <w:r w:rsidRPr="007F3449">
        <w:rPr>
          <w:rFonts w:ascii="Arial" w:hAnsi="Arial" w:cs="Arial"/>
          <w:sz w:val="22"/>
          <w:szCs w:val="22"/>
        </w:rPr>
        <w:t xml:space="preserve">, 54(12), pp. 1481–1493. Available at: </w:t>
      </w:r>
      <w:hyperlink r:id="rId50" w:tgtFrame="_new" w:history="1">
        <w:r w:rsidRPr="007F3449">
          <w:rPr>
            <w:rStyle w:val="Hyperlink"/>
            <w:rFonts w:ascii="Arial" w:hAnsi="Arial" w:cs="Arial"/>
            <w:sz w:val="22"/>
            <w:szCs w:val="22"/>
          </w:rPr>
          <w:t>https://pureadmin.qub.ac.uk/ws/files/165919356/Leavey_et_al_2019_Social_Psychiatry_and_Psychiatric_Epidemiology.pdf</w:t>
        </w:r>
      </w:hyperlink>
      <w:r w:rsidRPr="007F3449">
        <w:rPr>
          <w:rFonts w:ascii="Arial" w:hAnsi="Arial" w:cs="Arial"/>
          <w:sz w:val="22"/>
          <w:szCs w:val="22"/>
        </w:rPr>
        <w:t xml:space="preserve"> (Accessed: 15 June 2026).</w:t>
      </w:r>
    </w:p>
    <w:p w14:paraId="4319FC02"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Lowther-Payne, A. et al. (2023) ‘Young people’s experiences of accessing mental health support’, </w:t>
      </w:r>
      <w:r w:rsidRPr="007F3449">
        <w:rPr>
          <w:rFonts w:ascii="Arial" w:hAnsi="Arial" w:cs="Arial"/>
          <w:i/>
          <w:iCs/>
          <w:sz w:val="22"/>
          <w:szCs w:val="22"/>
        </w:rPr>
        <w:t>Child and Adolescent Mental Health</w:t>
      </w:r>
      <w:r w:rsidRPr="007F3449">
        <w:rPr>
          <w:rFonts w:ascii="Arial" w:hAnsi="Arial" w:cs="Arial"/>
          <w:sz w:val="22"/>
          <w:szCs w:val="22"/>
        </w:rPr>
        <w:t xml:space="preserve">, 28(2), pp. 145–154. Available at: </w:t>
      </w:r>
      <w:hyperlink r:id="rId51" w:tgtFrame="_blank" w:tooltip="doi.org" w:history="1">
        <w:r w:rsidRPr="007F3449">
          <w:rPr>
            <w:rStyle w:val="Hyperlink"/>
            <w:rFonts w:ascii="Arial" w:hAnsi="Arial" w:cs="Arial"/>
            <w:sz w:val="22"/>
            <w:szCs w:val="22"/>
          </w:rPr>
          <w:t>https://doi.org/10.1111/camh.12645</w:t>
        </w:r>
      </w:hyperlink>
      <w:r w:rsidRPr="007F3449">
        <w:rPr>
          <w:rFonts w:ascii="Arial" w:hAnsi="Arial" w:cs="Arial"/>
          <w:sz w:val="22"/>
          <w:szCs w:val="22"/>
        </w:rPr>
        <w:t>.</w:t>
      </w:r>
    </w:p>
    <w:p w14:paraId="56E5BBC8"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lastRenderedPageBreak/>
        <w:t xml:space="preserve">Lowther-Payne, H. et al. (2023) ‘Understanding inequalities in access to adult mental health services in the UK: a systematic mapping review’. Lancaster University Research Portal. Available at: </w:t>
      </w:r>
      <w:hyperlink r:id="rId52" w:tgtFrame="_new" w:history="1">
        <w:r w:rsidRPr="007F3449">
          <w:rPr>
            <w:rStyle w:val="Hyperlink"/>
            <w:rFonts w:ascii="Arial" w:hAnsi="Arial" w:cs="Arial"/>
            <w:sz w:val="22"/>
            <w:szCs w:val="22"/>
          </w:rPr>
          <w:t>https://eprints.lancs.ac.uk/id/eprint/209288</w:t>
        </w:r>
      </w:hyperlink>
      <w:r w:rsidRPr="007F3449">
        <w:rPr>
          <w:rFonts w:ascii="Arial" w:hAnsi="Arial" w:cs="Arial"/>
          <w:sz w:val="22"/>
          <w:szCs w:val="22"/>
        </w:rPr>
        <w:t xml:space="preserve"> (Accessed: 5 June 2026).</w:t>
      </w:r>
    </w:p>
    <w:p w14:paraId="4661DD72"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Lowther</w:t>
      </w:r>
      <w:r w:rsidRPr="007F3449">
        <w:rPr>
          <w:rFonts w:ascii="Arial" w:hAnsi="Arial" w:cs="Arial"/>
          <w:sz w:val="22"/>
          <w:szCs w:val="22"/>
        </w:rPr>
        <w:noBreakHyphen/>
        <w:t xml:space="preserve">Payne, H., Ushakova, A., Beckwith, A., Liberty, C., Edge, R. and Lobban, F. (2023) ‘Understanding inequalities in access to adult mental health services in the UK: a systematic mapping review’, </w:t>
      </w:r>
      <w:r w:rsidRPr="007F3449">
        <w:rPr>
          <w:rFonts w:ascii="Arial" w:hAnsi="Arial" w:cs="Arial"/>
          <w:i/>
          <w:iCs/>
          <w:sz w:val="22"/>
          <w:szCs w:val="22"/>
        </w:rPr>
        <w:t>BMC Health Services Research</w:t>
      </w:r>
      <w:r w:rsidRPr="007F3449">
        <w:rPr>
          <w:rFonts w:ascii="Arial" w:hAnsi="Arial" w:cs="Arial"/>
          <w:sz w:val="22"/>
          <w:szCs w:val="22"/>
        </w:rPr>
        <w:t xml:space="preserve">, 23, 10030. Available at: </w:t>
      </w:r>
      <w:hyperlink r:id="rId53" w:tgtFrame="_blank" w:tooltip="doi.org" w:history="1">
        <w:r w:rsidRPr="007F3449">
          <w:rPr>
            <w:rStyle w:val="Hyperlink"/>
            <w:rFonts w:ascii="Arial" w:hAnsi="Arial" w:cs="Arial"/>
            <w:sz w:val="22"/>
            <w:szCs w:val="22"/>
          </w:rPr>
          <w:t>https://doi.org/10.1186/s12913-023-10030-8</w:t>
        </w:r>
      </w:hyperlink>
      <w:r w:rsidRPr="007F3449">
        <w:rPr>
          <w:rFonts w:ascii="Arial" w:hAnsi="Arial" w:cs="Arial"/>
          <w:sz w:val="22"/>
          <w:szCs w:val="22"/>
        </w:rPr>
        <w:t>.</w:t>
      </w:r>
    </w:p>
    <w:p w14:paraId="33792692"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Maxwell, E., Churchman, M., Fabian, H. and Goldberg, D. (2019) ‘The transition from child to adult mental health services: A systematic review’, </w:t>
      </w:r>
      <w:r w:rsidRPr="007F3449">
        <w:rPr>
          <w:rFonts w:ascii="Arial" w:hAnsi="Arial" w:cs="Arial"/>
          <w:i/>
          <w:iCs/>
          <w:sz w:val="22"/>
          <w:szCs w:val="22"/>
        </w:rPr>
        <w:t>Clinical Child Psychology and Psychiatry</w:t>
      </w:r>
      <w:r w:rsidRPr="007F3449">
        <w:rPr>
          <w:rFonts w:ascii="Arial" w:hAnsi="Arial" w:cs="Arial"/>
          <w:sz w:val="22"/>
          <w:szCs w:val="22"/>
        </w:rPr>
        <w:t xml:space="preserve">, 24(2), pp. 249–266. Available at: </w:t>
      </w:r>
      <w:hyperlink r:id="rId54" w:tgtFrame="_blank" w:tooltip="journals.sagepub.com" w:history="1">
        <w:r w:rsidRPr="007F3449">
          <w:rPr>
            <w:rStyle w:val="Hyperlink"/>
            <w:rFonts w:ascii="Arial" w:hAnsi="Arial" w:cs="Arial"/>
            <w:sz w:val="22"/>
            <w:szCs w:val="22"/>
          </w:rPr>
          <w:t>https://journals.sagepub.com</w:t>
        </w:r>
      </w:hyperlink>
      <w:r w:rsidRPr="007F3449">
        <w:rPr>
          <w:rFonts w:ascii="Arial" w:hAnsi="Arial" w:cs="Arial"/>
          <w:sz w:val="22"/>
          <w:szCs w:val="22"/>
        </w:rPr>
        <w:t xml:space="preserve"> (Accessed: 7 June 2026).</w:t>
      </w:r>
    </w:p>
    <w:p w14:paraId="49C985CE"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McKinney, A., O’Brien, S., Maybin, J.A., Chan, S.W.Y., Richer, S. and Rhodes, S. (2024) ‘Camouflaging in neurodivergent and neurotypical girls at the transition to adolescence and its relationship to mental health: a participatory methods research study’, </w:t>
      </w:r>
      <w:r w:rsidRPr="007F3449">
        <w:rPr>
          <w:rFonts w:ascii="Arial" w:hAnsi="Arial" w:cs="Arial"/>
          <w:i/>
          <w:iCs/>
          <w:sz w:val="22"/>
          <w:szCs w:val="22"/>
        </w:rPr>
        <w:t>JCPP Advances</w:t>
      </w:r>
      <w:r w:rsidRPr="007F3449">
        <w:rPr>
          <w:rFonts w:ascii="Arial" w:hAnsi="Arial" w:cs="Arial"/>
          <w:sz w:val="22"/>
          <w:szCs w:val="22"/>
        </w:rPr>
        <w:t xml:space="preserve">. Available at: </w:t>
      </w:r>
      <w:hyperlink r:id="rId55" w:tgtFrame="_new" w:history="1">
        <w:r w:rsidRPr="007F3449">
          <w:rPr>
            <w:rStyle w:val="Hyperlink"/>
            <w:rFonts w:ascii="Arial" w:hAnsi="Arial" w:cs="Arial"/>
            <w:sz w:val="22"/>
            <w:szCs w:val="22"/>
          </w:rPr>
          <w:t>https://doi.org/10.1002/jcv2.12294</w:t>
        </w:r>
      </w:hyperlink>
      <w:r w:rsidRPr="007F3449">
        <w:rPr>
          <w:rFonts w:ascii="Arial" w:hAnsi="Arial" w:cs="Arial"/>
          <w:sz w:val="22"/>
          <w:szCs w:val="22"/>
        </w:rPr>
        <w:t>.</w:t>
      </w:r>
    </w:p>
    <w:p w14:paraId="531F16B6"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McPhail, L., Thornicroft, G. and Gronholm, P.C. (2024) ‘Help-seeking processes related to targeted school-based mental health services: systematic review’, </w:t>
      </w:r>
      <w:r w:rsidRPr="007F3449">
        <w:rPr>
          <w:rFonts w:ascii="Arial" w:hAnsi="Arial" w:cs="Arial"/>
          <w:i/>
          <w:iCs/>
          <w:sz w:val="22"/>
          <w:szCs w:val="22"/>
        </w:rPr>
        <w:t>BMC Public Health</w:t>
      </w:r>
      <w:r w:rsidRPr="007F3449">
        <w:rPr>
          <w:rFonts w:ascii="Arial" w:hAnsi="Arial" w:cs="Arial"/>
          <w:sz w:val="22"/>
          <w:szCs w:val="22"/>
        </w:rPr>
        <w:t xml:space="preserve">, 24, p. 1217. Available at: </w:t>
      </w:r>
      <w:hyperlink r:id="rId56" w:tgtFrame="_new" w:history="1">
        <w:r w:rsidRPr="007F3449">
          <w:rPr>
            <w:rStyle w:val="Hyperlink"/>
            <w:rFonts w:ascii="Arial" w:hAnsi="Arial" w:cs="Arial"/>
            <w:sz w:val="22"/>
            <w:szCs w:val="22"/>
          </w:rPr>
          <w:t>https://doi.org/10.1186/s12889-024-18714-4</w:t>
        </w:r>
      </w:hyperlink>
      <w:r w:rsidRPr="007F3449">
        <w:rPr>
          <w:rFonts w:ascii="Arial" w:hAnsi="Arial" w:cs="Arial"/>
          <w:sz w:val="22"/>
          <w:szCs w:val="22"/>
        </w:rPr>
        <w:t>.</w:t>
      </w:r>
    </w:p>
    <w:p w14:paraId="6AB72D04"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Meyer, I.H. (2003) ‘Prejudice, social stress and mental health in lesbian, gay and bisexual populations: conceptual issues and research evidence’, </w:t>
      </w:r>
      <w:r w:rsidRPr="007F3449">
        <w:rPr>
          <w:rFonts w:ascii="Arial" w:hAnsi="Arial" w:cs="Arial"/>
          <w:i/>
          <w:iCs/>
          <w:sz w:val="22"/>
          <w:szCs w:val="22"/>
        </w:rPr>
        <w:t>Psychological Bulletin</w:t>
      </w:r>
      <w:r w:rsidRPr="007F3449">
        <w:rPr>
          <w:rFonts w:ascii="Arial" w:hAnsi="Arial" w:cs="Arial"/>
          <w:sz w:val="22"/>
          <w:szCs w:val="22"/>
        </w:rPr>
        <w:t xml:space="preserve">, 129(5), pp. 674–697. Available at: </w:t>
      </w:r>
      <w:hyperlink r:id="rId57" w:tgtFrame="_new" w:history="1">
        <w:r w:rsidRPr="007F3449">
          <w:rPr>
            <w:rStyle w:val="Hyperlink"/>
            <w:rFonts w:ascii="Arial" w:hAnsi="Arial" w:cs="Arial"/>
            <w:sz w:val="22"/>
            <w:szCs w:val="22"/>
          </w:rPr>
          <w:t>https://doi.org/10.1037/0033-2909.129.5.674</w:t>
        </w:r>
      </w:hyperlink>
      <w:r w:rsidRPr="007F3449">
        <w:rPr>
          <w:rFonts w:ascii="Arial" w:hAnsi="Arial" w:cs="Arial"/>
          <w:sz w:val="22"/>
          <w:szCs w:val="22"/>
        </w:rPr>
        <w:t>.</w:t>
      </w:r>
    </w:p>
    <w:p w14:paraId="1046D7AF"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Moher, D., Liberati, A., Tetzlaff, J. and Altman, D.G. (2009) ‘Preferred Reporting Items for Systematic Reviews and Meta</w:t>
      </w:r>
      <w:r w:rsidRPr="007F3449">
        <w:rPr>
          <w:rFonts w:ascii="Arial" w:hAnsi="Arial" w:cs="Arial"/>
          <w:sz w:val="22"/>
          <w:szCs w:val="22"/>
        </w:rPr>
        <w:noBreakHyphen/>
        <w:t xml:space="preserve">Analyses: The PRISMA Statement’, </w:t>
      </w:r>
      <w:r w:rsidRPr="007F3449">
        <w:rPr>
          <w:rFonts w:ascii="Arial" w:hAnsi="Arial" w:cs="Arial"/>
          <w:i/>
          <w:iCs/>
          <w:sz w:val="22"/>
          <w:szCs w:val="22"/>
        </w:rPr>
        <w:t>PLoS Medicine</w:t>
      </w:r>
      <w:r w:rsidRPr="007F3449">
        <w:rPr>
          <w:rFonts w:ascii="Arial" w:hAnsi="Arial" w:cs="Arial"/>
          <w:sz w:val="22"/>
          <w:szCs w:val="22"/>
        </w:rPr>
        <w:t xml:space="preserve">, 6(7), e1000097. Available at: </w:t>
      </w:r>
      <w:hyperlink r:id="rId58" w:tgtFrame="_blank" w:tooltip="doi.org" w:history="1">
        <w:r w:rsidRPr="007F3449">
          <w:rPr>
            <w:rStyle w:val="Hyperlink"/>
            <w:rFonts w:ascii="Arial" w:hAnsi="Arial" w:cs="Arial"/>
            <w:sz w:val="22"/>
            <w:szCs w:val="22"/>
          </w:rPr>
          <w:t>https://doi.org/10.1371/journal.pmed.1000097</w:t>
        </w:r>
      </w:hyperlink>
      <w:r w:rsidRPr="007F3449">
        <w:rPr>
          <w:rFonts w:ascii="Arial" w:hAnsi="Arial" w:cs="Arial"/>
          <w:sz w:val="22"/>
          <w:szCs w:val="22"/>
        </w:rPr>
        <w:t>.</w:t>
      </w:r>
    </w:p>
    <w:p w14:paraId="08CD1744"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NHS Digital (2022) </w:t>
      </w:r>
      <w:r w:rsidRPr="007F3449">
        <w:rPr>
          <w:rFonts w:ascii="Arial" w:hAnsi="Arial" w:cs="Arial"/>
          <w:i/>
          <w:iCs/>
          <w:sz w:val="22"/>
          <w:szCs w:val="22"/>
        </w:rPr>
        <w:t>Mental Health of Children and Young People in England 2022</w:t>
      </w:r>
      <w:r w:rsidRPr="007F3449">
        <w:rPr>
          <w:rFonts w:ascii="Arial" w:hAnsi="Arial" w:cs="Arial"/>
          <w:sz w:val="22"/>
          <w:szCs w:val="22"/>
        </w:rPr>
        <w:t xml:space="preserve">. Leeds: NHS Digital. Available at: </w:t>
      </w:r>
      <w:hyperlink r:id="rId59" w:tgtFrame="_new" w:history="1">
        <w:r w:rsidRPr="007F3449">
          <w:rPr>
            <w:rStyle w:val="Hyperlink"/>
            <w:rFonts w:ascii="Arial" w:hAnsi="Arial" w:cs="Arial"/>
            <w:sz w:val="22"/>
            <w:szCs w:val="22"/>
          </w:rPr>
          <w:t>https://digital.nhs.uk</w:t>
        </w:r>
      </w:hyperlink>
      <w:r w:rsidRPr="007F3449">
        <w:rPr>
          <w:rFonts w:ascii="Arial" w:hAnsi="Arial" w:cs="Arial"/>
          <w:sz w:val="22"/>
          <w:szCs w:val="22"/>
        </w:rPr>
        <w:t xml:space="preserve"> (Accessed: 7 June 2026).</w:t>
      </w:r>
    </w:p>
    <w:p w14:paraId="3F023224"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NHS Digital (2023) </w:t>
      </w:r>
      <w:r w:rsidRPr="007F3449">
        <w:rPr>
          <w:rFonts w:ascii="Arial" w:hAnsi="Arial" w:cs="Arial"/>
          <w:i/>
          <w:iCs/>
          <w:sz w:val="22"/>
          <w:szCs w:val="22"/>
        </w:rPr>
        <w:t>Mental Health of Children and Young People in England 2023</w:t>
      </w:r>
      <w:r w:rsidRPr="007F3449">
        <w:rPr>
          <w:rFonts w:ascii="Arial" w:hAnsi="Arial" w:cs="Arial"/>
          <w:sz w:val="22"/>
          <w:szCs w:val="22"/>
        </w:rPr>
        <w:t xml:space="preserve">. Leeds: NHS Digital. Available at: </w:t>
      </w:r>
      <w:hyperlink r:id="rId60" w:tgtFrame="_new" w:history="1">
        <w:r w:rsidRPr="007F3449">
          <w:rPr>
            <w:rStyle w:val="Hyperlink"/>
            <w:rFonts w:ascii="Arial" w:hAnsi="Arial" w:cs="Arial"/>
            <w:sz w:val="22"/>
            <w:szCs w:val="22"/>
          </w:rPr>
          <w:t>https://digital.nhs.uk</w:t>
        </w:r>
      </w:hyperlink>
      <w:r w:rsidRPr="007F3449">
        <w:rPr>
          <w:rFonts w:ascii="Arial" w:hAnsi="Arial" w:cs="Arial"/>
          <w:sz w:val="22"/>
          <w:szCs w:val="22"/>
        </w:rPr>
        <w:t xml:space="preserve"> (Accessed: 7 June 2026).</w:t>
      </w:r>
    </w:p>
    <w:p w14:paraId="524A6FE2"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NHS Digital (2025) </w:t>
      </w:r>
      <w:r w:rsidRPr="007F3449">
        <w:rPr>
          <w:rFonts w:ascii="Arial" w:hAnsi="Arial" w:cs="Arial"/>
          <w:i/>
          <w:iCs/>
          <w:sz w:val="22"/>
          <w:szCs w:val="22"/>
        </w:rPr>
        <w:t>Children and young people’s mental health services data</w:t>
      </w:r>
      <w:r w:rsidRPr="007F3449">
        <w:rPr>
          <w:rFonts w:ascii="Arial" w:hAnsi="Arial" w:cs="Arial"/>
          <w:sz w:val="22"/>
          <w:szCs w:val="22"/>
        </w:rPr>
        <w:t xml:space="preserve">. Leeds: NHS Digital. Available at: </w:t>
      </w:r>
      <w:hyperlink r:id="rId61" w:tgtFrame="_blank" w:tooltip="digital.nhs.uk" w:history="1">
        <w:r w:rsidRPr="007F3449">
          <w:rPr>
            <w:rStyle w:val="Hyperlink"/>
            <w:rFonts w:ascii="Arial" w:hAnsi="Arial" w:cs="Arial"/>
            <w:sz w:val="22"/>
            <w:szCs w:val="22"/>
          </w:rPr>
          <w:t>https://digital.nhs.uk</w:t>
        </w:r>
      </w:hyperlink>
      <w:r w:rsidRPr="007F3449">
        <w:rPr>
          <w:rFonts w:ascii="Arial" w:hAnsi="Arial" w:cs="Arial"/>
          <w:sz w:val="22"/>
          <w:szCs w:val="22"/>
        </w:rPr>
        <w:t xml:space="preserve"> (Accessed: 6 June 2026).</w:t>
      </w:r>
    </w:p>
    <w:p w14:paraId="0CB32505"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NHS Digital (2025) </w:t>
      </w:r>
      <w:r w:rsidRPr="007F3449">
        <w:rPr>
          <w:rFonts w:ascii="Arial" w:hAnsi="Arial" w:cs="Arial"/>
          <w:i/>
          <w:iCs/>
          <w:sz w:val="22"/>
          <w:szCs w:val="22"/>
        </w:rPr>
        <w:t>Mental Health Services Monthly Statistics: Performance April 2025</w:t>
      </w:r>
      <w:r w:rsidRPr="007F3449">
        <w:rPr>
          <w:rFonts w:ascii="Arial" w:hAnsi="Arial" w:cs="Arial"/>
          <w:sz w:val="22"/>
          <w:szCs w:val="22"/>
        </w:rPr>
        <w:t xml:space="preserve">. Leeds: NHS Digital. Available at: </w:t>
      </w:r>
      <w:hyperlink r:id="rId62" w:tgtFrame="_new" w:history="1">
        <w:r w:rsidRPr="007F3449">
          <w:rPr>
            <w:rStyle w:val="Hyperlink"/>
            <w:rFonts w:ascii="Arial" w:hAnsi="Arial" w:cs="Arial"/>
            <w:sz w:val="22"/>
            <w:szCs w:val="22"/>
          </w:rPr>
          <w:t>https://digital.nhs.uk</w:t>
        </w:r>
      </w:hyperlink>
      <w:r w:rsidRPr="007F3449">
        <w:rPr>
          <w:rFonts w:ascii="Arial" w:hAnsi="Arial" w:cs="Arial"/>
          <w:sz w:val="22"/>
          <w:szCs w:val="22"/>
        </w:rPr>
        <w:t xml:space="preserve"> (Accessed: 7 June 2026).</w:t>
      </w:r>
    </w:p>
    <w:p w14:paraId="4F9FE437"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lastRenderedPageBreak/>
        <w:t xml:space="preserve">NHS England (2021) </w:t>
      </w:r>
      <w:r w:rsidRPr="007F3449">
        <w:rPr>
          <w:rFonts w:ascii="Arial" w:hAnsi="Arial" w:cs="Arial"/>
          <w:i/>
          <w:iCs/>
          <w:sz w:val="22"/>
          <w:szCs w:val="22"/>
        </w:rPr>
        <w:t>Funding Boost for Young People’s Mental Health Services</w:t>
      </w:r>
      <w:r w:rsidRPr="007F3449">
        <w:rPr>
          <w:rFonts w:ascii="Arial" w:hAnsi="Arial" w:cs="Arial"/>
          <w:sz w:val="22"/>
          <w:szCs w:val="22"/>
        </w:rPr>
        <w:t xml:space="preserve">. Available at: </w:t>
      </w:r>
      <w:hyperlink r:id="rId63" w:tgtFrame="_new" w:history="1">
        <w:r w:rsidRPr="007F3449">
          <w:rPr>
            <w:rStyle w:val="Hyperlink"/>
            <w:rFonts w:ascii="Arial" w:hAnsi="Arial" w:cs="Arial"/>
            <w:sz w:val="22"/>
            <w:szCs w:val="22"/>
          </w:rPr>
          <w:t>https://www.england.nhs.uk</w:t>
        </w:r>
      </w:hyperlink>
      <w:r w:rsidRPr="007F3449">
        <w:rPr>
          <w:rFonts w:ascii="Arial" w:hAnsi="Arial" w:cs="Arial"/>
          <w:sz w:val="22"/>
          <w:szCs w:val="22"/>
        </w:rPr>
        <w:t xml:space="preserve"> (Accessed: 7 June 2026).</w:t>
      </w:r>
    </w:p>
    <w:p w14:paraId="4403030C"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NHS England (2023) </w:t>
      </w:r>
      <w:r w:rsidRPr="007F3449">
        <w:rPr>
          <w:rFonts w:ascii="Arial" w:hAnsi="Arial" w:cs="Arial"/>
          <w:i/>
          <w:iCs/>
          <w:sz w:val="22"/>
          <w:szCs w:val="22"/>
        </w:rPr>
        <w:t>Children and young people's mental health services dataset annual report 2022–23</w:t>
      </w:r>
      <w:r w:rsidRPr="007F3449">
        <w:rPr>
          <w:rFonts w:ascii="Arial" w:hAnsi="Arial" w:cs="Arial"/>
          <w:sz w:val="22"/>
          <w:szCs w:val="22"/>
        </w:rPr>
        <w:t xml:space="preserve">. London: NHS England. Available at: </w:t>
      </w:r>
      <w:hyperlink r:id="rId64" w:tgtFrame="_blank" w:tooltip="digital.nhs.uk" w:history="1">
        <w:r w:rsidRPr="007F3449">
          <w:rPr>
            <w:rStyle w:val="Hyperlink"/>
            <w:rFonts w:ascii="Arial" w:hAnsi="Arial" w:cs="Arial"/>
            <w:sz w:val="22"/>
            <w:szCs w:val="22"/>
          </w:rPr>
          <w:t>https://digital.nhs.uk/data-and-information/publications/statistical/mental-health-services-monthly-statistics</w:t>
        </w:r>
      </w:hyperlink>
      <w:r w:rsidRPr="007F3449">
        <w:rPr>
          <w:rFonts w:ascii="Arial" w:hAnsi="Arial" w:cs="Arial"/>
          <w:sz w:val="22"/>
          <w:szCs w:val="22"/>
        </w:rPr>
        <w:t xml:space="preserve"> (Accessed: 15 June 2026).</w:t>
      </w:r>
    </w:p>
    <w:p w14:paraId="4298C0DF"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NHS England (2023) </w:t>
      </w:r>
      <w:r w:rsidRPr="007F3449">
        <w:rPr>
          <w:rFonts w:ascii="Arial" w:hAnsi="Arial" w:cs="Arial"/>
          <w:i/>
          <w:iCs/>
          <w:sz w:val="22"/>
          <w:szCs w:val="22"/>
        </w:rPr>
        <w:t>One in five children and young people had a probable mental disorder in 2023</w:t>
      </w:r>
      <w:r w:rsidRPr="007F3449">
        <w:rPr>
          <w:rFonts w:ascii="Arial" w:hAnsi="Arial" w:cs="Arial"/>
          <w:sz w:val="22"/>
          <w:szCs w:val="22"/>
        </w:rPr>
        <w:t xml:space="preserve">. Available at: </w:t>
      </w:r>
      <w:hyperlink r:id="rId65" w:tgtFrame="_blank" w:tooltip="www.england.nhs.uk" w:history="1">
        <w:r w:rsidRPr="007F3449">
          <w:rPr>
            <w:rStyle w:val="Hyperlink"/>
            <w:rFonts w:ascii="Arial" w:hAnsi="Arial" w:cs="Arial"/>
            <w:sz w:val="22"/>
            <w:szCs w:val="22"/>
          </w:rPr>
          <w:t>https://www.england.nhs.uk/2023/11/one-in-five-children-and-young-people-had-a-probable-mental-disorder-in-2023/</w:t>
        </w:r>
      </w:hyperlink>
      <w:r w:rsidRPr="007F3449">
        <w:rPr>
          <w:rFonts w:ascii="Arial" w:hAnsi="Arial" w:cs="Arial"/>
          <w:sz w:val="22"/>
          <w:szCs w:val="22"/>
        </w:rPr>
        <w:t xml:space="preserve"> (Accessed: 7 June 2026).</w:t>
      </w:r>
    </w:p>
    <w:p w14:paraId="792BF8DC"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Nwabueze, K.K., </w:t>
      </w:r>
      <w:proofErr w:type="spellStart"/>
      <w:r w:rsidRPr="007F3449">
        <w:rPr>
          <w:rFonts w:ascii="Arial" w:hAnsi="Arial" w:cs="Arial"/>
          <w:sz w:val="22"/>
          <w:szCs w:val="22"/>
        </w:rPr>
        <w:t>Akubue</w:t>
      </w:r>
      <w:proofErr w:type="spellEnd"/>
      <w:r w:rsidRPr="007F3449">
        <w:rPr>
          <w:rFonts w:ascii="Arial" w:hAnsi="Arial" w:cs="Arial"/>
          <w:sz w:val="22"/>
          <w:szCs w:val="22"/>
        </w:rPr>
        <w:t xml:space="preserve">, N., </w:t>
      </w:r>
      <w:proofErr w:type="spellStart"/>
      <w:r w:rsidRPr="007F3449">
        <w:rPr>
          <w:rFonts w:ascii="Arial" w:hAnsi="Arial" w:cs="Arial"/>
          <w:sz w:val="22"/>
          <w:szCs w:val="22"/>
        </w:rPr>
        <w:t>Onakoya</w:t>
      </w:r>
      <w:proofErr w:type="spellEnd"/>
      <w:r w:rsidRPr="007F3449">
        <w:rPr>
          <w:rFonts w:ascii="Arial" w:hAnsi="Arial" w:cs="Arial"/>
          <w:sz w:val="22"/>
          <w:szCs w:val="22"/>
        </w:rPr>
        <w:t xml:space="preserve">, A., </w:t>
      </w:r>
      <w:proofErr w:type="spellStart"/>
      <w:r w:rsidRPr="007F3449">
        <w:rPr>
          <w:rFonts w:ascii="Arial" w:hAnsi="Arial" w:cs="Arial"/>
          <w:sz w:val="22"/>
          <w:szCs w:val="22"/>
        </w:rPr>
        <w:t>Okolieze</w:t>
      </w:r>
      <w:proofErr w:type="spellEnd"/>
      <w:r w:rsidRPr="007F3449">
        <w:rPr>
          <w:rFonts w:ascii="Arial" w:hAnsi="Arial" w:cs="Arial"/>
          <w:sz w:val="22"/>
          <w:szCs w:val="22"/>
        </w:rPr>
        <w:t xml:space="preserve">, S.C., </w:t>
      </w:r>
      <w:proofErr w:type="spellStart"/>
      <w:r w:rsidRPr="007F3449">
        <w:rPr>
          <w:rFonts w:ascii="Arial" w:hAnsi="Arial" w:cs="Arial"/>
          <w:sz w:val="22"/>
          <w:szCs w:val="22"/>
        </w:rPr>
        <w:t>Otaniyen</w:t>
      </w:r>
      <w:r w:rsidRPr="007F3449">
        <w:rPr>
          <w:rFonts w:ascii="Arial" w:hAnsi="Arial" w:cs="Arial"/>
          <w:sz w:val="22"/>
          <w:szCs w:val="22"/>
        </w:rPr>
        <w:noBreakHyphen/>
        <w:t>Igbinoba</w:t>
      </w:r>
      <w:proofErr w:type="spellEnd"/>
      <w:r w:rsidRPr="007F3449">
        <w:rPr>
          <w:rFonts w:ascii="Arial" w:hAnsi="Arial" w:cs="Arial"/>
          <w:sz w:val="22"/>
          <w:szCs w:val="22"/>
        </w:rPr>
        <w:t xml:space="preserve">, I., </w:t>
      </w:r>
      <w:proofErr w:type="spellStart"/>
      <w:r w:rsidRPr="007F3449">
        <w:rPr>
          <w:rFonts w:ascii="Arial" w:hAnsi="Arial" w:cs="Arial"/>
          <w:sz w:val="22"/>
          <w:szCs w:val="22"/>
        </w:rPr>
        <w:t>Chukwunonye</w:t>
      </w:r>
      <w:proofErr w:type="spellEnd"/>
      <w:r w:rsidRPr="007F3449">
        <w:rPr>
          <w:rFonts w:ascii="Arial" w:hAnsi="Arial" w:cs="Arial"/>
          <w:sz w:val="22"/>
          <w:szCs w:val="22"/>
        </w:rPr>
        <w:t>, C., Chinelo, G.O., Ige, T., Alao, O.J. and Kelechi, N.A. (2025) ‘Exploring the prevalence and risk factors of adolescent mental health issues in the COVID and post</w:t>
      </w:r>
      <w:r w:rsidRPr="007F3449">
        <w:rPr>
          <w:rFonts w:ascii="Arial" w:hAnsi="Arial" w:cs="Arial"/>
          <w:sz w:val="22"/>
          <w:szCs w:val="22"/>
        </w:rPr>
        <w:noBreakHyphen/>
        <w:t xml:space="preserve">COVID era in the U.K.: A systematic review’, </w:t>
      </w:r>
      <w:r w:rsidRPr="007F3449">
        <w:rPr>
          <w:rFonts w:ascii="Arial" w:hAnsi="Arial" w:cs="Arial"/>
          <w:i/>
          <w:iCs/>
          <w:sz w:val="22"/>
          <w:szCs w:val="22"/>
        </w:rPr>
        <w:t>EXCLI Journal</w:t>
      </w:r>
      <w:r w:rsidRPr="007F3449">
        <w:rPr>
          <w:rFonts w:ascii="Arial" w:hAnsi="Arial" w:cs="Arial"/>
          <w:sz w:val="22"/>
          <w:szCs w:val="22"/>
        </w:rPr>
        <w:t xml:space="preserve">, 24, pp. 508–523. Available at: </w:t>
      </w:r>
      <w:hyperlink r:id="rId66" w:tgtFrame="_blank" w:tooltip="doi.org" w:history="1">
        <w:r w:rsidRPr="007F3449">
          <w:rPr>
            <w:rStyle w:val="Hyperlink"/>
            <w:rFonts w:ascii="Arial" w:hAnsi="Arial" w:cs="Arial"/>
            <w:sz w:val="22"/>
            <w:szCs w:val="22"/>
          </w:rPr>
          <w:t>https://doi.org/10.17179/excli2025-8325</w:t>
        </w:r>
      </w:hyperlink>
      <w:r w:rsidRPr="007F3449">
        <w:rPr>
          <w:rFonts w:ascii="Arial" w:hAnsi="Arial" w:cs="Arial"/>
          <w:sz w:val="22"/>
          <w:szCs w:val="22"/>
        </w:rPr>
        <w:t>.</w:t>
      </w:r>
    </w:p>
    <w:p w14:paraId="26F70590"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O’Brien, D., Harvey, K., Howse, J., Reardon, T. and Creswell, C. (2016) ‘Barriers to managing child and adolescent mental health problems: a systematic review of primary care practitioners’ perceptions’, </w:t>
      </w:r>
      <w:r w:rsidRPr="007F3449">
        <w:rPr>
          <w:rFonts w:ascii="Arial" w:hAnsi="Arial" w:cs="Arial"/>
          <w:i/>
          <w:iCs/>
          <w:sz w:val="22"/>
          <w:szCs w:val="22"/>
        </w:rPr>
        <w:t>British Journal of General Practice</w:t>
      </w:r>
      <w:r w:rsidRPr="007F3449">
        <w:rPr>
          <w:rFonts w:ascii="Arial" w:hAnsi="Arial" w:cs="Arial"/>
          <w:sz w:val="22"/>
          <w:szCs w:val="22"/>
        </w:rPr>
        <w:t xml:space="preserve">, 66(651), pp. e693–e707. Available at: </w:t>
      </w:r>
      <w:hyperlink r:id="rId67" w:tgtFrame="_blank" w:tooltip="doi.org" w:history="1">
        <w:r w:rsidRPr="007F3449">
          <w:rPr>
            <w:rStyle w:val="Hyperlink"/>
            <w:rFonts w:ascii="Arial" w:hAnsi="Arial" w:cs="Arial"/>
            <w:sz w:val="22"/>
            <w:szCs w:val="22"/>
          </w:rPr>
          <w:t>https://doi.org/10.3399/bjgp16X687061</w:t>
        </w:r>
      </w:hyperlink>
      <w:r w:rsidRPr="007F3449">
        <w:rPr>
          <w:rFonts w:ascii="Arial" w:hAnsi="Arial" w:cs="Arial"/>
          <w:sz w:val="22"/>
          <w:szCs w:val="22"/>
        </w:rPr>
        <w:t>.</w:t>
      </w:r>
    </w:p>
    <w:p w14:paraId="6D9D1FAE"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O’Keeffe, S., O’Hara, L., Wilson, N., Townsend, E., McHugh, L. and Stallard, P. (2020) ‘Transition from CAMHS to AMHS: A qualitative study of service user and clinician perspectives’, </w:t>
      </w:r>
      <w:r w:rsidRPr="007F3449">
        <w:rPr>
          <w:rFonts w:ascii="Arial" w:hAnsi="Arial" w:cs="Arial"/>
          <w:i/>
          <w:iCs/>
          <w:sz w:val="22"/>
          <w:szCs w:val="22"/>
        </w:rPr>
        <w:t>BMC Psychiatry</w:t>
      </w:r>
      <w:r w:rsidRPr="007F3449">
        <w:rPr>
          <w:rFonts w:ascii="Arial" w:hAnsi="Arial" w:cs="Arial"/>
          <w:sz w:val="22"/>
          <w:szCs w:val="22"/>
        </w:rPr>
        <w:t xml:space="preserve">, 20(1), p. 1. Available at: </w:t>
      </w:r>
      <w:hyperlink r:id="rId68" w:history="1">
        <w:r w:rsidRPr="007F3449">
          <w:rPr>
            <w:rStyle w:val="Hyperlink"/>
            <w:rFonts w:ascii="Arial" w:hAnsi="Arial" w:cs="Arial"/>
            <w:sz w:val="22"/>
            <w:szCs w:val="22"/>
          </w:rPr>
          <w:t>https://pmc.ncbi.nlm.nih.gov/articles/PMC8791764/</w:t>
        </w:r>
      </w:hyperlink>
      <w:r w:rsidRPr="007F3449">
        <w:rPr>
          <w:rFonts w:ascii="Arial" w:hAnsi="Arial" w:cs="Arial"/>
          <w:sz w:val="22"/>
          <w:szCs w:val="22"/>
        </w:rPr>
        <w:t xml:space="preserve"> (Accessed: 29 June 2026).</w:t>
      </w:r>
    </w:p>
    <w:p w14:paraId="3FD54328"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Ouzzani, M., Hammady, H., Fedorowicz, Z. and Elmagarmid, A. (2016) ‘Rayyan — a web and mobile app for systematic reviews’, </w:t>
      </w:r>
      <w:r w:rsidRPr="007F3449">
        <w:rPr>
          <w:rFonts w:ascii="Arial" w:hAnsi="Arial" w:cs="Arial"/>
          <w:i/>
          <w:iCs/>
          <w:sz w:val="22"/>
          <w:szCs w:val="22"/>
        </w:rPr>
        <w:t>Systematic Reviews</w:t>
      </w:r>
      <w:r w:rsidRPr="007F3449">
        <w:rPr>
          <w:rFonts w:ascii="Arial" w:hAnsi="Arial" w:cs="Arial"/>
          <w:sz w:val="22"/>
          <w:szCs w:val="22"/>
        </w:rPr>
        <w:t xml:space="preserve">, 5(210), pp. 1–10. Available at: </w:t>
      </w:r>
      <w:hyperlink r:id="rId69" w:tgtFrame="_blank" w:tooltip="doi.org" w:history="1">
        <w:r w:rsidRPr="007F3449">
          <w:rPr>
            <w:rStyle w:val="Hyperlink"/>
            <w:rFonts w:ascii="Arial" w:hAnsi="Arial" w:cs="Arial"/>
            <w:sz w:val="22"/>
            <w:szCs w:val="22"/>
          </w:rPr>
          <w:t>https://doi.org/10.1186/s13643-016-0384-4</w:t>
        </w:r>
      </w:hyperlink>
      <w:r w:rsidRPr="007F3449">
        <w:rPr>
          <w:rFonts w:ascii="Arial" w:hAnsi="Arial" w:cs="Arial"/>
          <w:sz w:val="22"/>
          <w:szCs w:val="22"/>
        </w:rPr>
        <w:t>.</w:t>
      </w:r>
    </w:p>
    <w:p w14:paraId="737E3390"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Paez, A. (2017) ‘Gray literature: An important resource in systematic reviews’, </w:t>
      </w:r>
      <w:r w:rsidRPr="007F3449">
        <w:rPr>
          <w:rFonts w:ascii="Arial" w:hAnsi="Arial" w:cs="Arial"/>
          <w:i/>
          <w:iCs/>
          <w:sz w:val="22"/>
          <w:szCs w:val="22"/>
        </w:rPr>
        <w:t>Journal of Evidence Based Medicine</w:t>
      </w:r>
      <w:r w:rsidRPr="007F3449">
        <w:rPr>
          <w:rFonts w:ascii="Arial" w:hAnsi="Arial" w:cs="Arial"/>
          <w:sz w:val="22"/>
          <w:szCs w:val="22"/>
        </w:rPr>
        <w:t xml:space="preserve">, 10(3), pp. 233–240. Available at: </w:t>
      </w:r>
      <w:hyperlink r:id="rId70" w:tgtFrame="_blank" w:tooltip="doi.org" w:history="1">
        <w:r w:rsidRPr="007F3449">
          <w:rPr>
            <w:rStyle w:val="Hyperlink"/>
            <w:rFonts w:ascii="Arial" w:hAnsi="Arial" w:cs="Arial"/>
            <w:sz w:val="22"/>
            <w:szCs w:val="22"/>
          </w:rPr>
          <w:t>https://doi.org/10.1111/jebm.12266</w:t>
        </w:r>
      </w:hyperlink>
      <w:r w:rsidRPr="007F3449">
        <w:rPr>
          <w:rFonts w:ascii="Arial" w:hAnsi="Arial" w:cs="Arial"/>
          <w:sz w:val="22"/>
          <w:szCs w:val="22"/>
        </w:rPr>
        <w:t>.</w:t>
      </w:r>
    </w:p>
    <w:p w14:paraId="4B8D19F1"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Page, M.J., McKenzie, J.E., Bossuyt, P.M., Boutron, I., Hoffmann, T.C., Mulrow, C.D., Shamseer, L., Tetzlaff, J.M., Akl, E.A., Brennan, S.E., Chou, R., Glanville, J., Grimshaw, J.M., Hróbjartsson, A., Lalu, M.M., Li, T., Loder, E.W., Mayo-Wilson, E., McDonald, S., McGuinness, L.A., Stewart, L.A., Thomas, J., </w:t>
      </w:r>
      <w:proofErr w:type="spellStart"/>
      <w:r w:rsidRPr="007F3449">
        <w:rPr>
          <w:rFonts w:ascii="Arial" w:hAnsi="Arial" w:cs="Arial"/>
          <w:sz w:val="22"/>
          <w:szCs w:val="22"/>
        </w:rPr>
        <w:t>Tricco</w:t>
      </w:r>
      <w:proofErr w:type="spellEnd"/>
      <w:r w:rsidRPr="007F3449">
        <w:rPr>
          <w:rFonts w:ascii="Arial" w:hAnsi="Arial" w:cs="Arial"/>
          <w:sz w:val="22"/>
          <w:szCs w:val="22"/>
        </w:rPr>
        <w:t xml:space="preserve">, A.C., Welch, V.A., Whiting, P. and Moher, D. (2021) </w:t>
      </w:r>
      <w:r w:rsidRPr="007F3449">
        <w:rPr>
          <w:rFonts w:ascii="Arial" w:hAnsi="Arial" w:cs="Arial"/>
          <w:sz w:val="22"/>
          <w:szCs w:val="22"/>
        </w:rPr>
        <w:lastRenderedPageBreak/>
        <w:t xml:space="preserve">‘The PRISMA 2020 statement: an updated guideline for reporting systematic reviews’, </w:t>
      </w:r>
      <w:r w:rsidRPr="007F3449">
        <w:rPr>
          <w:rFonts w:ascii="Arial" w:hAnsi="Arial" w:cs="Arial"/>
          <w:i/>
          <w:iCs/>
          <w:sz w:val="22"/>
          <w:szCs w:val="22"/>
        </w:rPr>
        <w:t>BMJ</w:t>
      </w:r>
      <w:r w:rsidRPr="007F3449">
        <w:rPr>
          <w:rFonts w:ascii="Arial" w:hAnsi="Arial" w:cs="Arial"/>
          <w:sz w:val="22"/>
          <w:szCs w:val="22"/>
        </w:rPr>
        <w:t xml:space="preserve">, 372, n71. Available at: </w:t>
      </w:r>
      <w:hyperlink r:id="rId71" w:tgtFrame="_new" w:history="1">
        <w:r w:rsidRPr="007F3449">
          <w:rPr>
            <w:rStyle w:val="Hyperlink"/>
            <w:rFonts w:ascii="Arial" w:hAnsi="Arial" w:cs="Arial"/>
            <w:sz w:val="22"/>
            <w:szCs w:val="22"/>
          </w:rPr>
          <w:t>https://doi.org/10.1136/bmj.n71</w:t>
        </w:r>
      </w:hyperlink>
      <w:r w:rsidRPr="007F3449">
        <w:rPr>
          <w:rFonts w:ascii="Arial" w:hAnsi="Arial" w:cs="Arial"/>
          <w:sz w:val="22"/>
          <w:szCs w:val="22"/>
        </w:rPr>
        <w:t>.</w:t>
      </w:r>
    </w:p>
    <w:p w14:paraId="7F290B7D"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Patalay, P. and Gage, S.H. (2019) ‘Changes in millennial adolescent mental health and health</w:t>
      </w:r>
      <w:r w:rsidRPr="007F3449">
        <w:rPr>
          <w:rFonts w:ascii="Arial" w:hAnsi="Arial" w:cs="Arial"/>
          <w:sz w:val="22"/>
          <w:szCs w:val="22"/>
        </w:rPr>
        <w:noBreakHyphen/>
        <w:t xml:space="preserve">related behaviours over 10 years: A population cohort comparison study’, </w:t>
      </w:r>
      <w:r w:rsidRPr="007F3449">
        <w:rPr>
          <w:rFonts w:ascii="Arial" w:hAnsi="Arial" w:cs="Arial"/>
          <w:i/>
          <w:iCs/>
          <w:sz w:val="22"/>
          <w:szCs w:val="22"/>
        </w:rPr>
        <w:t>International Journal of Epidemiology</w:t>
      </w:r>
      <w:r w:rsidRPr="007F3449">
        <w:rPr>
          <w:rFonts w:ascii="Arial" w:hAnsi="Arial" w:cs="Arial"/>
          <w:sz w:val="22"/>
          <w:szCs w:val="22"/>
        </w:rPr>
        <w:t xml:space="preserve">, 48(5), pp. 1650–1664. Available at: </w:t>
      </w:r>
      <w:hyperlink r:id="rId72" w:tgtFrame="_blank" w:tooltip="pubmed.ncbi.nlm.nih.gov" w:history="1">
        <w:r w:rsidRPr="007F3449">
          <w:rPr>
            <w:rStyle w:val="Hyperlink"/>
            <w:rFonts w:ascii="Arial" w:hAnsi="Arial" w:cs="Arial"/>
            <w:sz w:val="22"/>
            <w:szCs w:val="22"/>
          </w:rPr>
          <w:t>https://pubmed.ncbi.nlm.nih.gov/30815691/</w:t>
        </w:r>
      </w:hyperlink>
      <w:r w:rsidRPr="007F3449">
        <w:rPr>
          <w:rFonts w:ascii="Arial" w:hAnsi="Arial" w:cs="Arial"/>
          <w:sz w:val="22"/>
          <w:szCs w:val="22"/>
        </w:rPr>
        <w:t xml:space="preserve"> (Accessed: 29 June 2026).</w:t>
      </w:r>
    </w:p>
    <w:p w14:paraId="64AAAB8D"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Pears, R. and Shields, G. (2022) </w:t>
      </w:r>
      <w:r w:rsidRPr="007F3449">
        <w:rPr>
          <w:rFonts w:ascii="Arial" w:hAnsi="Arial" w:cs="Arial"/>
          <w:i/>
          <w:iCs/>
          <w:sz w:val="22"/>
          <w:szCs w:val="22"/>
        </w:rPr>
        <w:t>Cite Them Right: The essential referencing guide</w:t>
      </w:r>
      <w:r w:rsidRPr="007F3449">
        <w:rPr>
          <w:rFonts w:ascii="Arial" w:hAnsi="Arial" w:cs="Arial"/>
          <w:sz w:val="22"/>
          <w:szCs w:val="22"/>
        </w:rPr>
        <w:t>. 12th edn. London: Red Globe Press.</w:t>
      </w:r>
    </w:p>
    <w:p w14:paraId="028424DB"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Petticrew, M. and Roberts, H. (2006) </w:t>
      </w:r>
      <w:r w:rsidRPr="007F3449">
        <w:rPr>
          <w:rFonts w:ascii="Arial" w:hAnsi="Arial" w:cs="Arial"/>
          <w:i/>
          <w:iCs/>
          <w:sz w:val="22"/>
          <w:szCs w:val="22"/>
        </w:rPr>
        <w:t>Systematic reviews in the social sciences: A practical guide</w:t>
      </w:r>
      <w:r w:rsidRPr="007F3449">
        <w:rPr>
          <w:rFonts w:ascii="Arial" w:hAnsi="Arial" w:cs="Arial"/>
          <w:sz w:val="22"/>
          <w:szCs w:val="22"/>
        </w:rPr>
        <w:t>. Oxford: Blackwell Publishing.</w:t>
      </w:r>
    </w:p>
    <w:p w14:paraId="228696DD"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Popay, J., Roberts, H., Sowden, A., Petticrew, M., Arai, L., Rodgers, M., Britten, N., Roen, K. and Duffy, S. (2006) </w:t>
      </w:r>
      <w:r w:rsidRPr="007F3449">
        <w:rPr>
          <w:rFonts w:ascii="Arial" w:hAnsi="Arial" w:cs="Arial"/>
          <w:i/>
          <w:iCs/>
          <w:sz w:val="22"/>
          <w:szCs w:val="22"/>
        </w:rPr>
        <w:t>Guidance on the Conduct of Narrative Synthesis in Systematic Reviews</w:t>
      </w:r>
      <w:r w:rsidRPr="007F3449">
        <w:rPr>
          <w:rFonts w:ascii="Arial" w:hAnsi="Arial" w:cs="Arial"/>
          <w:sz w:val="22"/>
          <w:szCs w:val="22"/>
        </w:rPr>
        <w:t xml:space="preserve">. Lancaster: Lancaster University. Available at: </w:t>
      </w:r>
      <w:hyperlink r:id="rId73" w:tgtFrame="_new" w:history="1">
        <w:r w:rsidRPr="007F3449">
          <w:rPr>
            <w:rStyle w:val="Hyperlink"/>
            <w:rFonts w:ascii="Arial" w:hAnsi="Arial" w:cs="Arial"/>
            <w:sz w:val="22"/>
            <w:szCs w:val="22"/>
          </w:rPr>
          <w:t>https://database.inahta.org/article/2684</w:t>
        </w:r>
      </w:hyperlink>
      <w:r w:rsidRPr="007F3449">
        <w:rPr>
          <w:rFonts w:ascii="Arial" w:hAnsi="Arial" w:cs="Arial"/>
          <w:sz w:val="22"/>
          <w:szCs w:val="22"/>
        </w:rPr>
        <w:t xml:space="preserve"> (Accessed: 7 June 2026).</w:t>
      </w:r>
    </w:p>
    <w:p w14:paraId="205663B2"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Public Health England (2021) </w:t>
      </w:r>
      <w:r w:rsidRPr="007F3449">
        <w:rPr>
          <w:rFonts w:ascii="Arial" w:hAnsi="Arial" w:cs="Arial"/>
          <w:i/>
          <w:iCs/>
          <w:sz w:val="22"/>
          <w:szCs w:val="22"/>
        </w:rPr>
        <w:t>Mental health and wellbeing surveillance report</w:t>
      </w:r>
      <w:r w:rsidRPr="007F3449">
        <w:rPr>
          <w:rFonts w:ascii="Arial" w:hAnsi="Arial" w:cs="Arial"/>
          <w:sz w:val="22"/>
          <w:szCs w:val="22"/>
        </w:rPr>
        <w:t xml:space="preserve">. London: Public Health England. Available at: </w:t>
      </w:r>
      <w:hyperlink r:id="rId74" w:tgtFrame="_blank" w:tooltip="www.gov.uk" w:history="1">
        <w:r w:rsidRPr="007F3449">
          <w:rPr>
            <w:rStyle w:val="Hyperlink"/>
            <w:rFonts w:ascii="Arial" w:hAnsi="Arial" w:cs="Arial"/>
            <w:sz w:val="22"/>
            <w:szCs w:val="22"/>
          </w:rPr>
          <w:t>https://www.gov.uk/government/publications</w:t>
        </w:r>
      </w:hyperlink>
      <w:r w:rsidRPr="007F3449">
        <w:rPr>
          <w:rFonts w:ascii="Arial" w:hAnsi="Arial" w:cs="Arial"/>
          <w:sz w:val="22"/>
          <w:szCs w:val="22"/>
        </w:rPr>
        <w:t xml:space="preserve"> (search: ‘Mental Health and Wellbeing Surveillance Report 2021’) (Accessed: 15 June 2026).</w:t>
      </w:r>
    </w:p>
    <w:p w14:paraId="2D3B721E"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Radez, J., Reardon, T., Creswell, C., Lawrence, P.J., </w:t>
      </w:r>
      <w:proofErr w:type="spellStart"/>
      <w:r w:rsidRPr="007F3449">
        <w:rPr>
          <w:rFonts w:ascii="Arial" w:hAnsi="Arial" w:cs="Arial"/>
          <w:sz w:val="22"/>
          <w:szCs w:val="22"/>
        </w:rPr>
        <w:t>Evdoka</w:t>
      </w:r>
      <w:proofErr w:type="spellEnd"/>
      <w:r w:rsidRPr="007F3449">
        <w:rPr>
          <w:rFonts w:ascii="Arial" w:hAnsi="Arial" w:cs="Arial"/>
          <w:sz w:val="22"/>
          <w:szCs w:val="22"/>
        </w:rPr>
        <w:noBreakHyphen/>
        <w:t xml:space="preserve">Burton, G. and Waite, P. (2021) ‘Why do children and adolescents (not) seek and access professional help for their mental health problems? A systematic review of quantitative and qualitative studies’, </w:t>
      </w:r>
      <w:r w:rsidRPr="007F3449">
        <w:rPr>
          <w:rFonts w:ascii="Arial" w:hAnsi="Arial" w:cs="Arial"/>
          <w:i/>
          <w:iCs/>
          <w:sz w:val="22"/>
          <w:szCs w:val="22"/>
        </w:rPr>
        <w:t>European Child and Adolescent Psychiatry</w:t>
      </w:r>
      <w:r w:rsidRPr="007F3449">
        <w:rPr>
          <w:rFonts w:ascii="Arial" w:hAnsi="Arial" w:cs="Arial"/>
          <w:sz w:val="22"/>
          <w:szCs w:val="22"/>
        </w:rPr>
        <w:t xml:space="preserve">, 30(2), pp. 183–211. Available at: </w:t>
      </w:r>
      <w:hyperlink r:id="rId75" w:tgtFrame="_blank" w:tooltip="doi.org" w:history="1">
        <w:r w:rsidRPr="007F3449">
          <w:rPr>
            <w:rStyle w:val="Hyperlink"/>
            <w:rFonts w:ascii="Arial" w:hAnsi="Arial" w:cs="Arial"/>
            <w:sz w:val="22"/>
            <w:szCs w:val="22"/>
          </w:rPr>
          <w:t>https://doi.org/10.1007/s00787-019-01469-4</w:t>
        </w:r>
      </w:hyperlink>
      <w:r w:rsidRPr="007F3449">
        <w:rPr>
          <w:rFonts w:ascii="Arial" w:hAnsi="Arial" w:cs="Arial"/>
          <w:sz w:val="22"/>
          <w:szCs w:val="22"/>
        </w:rPr>
        <w:t>.</w:t>
      </w:r>
    </w:p>
    <w:p w14:paraId="5C95A331"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Radez, J., Reardon, T., Creswell, C., Orchard, F. and Waite, P. (2022) ‘Adolescents’ perceived barriers and facilitators to seeking and accessing professional help for anxiety and depressive disorders: a qualitative interview study’, </w:t>
      </w:r>
      <w:r w:rsidRPr="007F3449">
        <w:rPr>
          <w:rFonts w:ascii="Arial" w:hAnsi="Arial" w:cs="Arial"/>
          <w:i/>
          <w:iCs/>
          <w:sz w:val="22"/>
          <w:szCs w:val="22"/>
        </w:rPr>
        <w:t>European Child &amp; Adolescent Psychiatry</w:t>
      </w:r>
      <w:r w:rsidRPr="007F3449">
        <w:rPr>
          <w:rFonts w:ascii="Arial" w:hAnsi="Arial" w:cs="Arial"/>
          <w:sz w:val="22"/>
          <w:szCs w:val="22"/>
        </w:rPr>
        <w:t xml:space="preserve">, 31, pp. 891–907. Available at: </w:t>
      </w:r>
      <w:hyperlink r:id="rId76" w:tgtFrame="_blank" w:tooltip="doi.org" w:history="1">
        <w:r w:rsidRPr="007F3449">
          <w:rPr>
            <w:rStyle w:val="Hyperlink"/>
            <w:rFonts w:ascii="Arial" w:hAnsi="Arial" w:cs="Arial"/>
            <w:sz w:val="22"/>
            <w:szCs w:val="22"/>
          </w:rPr>
          <w:t>https://doi.org/10.1007/s00787-020-01707-0</w:t>
        </w:r>
      </w:hyperlink>
      <w:r w:rsidRPr="007F3449">
        <w:rPr>
          <w:rFonts w:ascii="Arial" w:hAnsi="Arial" w:cs="Arial"/>
          <w:sz w:val="22"/>
          <w:szCs w:val="22"/>
        </w:rPr>
        <w:t>.</w:t>
      </w:r>
    </w:p>
    <w:p w14:paraId="73A274C6"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Radez, J., Reardon, T., Creswell, C., Orchard, F. and Waite, P. (2021) ‘Barriers and facilitators to seeking help for mental health problems in adolescents: a systematic review’, </w:t>
      </w:r>
      <w:r w:rsidRPr="007F3449">
        <w:rPr>
          <w:rFonts w:ascii="Arial" w:hAnsi="Arial" w:cs="Arial"/>
          <w:i/>
          <w:iCs/>
          <w:sz w:val="22"/>
          <w:szCs w:val="22"/>
        </w:rPr>
        <w:t>European Child &amp; Adolescent Psychiatry</w:t>
      </w:r>
      <w:r w:rsidRPr="007F3449">
        <w:rPr>
          <w:rFonts w:ascii="Arial" w:hAnsi="Arial" w:cs="Arial"/>
          <w:sz w:val="22"/>
          <w:szCs w:val="22"/>
        </w:rPr>
        <w:t xml:space="preserve">, 30(12), pp. 1839–1859. Available at: </w:t>
      </w:r>
      <w:hyperlink r:id="rId77" w:tgtFrame="_blank" w:tooltip="doi.org" w:history="1">
        <w:r w:rsidRPr="007F3449">
          <w:rPr>
            <w:rStyle w:val="Hyperlink"/>
            <w:rFonts w:ascii="Arial" w:hAnsi="Arial" w:cs="Arial"/>
            <w:sz w:val="22"/>
            <w:szCs w:val="22"/>
          </w:rPr>
          <w:t>https://doi.org/10.1007/s00787-020-01549-8</w:t>
        </w:r>
      </w:hyperlink>
      <w:r w:rsidRPr="007F3449">
        <w:rPr>
          <w:rFonts w:ascii="Arial" w:hAnsi="Arial" w:cs="Arial"/>
          <w:sz w:val="22"/>
          <w:szCs w:val="22"/>
        </w:rPr>
        <w:t>.</w:t>
      </w:r>
    </w:p>
    <w:p w14:paraId="3A66D84D"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Radez, J., Reardon, T., Creswell, C., Orchard, F., Waite, P. and Cooper, P. (2021) ‘Barriers and facilitators to seeking and accessing professional support for anxiety in young people: A systematic review’, </w:t>
      </w:r>
      <w:r w:rsidRPr="007F3449">
        <w:rPr>
          <w:rFonts w:ascii="Arial" w:hAnsi="Arial" w:cs="Arial"/>
          <w:i/>
          <w:iCs/>
          <w:sz w:val="22"/>
          <w:szCs w:val="22"/>
        </w:rPr>
        <w:t>European Child &amp; Adolescent Psychiatry</w:t>
      </w:r>
      <w:r w:rsidRPr="007F3449">
        <w:rPr>
          <w:rFonts w:ascii="Arial" w:hAnsi="Arial" w:cs="Arial"/>
          <w:sz w:val="22"/>
          <w:szCs w:val="22"/>
        </w:rPr>
        <w:t xml:space="preserve">, 30(8), pp. 1229–1249. Available </w:t>
      </w:r>
      <w:r w:rsidRPr="007F3449">
        <w:rPr>
          <w:rFonts w:ascii="Arial" w:hAnsi="Arial" w:cs="Arial"/>
          <w:sz w:val="22"/>
          <w:szCs w:val="22"/>
        </w:rPr>
        <w:lastRenderedPageBreak/>
        <w:t xml:space="preserve">at: </w:t>
      </w:r>
      <w:hyperlink r:id="rId78" w:history="1">
        <w:r w:rsidRPr="007F3449">
          <w:rPr>
            <w:rStyle w:val="Hyperlink"/>
            <w:rFonts w:ascii="Arial" w:hAnsi="Arial" w:cs="Arial"/>
            <w:sz w:val="22"/>
            <w:szCs w:val="22"/>
          </w:rPr>
          <w:t>https://centaur.reading.ac.uk/95754/2/Radez2021_Article_AdolescentsPerceivedBarriersAn.pdf</w:t>
        </w:r>
      </w:hyperlink>
      <w:r w:rsidRPr="007F3449">
        <w:rPr>
          <w:rFonts w:ascii="Arial" w:hAnsi="Arial" w:cs="Arial"/>
          <w:sz w:val="22"/>
          <w:szCs w:val="22"/>
        </w:rPr>
        <w:t xml:space="preserve"> (Accessed: 29 June 2026).</w:t>
      </w:r>
    </w:p>
    <w:p w14:paraId="1684CBEE"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Rainer, C. and Abdinasir, K. (2023) </w:t>
      </w:r>
      <w:r w:rsidRPr="007F3449">
        <w:rPr>
          <w:rFonts w:ascii="Arial" w:hAnsi="Arial" w:cs="Arial"/>
          <w:i/>
          <w:iCs/>
          <w:sz w:val="22"/>
          <w:szCs w:val="22"/>
        </w:rPr>
        <w:t>Children and young people’s mental health: An independent review into policy success and challenges over the last decade</w:t>
      </w:r>
      <w:r w:rsidRPr="007F3449">
        <w:rPr>
          <w:rFonts w:ascii="Arial" w:hAnsi="Arial" w:cs="Arial"/>
          <w:sz w:val="22"/>
          <w:szCs w:val="22"/>
        </w:rPr>
        <w:t xml:space="preserve">. London: Children and Young People’s Mental Health Coalition. Available at: </w:t>
      </w:r>
      <w:hyperlink r:id="rId79" w:tgtFrame="_blank" w:tooltip="cypmhc.org.uk" w:history="1">
        <w:r w:rsidRPr="007F3449">
          <w:rPr>
            <w:rStyle w:val="Hyperlink"/>
            <w:rFonts w:ascii="Arial" w:hAnsi="Arial" w:cs="Arial"/>
            <w:sz w:val="22"/>
            <w:szCs w:val="22"/>
          </w:rPr>
          <w:t>https://cypmhc.org.uk/wp-content/uploads/2023/06/Review-of-CYP-Mental-Health-Policy-Final-Report.-2023.pdf</w:t>
        </w:r>
      </w:hyperlink>
      <w:r w:rsidRPr="007F3449">
        <w:rPr>
          <w:rFonts w:ascii="Arial" w:hAnsi="Arial" w:cs="Arial"/>
          <w:sz w:val="22"/>
          <w:szCs w:val="22"/>
        </w:rPr>
        <w:t xml:space="preserve"> (Accessed: 7 June 2026).</w:t>
      </w:r>
    </w:p>
    <w:p w14:paraId="7F9027A6"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Reardon, T., Harvey, K., Baranowska, M., O’Brien, D., Smith, L. and Creswell, C. (2016) ‘What do parents perceive are the barriers and facilitators to accessing psychological treatment for mental health problems in children and adolescents? A systematic review of qualitative and quantitative studies, </w:t>
      </w:r>
      <w:r w:rsidRPr="007F3449">
        <w:rPr>
          <w:rFonts w:ascii="Arial" w:hAnsi="Arial" w:cs="Arial"/>
          <w:i/>
          <w:iCs/>
          <w:sz w:val="22"/>
          <w:szCs w:val="22"/>
        </w:rPr>
        <w:t>European Child &amp; Adolescent Psychiatry</w:t>
      </w:r>
      <w:r w:rsidRPr="007F3449">
        <w:rPr>
          <w:rFonts w:ascii="Arial" w:hAnsi="Arial" w:cs="Arial"/>
          <w:sz w:val="22"/>
          <w:szCs w:val="22"/>
        </w:rPr>
        <w:t xml:space="preserve">, 26(6), pp. 623–647. Available at: </w:t>
      </w:r>
      <w:hyperlink r:id="rId80" w:history="1">
        <w:r w:rsidRPr="007F3449">
          <w:rPr>
            <w:rStyle w:val="Hyperlink"/>
            <w:rFonts w:ascii="Arial" w:hAnsi="Arial" w:cs="Arial"/>
            <w:sz w:val="22"/>
            <w:szCs w:val="22"/>
          </w:rPr>
          <w:t>https://link.springer.com/article/10.1007/s00787-016-0930-6</w:t>
        </w:r>
      </w:hyperlink>
      <w:r w:rsidRPr="007F3449">
        <w:rPr>
          <w:rFonts w:ascii="Arial" w:hAnsi="Arial" w:cs="Arial"/>
          <w:sz w:val="22"/>
          <w:szCs w:val="22"/>
        </w:rPr>
        <w:t xml:space="preserve"> (Accessed: 29 June 2026).</w:t>
      </w:r>
    </w:p>
    <w:p w14:paraId="584E025D"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Reardon, T., Harvey, K., Young, B., O’Brien, D., Creswell, C. and Waite, P. (2019) ‘Barriers and facilitators to seeking and accessing professional support for children and young people with anxiety: A systematic review’, </w:t>
      </w:r>
      <w:r w:rsidRPr="007F3449">
        <w:rPr>
          <w:rFonts w:ascii="Arial" w:hAnsi="Arial" w:cs="Arial"/>
          <w:i/>
          <w:iCs/>
          <w:sz w:val="22"/>
          <w:szCs w:val="22"/>
        </w:rPr>
        <w:t>European Child &amp; Adolescent Psychiatry</w:t>
      </w:r>
      <w:r w:rsidRPr="007F3449">
        <w:rPr>
          <w:rFonts w:ascii="Arial" w:hAnsi="Arial" w:cs="Arial"/>
          <w:sz w:val="22"/>
          <w:szCs w:val="22"/>
        </w:rPr>
        <w:t xml:space="preserve">, 28(8), pp. 1059–1081. Available at: </w:t>
      </w:r>
      <w:hyperlink r:id="rId81" w:history="1">
        <w:r w:rsidRPr="007F3449">
          <w:rPr>
            <w:rStyle w:val="Hyperlink"/>
            <w:rFonts w:ascii="Arial" w:hAnsi="Arial" w:cs="Arial"/>
            <w:sz w:val="22"/>
            <w:szCs w:val="22"/>
          </w:rPr>
          <w:t>https://pubmed.ncbi.nlm.nih.gov/29372331/</w:t>
        </w:r>
      </w:hyperlink>
      <w:r w:rsidRPr="007F3449">
        <w:rPr>
          <w:rFonts w:ascii="Arial" w:hAnsi="Arial" w:cs="Arial"/>
          <w:sz w:val="22"/>
          <w:szCs w:val="22"/>
        </w:rPr>
        <w:t xml:space="preserve">  (Accessed: 29 June 2026).</w:t>
      </w:r>
    </w:p>
    <w:p w14:paraId="43BD9BC0"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Rocks, S., Glogowska, M., Stepney, M., Tsiachristas, A. and Fazel, M. (2020) ‘Introducing a single point of access (SPA) to child and adolescent mental health services in England: a mixed-methods observational study’, </w:t>
      </w:r>
      <w:r w:rsidRPr="007F3449">
        <w:rPr>
          <w:rFonts w:ascii="Arial" w:hAnsi="Arial" w:cs="Arial"/>
          <w:i/>
          <w:iCs/>
          <w:sz w:val="22"/>
          <w:szCs w:val="22"/>
        </w:rPr>
        <w:t>BMC Health Services Research</w:t>
      </w:r>
      <w:r w:rsidRPr="007F3449">
        <w:rPr>
          <w:rFonts w:ascii="Arial" w:hAnsi="Arial" w:cs="Arial"/>
          <w:sz w:val="22"/>
          <w:szCs w:val="22"/>
        </w:rPr>
        <w:t xml:space="preserve">, 20, 623. Available at: </w:t>
      </w:r>
      <w:hyperlink r:id="rId82" w:tgtFrame="_blank" w:tooltip="doi.org" w:history="1">
        <w:r w:rsidRPr="007F3449">
          <w:rPr>
            <w:rStyle w:val="Hyperlink"/>
            <w:rFonts w:ascii="Arial" w:hAnsi="Arial" w:cs="Arial"/>
            <w:sz w:val="22"/>
            <w:szCs w:val="22"/>
          </w:rPr>
          <w:t>https://doi.org/10.1186/s12913-020-05463-4</w:t>
        </w:r>
      </w:hyperlink>
      <w:r w:rsidRPr="007F3449">
        <w:rPr>
          <w:rFonts w:ascii="Arial" w:hAnsi="Arial" w:cs="Arial"/>
          <w:sz w:val="22"/>
          <w:szCs w:val="22"/>
        </w:rPr>
        <w:t>.</w:t>
      </w:r>
    </w:p>
    <w:p w14:paraId="5C0CF927"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Royal College of Psychiatrists (2025) </w:t>
      </w:r>
      <w:r w:rsidRPr="007F3449">
        <w:rPr>
          <w:rFonts w:ascii="Arial" w:hAnsi="Arial" w:cs="Arial"/>
          <w:i/>
          <w:iCs/>
          <w:sz w:val="22"/>
          <w:szCs w:val="22"/>
        </w:rPr>
        <w:t>CAMHS workforce report 2025</w:t>
      </w:r>
      <w:r w:rsidRPr="007F3449">
        <w:rPr>
          <w:rFonts w:ascii="Arial" w:hAnsi="Arial" w:cs="Arial"/>
          <w:sz w:val="22"/>
          <w:szCs w:val="22"/>
        </w:rPr>
        <w:t xml:space="preserve">. Available at: </w:t>
      </w:r>
      <w:hyperlink r:id="rId83" w:tgtFrame="_blank" w:tooltip="www.rcpsych.ac.uk" w:history="1">
        <w:r w:rsidRPr="007F3449">
          <w:rPr>
            <w:rStyle w:val="Hyperlink"/>
            <w:rFonts w:ascii="Arial" w:hAnsi="Arial" w:cs="Arial"/>
            <w:sz w:val="22"/>
            <w:szCs w:val="22"/>
          </w:rPr>
          <w:t>https://www.rcpsych.ac.uk</w:t>
        </w:r>
      </w:hyperlink>
      <w:r w:rsidRPr="007F3449">
        <w:rPr>
          <w:rFonts w:ascii="Arial" w:hAnsi="Arial" w:cs="Arial"/>
          <w:sz w:val="22"/>
          <w:szCs w:val="22"/>
        </w:rPr>
        <w:t xml:space="preserve"> (Accessed: 26 May 2026).</w:t>
      </w:r>
    </w:p>
    <w:p w14:paraId="78BF364A"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Royal College of Psychiatrists (2025) </w:t>
      </w:r>
      <w:r w:rsidRPr="007F3449">
        <w:rPr>
          <w:rFonts w:ascii="Arial" w:hAnsi="Arial" w:cs="Arial"/>
          <w:i/>
          <w:iCs/>
          <w:sz w:val="22"/>
          <w:szCs w:val="22"/>
        </w:rPr>
        <w:t>Children and young people’s mental health services: Workforce, capacity and access report</w:t>
      </w:r>
      <w:r w:rsidRPr="007F3449">
        <w:rPr>
          <w:rFonts w:ascii="Arial" w:hAnsi="Arial" w:cs="Arial"/>
          <w:sz w:val="22"/>
          <w:szCs w:val="22"/>
        </w:rPr>
        <w:t xml:space="preserve">. London: RCPsych. Available at: </w:t>
      </w:r>
      <w:hyperlink r:id="rId84" w:tgtFrame="_blank" w:tooltip="www.rcpsych.ac.uk" w:history="1">
        <w:r w:rsidRPr="007F3449">
          <w:rPr>
            <w:rStyle w:val="Hyperlink"/>
            <w:rFonts w:ascii="Arial" w:hAnsi="Arial" w:cs="Arial"/>
            <w:sz w:val="22"/>
            <w:szCs w:val="22"/>
          </w:rPr>
          <w:t>https://www.rcpsych.ac.uk</w:t>
        </w:r>
      </w:hyperlink>
      <w:r w:rsidRPr="007F3449">
        <w:rPr>
          <w:rFonts w:ascii="Arial" w:hAnsi="Arial" w:cs="Arial"/>
          <w:sz w:val="22"/>
          <w:szCs w:val="22"/>
        </w:rPr>
        <w:t xml:space="preserve"> (Accessed: 6 June 2026).</w:t>
      </w:r>
    </w:p>
    <w:p w14:paraId="5A92AF04"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Royal College of Psychiatrists (2025) </w:t>
      </w:r>
      <w:r w:rsidRPr="007F3449">
        <w:rPr>
          <w:rFonts w:ascii="Arial" w:hAnsi="Arial" w:cs="Arial"/>
          <w:i/>
          <w:iCs/>
          <w:sz w:val="22"/>
          <w:szCs w:val="22"/>
        </w:rPr>
        <w:t>Workforce census 2025</w:t>
      </w:r>
      <w:r w:rsidRPr="007F3449">
        <w:rPr>
          <w:rFonts w:ascii="Arial" w:hAnsi="Arial" w:cs="Arial"/>
          <w:sz w:val="22"/>
          <w:szCs w:val="22"/>
        </w:rPr>
        <w:t xml:space="preserve">. Available at: </w:t>
      </w:r>
      <w:hyperlink r:id="rId85" w:tgtFrame="_blank" w:tooltip="www.rcpsych.ac.uk" w:history="1">
        <w:r w:rsidRPr="007F3449">
          <w:rPr>
            <w:rStyle w:val="Hyperlink"/>
            <w:rFonts w:ascii="Arial" w:hAnsi="Arial" w:cs="Arial"/>
            <w:sz w:val="22"/>
            <w:szCs w:val="22"/>
          </w:rPr>
          <w:t>https://www.rcpsych.ac.uk</w:t>
        </w:r>
      </w:hyperlink>
      <w:r w:rsidRPr="007F3449">
        <w:rPr>
          <w:rFonts w:ascii="Arial" w:hAnsi="Arial" w:cs="Arial"/>
          <w:sz w:val="22"/>
          <w:szCs w:val="22"/>
        </w:rPr>
        <w:t xml:space="preserve"> (Accessed: 5 June 2026).</w:t>
      </w:r>
    </w:p>
    <w:p w14:paraId="4851094A"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Royal College of Psychiatrists (2025a) </w:t>
      </w:r>
      <w:r w:rsidRPr="007F3449">
        <w:rPr>
          <w:rFonts w:ascii="Arial" w:hAnsi="Arial" w:cs="Arial"/>
          <w:i/>
          <w:iCs/>
          <w:sz w:val="22"/>
          <w:szCs w:val="22"/>
        </w:rPr>
        <w:t>CAMHS Workforce Report 2025</w:t>
      </w:r>
      <w:r w:rsidRPr="007F3449">
        <w:rPr>
          <w:rFonts w:ascii="Arial" w:hAnsi="Arial" w:cs="Arial"/>
          <w:sz w:val="22"/>
          <w:szCs w:val="22"/>
        </w:rPr>
        <w:t xml:space="preserve">. Available at: </w:t>
      </w:r>
      <w:hyperlink r:id="rId86" w:tgtFrame="_new" w:history="1">
        <w:r w:rsidRPr="007F3449">
          <w:rPr>
            <w:rStyle w:val="Hyperlink"/>
            <w:rFonts w:ascii="Arial" w:hAnsi="Arial" w:cs="Arial"/>
            <w:sz w:val="22"/>
            <w:szCs w:val="22"/>
          </w:rPr>
          <w:t>https://www.rcpsych.ac.uk</w:t>
        </w:r>
      </w:hyperlink>
      <w:r w:rsidRPr="007F3449">
        <w:rPr>
          <w:rFonts w:ascii="Arial" w:hAnsi="Arial" w:cs="Arial"/>
          <w:sz w:val="22"/>
          <w:szCs w:val="22"/>
        </w:rPr>
        <w:t xml:space="preserve"> (Accessed: 26 May 2026).</w:t>
      </w:r>
    </w:p>
    <w:p w14:paraId="67DE37BE"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Royal College of Psychiatrists (2025b) </w:t>
      </w:r>
      <w:r w:rsidRPr="007F3449">
        <w:rPr>
          <w:rFonts w:ascii="Arial" w:hAnsi="Arial" w:cs="Arial"/>
          <w:i/>
          <w:iCs/>
          <w:sz w:val="22"/>
          <w:szCs w:val="22"/>
        </w:rPr>
        <w:t>Workforce Census 2025</w:t>
      </w:r>
      <w:r w:rsidRPr="007F3449">
        <w:rPr>
          <w:rFonts w:ascii="Arial" w:hAnsi="Arial" w:cs="Arial"/>
          <w:sz w:val="22"/>
          <w:szCs w:val="22"/>
        </w:rPr>
        <w:t xml:space="preserve">. Available at: </w:t>
      </w:r>
      <w:hyperlink r:id="rId87" w:tgtFrame="_new" w:history="1">
        <w:r w:rsidRPr="007F3449">
          <w:rPr>
            <w:rStyle w:val="Hyperlink"/>
            <w:rFonts w:ascii="Arial" w:hAnsi="Arial" w:cs="Arial"/>
            <w:sz w:val="22"/>
            <w:szCs w:val="22"/>
          </w:rPr>
          <w:t>https://www.rcpsych.ac.uk</w:t>
        </w:r>
      </w:hyperlink>
      <w:r w:rsidRPr="007F3449">
        <w:rPr>
          <w:rFonts w:ascii="Arial" w:hAnsi="Arial" w:cs="Arial"/>
          <w:sz w:val="22"/>
          <w:szCs w:val="22"/>
        </w:rPr>
        <w:t xml:space="preserve"> (Accessed: 5 June 2026).</w:t>
      </w:r>
    </w:p>
    <w:p w14:paraId="530D6863"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lastRenderedPageBreak/>
        <w:t xml:space="preserve">Sheridan, R., O’Connor, R., McMahon, E. and Keeley, H. (2021) ‘School based mental health supports: a systematic review of effectiveness’, </w:t>
      </w:r>
      <w:r w:rsidRPr="007F3449">
        <w:rPr>
          <w:rFonts w:ascii="Arial" w:hAnsi="Arial" w:cs="Arial"/>
          <w:i/>
          <w:iCs/>
          <w:sz w:val="22"/>
          <w:szCs w:val="22"/>
        </w:rPr>
        <w:t>Child and Adolescent Mental Health</w:t>
      </w:r>
      <w:r w:rsidRPr="007F3449">
        <w:rPr>
          <w:rFonts w:ascii="Arial" w:hAnsi="Arial" w:cs="Arial"/>
          <w:sz w:val="22"/>
          <w:szCs w:val="22"/>
        </w:rPr>
        <w:t xml:space="preserve">, 26(4), pp. 307–318. Available at: </w:t>
      </w:r>
      <w:hyperlink r:id="rId88" w:tgtFrame="_blank" w:tooltip="doi.org" w:history="1">
        <w:r w:rsidRPr="007F3449">
          <w:rPr>
            <w:rStyle w:val="Hyperlink"/>
            <w:rFonts w:ascii="Arial" w:hAnsi="Arial" w:cs="Arial"/>
            <w:sz w:val="22"/>
            <w:szCs w:val="22"/>
          </w:rPr>
          <w:t>https://doi.org/10.1111/camh.12480</w:t>
        </w:r>
      </w:hyperlink>
      <w:r w:rsidRPr="007F3449">
        <w:rPr>
          <w:rFonts w:ascii="Arial" w:hAnsi="Arial" w:cs="Arial"/>
          <w:sz w:val="22"/>
          <w:szCs w:val="22"/>
        </w:rPr>
        <w:t>.</w:t>
      </w:r>
    </w:p>
    <w:p w14:paraId="446A7B2D" w14:textId="67519E1C"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Singh, S.P., Paul, M., Ford, T., Kramer, T., Weaver, T., McLaren, S., </w:t>
      </w:r>
      <w:proofErr w:type="spellStart"/>
      <w:r w:rsidRPr="007F3449">
        <w:rPr>
          <w:rFonts w:ascii="Arial" w:hAnsi="Arial" w:cs="Arial"/>
          <w:sz w:val="22"/>
          <w:szCs w:val="22"/>
        </w:rPr>
        <w:t>Hovish</w:t>
      </w:r>
      <w:proofErr w:type="spellEnd"/>
      <w:r w:rsidRPr="007F3449">
        <w:rPr>
          <w:rFonts w:ascii="Arial" w:hAnsi="Arial" w:cs="Arial"/>
          <w:sz w:val="22"/>
          <w:szCs w:val="22"/>
        </w:rPr>
        <w:t xml:space="preserve">, K., Islam, Z., Belling, R. and White, S. (2010) ‘Process, outcome and experience of transition from child to adult mental healthcare: Mult perspective study’, </w:t>
      </w:r>
      <w:r w:rsidRPr="007F3449">
        <w:rPr>
          <w:rFonts w:ascii="Arial" w:hAnsi="Arial" w:cs="Arial"/>
          <w:i/>
          <w:iCs/>
          <w:sz w:val="22"/>
          <w:szCs w:val="22"/>
        </w:rPr>
        <w:t>British Journal of Psychiatry</w:t>
      </w:r>
      <w:r w:rsidRPr="007F3449">
        <w:rPr>
          <w:rFonts w:ascii="Arial" w:hAnsi="Arial" w:cs="Arial"/>
          <w:sz w:val="22"/>
          <w:szCs w:val="22"/>
        </w:rPr>
        <w:t xml:space="preserve">, 197(4), pp. 305–312. Available at: </w:t>
      </w:r>
      <w:hyperlink r:id="rId89" w:tgtFrame="_blank" w:tooltip="doi.org" w:history="1">
        <w:r w:rsidRPr="007F3449">
          <w:rPr>
            <w:rStyle w:val="Hyperlink"/>
            <w:rFonts w:ascii="Arial" w:hAnsi="Arial" w:cs="Arial"/>
            <w:sz w:val="22"/>
            <w:szCs w:val="22"/>
          </w:rPr>
          <w:t>https://doi.org/10.1192/bjp.bp.109.075135</w:t>
        </w:r>
      </w:hyperlink>
      <w:r w:rsidRPr="007F3449">
        <w:rPr>
          <w:rFonts w:ascii="Arial" w:hAnsi="Arial" w:cs="Arial"/>
          <w:sz w:val="22"/>
          <w:szCs w:val="22"/>
        </w:rPr>
        <w:t>.</w:t>
      </w:r>
    </w:p>
    <w:p w14:paraId="440445B0"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Stonewall (2018) </w:t>
      </w:r>
      <w:r w:rsidRPr="007F3449">
        <w:rPr>
          <w:rFonts w:ascii="Arial" w:hAnsi="Arial" w:cs="Arial"/>
          <w:i/>
          <w:iCs/>
          <w:sz w:val="22"/>
          <w:szCs w:val="22"/>
        </w:rPr>
        <w:t>LGBT in Britain: Health report</w:t>
      </w:r>
      <w:r w:rsidRPr="007F3449">
        <w:rPr>
          <w:rFonts w:ascii="Arial" w:hAnsi="Arial" w:cs="Arial"/>
          <w:sz w:val="22"/>
          <w:szCs w:val="22"/>
        </w:rPr>
        <w:t xml:space="preserve">. London: Stonewall. Available at: </w:t>
      </w:r>
      <w:hyperlink r:id="rId90" w:tgtFrame="_blank" w:tooltip="www.stonewall.org.uk" w:history="1">
        <w:r w:rsidRPr="007F3449">
          <w:rPr>
            <w:rStyle w:val="Hyperlink"/>
            <w:rFonts w:ascii="Arial" w:hAnsi="Arial" w:cs="Arial"/>
            <w:sz w:val="22"/>
            <w:szCs w:val="22"/>
          </w:rPr>
          <w:t>https://www.stonewall.org.uk</w:t>
        </w:r>
      </w:hyperlink>
      <w:r w:rsidRPr="007F3449">
        <w:rPr>
          <w:rFonts w:ascii="Arial" w:hAnsi="Arial" w:cs="Arial"/>
          <w:sz w:val="22"/>
          <w:szCs w:val="22"/>
        </w:rPr>
        <w:t xml:space="preserve"> (Accessed: 6 June 2026).</w:t>
      </w:r>
    </w:p>
    <w:p w14:paraId="72F250B1" w14:textId="58505664"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Tanfield, Y. </w:t>
      </w:r>
      <w:r w:rsidRPr="007F3449">
        <w:rPr>
          <w:rFonts w:ascii="Arial" w:hAnsi="Arial" w:cs="Arial"/>
          <w:i/>
          <w:iCs/>
          <w:sz w:val="22"/>
          <w:szCs w:val="22"/>
        </w:rPr>
        <w:t>et al.</w:t>
      </w:r>
      <w:r w:rsidRPr="007F3449">
        <w:rPr>
          <w:rFonts w:ascii="Arial" w:hAnsi="Arial" w:cs="Arial"/>
          <w:sz w:val="22"/>
          <w:szCs w:val="22"/>
        </w:rPr>
        <w:t xml:space="preserve"> (2024) ‘The experience of clinicians working within Child and Adolescent Mental Health Services when assessing and supporting children with fatal alcohol spectrum disorder’, </w:t>
      </w:r>
      <w:r w:rsidRPr="007F3449">
        <w:rPr>
          <w:rFonts w:ascii="Arial" w:hAnsi="Arial" w:cs="Arial"/>
          <w:i/>
          <w:iCs/>
          <w:sz w:val="22"/>
          <w:szCs w:val="22"/>
        </w:rPr>
        <w:t>Child and Adolescent Mental Health</w:t>
      </w:r>
      <w:r w:rsidRPr="007F3449">
        <w:rPr>
          <w:rFonts w:ascii="Arial" w:hAnsi="Arial" w:cs="Arial"/>
          <w:sz w:val="22"/>
          <w:szCs w:val="22"/>
        </w:rPr>
        <w:t xml:space="preserve">. Available at: </w:t>
      </w:r>
      <w:hyperlink r:id="rId91" w:tgtFrame="_blank" w:tooltip="pubmed.ncbi.nlm.nih.gov" w:history="1">
        <w:r w:rsidRPr="007F3449">
          <w:rPr>
            <w:rStyle w:val="Hyperlink"/>
            <w:rFonts w:ascii="Arial" w:hAnsi="Arial" w:cs="Arial"/>
            <w:sz w:val="22"/>
            <w:szCs w:val="22"/>
          </w:rPr>
          <w:t>https://pubmed.ncbi.nlm.nih.gov/39138612/</w:t>
        </w:r>
      </w:hyperlink>
      <w:r w:rsidRPr="007F3449">
        <w:rPr>
          <w:rFonts w:ascii="Arial" w:hAnsi="Arial" w:cs="Arial"/>
          <w:sz w:val="22"/>
          <w:szCs w:val="22"/>
        </w:rPr>
        <w:t>.</w:t>
      </w:r>
    </w:p>
    <w:p w14:paraId="550E9BBF"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Tang, K. </w:t>
      </w:r>
      <w:r w:rsidRPr="007F3449">
        <w:rPr>
          <w:rFonts w:ascii="Arial" w:hAnsi="Arial" w:cs="Arial"/>
          <w:i/>
          <w:iCs/>
          <w:sz w:val="22"/>
          <w:szCs w:val="22"/>
        </w:rPr>
        <w:t>et al.</w:t>
      </w:r>
      <w:r w:rsidRPr="007F3449">
        <w:rPr>
          <w:rFonts w:ascii="Arial" w:hAnsi="Arial" w:cs="Arial"/>
          <w:sz w:val="22"/>
          <w:szCs w:val="22"/>
        </w:rPr>
        <w:t xml:space="preserve"> (2024) ‘Barriers to and enablers of the transition from child and adolescent to adult mental health services for autistic young people and/or those with ADHD: protocol for a scoping review’, </w:t>
      </w:r>
      <w:r w:rsidRPr="007F3449">
        <w:rPr>
          <w:rFonts w:ascii="Arial" w:hAnsi="Arial" w:cs="Arial"/>
          <w:i/>
          <w:iCs/>
          <w:sz w:val="22"/>
          <w:szCs w:val="22"/>
        </w:rPr>
        <w:t>BMJ Open</w:t>
      </w:r>
      <w:r w:rsidRPr="007F3449">
        <w:rPr>
          <w:rFonts w:ascii="Arial" w:hAnsi="Arial" w:cs="Arial"/>
          <w:sz w:val="22"/>
          <w:szCs w:val="22"/>
        </w:rPr>
        <w:t xml:space="preserve">, 14(8), e083373. Available at: </w:t>
      </w:r>
      <w:hyperlink r:id="rId92" w:tgtFrame="_blank" w:tooltip="doi.org" w:history="1">
        <w:r w:rsidRPr="007F3449">
          <w:rPr>
            <w:rStyle w:val="Hyperlink"/>
            <w:rFonts w:ascii="Arial" w:hAnsi="Arial" w:cs="Arial"/>
            <w:sz w:val="22"/>
            <w:szCs w:val="22"/>
          </w:rPr>
          <w:t>https://doi.org/10.1136/bmjopen-2023-083373</w:t>
        </w:r>
      </w:hyperlink>
      <w:r w:rsidRPr="007F3449">
        <w:rPr>
          <w:rFonts w:ascii="Arial" w:hAnsi="Arial" w:cs="Arial"/>
          <w:sz w:val="22"/>
          <w:szCs w:val="22"/>
        </w:rPr>
        <w:t>.</w:t>
      </w:r>
    </w:p>
    <w:p w14:paraId="2C79DB8F"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Thomas, J. and Harden, A. (2008) ‘Methods for the thematic synthesis of qualitative research in systematic reviews’, </w:t>
      </w:r>
      <w:r w:rsidRPr="007F3449">
        <w:rPr>
          <w:rFonts w:ascii="Arial" w:hAnsi="Arial" w:cs="Arial"/>
          <w:i/>
          <w:iCs/>
          <w:sz w:val="22"/>
          <w:szCs w:val="22"/>
        </w:rPr>
        <w:t>BMC Medical Research Methodology</w:t>
      </w:r>
      <w:r w:rsidRPr="007F3449">
        <w:rPr>
          <w:rFonts w:ascii="Arial" w:hAnsi="Arial" w:cs="Arial"/>
          <w:sz w:val="22"/>
          <w:szCs w:val="22"/>
        </w:rPr>
        <w:t xml:space="preserve">, 8(45), pp. 1–10. Available at: </w:t>
      </w:r>
      <w:hyperlink r:id="rId93" w:tgtFrame="_new" w:history="1">
        <w:r w:rsidRPr="007F3449">
          <w:rPr>
            <w:rStyle w:val="Hyperlink"/>
            <w:rFonts w:ascii="Arial" w:hAnsi="Arial" w:cs="Arial"/>
            <w:sz w:val="22"/>
            <w:szCs w:val="22"/>
          </w:rPr>
          <w:t>https://doi.org/10.1186/1471-2288-8-45</w:t>
        </w:r>
      </w:hyperlink>
      <w:r w:rsidRPr="007F3449">
        <w:rPr>
          <w:rFonts w:ascii="Arial" w:hAnsi="Arial" w:cs="Arial"/>
          <w:sz w:val="22"/>
          <w:szCs w:val="22"/>
        </w:rPr>
        <w:t>.</w:t>
      </w:r>
    </w:p>
    <w:p w14:paraId="59E8C960"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Tudor Hart, J. (1971) ‘The inverse care law’, </w:t>
      </w:r>
      <w:r w:rsidRPr="007F3449">
        <w:rPr>
          <w:rFonts w:ascii="Arial" w:hAnsi="Arial" w:cs="Arial"/>
          <w:i/>
          <w:iCs/>
          <w:sz w:val="22"/>
          <w:szCs w:val="22"/>
        </w:rPr>
        <w:t>The Lancet</w:t>
      </w:r>
      <w:r w:rsidRPr="007F3449">
        <w:rPr>
          <w:rFonts w:ascii="Arial" w:hAnsi="Arial" w:cs="Arial"/>
          <w:sz w:val="22"/>
          <w:szCs w:val="22"/>
        </w:rPr>
        <w:t xml:space="preserve">, 297(7696), pp. 405–412. Available at: </w:t>
      </w:r>
      <w:hyperlink r:id="rId94" w:tgtFrame="_new" w:history="1">
        <w:r w:rsidRPr="007F3449">
          <w:rPr>
            <w:rStyle w:val="Hyperlink"/>
            <w:rFonts w:ascii="Arial" w:hAnsi="Arial" w:cs="Arial"/>
            <w:sz w:val="22"/>
            <w:szCs w:val="22"/>
          </w:rPr>
          <w:t>https://doi.org/10.1016/S0140-6736(71)92410-X</w:t>
        </w:r>
      </w:hyperlink>
      <w:r w:rsidRPr="007F3449">
        <w:rPr>
          <w:rFonts w:ascii="Arial" w:hAnsi="Arial" w:cs="Arial"/>
          <w:sz w:val="22"/>
          <w:szCs w:val="22"/>
        </w:rPr>
        <w:t>.</w:t>
      </w:r>
    </w:p>
    <w:p w14:paraId="52824C34"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UK Government (2024a) </w:t>
      </w:r>
      <w:r w:rsidRPr="007F3449">
        <w:rPr>
          <w:rFonts w:ascii="Arial" w:hAnsi="Arial" w:cs="Arial"/>
          <w:i/>
          <w:iCs/>
          <w:sz w:val="22"/>
          <w:szCs w:val="22"/>
        </w:rPr>
        <w:t>Transforming Children and Young People’s Mental Health Programme</w:t>
      </w:r>
      <w:r w:rsidRPr="007F3449">
        <w:rPr>
          <w:rFonts w:ascii="Arial" w:hAnsi="Arial" w:cs="Arial"/>
          <w:sz w:val="22"/>
          <w:szCs w:val="22"/>
        </w:rPr>
        <w:t xml:space="preserve">. London: Department of Health and Social Care. Available at: </w:t>
      </w:r>
      <w:hyperlink r:id="rId95" w:tgtFrame="_new" w:history="1">
        <w:r w:rsidRPr="007F3449">
          <w:rPr>
            <w:rStyle w:val="Hyperlink"/>
            <w:rFonts w:ascii="Arial" w:hAnsi="Arial" w:cs="Arial"/>
            <w:sz w:val="22"/>
            <w:szCs w:val="22"/>
          </w:rPr>
          <w:t>https://assets.publishing.service.gov.uk/media/686d3640a08d3a3ca3b678de/Transforming_children_and_young_people_mental_health_programme_2025.pdf</w:t>
        </w:r>
      </w:hyperlink>
      <w:r w:rsidRPr="007F3449">
        <w:rPr>
          <w:rFonts w:ascii="Arial" w:hAnsi="Arial" w:cs="Arial"/>
          <w:sz w:val="22"/>
          <w:szCs w:val="22"/>
        </w:rPr>
        <w:t xml:space="preserve"> (Accessed: 6 June 2026).</w:t>
      </w:r>
    </w:p>
    <w:p w14:paraId="6BB2490B"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UK Government (2025b) </w:t>
      </w:r>
      <w:r w:rsidRPr="007F3449">
        <w:rPr>
          <w:rFonts w:ascii="Arial" w:hAnsi="Arial" w:cs="Arial"/>
          <w:i/>
          <w:iCs/>
          <w:sz w:val="22"/>
          <w:szCs w:val="22"/>
        </w:rPr>
        <w:t>Transforming children and young people’s mental health programme</w:t>
      </w:r>
      <w:r w:rsidRPr="007F3449">
        <w:rPr>
          <w:rFonts w:ascii="Arial" w:hAnsi="Arial" w:cs="Arial"/>
          <w:sz w:val="22"/>
          <w:szCs w:val="22"/>
        </w:rPr>
        <w:t xml:space="preserve">. London: Department of Health and Social Care. Available at: </w:t>
      </w:r>
      <w:hyperlink r:id="rId96" w:tgtFrame="_blank" w:tooltip="assets.publishing.service.gov.uk" w:history="1">
        <w:r w:rsidRPr="007F3449">
          <w:rPr>
            <w:rStyle w:val="Hyperlink"/>
            <w:rFonts w:ascii="Arial" w:hAnsi="Arial" w:cs="Arial"/>
            <w:sz w:val="22"/>
            <w:szCs w:val="22"/>
          </w:rPr>
          <w:t>https://assets.publishing.service.gov.uk/media/686d3640a08d3a3ca3b678de/Transforming_children_and_young_people_mental_health_programme_2025.pdf</w:t>
        </w:r>
      </w:hyperlink>
      <w:r w:rsidRPr="007F3449">
        <w:rPr>
          <w:rFonts w:ascii="Arial" w:hAnsi="Arial" w:cs="Arial"/>
          <w:sz w:val="22"/>
          <w:szCs w:val="22"/>
        </w:rPr>
        <w:t xml:space="preserve"> (Accessed: 6 June 2026).</w:t>
      </w:r>
    </w:p>
    <w:p w14:paraId="31A92940"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Valentine, A.Z., </w:t>
      </w:r>
      <w:r w:rsidRPr="007F3449">
        <w:rPr>
          <w:rFonts w:ascii="Arial" w:hAnsi="Arial" w:cs="Arial"/>
          <w:i/>
          <w:iCs/>
          <w:sz w:val="22"/>
          <w:szCs w:val="22"/>
        </w:rPr>
        <w:t>et al.</w:t>
      </w:r>
      <w:r w:rsidRPr="007F3449">
        <w:rPr>
          <w:rFonts w:ascii="Arial" w:hAnsi="Arial" w:cs="Arial"/>
          <w:sz w:val="22"/>
          <w:szCs w:val="22"/>
        </w:rPr>
        <w:t xml:space="preserve"> (2024) ‘Waiting-list interventions for children and young people accessing child and adolescent mental health services: a systematic review’, </w:t>
      </w:r>
      <w:r w:rsidRPr="007F3449">
        <w:rPr>
          <w:rFonts w:ascii="Arial" w:hAnsi="Arial" w:cs="Arial"/>
          <w:i/>
          <w:iCs/>
          <w:sz w:val="22"/>
          <w:szCs w:val="22"/>
        </w:rPr>
        <w:t>BMJ Mental Health</w:t>
      </w:r>
      <w:r w:rsidRPr="007F3449">
        <w:rPr>
          <w:rFonts w:ascii="Arial" w:hAnsi="Arial" w:cs="Arial"/>
          <w:sz w:val="22"/>
          <w:szCs w:val="22"/>
        </w:rPr>
        <w:t xml:space="preserve">, 27(1), e300844. Available at: </w:t>
      </w:r>
      <w:hyperlink r:id="rId97" w:tgtFrame="_blank" w:tooltip="doi.org" w:history="1">
        <w:r w:rsidRPr="007F3449">
          <w:rPr>
            <w:rStyle w:val="Hyperlink"/>
            <w:rFonts w:ascii="Arial" w:hAnsi="Arial" w:cs="Arial"/>
            <w:sz w:val="22"/>
            <w:szCs w:val="22"/>
          </w:rPr>
          <w:t>https://doi.org/10.1136/bmjment-2023-300844</w:t>
        </w:r>
      </w:hyperlink>
      <w:r w:rsidRPr="007F3449">
        <w:rPr>
          <w:rFonts w:ascii="Arial" w:hAnsi="Arial" w:cs="Arial"/>
          <w:sz w:val="22"/>
          <w:szCs w:val="22"/>
        </w:rPr>
        <w:t>.</w:t>
      </w:r>
    </w:p>
    <w:p w14:paraId="41A058A3"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lastRenderedPageBreak/>
        <w:t xml:space="preserve">Westwood, H. and Tchanturia, K. (2017) ‘Autism spectrum disorder in anorexia nervosa: an updated literature review’, </w:t>
      </w:r>
      <w:r w:rsidRPr="007F3449">
        <w:rPr>
          <w:rFonts w:ascii="Arial" w:hAnsi="Arial" w:cs="Arial"/>
          <w:i/>
          <w:iCs/>
          <w:sz w:val="22"/>
          <w:szCs w:val="22"/>
        </w:rPr>
        <w:t>Current Psychiatry Reports</w:t>
      </w:r>
      <w:r w:rsidRPr="007F3449">
        <w:rPr>
          <w:rFonts w:ascii="Arial" w:hAnsi="Arial" w:cs="Arial"/>
          <w:sz w:val="22"/>
          <w:szCs w:val="22"/>
        </w:rPr>
        <w:t xml:space="preserve">, 19(7), p. 41. Available at: </w:t>
      </w:r>
      <w:hyperlink r:id="rId98" w:tgtFrame="_blank" w:tooltip="pubmed.ncbi.nlm.nih.gov" w:history="1">
        <w:r w:rsidRPr="007F3449">
          <w:rPr>
            <w:rStyle w:val="Hyperlink"/>
            <w:rFonts w:ascii="Arial" w:hAnsi="Arial" w:cs="Arial"/>
            <w:sz w:val="22"/>
            <w:szCs w:val="22"/>
          </w:rPr>
          <w:t>https://pubmed.ncbi.nlm.nih.gov/28540593/</w:t>
        </w:r>
      </w:hyperlink>
      <w:r w:rsidRPr="007F3449">
        <w:rPr>
          <w:rFonts w:ascii="Arial" w:hAnsi="Arial" w:cs="Arial"/>
          <w:sz w:val="22"/>
          <w:szCs w:val="22"/>
        </w:rPr>
        <w:t xml:space="preserve"> (Accessed: 2 June 2026).</w:t>
      </w:r>
    </w:p>
    <w:p w14:paraId="3F753DA1"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White, S.R., Soneson, E., OxWell Study Team and Fazel, M. (2024) ‘Networks of care for the modern adolescent’, </w:t>
      </w:r>
      <w:r w:rsidRPr="007F3449">
        <w:rPr>
          <w:rFonts w:ascii="Arial" w:hAnsi="Arial" w:cs="Arial"/>
          <w:i/>
          <w:iCs/>
          <w:sz w:val="22"/>
          <w:szCs w:val="22"/>
        </w:rPr>
        <w:t>Psychological Medicine</w:t>
      </w:r>
      <w:r w:rsidRPr="007F3449">
        <w:rPr>
          <w:rFonts w:ascii="Arial" w:hAnsi="Arial" w:cs="Arial"/>
          <w:sz w:val="22"/>
          <w:szCs w:val="22"/>
        </w:rPr>
        <w:t xml:space="preserve">, 54(16), pp. 4537–4550. </w:t>
      </w:r>
      <w:proofErr w:type="spellStart"/>
      <w:r w:rsidRPr="007F3449">
        <w:rPr>
          <w:rFonts w:ascii="Arial" w:hAnsi="Arial" w:cs="Arial"/>
          <w:sz w:val="22"/>
          <w:szCs w:val="22"/>
        </w:rPr>
        <w:t>doi</w:t>
      </w:r>
      <w:proofErr w:type="spellEnd"/>
      <w:r w:rsidRPr="007F3449">
        <w:rPr>
          <w:rFonts w:ascii="Arial" w:hAnsi="Arial" w:cs="Arial"/>
          <w:sz w:val="22"/>
          <w:szCs w:val="22"/>
        </w:rPr>
        <w:t xml:space="preserve">: </w:t>
      </w:r>
      <w:r w:rsidRPr="007F3449">
        <w:rPr>
          <w:rFonts w:ascii="Arial" w:hAnsi="Arial" w:cs="Arial"/>
          <w:b/>
          <w:bCs/>
          <w:sz w:val="22"/>
          <w:szCs w:val="22"/>
        </w:rPr>
        <w:t>10.1017/S0033291724000882</w:t>
      </w:r>
      <w:r w:rsidRPr="007F3449">
        <w:rPr>
          <w:rFonts w:ascii="Arial" w:hAnsi="Arial" w:cs="Arial"/>
          <w:sz w:val="22"/>
          <w:szCs w:val="22"/>
        </w:rPr>
        <w:t xml:space="preserve"> (Accessed: 7 June 2026).</w:t>
      </w:r>
    </w:p>
    <w:p w14:paraId="0FCA3038"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Wolpert, M., Deighton, J., De Francesco, D., Martin, P., Fonagy, P. and Ford, T. (2014) ‘From “mental health” to “wellbeing”: The CAMHS approach to measurement’, </w:t>
      </w:r>
      <w:r w:rsidRPr="007F3449">
        <w:rPr>
          <w:rFonts w:ascii="Arial" w:hAnsi="Arial" w:cs="Arial"/>
          <w:i/>
          <w:iCs/>
          <w:sz w:val="22"/>
          <w:szCs w:val="22"/>
        </w:rPr>
        <w:t>Child and Adolescent Mental Health</w:t>
      </w:r>
      <w:r w:rsidRPr="007F3449">
        <w:rPr>
          <w:rFonts w:ascii="Arial" w:hAnsi="Arial" w:cs="Arial"/>
          <w:sz w:val="22"/>
          <w:szCs w:val="22"/>
        </w:rPr>
        <w:t>, 19(1), pp. 9–14.</w:t>
      </w:r>
    </w:p>
    <w:p w14:paraId="5AA888F1"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YoungMinds (2022) </w:t>
      </w:r>
      <w:r w:rsidRPr="007F3449">
        <w:rPr>
          <w:rFonts w:ascii="Arial" w:hAnsi="Arial" w:cs="Arial"/>
          <w:i/>
          <w:iCs/>
          <w:sz w:val="22"/>
          <w:szCs w:val="22"/>
        </w:rPr>
        <w:t>State of the nation: Young people’s mental health</w:t>
      </w:r>
      <w:r w:rsidRPr="007F3449">
        <w:rPr>
          <w:rFonts w:ascii="Arial" w:hAnsi="Arial" w:cs="Arial"/>
          <w:sz w:val="22"/>
          <w:szCs w:val="22"/>
        </w:rPr>
        <w:t xml:space="preserve">. London: YoungMinds. Available at: </w:t>
      </w:r>
      <w:hyperlink r:id="rId99" w:tgtFrame="_blank" w:tooltip="www.youngminds.org.uk" w:history="1">
        <w:r w:rsidRPr="007F3449">
          <w:rPr>
            <w:rStyle w:val="Hyperlink"/>
            <w:rFonts w:ascii="Arial" w:hAnsi="Arial" w:cs="Arial"/>
            <w:sz w:val="22"/>
            <w:szCs w:val="22"/>
          </w:rPr>
          <w:t>https://www.youngminds.org.uk</w:t>
        </w:r>
      </w:hyperlink>
      <w:r w:rsidRPr="007F3449">
        <w:rPr>
          <w:rFonts w:ascii="Arial" w:hAnsi="Arial" w:cs="Arial"/>
          <w:sz w:val="22"/>
          <w:szCs w:val="22"/>
        </w:rPr>
        <w:t xml:space="preserve"> (Accessed: 6 June 2026).</w:t>
      </w:r>
    </w:p>
    <w:p w14:paraId="0E9A7306"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YoungMinds (2022) </w:t>
      </w:r>
      <w:r w:rsidRPr="007F3449">
        <w:rPr>
          <w:rFonts w:ascii="Arial" w:hAnsi="Arial" w:cs="Arial"/>
          <w:i/>
          <w:iCs/>
          <w:sz w:val="22"/>
          <w:szCs w:val="22"/>
        </w:rPr>
        <w:t>YoungMinds Trust Annual Report and Accounts 2021–22</w:t>
      </w:r>
      <w:r w:rsidRPr="007F3449">
        <w:rPr>
          <w:rFonts w:ascii="Arial" w:hAnsi="Arial" w:cs="Arial"/>
          <w:sz w:val="22"/>
          <w:szCs w:val="22"/>
        </w:rPr>
        <w:t xml:space="preserve">. Available at: </w:t>
      </w:r>
      <w:hyperlink r:id="rId100" w:tgtFrame="_new" w:history="1">
        <w:r w:rsidRPr="007F3449">
          <w:rPr>
            <w:rStyle w:val="Hyperlink"/>
            <w:rFonts w:ascii="Arial" w:hAnsi="Arial" w:cs="Arial"/>
            <w:sz w:val="22"/>
            <w:szCs w:val="22"/>
          </w:rPr>
          <w:t>https://www.youngminds.org.uk</w:t>
        </w:r>
      </w:hyperlink>
      <w:r w:rsidRPr="007F3449">
        <w:rPr>
          <w:rFonts w:ascii="Arial" w:hAnsi="Arial" w:cs="Arial"/>
          <w:sz w:val="22"/>
          <w:szCs w:val="22"/>
        </w:rPr>
        <w:t xml:space="preserve"> (Accessed: 7 June 2026).</w:t>
      </w:r>
    </w:p>
    <w:p w14:paraId="563B6F1E" w14:textId="77777777" w:rsidR="007F3449" w:rsidRPr="007F3449" w:rsidRDefault="007F3449" w:rsidP="007F3449">
      <w:pPr>
        <w:spacing w:line="360" w:lineRule="auto"/>
        <w:jc w:val="both"/>
        <w:rPr>
          <w:rFonts w:ascii="Arial" w:hAnsi="Arial" w:cs="Arial"/>
          <w:sz w:val="22"/>
          <w:szCs w:val="22"/>
        </w:rPr>
      </w:pPr>
      <w:r w:rsidRPr="007F3449">
        <w:rPr>
          <w:rFonts w:ascii="Arial" w:hAnsi="Arial" w:cs="Arial"/>
          <w:sz w:val="22"/>
          <w:szCs w:val="22"/>
        </w:rPr>
        <w:t xml:space="preserve">YoungMinds (2026) </w:t>
      </w:r>
      <w:r w:rsidRPr="007F3449">
        <w:rPr>
          <w:rFonts w:ascii="Arial" w:hAnsi="Arial" w:cs="Arial"/>
          <w:i/>
          <w:iCs/>
          <w:sz w:val="22"/>
          <w:szCs w:val="22"/>
        </w:rPr>
        <w:t>CAMHS Waiting Times Report 2026</w:t>
      </w:r>
      <w:r w:rsidRPr="007F3449">
        <w:rPr>
          <w:rFonts w:ascii="Arial" w:hAnsi="Arial" w:cs="Arial"/>
          <w:sz w:val="22"/>
          <w:szCs w:val="22"/>
        </w:rPr>
        <w:t xml:space="preserve">. Available at: </w:t>
      </w:r>
      <w:hyperlink r:id="rId101" w:tgtFrame="_new" w:history="1">
        <w:r w:rsidRPr="007F3449">
          <w:rPr>
            <w:rStyle w:val="Hyperlink"/>
            <w:rFonts w:ascii="Arial" w:hAnsi="Arial" w:cs="Arial"/>
            <w:sz w:val="22"/>
            <w:szCs w:val="22"/>
          </w:rPr>
          <w:t>https://www.youngminds.org.uk</w:t>
        </w:r>
      </w:hyperlink>
      <w:r w:rsidRPr="007F3449">
        <w:rPr>
          <w:rFonts w:ascii="Arial" w:hAnsi="Arial" w:cs="Arial"/>
          <w:sz w:val="22"/>
          <w:szCs w:val="22"/>
        </w:rPr>
        <w:t xml:space="preserve"> (Accessed: 26 May 2026).</w:t>
      </w:r>
    </w:p>
    <w:p w14:paraId="698E537C" w14:textId="77777777" w:rsidR="006106A9" w:rsidRDefault="006106A9" w:rsidP="009F7DDB">
      <w:pPr>
        <w:spacing w:line="360" w:lineRule="auto"/>
        <w:jc w:val="both"/>
        <w:rPr>
          <w:rFonts w:ascii="Arial" w:hAnsi="Arial" w:cs="Arial"/>
          <w:sz w:val="22"/>
          <w:szCs w:val="22"/>
        </w:rPr>
      </w:pPr>
    </w:p>
    <w:p w14:paraId="02FF1F9A" w14:textId="77777777" w:rsidR="006106A9" w:rsidRDefault="006106A9" w:rsidP="009F7DDB">
      <w:pPr>
        <w:spacing w:line="360" w:lineRule="auto"/>
        <w:jc w:val="both"/>
        <w:rPr>
          <w:rFonts w:ascii="Arial" w:hAnsi="Arial" w:cs="Arial"/>
          <w:sz w:val="22"/>
          <w:szCs w:val="22"/>
        </w:rPr>
      </w:pPr>
    </w:p>
    <w:p w14:paraId="1E5C85F1" w14:textId="77777777" w:rsidR="006106A9" w:rsidRDefault="006106A9" w:rsidP="009F7DDB">
      <w:pPr>
        <w:spacing w:line="360" w:lineRule="auto"/>
        <w:jc w:val="both"/>
        <w:rPr>
          <w:rFonts w:ascii="Arial" w:hAnsi="Arial" w:cs="Arial"/>
          <w:sz w:val="22"/>
          <w:szCs w:val="22"/>
        </w:rPr>
      </w:pPr>
    </w:p>
    <w:p w14:paraId="1DAA756E" w14:textId="77777777" w:rsidR="006106A9" w:rsidRDefault="006106A9" w:rsidP="009F7DDB">
      <w:pPr>
        <w:spacing w:line="360" w:lineRule="auto"/>
        <w:jc w:val="both"/>
        <w:rPr>
          <w:rFonts w:ascii="Arial" w:hAnsi="Arial" w:cs="Arial"/>
          <w:sz w:val="22"/>
          <w:szCs w:val="22"/>
        </w:rPr>
      </w:pPr>
    </w:p>
    <w:p w14:paraId="386FA448" w14:textId="77777777" w:rsidR="006106A9" w:rsidRDefault="006106A9" w:rsidP="009F7DDB">
      <w:pPr>
        <w:spacing w:line="360" w:lineRule="auto"/>
        <w:jc w:val="both"/>
        <w:rPr>
          <w:rFonts w:ascii="Arial" w:hAnsi="Arial" w:cs="Arial"/>
          <w:sz w:val="22"/>
          <w:szCs w:val="22"/>
        </w:rPr>
      </w:pPr>
    </w:p>
    <w:p w14:paraId="0C5DE752" w14:textId="77777777" w:rsidR="006106A9" w:rsidRDefault="006106A9" w:rsidP="009F7DDB">
      <w:pPr>
        <w:spacing w:line="360" w:lineRule="auto"/>
        <w:jc w:val="both"/>
        <w:rPr>
          <w:rFonts w:ascii="Arial" w:hAnsi="Arial" w:cs="Arial"/>
          <w:sz w:val="22"/>
          <w:szCs w:val="22"/>
        </w:rPr>
      </w:pPr>
    </w:p>
    <w:p w14:paraId="0CD2D54C" w14:textId="77777777" w:rsidR="006106A9" w:rsidRDefault="006106A9" w:rsidP="009F7DDB">
      <w:pPr>
        <w:spacing w:line="360" w:lineRule="auto"/>
        <w:jc w:val="both"/>
        <w:rPr>
          <w:rFonts w:ascii="Arial" w:hAnsi="Arial" w:cs="Arial"/>
          <w:sz w:val="22"/>
          <w:szCs w:val="22"/>
        </w:rPr>
      </w:pPr>
    </w:p>
    <w:p w14:paraId="2CC4F5FB" w14:textId="77777777" w:rsidR="006106A9" w:rsidRDefault="006106A9" w:rsidP="009F7DDB">
      <w:pPr>
        <w:spacing w:line="360" w:lineRule="auto"/>
        <w:jc w:val="both"/>
        <w:rPr>
          <w:rFonts w:ascii="Arial" w:hAnsi="Arial" w:cs="Arial"/>
          <w:sz w:val="22"/>
          <w:szCs w:val="22"/>
        </w:rPr>
      </w:pPr>
    </w:p>
    <w:p w14:paraId="52AC85B5" w14:textId="77777777" w:rsidR="006106A9" w:rsidRDefault="006106A9" w:rsidP="009F7DDB">
      <w:pPr>
        <w:spacing w:line="360" w:lineRule="auto"/>
        <w:jc w:val="both"/>
        <w:rPr>
          <w:rFonts w:ascii="Arial" w:hAnsi="Arial" w:cs="Arial"/>
          <w:sz w:val="22"/>
          <w:szCs w:val="22"/>
        </w:rPr>
      </w:pPr>
    </w:p>
    <w:p w14:paraId="6B165173" w14:textId="77777777" w:rsidR="006106A9" w:rsidRDefault="006106A9" w:rsidP="009F7DDB">
      <w:pPr>
        <w:spacing w:line="360" w:lineRule="auto"/>
        <w:jc w:val="both"/>
        <w:rPr>
          <w:rFonts w:ascii="Arial" w:hAnsi="Arial" w:cs="Arial"/>
          <w:sz w:val="22"/>
          <w:szCs w:val="22"/>
        </w:rPr>
      </w:pPr>
    </w:p>
    <w:p w14:paraId="6A5A4F85" w14:textId="77777777" w:rsidR="006106A9" w:rsidRDefault="006106A9" w:rsidP="009F7DDB">
      <w:pPr>
        <w:spacing w:line="360" w:lineRule="auto"/>
        <w:jc w:val="both"/>
        <w:rPr>
          <w:rFonts w:ascii="Arial" w:hAnsi="Arial" w:cs="Arial"/>
          <w:sz w:val="22"/>
          <w:szCs w:val="22"/>
        </w:rPr>
      </w:pPr>
    </w:p>
    <w:p w14:paraId="73988BAC" w14:textId="77777777" w:rsidR="006106A9" w:rsidRDefault="006106A9" w:rsidP="009F7DDB">
      <w:pPr>
        <w:spacing w:line="360" w:lineRule="auto"/>
        <w:jc w:val="both"/>
        <w:rPr>
          <w:rFonts w:ascii="Arial" w:hAnsi="Arial" w:cs="Arial"/>
          <w:sz w:val="22"/>
          <w:szCs w:val="22"/>
        </w:rPr>
      </w:pPr>
    </w:p>
    <w:p w14:paraId="4EAF3200" w14:textId="77777777" w:rsidR="006106A9" w:rsidRDefault="006106A9" w:rsidP="009F7DDB">
      <w:pPr>
        <w:spacing w:line="360" w:lineRule="auto"/>
        <w:jc w:val="both"/>
        <w:rPr>
          <w:rFonts w:ascii="Arial" w:hAnsi="Arial" w:cs="Arial"/>
          <w:sz w:val="22"/>
          <w:szCs w:val="22"/>
        </w:rPr>
      </w:pPr>
    </w:p>
    <w:p w14:paraId="60CA0B1B" w14:textId="77777777" w:rsidR="005A2BA3" w:rsidRDefault="005A2BA3" w:rsidP="007107C6">
      <w:pPr>
        <w:spacing w:line="360" w:lineRule="auto"/>
        <w:jc w:val="both"/>
        <w:rPr>
          <w:rFonts w:ascii="Arial" w:hAnsi="Arial" w:cs="Arial"/>
          <w:sz w:val="22"/>
          <w:szCs w:val="22"/>
        </w:rPr>
      </w:pPr>
    </w:p>
    <w:p w14:paraId="3DD93E09" w14:textId="77777777" w:rsidR="005A2BA3" w:rsidRPr="00641591" w:rsidRDefault="005A2BA3" w:rsidP="005A2BA3">
      <w:pPr>
        <w:spacing w:line="360" w:lineRule="auto"/>
        <w:jc w:val="both"/>
        <w:rPr>
          <w:rFonts w:ascii="Arial" w:hAnsi="Arial" w:cs="Arial"/>
          <w:b/>
          <w:bCs/>
          <w:sz w:val="22"/>
          <w:szCs w:val="22"/>
        </w:rPr>
      </w:pPr>
      <w:r w:rsidRPr="00641591">
        <w:rPr>
          <w:rFonts w:ascii="Arial" w:hAnsi="Arial" w:cs="Arial"/>
          <w:b/>
          <w:bCs/>
          <w:sz w:val="22"/>
          <w:szCs w:val="22"/>
        </w:rPr>
        <w:lastRenderedPageBreak/>
        <w:t>Appendix A: CASP Quality Appraisal Matrix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12"/>
        <w:gridCol w:w="427"/>
        <w:gridCol w:w="427"/>
        <w:gridCol w:w="427"/>
        <w:gridCol w:w="427"/>
        <w:gridCol w:w="427"/>
        <w:gridCol w:w="916"/>
        <w:gridCol w:w="427"/>
        <w:gridCol w:w="427"/>
        <w:gridCol w:w="427"/>
        <w:gridCol w:w="491"/>
      </w:tblGrid>
      <w:tr w:rsidR="005A2BA3" w:rsidRPr="00641591" w14:paraId="6FDBE252" w14:textId="77777777" w:rsidTr="00486E52">
        <w:trPr>
          <w:tblHeader/>
          <w:tblCellSpacing w:w="15" w:type="dxa"/>
        </w:trPr>
        <w:tc>
          <w:tcPr>
            <w:tcW w:w="0" w:type="auto"/>
            <w:vAlign w:val="center"/>
            <w:hideMark/>
          </w:tcPr>
          <w:p w14:paraId="522DB8BC"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Included Study</w:t>
            </w:r>
          </w:p>
        </w:tc>
        <w:tc>
          <w:tcPr>
            <w:tcW w:w="0" w:type="auto"/>
            <w:vAlign w:val="center"/>
            <w:hideMark/>
          </w:tcPr>
          <w:p w14:paraId="3F14D97E"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Q1</w:t>
            </w:r>
          </w:p>
        </w:tc>
        <w:tc>
          <w:tcPr>
            <w:tcW w:w="0" w:type="auto"/>
            <w:vAlign w:val="center"/>
            <w:hideMark/>
          </w:tcPr>
          <w:p w14:paraId="1DE87E68"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Q2</w:t>
            </w:r>
          </w:p>
        </w:tc>
        <w:tc>
          <w:tcPr>
            <w:tcW w:w="0" w:type="auto"/>
            <w:vAlign w:val="center"/>
            <w:hideMark/>
          </w:tcPr>
          <w:p w14:paraId="7B462821"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Q3</w:t>
            </w:r>
          </w:p>
        </w:tc>
        <w:tc>
          <w:tcPr>
            <w:tcW w:w="0" w:type="auto"/>
            <w:vAlign w:val="center"/>
            <w:hideMark/>
          </w:tcPr>
          <w:p w14:paraId="4D7E7DB6"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Q4</w:t>
            </w:r>
          </w:p>
        </w:tc>
        <w:tc>
          <w:tcPr>
            <w:tcW w:w="0" w:type="auto"/>
            <w:vAlign w:val="center"/>
            <w:hideMark/>
          </w:tcPr>
          <w:p w14:paraId="08A9958C"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Q5</w:t>
            </w:r>
          </w:p>
        </w:tc>
        <w:tc>
          <w:tcPr>
            <w:tcW w:w="0" w:type="auto"/>
            <w:vAlign w:val="center"/>
            <w:hideMark/>
          </w:tcPr>
          <w:p w14:paraId="6CDADAF2"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Q6</w:t>
            </w:r>
          </w:p>
        </w:tc>
        <w:tc>
          <w:tcPr>
            <w:tcW w:w="0" w:type="auto"/>
            <w:vAlign w:val="center"/>
            <w:hideMark/>
          </w:tcPr>
          <w:p w14:paraId="230E73DF"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Q7</w:t>
            </w:r>
          </w:p>
        </w:tc>
        <w:tc>
          <w:tcPr>
            <w:tcW w:w="0" w:type="auto"/>
            <w:vAlign w:val="center"/>
            <w:hideMark/>
          </w:tcPr>
          <w:p w14:paraId="7C7FF286"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Q8</w:t>
            </w:r>
          </w:p>
        </w:tc>
        <w:tc>
          <w:tcPr>
            <w:tcW w:w="0" w:type="auto"/>
            <w:vAlign w:val="center"/>
            <w:hideMark/>
          </w:tcPr>
          <w:p w14:paraId="5387E794"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Q9</w:t>
            </w:r>
          </w:p>
        </w:tc>
        <w:tc>
          <w:tcPr>
            <w:tcW w:w="0" w:type="auto"/>
            <w:vAlign w:val="center"/>
            <w:hideMark/>
          </w:tcPr>
          <w:p w14:paraId="1FCBFDFF"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Q10</w:t>
            </w:r>
          </w:p>
        </w:tc>
      </w:tr>
      <w:tr w:rsidR="005A2BA3" w:rsidRPr="00641591" w14:paraId="4AD6A8A5" w14:textId="77777777" w:rsidTr="00486E52">
        <w:trPr>
          <w:tblCellSpacing w:w="15" w:type="dxa"/>
        </w:trPr>
        <w:tc>
          <w:tcPr>
            <w:tcW w:w="0" w:type="auto"/>
            <w:vAlign w:val="center"/>
            <w:hideMark/>
          </w:tcPr>
          <w:p w14:paraId="618656F4"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Leavey et al. (2019)</w:t>
            </w:r>
          </w:p>
        </w:tc>
        <w:tc>
          <w:tcPr>
            <w:tcW w:w="0" w:type="auto"/>
            <w:vAlign w:val="center"/>
            <w:hideMark/>
          </w:tcPr>
          <w:p w14:paraId="79C2AF85"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3CD47C33"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3EAD862C"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22011111"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1DF86CCE"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5E72D414"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No</w:t>
            </w:r>
          </w:p>
        </w:tc>
        <w:tc>
          <w:tcPr>
            <w:tcW w:w="0" w:type="auto"/>
            <w:vAlign w:val="center"/>
            <w:hideMark/>
          </w:tcPr>
          <w:p w14:paraId="763EFAC6"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69277344"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297DE2ED"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5D77752A"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r>
      <w:tr w:rsidR="005A2BA3" w:rsidRPr="00641591" w14:paraId="6897697E" w14:textId="77777777" w:rsidTr="00486E52">
        <w:trPr>
          <w:tblCellSpacing w:w="15" w:type="dxa"/>
        </w:trPr>
        <w:tc>
          <w:tcPr>
            <w:tcW w:w="0" w:type="auto"/>
            <w:vAlign w:val="center"/>
            <w:hideMark/>
          </w:tcPr>
          <w:p w14:paraId="28109A5C"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Lowther-Payne et al. (2023)</w:t>
            </w:r>
          </w:p>
        </w:tc>
        <w:tc>
          <w:tcPr>
            <w:tcW w:w="0" w:type="auto"/>
            <w:vAlign w:val="center"/>
            <w:hideMark/>
          </w:tcPr>
          <w:p w14:paraId="1FFE7BCA"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00DFA8FD"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1F6292A8"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23A0F8F9"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717C2170"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421BB7FE"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No</w:t>
            </w:r>
          </w:p>
        </w:tc>
        <w:tc>
          <w:tcPr>
            <w:tcW w:w="0" w:type="auto"/>
            <w:vAlign w:val="center"/>
            <w:hideMark/>
          </w:tcPr>
          <w:p w14:paraId="3C6E5587"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6FD3F61B"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31955063"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4839B311"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r>
      <w:tr w:rsidR="005A2BA3" w:rsidRPr="00641591" w14:paraId="3FDAAF73" w14:textId="77777777" w:rsidTr="00486E52">
        <w:trPr>
          <w:tblCellSpacing w:w="15" w:type="dxa"/>
        </w:trPr>
        <w:tc>
          <w:tcPr>
            <w:tcW w:w="0" w:type="auto"/>
            <w:vAlign w:val="center"/>
            <w:hideMark/>
          </w:tcPr>
          <w:p w14:paraId="13B6EA35"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Radez et al. (2021)</w:t>
            </w:r>
          </w:p>
        </w:tc>
        <w:tc>
          <w:tcPr>
            <w:tcW w:w="0" w:type="auto"/>
            <w:vAlign w:val="center"/>
            <w:hideMark/>
          </w:tcPr>
          <w:p w14:paraId="6B43A827"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1D96C327"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3BC960B2"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378F68FA"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13BB1045"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0A6BEB8E"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Can’t tell</w:t>
            </w:r>
          </w:p>
        </w:tc>
        <w:tc>
          <w:tcPr>
            <w:tcW w:w="0" w:type="auto"/>
            <w:vAlign w:val="center"/>
            <w:hideMark/>
          </w:tcPr>
          <w:p w14:paraId="69385ACF"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3200A831"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5E413657"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06CE9FF2"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Yes</w:t>
            </w:r>
          </w:p>
        </w:tc>
      </w:tr>
      <w:tr w:rsidR="005A2BA3" w:rsidRPr="00641591" w14:paraId="5456CF98" w14:textId="77777777" w:rsidTr="00486E52">
        <w:trPr>
          <w:tblCellSpacing w:w="15" w:type="dxa"/>
        </w:trPr>
        <w:tc>
          <w:tcPr>
            <w:tcW w:w="0" w:type="auto"/>
            <w:vAlign w:val="center"/>
            <w:hideMark/>
          </w:tcPr>
          <w:p w14:paraId="4389B2E2" w14:textId="77777777" w:rsidR="005A2BA3" w:rsidRPr="00641591" w:rsidRDefault="005A2BA3" w:rsidP="00486E52">
            <w:pPr>
              <w:spacing w:line="360" w:lineRule="auto"/>
              <w:jc w:val="both"/>
              <w:rPr>
                <w:rFonts w:ascii="Arial" w:hAnsi="Arial" w:cs="Arial"/>
                <w:b/>
                <w:bCs/>
                <w:sz w:val="22"/>
                <w:szCs w:val="22"/>
              </w:rPr>
            </w:pPr>
            <w:r w:rsidRPr="00641591">
              <w:rPr>
                <w:rFonts w:ascii="Arial" w:hAnsi="Arial" w:cs="Arial"/>
                <w:b/>
                <w:bCs/>
                <w:sz w:val="22"/>
                <w:szCs w:val="22"/>
              </w:rPr>
              <w:t>YoungMinds (2022)\*</w:t>
            </w:r>
          </w:p>
        </w:tc>
        <w:tc>
          <w:tcPr>
            <w:tcW w:w="0" w:type="auto"/>
            <w:vAlign w:val="center"/>
            <w:hideMark/>
          </w:tcPr>
          <w:p w14:paraId="14A0555B"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N/A</w:t>
            </w:r>
          </w:p>
        </w:tc>
        <w:tc>
          <w:tcPr>
            <w:tcW w:w="0" w:type="auto"/>
            <w:vAlign w:val="center"/>
            <w:hideMark/>
          </w:tcPr>
          <w:p w14:paraId="65F741F3"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N/A</w:t>
            </w:r>
          </w:p>
        </w:tc>
        <w:tc>
          <w:tcPr>
            <w:tcW w:w="0" w:type="auto"/>
            <w:vAlign w:val="center"/>
            <w:hideMark/>
          </w:tcPr>
          <w:p w14:paraId="59A9E277"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N/A</w:t>
            </w:r>
          </w:p>
        </w:tc>
        <w:tc>
          <w:tcPr>
            <w:tcW w:w="0" w:type="auto"/>
            <w:vAlign w:val="center"/>
            <w:hideMark/>
          </w:tcPr>
          <w:p w14:paraId="6561CB3E"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N/A</w:t>
            </w:r>
          </w:p>
        </w:tc>
        <w:tc>
          <w:tcPr>
            <w:tcW w:w="0" w:type="auto"/>
            <w:vAlign w:val="center"/>
            <w:hideMark/>
          </w:tcPr>
          <w:p w14:paraId="73BEE575"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N/A</w:t>
            </w:r>
          </w:p>
        </w:tc>
        <w:tc>
          <w:tcPr>
            <w:tcW w:w="0" w:type="auto"/>
            <w:vAlign w:val="center"/>
            <w:hideMark/>
          </w:tcPr>
          <w:p w14:paraId="7D75B4D5"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N/A</w:t>
            </w:r>
          </w:p>
        </w:tc>
        <w:tc>
          <w:tcPr>
            <w:tcW w:w="0" w:type="auto"/>
            <w:vAlign w:val="center"/>
            <w:hideMark/>
          </w:tcPr>
          <w:p w14:paraId="27A74EFC"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N/A</w:t>
            </w:r>
          </w:p>
        </w:tc>
        <w:tc>
          <w:tcPr>
            <w:tcW w:w="0" w:type="auto"/>
            <w:vAlign w:val="center"/>
            <w:hideMark/>
          </w:tcPr>
          <w:p w14:paraId="588DD9E9"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N/A</w:t>
            </w:r>
          </w:p>
        </w:tc>
        <w:tc>
          <w:tcPr>
            <w:tcW w:w="0" w:type="auto"/>
            <w:vAlign w:val="center"/>
            <w:hideMark/>
          </w:tcPr>
          <w:p w14:paraId="54ED9A9B"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N/A</w:t>
            </w:r>
          </w:p>
        </w:tc>
        <w:tc>
          <w:tcPr>
            <w:tcW w:w="0" w:type="auto"/>
            <w:vAlign w:val="center"/>
            <w:hideMark/>
          </w:tcPr>
          <w:p w14:paraId="3A5119C8" w14:textId="77777777" w:rsidR="005A2BA3" w:rsidRPr="00641591" w:rsidRDefault="005A2BA3" w:rsidP="00486E52">
            <w:pPr>
              <w:spacing w:line="360" w:lineRule="auto"/>
              <w:jc w:val="both"/>
              <w:rPr>
                <w:rFonts w:ascii="Arial" w:hAnsi="Arial" w:cs="Arial"/>
                <w:sz w:val="22"/>
                <w:szCs w:val="22"/>
              </w:rPr>
            </w:pPr>
            <w:r w:rsidRPr="00641591">
              <w:rPr>
                <w:rFonts w:ascii="Arial" w:hAnsi="Arial" w:cs="Arial"/>
                <w:sz w:val="22"/>
                <w:szCs w:val="22"/>
              </w:rPr>
              <w:t>N/A</w:t>
            </w:r>
          </w:p>
        </w:tc>
      </w:tr>
    </w:tbl>
    <w:p w14:paraId="470ECC7F"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Appendix A: CASP Quality Appraisal Matrix</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240"/>
        <w:gridCol w:w="448"/>
        <w:gridCol w:w="990"/>
        <w:gridCol w:w="747"/>
        <w:gridCol w:w="936"/>
        <w:gridCol w:w="738"/>
        <w:gridCol w:w="927"/>
        <w:gridCol w:w="620"/>
        <w:gridCol w:w="755"/>
        <w:gridCol w:w="764"/>
        <w:gridCol w:w="861"/>
      </w:tblGrid>
      <w:tr w:rsidR="008500BB" w:rsidRPr="00641591" w14:paraId="380139BB" w14:textId="77777777" w:rsidTr="00486E52">
        <w:trPr>
          <w:tblHeader/>
          <w:tblCellSpacing w:w="15" w:type="dxa"/>
        </w:trPr>
        <w:tc>
          <w:tcPr>
            <w:tcW w:w="0" w:type="auto"/>
            <w:vAlign w:val="center"/>
            <w:hideMark/>
          </w:tcPr>
          <w:p w14:paraId="1DC7F716" w14:textId="77777777" w:rsidR="008500BB" w:rsidRPr="00641591" w:rsidRDefault="008500BB" w:rsidP="008500BB">
            <w:pPr>
              <w:spacing w:line="360" w:lineRule="auto"/>
              <w:jc w:val="both"/>
              <w:rPr>
                <w:rFonts w:ascii="Arial" w:hAnsi="Arial" w:cs="Arial"/>
                <w:b/>
                <w:bCs/>
                <w:sz w:val="22"/>
                <w:szCs w:val="22"/>
              </w:rPr>
            </w:pPr>
            <w:r w:rsidRPr="00641591">
              <w:rPr>
                <w:rFonts w:ascii="Arial" w:hAnsi="Arial" w:cs="Arial"/>
                <w:b/>
                <w:bCs/>
                <w:sz w:val="22"/>
                <w:szCs w:val="22"/>
              </w:rPr>
              <w:t>Included Study (Author, Year)</w:t>
            </w:r>
          </w:p>
        </w:tc>
        <w:tc>
          <w:tcPr>
            <w:tcW w:w="0" w:type="auto"/>
            <w:vAlign w:val="center"/>
            <w:hideMark/>
          </w:tcPr>
          <w:p w14:paraId="1B5EBD65"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Q1: Clear Aim?</w:t>
            </w:r>
          </w:p>
        </w:tc>
        <w:tc>
          <w:tcPr>
            <w:tcW w:w="0" w:type="auto"/>
            <w:vAlign w:val="center"/>
            <w:hideMark/>
          </w:tcPr>
          <w:p w14:paraId="1C947A39"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Q2: Qualitative Appropriate?</w:t>
            </w:r>
          </w:p>
        </w:tc>
        <w:tc>
          <w:tcPr>
            <w:tcW w:w="0" w:type="auto"/>
            <w:vAlign w:val="center"/>
            <w:hideMark/>
          </w:tcPr>
          <w:p w14:paraId="0721AED5"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Q3: Design Justified?</w:t>
            </w:r>
          </w:p>
        </w:tc>
        <w:tc>
          <w:tcPr>
            <w:tcW w:w="0" w:type="auto"/>
            <w:vAlign w:val="center"/>
            <w:hideMark/>
          </w:tcPr>
          <w:p w14:paraId="323CD7DA"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Q4: Recruitment Strategy?</w:t>
            </w:r>
          </w:p>
        </w:tc>
        <w:tc>
          <w:tcPr>
            <w:tcW w:w="0" w:type="auto"/>
            <w:vAlign w:val="center"/>
            <w:hideMark/>
          </w:tcPr>
          <w:p w14:paraId="6331A20E"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Q5: Data Collected Well?</w:t>
            </w:r>
          </w:p>
        </w:tc>
        <w:tc>
          <w:tcPr>
            <w:tcW w:w="0" w:type="auto"/>
            <w:vAlign w:val="center"/>
            <w:hideMark/>
          </w:tcPr>
          <w:p w14:paraId="0222E774"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Q6: Reflexivity Addressed?</w:t>
            </w:r>
          </w:p>
        </w:tc>
        <w:tc>
          <w:tcPr>
            <w:tcW w:w="0" w:type="auto"/>
            <w:vAlign w:val="center"/>
            <w:hideMark/>
          </w:tcPr>
          <w:p w14:paraId="101603FE"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Q7: Ethical Issues?</w:t>
            </w:r>
          </w:p>
        </w:tc>
        <w:tc>
          <w:tcPr>
            <w:tcW w:w="0" w:type="auto"/>
            <w:vAlign w:val="center"/>
            <w:hideMark/>
          </w:tcPr>
          <w:p w14:paraId="37A3D941"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Q8: Rigorous Analysis?</w:t>
            </w:r>
          </w:p>
        </w:tc>
        <w:tc>
          <w:tcPr>
            <w:tcW w:w="0" w:type="auto"/>
            <w:vAlign w:val="center"/>
            <w:hideMark/>
          </w:tcPr>
          <w:p w14:paraId="23D26303"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Q9: Clear Findings?</w:t>
            </w:r>
          </w:p>
        </w:tc>
        <w:tc>
          <w:tcPr>
            <w:tcW w:w="0" w:type="auto"/>
            <w:vAlign w:val="center"/>
            <w:hideMark/>
          </w:tcPr>
          <w:p w14:paraId="592D401B"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Q10: Value of Research?</w:t>
            </w:r>
          </w:p>
        </w:tc>
      </w:tr>
      <w:tr w:rsidR="008500BB" w:rsidRPr="00641591" w14:paraId="6B02AE5A" w14:textId="77777777" w:rsidTr="00486E52">
        <w:trPr>
          <w:tblCellSpacing w:w="15" w:type="dxa"/>
        </w:trPr>
        <w:tc>
          <w:tcPr>
            <w:tcW w:w="0" w:type="auto"/>
            <w:vAlign w:val="center"/>
            <w:hideMark/>
          </w:tcPr>
          <w:p w14:paraId="22108052" w14:textId="77777777" w:rsidR="008500BB" w:rsidRPr="00641591" w:rsidRDefault="008500BB" w:rsidP="008500BB">
            <w:pPr>
              <w:spacing w:line="360" w:lineRule="auto"/>
              <w:jc w:val="both"/>
              <w:rPr>
                <w:rFonts w:ascii="Arial" w:hAnsi="Arial" w:cs="Arial"/>
                <w:b/>
                <w:bCs/>
                <w:sz w:val="22"/>
                <w:szCs w:val="22"/>
              </w:rPr>
            </w:pPr>
            <w:r w:rsidRPr="00641591">
              <w:rPr>
                <w:rFonts w:ascii="Arial" w:hAnsi="Arial" w:cs="Arial"/>
                <w:b/>
                <w:bCs/>
                <w:sz w:val="22"/>
                <w:szCs w:val="22"/>
              </w:rPr>
              <w:t>Lowther</w:t>
            </w:r>
            <w:r w:rsidRPr="00641591">
              <w:rPr>
                <w:rFonts w:ascii="Arial" w:hAnsi="Arial" w:cs="Arial"/>
                <w:b/>
                <w:bCs/>
                <w:sz w:val="22"/>
                <w:szCs w:val="22"/>
              </w:rPr>
              <w:noBreakHyphen/>
              <w:t>Payne et al. (2023)</w:t>
            </w:r>
          </w:p>
        </w:tc>
        <w:tc>
          <w:tcPr>
            <w:tcW w:w="0" w:type="auto"/>
            <w:vAlign w:val="center"/>
            <w:hideMark/>
          </w:tcPr>
          <w:p w14:paraId="6E1784E8"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17529E30"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578B4C1C"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15F3C29D"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437DBEDA"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4A0F856A"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No</w:t>
            </w:r>
          </w:p>
        </w:tc>
        <w:tc>
          <w:tcPr>
            <w:tcW w:w="0" w:type="auto"/>
            <w:vAlign w:val="center"/>
            <w:hideMark/>
          </w:tcPr>
          <w:p w14:paraId="507E13A4"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0FC45625"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7A297B91"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2476575F"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r>
      <w:tr w:rsidR="008500BB" w:rsidRPr="00641591" w14:paraId="3B98AE9D" w14:textId="77777777" w:rsidTr="00486E52">
        <w:trPr>
          <w:tblCellSpacing w:w="15" w:type="dxa"/>
        </w:trPr>
        <w:tc>
          <w:tcPr>
            <w:tcW w:w="0" w:type="auto"/>
            <w:vAlign w:val="center"/>
            <w:hideMark/>
          </w:tcPr>
          <w:p w14:paraId="60E7A08A" w14:textId="77777777" w:rsidR="008500BB" w:rsidRPr="00641591" w:rsidRDefault="008500BB" w:rsidP="008500BB">
            <w:pPr>
              <w:spacing w:line="360" w:lineRule="auto"/>
              <w:jc w:val="both"/>
              <w:rPr>
                <w:rFonts w:ascii="Arial" w:hAnsi="Arial" w:cs="Arial"/>
                <w:b/>
                <w:bCs/>
                <w:sz w:val="22"/>
                <w:szCs w:val="22"/>
              </w:rPr>
            </w:pPr>
            <w:r w:rsidRPr="00641591">
              <w:rPr>
                <w:rFonts w:ascii="Arial" w:hAnsi="Arial" w:cs="Arial"/>
                <w:b/>
                <w:bCs/>
                <w:sz w:val="22"/>
                <w:szCs w:val="22"/>
              </w:rPr>
              <w:t>Leavey et al. (2011)</w:t>
            </w:r>
          </w:p>
        </w:tc>
        <w:tc>
          <w:tcPr>
            <w:tcW w:w="0" w:type="auto"/>
            <w:vAlign w:val="center"/>
            <w:hideMark/>
          </w:tcPr>
          <w:p w14:paraId="3106B310"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691039FD"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2E8D7C33"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04E2697A"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7CF52297"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633D00AD"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No</w:t>
            </w:r>
          </w:p>
        </w:tc>
        <w:tc>
          <w:tcPr>
            <w:tcW w:w="0" w:type="auto"/>
            <w:vAlign w:val="center"/>
            <w:hideMark/>
          </w:tcPr>
          <w:p w14:paraId="364FD693" w14:textId="77777777" w:rsidR="008500BB" w:rsidRPr="00641591" w:rsidRDefault="008500BB" w:rsidP="003254FB">
            <w:pPr>
              <w:pStyle w:val="Heading1"/>
            </w:pPr>
            <w:bookmarkStart w:id="77" w:name="_Toc233828745"/>
            <w:r w:rsidRPr="00641591">
              <w:t>Yes</w:t>
            </w:r>
            <w:bookmarkEnd w:id="77"/>
          </w:p>
        </w:tc>
        <w:tc>
          <w:tcPr>
            <w:tcW w:w="0" w:type="auto"/>
            <w:vAlign w:val="center"/>
            <w:hideMark/>
          </w:tcPr>
          <w:p w14:paraId="2FE78432"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5FC72DE1"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77380805"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r>
      <w:tr w:rsidR="008500BB" w:rsidRPr="00641591" w14:paraId="2ED3123B" w14:textId="77777777" w:rsidTr="00486E52">
        <w:trPr>
          <w:tblCellSpacing w:w="15" w:type="dxa"/>
        </w:trPr>
        <w:tc>
          <w:tcPr>
            <w:tcW w:w="0" w:type="auto"/>
            <w:vAlign w:val="center"/>
            <w:hideMark/>
          </w:tcPr>
          <w:p w14:paraId="6B6F8E2E" w14:textId="77777777" w:rsidR="008500BB" w:rsidRPr="00641591" w:rsidRDefault="008500BB" w:rsidP="008500BB">
            <w:pPr>
              <w:spacing w:line="360" w:lineRule="auto"/>
              <w:jc w:val="both"/>
              <w:rPr>
                <w:rFonts w:ascii="Arial" w:hAnsi="Arial" w:cs="Arial"/>
                <w:b/>
                <w:bCs/>
                <w:sz w:val="22"/>
                <w:szCs w:val="22"/>
              </w:rPr>
            </w:pPr>
            <w:r w:rsidRPr="00641591">
              <w:rPr>
                <w:rFonts w:ascii="Arial" w:hAnsi="Arial" w:cs="Arial"/>
                <w:b/>
                <w:bCs/>
                <w:sz w:val="22"/>
                <w:szCs w:val="22"/>
              </w:rPr>
              <w:t>Radez et al. (2021)</w:t>
            </w:r>
          </w:p>
        </w:tc>
        <w:tc>
          <w:tcPr>
            <w:tcW w:w="0" w:type="auto"/>
            <w:vAlign w:val="center"/>
            <w:hideMark/>
          </w:tcPr>
          <w:p w14:paraId="31AE700D"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0C0D6796"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794B9631"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63CDD88C"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6AF971B6"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7E8C40CF"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Can’t tell</w:t>
            </w:r>
          </w:p>
        </w:tc>
        <w:tc>
          <w:tcPr>
            <w:tcW w:w="0" w:type="auto"/>
            <w:vAlign w:val="center"/>
            <w:hideMark/>
          </w:tcPr>
          <w:p w14:paraId="659F4267"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29C35757"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45FA69FD"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c>
          <w:tcPr>
            <w:tcW w:w="0" w:type="auto"/>
            <w:vAlign w:val="center"/>
            <w:hideMark/>
          </w:tcPr>
          <w:p w14:paraId="32C0F065" w14:textId="77777777" w:rsidR="008500BB" w:rsidRPr="00641591" w:rsidRDefault="008500BB" w:rsidP="008500BB">
            <w:pPr>
              <w:spacing w:line="360" w:lineRule="auto"/>
              <w:jc w:val="both"/>
              <w:rPr>
                <w:rFonts w:ascii="Arial" w:hAnsi="Arial" w:cs="Arial"/>
                <w:sz w:val="22"/>
                <w:szCs w:val="22"/>
              </w:rPr>
            </w:pPr>
            <w:r w:rsidRPr="00641591">
              <w:rPr>
                <w:rFonts w:ascii="Arial" w:hAnsi="Arial" w:cs="Arial"/>
                <w:sz w:val="22"/>
                <w:szCs w:val="22"/>
              </w:rPr>
              <w:t>Yes</w:t>
            </w:r>
          </w:p>
        </w:tc>
      </w:tr>
    </w:tbl>
    <w:p w14:paraId="726F3C78" w14:textId="77777777" w:rsidR="008500BB" w:rsidRPr="00641591" w:rsidRDefault="008500BB" w:rsidP="008500BB">
      <w:pPr>
        <w:spacing w:line="360" w:lineRule="auto"/>
        <w:jc w:val="both"/>
        <w:rPr>
          <w:rFonts w:ascii="Arial" w:hAnsi="Arial" w:cs="Arial"/>
          <w:b/>
          <w:bCs/>
          <w:sz w:val="22"/>
          <w:szCs w:val="22"/>
        </w:rPr>
      </w:pPr>
    </w:p>
    <w:p w14:paraId="2166CE11" w14:textId="77777777" w:rsidR="005A2BA3" w:rsidRPr="00641591" w:rsidRDefault="005A2BA3" w:rsidP="005A2BA3">
      <w:pPr>
        <w:spacing w:line="360" w:lineRule="auto"/>
        <w:jc w:val="both"/>
        <w:rPr>
          <w:rFonts w:ascii="Arial" w:hAnsi="Arial" w:cs="Arial"/>
          <w:sz w:val="22"/>
          <w:szCs w:val="22"/>
        </w:rPr>
      </w:pPr>
    </w:p>
    <w:p w14:paraId="4F16EEF0" w14:textId="77777777" w:rsidR="005A2BA3" w:rsidRPr="00641591" w:rsidRDefault="005A2BA3" w:rsidP="007107C6">
      <w:pPr>
        <w:spacing w:line="360" w:lineRule="auto"/>
        <w:jc w:val="both"/>
        <w:rPr>
          <w:rFonts w:ascii="Arial" w:hAnsi="Arial" w:cs="Arial"/>
          <w:sz w:val="22"/>
          <w:szCs w:val="22"/>
        </w:rPr>
      </w:pPr>
    </w:p>
    <w:p w14:paraId="28A05124" w14:textId="77777777" w:rsidR="007107C6" w:rsidRPr="00641591" w:rsidRDefault="007107C6" w:rsidP="00114E6F">
      <w:pPr>
        <w:spacing w:line="360" w:lineRule="auto"/>
        <w:jc w:val="both"/>
        <w:rPr>
          <w:rFonts w:ascii="Arial" w:hAnsi="Arial" w:cs="Arial"/>
          <w:sz w:val="22"/>
          <w:szCs w:val="22"/>
        </w:rPr>
      </w:pPr>
    </w:p>
    <w:sectPr w:rsidR="007107C6" w:rsidRPr="00641591">
      <w:footerReference w:type="default" r:id="rId10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1C5E40" w14:textId="77777777" w:rsidR="002C0042" w:rsidRDefault="002C0042" w:rsidP="008C2B72">
      <w:pPr>
        <w:spacing w:after="0" w:line="240" w:lineRule="auto"/>
      </w:pPr>
      <w:r>
        <w:separator/>
      </w:r>
    </w:p>
  </w:endnote>
  <w:endnote w:type="continuationSeparator" w:id="0">
    <w:p w14:paraId="20A101F3" w14:textId="77777777" w:rsidR="002C0042" w:rsidRDefault="002C0042" w:rsidP="008C2B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5141991"/>
      <w:docPartObj>
        <w:docPartGallery w:val="Page Numbers (Bottom of Page)"/>
        <w:docPartUnique/>
      </w:docPartObj>
    </w:sdtPr>
    <w:sdtEndPr>
      <w:rPr>
        <w:noProof/>
      </w:rPr>
    </w:sdtEndPr>
    <w:sdtContent>
      <w:p w14:paraId="2A20ABA8" w14:textId="5E80AA77" w:rsidR="008C2B72" w:rsidRDefault="008C2B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04C066" w14:textId="77777777" w:rsidR="008C2B72" w:rsidRDefault="008C2B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E4DC7B" w14:textId="77777777" w:rsidR="002C0042" w:rsidRDefault="002C0042" w:rsidP="008C2B72">
      <w:pPr>
        <w:spacing w:after="0" w:line="240" w:lineRule="auto"/>
      </w:pPr>
      <w:r>
        <w:separator/>
      </w:r>
    </w:p>
  </w:footnote>
  <w:footnote w:type="continuationSeparator" w:id="0">
    <w:p w14:paraId="62FDEA42" w14:textId="77777777" w:rsidR="002C0042" w:rsidRDefault="002C0042" w:rsidP="008C2B7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E6F"/>
    <w:rsid w:val="000368B1"/>
    <w:rsid w:val="000453AF"/>
    <w:rsid w:val="0006548E"/>
    <w:rsid w:val="00077232"/>
    <w:rsid w:val="00084CBD"/>
    <w:rsid w:val="000B2F3A"/>
    <w:rsid w:val="000B6F99"/>
    <w:rsid w:val="000C7674"/>
    <w:rsid w:val="00104AE4"/>
    <w:rsid w:val="00114E28"/>
    <w:rsid w:val="00114E6F"/>
    <w:rsid w:val="00117725"/>
    <w:rsid w:val="0012247C"/>
    <w:rsid w:val="001241CF"/>
    <w:rsid w:val="00127239"/>
    <w:rsid w:val="0014382D"/>
    <w:rsid w:val="00172208"/>
    <w:rsid w:val="001760EC"/>
    <w:rsid w:val="001826AB"/>
    <w:rsid w:val="001836F2"/>
    <w:rsid w:val="001A3AC7"/>
    <w:rsid w:val="001B690E"/>
    <w:rsid w:val="001D07BF"/>
    <w:rsid w:val="001D7ED2"/>
    <w:rsid w:val="001E13B4"/>
    <w:rsid w:val="00211923"/>
    <w:rsid w:val="00224061"/>
    <w:rsid w:val="00251FC8"/>
    <w:rsid w:val="002559F7"/>
    <w:rsid w:val="00255BFC"/>
    <w:rsid w:val="00260669"/>
    <w:rsid w:val="00264A12"/>
    <w:rsid w:val="0026595C"/>
    <w:rsid w:val="00280BCF"/>
    <w:rsid w:val="002829B8"/>
    <w:rsid w:val="00282C2A"/>
    <w:rsid w:val="00290411"/>
    <w:rsid w:val="002908FC"/>
    <w:rsid w:val="002A0003"/>
    <w:rsid w:val="002A0459"/>
    <w:rsid w:val="002B53E6"/>
    <w:rsid w:val="002C0042"/>
    <w:rsid w:val="002C144A"/>
    <w:rsid w:val="002C641B"/>
    <w:rsid w:val="002F0A44"/>
    <w:rsid w:val="003136F5"/>
    <w:rsid w:val="003254FB"/>
    <w:rsid w:val="003278CF"/>
    <w:rsid w:val="0035389D"/>
    <w:rsid w:val="0036207A"/>
    <w:rsid w:val="00374FCA"/>
    <w:rsid w:val="00393DBE"/>
    <w:rsid w:val="00396808"/>
    <w:rsid w:val="003A1743"/>
    <w:rsid w:val="003E0295"/>
    <w:rsid w:val="003F41D8"/>
    <w:rsid w:val="003F547B"/>
    <w:rsid w:val="0040098C"/>
    <w:rsid w:val="00434BC3"/>
    <w:rsid w:val="00441717"/>
    <w:rsid w:val="00442CBB"/>
    <w:rsid w:val="004816CD"/>
    <w:rsid w:val="004831EE"/>
    <w:rsid w:val="00493425"/>
    <w:rsid w:val="004E7704"/>
    <w:rsid w:val="00505B96"/>
    <w:rsid w:val="00526357"/>
    <w:rsid w:val="00536514"/>
    <w:rsid w:val="005661FA"/>
    <w:rsid w:val="005818B3"/>
    <w:rsid w:val="005A2BA3"/>
    <w:rsid w:val="005C3FDE"/>
    <w:rsid w:val="005C7353"/>
    <w:rsid w:val="005F0530"/>
    <w:rsid w:val="00601ECC"/>
    <w:rsid w:val="00605387"/>
    <w:rsid w:val="006106A9"/>
    <w:rsid w:val="00620D1C"/>
    <w:rsid w:val="00636681"/>
    <w:rsid w:val="00641591"/>
    <w:rsid w:val="00642F40"/>
    <w:rsid w:val="00655BE5"/>
    <w:rsid w:val="006F0F3B"/>
    <w:rsid w:val="006F571E"/>
    <w:rsid w:val="007107C6"/>
    <w:rsid w:val="007150C1"/>
    <w:rsid w:val="00731975"/>
    <w:rsid w:val="007463EA"/>
    <w:rsid w:val="0077745B"/>
    <w:rsid w:val="00784F8F"/>
    <w:rsid w:val="00793088"/>
    <w:rsid w:val="007A4DFF"/>
    <w:rsid w:val="007B5E35"/>
    <w:rsid w:val="007B6797"/>
    <w:rsid w:val="007D085F"/>
    <w:rsid w:val="007D6F93"/>
    <w:rsid w:val="007E794B"/>
    <w:rsid w:val="007F3449"/>
    <w:rsid w:val="00846984"/>
    <w:rsid w:val="008500BB"/>
    <w:rsid w:val="008B1AF9"/>
    <w:rsid w:val="008C2B72"/>
    <w:rsid w:val="008C7553"/>
    <w:rsid w:val="008D1C59"/>
    <w:rsid w:val="008D2B13"/>
    <w:rsid w:val="008D6FC0"/>
    <w:rsid w:val="008E22DC"/>
    <w:rsid w:val="00904D18"/>
    <w:rsid w:val="009118AB"/>
    <w:rsid w:val="009148D4"/>
    <w:rsid w:val="009464AE"/>
    <w:rsid w:val="00954979"/>
    <w:rsid w:val="00967E4E"/>
    <w:rsid w:val="00974C1D"/>
    <w:rsid w:val="0098251E"/>
    <w:rsid w:val="009B18F2"/>
    <w:rsid w:val="009B1E24"/>
    <w:rsid w:val="009C4453"/>
    <w:rsid w:val="009E5596"/>
    <w:rsid w:val="009E74CF"/>
    <w:rsid w:val="009F7DDB"/>
    <w:rsid w:val="00A046BD"/>
    <w:rsid w:val="00A062A2"/>
    <w:rsid w:val="00A23EF8"/>
    <w:rsid w:val="00A453D2"/>
    <w:rsid w:val="00A45FA0"/>
    <w:rsid w:val="00A4600F"/>
    <w:rsid w:val="00A70D03"/>
    <w:rsid w:val="00A92E9A"/>
    <w:rsid w:val="00AA3D52"/>
    <w:rsid w:val="00AB171D"/>
    <w:rsid w:val="00AD1ACC"/>
    <w:rsid w:val="00AD7E03"/>
    <w:rsid w:val="00AE40F8"/>
    <w:rsid w:val="00AF390C"/>
    <w:rsid w:val="00B64383"/>
    <w:rsid w:val="00B771C5"/>
    <w:rsid w:val="00B84E8C"/>
    <w:rsid w:val="00B86600"/>
    <w:rsid w:val="00BA0291"/>
    <w:rsid w:val="00BA668E"/>
    <w:rsid w:val="00BC00BA"/>
    <w:rsid w:val="00BC512D"/>
    <w:rsid w:val="00BD4DB4"/>
    <w:rsid w:val="00BF3E96"/>
    <w:rsid w:val="00C0062E"/>
    <w:rsid w:val="00C3263E"/>
    <w:rsid w:val="00C448E4"/>
    <w:rsid w:val="00C63544"/>
    <w:rsid w:val="00C65047"/>
    <w:rsid w:val="00C708DA"/>
    <w:rsid w:val="00C81772"/>
    <w:rsid w:val="00CB15F4"/>
    <w:rsid w:val="00CB2FB0"/>
    <w:rsid w:val="00CB7D00"/>
    <w:rsid w:val="00CD4F7C"/>
    <w:rsid w:val="00CF0BB6"/>
    <w:rsid w:val="00D00386"/>
    <w:rsid w:val="00D3531F"/>
    <w:rsid w:val="00D3751A"/>
    <w:rsid w:val="00D57C54"/>
    <w:rsid w:val="00D70DD7"/>
    <w:rsid w:val="00D737E7"/>
    <w:rsid w:val="00D82D3A"/>
    <w:rsid w:val="00DB0494"/>
    <w:rsid w:val="00DC7E16"/>
    <w:rsid w:val="00DD22C8"/>
    <w:rsid w:val="00DD7297"/>
    <w:rsid w:val="00DD7854"/>
    <w:rsid w:val="00DE1B32"/>
    <w:rsid w:val="00DF3FBB"/>
    <w:rsid w:val="00DF71AF"/>
    <w:rsid w:val="00E03CD2"/>
    <w:rsid w:val="00E62BB8"/>
    <w:rsid w:val="00E67E66"/>
    <w:rsid w:val="00E754F9"/>
    <w:rsid w:val="00E97E42"/>
    <w:rsid w:val="00EC667A"/>
    <w:rsid w:val="00F207CB"/>
    <w:rsid w:val="00F243AA"/>
    <w:rsid w:val="00F421AD"/>
    <w:rsid w:val="00F53B07"/>
    <w:rsid w:val="00F764CB"/>
    <w:rsid w:val="00FA5617"/>
    <w:rsid w:val="00FC42DA"/>
    <w:rsid w:val="00FF4AFB"/>
    <w:rsid w:val="00FF5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87859"/>
  <w15:chartTrackingRefBased/>
  <w15:docId w15:val="{AEBE4769-165F-41EE-A3A4-6D912BC1F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4E6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14E6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4E6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E6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E6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E6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E6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E6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E6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E6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14E6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4E6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E6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E6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E6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E6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E6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E6F"/>
    <w:rPr>
      <w:rFonts w:eastAsiaTheme="majorEastAsia" w:cstheme="majorBidi"/>
      <w:color w:val="272727" w:themeColor="text1" w:themeTint="D8"/>
    </w:rPr>
  </w:style>
  <w:style w:type="paragraph" w:styleId="Title">
    <w:name w:val="Title"/>
    <w:basedOn w:val="Normal"/>
    <w:next w:val="Normal"/>
    <w:link w:val="TitleChar"/>
    <w:uiPriority w:val="10"/>
    <w:qFormat/>
    <w:rsid w:val="00114E6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E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E6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E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E6F"/>
    <w:pPr>
      <w:spacing w:before="160"/>
      <w:jc w:val="center"/>
    </w:pPr>
    <w:rPr>
      <w:i/>
      <w:iCs/>
      <w:color w:val="404040" w:themeColor="text1" w:themeTint="BF"/>
    </w:rPr>
  </w:style>
  <w:style w:type="character" w:customStyle="1" w:styleId="QuoteChar">
    <w:name w:val="Quote Char"/>
    <w:basedOn w:val="DefaultParagraphFont"/>
    <w:link w:val="Quote"/>
    <w:uiPriority w:val="29"/>
    <w:rsid w:val="00114E6F"/>
    <w:rPr>
      <w:i/>
      <w:iCs/>
      <w:color w:val="404040" w:themeColor="text1" w:themeTint="BF"/>
    </w:rPr>
  </w:style>
  <w:style w:type="paragraph" w:styleId="ListParagraph">
    <w:name w:val="List Paragraph"/>
    <w:basedOn w:val="Normal"/>
    <w:uiPriority w:val="34"/>
    <w:qFormat/>
    <w:rsid w:val="00114E6F"/>
    <w:pPr>
      <w:ind w:left="720"/>
      <w:contextualSpacing/>
    </w:pPr>
  </w:style>
  <w:style w:type="character" w:styleId="IntenseEmphasis">
    <w:name w:val="Intense Emphasis"/>
    <w:basedOn w:val="DefaultParagraphFont"/>
    <w:uiPriority w:val="21"/>
    <w:qFormat/>
    <w:rsid w:val="00114E6F"/>
    <w:rPr>
      <w:i/>
      <w:iCs/>
      <w:color w:val="0F4761" w:themeColor="accent1" w:themeShade="BF"/>
    </w:rPr>
  </w:style>
  <w:style w:type="paragraph" w:styleId="IntenseQuote">
    <w:name w:val="Intense Quote"/>
    <w:basedOn w:val="Normal"/>
    <w:next w:val="Normal"/>
    <w:link w:val="IntenseQuoteChar"/>
    <w:uiPriority w:val="30"/>
    <w:qFormat/>
    <w:rsid w:val="00114E6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E6F"/>
    <w:rPr>
      <w:i/>
      <w:iCs/>
      <w:color w:val="0F4761" w:themeColor="accent1" w:themeShade="BF"/>
    </w:rPr>
  </w:style>
  <w:style w:type="character" w:styleId="IntenseReference">
    <w:name w:val="Intense Reference"/>
    <w:basedOn w:val="DefaultParagraphFont"/>
    <w:uiPriority w:val="32"/>
    <w:qFormat/>
    <w:rsid w:val="00114E6F"/>
    <w:rPr>
      <w:b/>
      <w:bCs/>
      <w:smallCaps/>
      <w:color w:val="0F4761" w:themeColor="accent1" w:themeShade="BF"/>
      <w:spacing w:val="5"/>
    </w:rPr>
  </w:style>
  <w:style w:type="paragraph" w:styleId="Header">
    <w:name w:val="header"/>
    <w:basedOn w:val="Normal"/>
    <w:link w:val="HeaderChar"/>
    <w:uiPriority w:val="99"/>
    <w:unhideWhenUsed/>
    <w:rsid w:val="008C2B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B72"/>
  </w:style>
  <w:style w:type="paragraph" w:styleId="Footer">
    <w:name w:val="footer"/>
    <w:basedOn w:val="Normal"/>
    <w:link w:val="FooterChar"/>
    <w:uiPriority w:val="99"/>
    <w:unhideWhenUsed/>
    <w:rsid w:val="008C2B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B72"/>
  </w:style>
  <w:style w:type="character" w:styleId="Hyperlink">
    <w:name w:val="Hyperlink"/>
    <w:basedOn w:val="DefaultParagraphFont"/>
    <w:uiPriority w:val="99"/>
    <w:unhideWhenUsed/>
    <w:rsid w:val="007F3449"/>
    <w:rPr>
      <w:color w:val="467886" w:themeColor="hyperlink"/>
      <w:u w:val="single"/>
    </w:rPr>
  </w:style>
  <w:style w:type="character" w:styleId="UnresolvedMention">
    <w:name w:val="Unresolved Mention"/>
    <w:basedOn w:val="DefaultParagraphFont"/>
    <w:uiPriority w:val="99"/>
    <w:semiHidden/>
    <w:unhideWhenUsed/>
    <w:rsid w:val="007F3449"/>
    <w:rPr>
      <w:color w:val="605E5C"/>
      <w:shd w:val="clear" w:color="auto" w:fill="E1DFDD"/>
    </w:rPr>
  </w:style>
  <w:style w:type="character" w:styleId="FollowedHyperlink">
    <w:name w:val="FollowedHyperlink"/>
    <w:basedOn w:val="DefaultParagraphFont"/>
    <w:uiPriority w:val="99"/>
    <w:semiHidden/>
    <w:unhideWhenUsed/>
    <w:rsid w:val="007F3449"/>
    <w:rPr>
      <w:color w:val="96607D" w:themeColor="followedHyperlink"/>
      <w:u w:val="single"/>
    </w:rPr>
  </w:style>
  <w:style w:type="paragraph" w:styleId="TOCHeading">
    <w:name w:val="TOC Heading"/>
    <w:basedOn w:val="Heading1"/>
    <w:next w:val="Normal"/>
    <w:uiPriority w:val="39"/>
    <w:unhideWhenUsed/>
    <w:qFormat/>
    <w:rsid w:val="00A92E9A"/>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A92E9A"/>
    <w:pPr>
      <w:spacing w:after="100"/>
      <w:ind w:left="240"/>
    </w:pPr>
  </w:style>
  <w:style w:type="paragraph" w:styleId="TOC1">
    <w:name w:val="toc 1"/>
    <w:basedOn w:val="Normal"/>
    <w:next w:val="Normal"/>
    <w:autoRedefine/>
    <w:uiPriority w:val="39"/>
    <w:unhideWhenUsed/>
    <w:rsid w:val="00A92E9A"/>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qc.org.uk/publications" TargetMode="External"/><Relationship Id="rId21" Type="http://schemas.openxmlformats.org/officeDocument/2006/relationships/hyperlink" Target="https://www.bma.org.uk/advice-and-support/nhs-delivery-and-workforce/pressures/children-and-young-people-s-mental-health-services-in-england?utm_source=copilot.com" TargetMode="External"/><Relationship Id="rId42" Type="http://schemas.openxmlformats.org/officeDocument/2006/relationships/hyperlink" Target="https://doi.org/10.1136/bmjopen-2023-081620?utm_source=copilot.com" TargetMode="External"/><Relationship Id="rId47" Type="http://schemas.openxmlformats.org/officeDocument/2006/relationships/hyperlink" Target="https://doi.org/10.1001/archpsyc.62.6.593?utm_source=copilot.com" TargetMode="External"/><Relationship Id="rId63" Type="http://schemas.openxmlformats.org/officeDocument/2006/relationships/hyperlink" Target="https://www.england.nhs.uk" TargetMode="External"/><Relationship Id="rId68" Type="http://schemas.openxmlformats.org/officeDocument/2006/relationships/hyperlink" Target="https://pmc.ncbi.nlm.nih.gov/articles/PMC8791764/" TargetMode="External"/><Relationship Id="rId84" Type="http://schemas.openxmlformats.org/officeDocument/2006/relationships/hyperlink" Target="https://www.rcpsych.ac.uk/?utm_source=copilot.com" TargetMode="External"/><Relationship Id="rId89" Type="http://schemas.openxmlformats.org/officeDocument/2006/relationships/hyperlink" Target="https://doi.org/10.1192/bjp.bp.109.075135?utm_source=copilot.com" TargetMode="External"/><Relationship Id="rId16" Type="http://schemas.openxmlformats.org/officeDocument/2006/relationships/hyperlink" Target="https://link.springer.com/article/10.1007/s10803-016-2872-8?fbp=fb.1.1765843200046.417387640772876553" TargetMode="External"/><Relationship Id="rId11" Type="http://schemas.openxmlformats.org/officeDocument/2006/relationships/hyperlink" Target="https://doi.org/10.1136/bmjopen-2024-086403?utm_source=copilot.com" TargetMode="External"/><Relationship Id="rId32" Type="http://schemas.openxmlformats.org/officeDocument/2006/relationships/hyperlink" Target="https://doi.org/10.1017/S0033291714000129?utm_source=copilot.com" TargetMode="External"/><Relationship Id="rId37" Type="http://schemas.openxmlformats.org/officeDocument/2006/relationships/hyperlink" Target="https://www.gov.uk/government/publications/independent-investigation-of-the-nhs-in-england?utm_source=copilot.com" TargetMode="External"/><Relationship Id="rId53" Type="http://schemas.openxmlformats.org/officeDocument/2006/relationships/hyperlink" Target="https://doi.org/10.1186/s12913-023-10030-8?utm_source=copilot.com" TargetMode="External"/><Relationship Id="rId58" Type="http://schemas.openxmlformats.org/officeDocument/2006/relationships/hyperlink" Target="https://doi.org/10.1371/journal.pmed.1000097?utm_source=copilot.com" TargetMode="External"/><Relationship Id="rId74" Type="http://schemas.openxmlformats.org/officeDocument/2006/relationships/hyperlink" Target="https://www.gov.uk/government/publications?utm_source=copilot.com" TargetMode="External"/><Relationship Id="rId79" Type="http://schemas.openxmlformats.org/officeDocument/2006/relationships/hyperlink" Target="https://cypmhc.org.uk/wp-content/uploads/2023/06/Review-of-CYP-Mental-Health-Policy-Final-Report.-2023.pdf?utm_source=copilot.com" TargetMode="External"/><Relationship Id="rId102" Type="http://schemas.openxmlformats.org/officeDocument/2006/relationships/footer" Target="footer1.xml"/><Relationship Id="rId5" Type="http://schemas.openxmlformats.org/officeDocument/2006/relationships/settings" Target="settings.xml"/><Relationship Id="rId90" Type="http://schemas.openxmlformats.org/officeDocument/2006/relationships/hyperlink" Target="https://www.stonewall.org.uk/?utm_source=copilot.com" TargetMode="External"/><Relationship Id="rId95" Type="http://schemas.openxmlformats.org/officeDocument/2006/relationships/hyperlink" Target="https://assets.publishing.service.gov.uk/media/686d3640a08d3a3ca3b678de/Transforming_children_and_young_people_mental_health_programme_2025.pdf" TargetMode="External"/><Relationship Id="rId22" Type="http://schemas.openxmlformats.org/officeDocument/2006/relationships/hyperlink" Target="https://www.bma.org.uk" TargetMode="External"/><Relationship Id="rId27" Type="http://schemas.openxmlformats.org/officeDocument/2006/relationships/hyperlink" Target="https://www.cqc.org.uk/about-us/improving-how-we-work/1225-update" TargetMode="External"/><Relationship Id="rId43" Type="http://schemas.openxmlformats.org/officeDocument/2006/relationships/hyperlink" Target="https://training.cochrane.org/handbook?utm_source=copilot.com" TargetMode="External"/><Relationship Id="rId48" Type="http://schemas.openxmlformats.org/officeDocument/2006/relationships/hyperlink" Target="https://bmjopen.bmj.com/content/2/6/e000317" TargetMode="External"/><Relationship Id="rId64" Type="http://schemas.openxmlformats.org/officeDocument/2006/relationships/hyperlink" Target="https://digital.nhs.uk/data-and-information/publications/statistical/mental-health-services-monthly-statistics?utm_source=copilot.com" TargetMode="External"/><Relationship Id="rId69" Type="http://schemas.openxmlformats.org/officeDocument/2006/relationships/hyperlink" Target="https://doi.org/10.1186/s13643-016-0384-4?utm_source=copilot.com" TargetMode="External"/><Relationship Id="rId80" Type="http://schemas.openxmlformats.org/officeDocument/2006/relationships/hyperlink" Target="https://link.springer.com/article/10.1007/s00787-016-0930-6" TargetMode="External"/><Relationship Id="rId85" Type="http://schemas.openxmlformats.org/officeDocument/2006/relationships/hyperlink" Target="https://www.rcpsych.ac.uk/?utm_source=copilot.com" TargetMode="External"/><Relationship Id="rId12" Type="http://schemas.openxmlformats.org/officeDocument/2006/relationships/hyperlink" Target="https://www.jstor.org/stable/2137284" TargetMode="External"/><Relationship Id="rId17" Type="http://schemas.openxmlformats.org/officeDocument/2006/relationships/hyperlink" Target="https://www.barnardos.org.uk/sites/default/files/uploads/KCL%20%26%20Barnardo%27s%20QPS%20report.pdf" TargetMode="External"/><Relationship Id="rId25" Type="http://schemas.openxmlformats.org/officeDocument/2006/relationships/hyperlink" Target="https://www.cqc.org.uk/?utm_source=copilot.com" TargetMode="External"/><Relationship Id="rId33" Type="http://schemas.openxmlformats.org/officeDocument/2006/relationships/hyperlink" Target="https://doi.org/10.12968/bjon.2007.16.11.23681?utm_source=copilot.com" TargetMode="External"/><Relationship Id="rId38" Type="http://schemas.openxmlformats.org/officeDocument/2006/relationships/hyperlink" Target="https://pmc.ncbi.nlm.nih.gov/articles/PMC4078705/?utm_source=copilot.com" TargetMode="External"/><Relationship Id="rId46" Type="http://schemas.openxmlformats.org/officeDocument/2006/relationships/hyperlink" Target="https://doi.org/10.1111/jcpp.12663?utm_source=copilot.com" TargetMode="External"/><Relationship Id="rId59" Type="http://schemas.openxmlformats.org/officeDocument/2006/relationships/hyperlink" Target="https://digital.nhs.uk" TargetMode="External"/><Relationship Id="rId67" Type="http://schemas.openxmlformats.org/officeDocument/2006/relationships/hyperlink" Target="https://doi.org/10.3399/bjgp16X687061?utm_source=copilot.com" TargetMode="External"/><Relationship Id="rId103" Type="http://schemas.openxmlformats.org/officeDocument/2006/relationships/fontTable" Target="fontTable.xml"/><Relationship Id="rId20" Type="http://schemas.openxmlformats.org/officeDocument/2006/relationships/hyperlink" Target="https://doi.org/10.1191/1478088706qp063oa?utm_source=copilot.com" TargetMode="External"/><Relationship Id="rId41" Type="http://schemas.openxmlformats.org/officeDocument/2006/relationships/hyperlink" Target="https://doi.org/10.1007/s00787-025-02952-" TargetMode="External"/><Relationship Id="rId54" Type="http://schemas.openxmlformats.org/officeDocument/2006/relationships/hyperlink" Target="https://journals.sagepub.com/?utm_source=copilot.com" TargetMode="External"/><Relationship Id="rId62" Type="http://schemas.openxmlformats.org/officeDocument/2006/relationships/hyperlink" Target="https://digital.nhs.uk" TargetMode="External"/><Relationship Id="rId70" Type="http://schemas.openxmlformats.org/officeDocument/2006/relationships/hyperlink" Target="https://doi.org/10.1111/jebm.12266?utm_source=copilot.com" TargetMode="External"/><Relationship Id="rId75" Type="http://schemas.openxmlformats.org/officeDocument/2006/relationships/hyperlink" Target="https://doi.org/10.1007/s00787-019-01469-4?utm_source=copilot.com" TargetMode="External"/><Relationship Id="rId83" Type="http://schemas.openxmlformats.org/officeDocument/2006/relationships/hyperlink" Target="https://www.rcpsych.ac.uk/?utm_source=copilot.com" TargetMode="External"/><Relationship Id="rId88" Type="http://schemas.openxmlformats.org/officeDocument/2006/relationships/hyperlink" Target="https://doi.org/10.1111/camh.12480?utm_source=copilot.com" TargetMode="External"/><Relationship Id="rId91" Type="http://schemas.openxmlformats.org/officeDocument/2006/relationships/hyperlink" Target="https://pubmed.ncbi.nlm.nih.gov/39138612/?utm_source=copilot.com" TargetMode="External"/><Relationship Id="rId96" Type="http://schemas.openxmlformats.org/officeDocument/2006/relationships/hyperlink" Target="https://assets.publishing.service.gov.uk/media/686d3640a08d3a3ca3b678de/Transforming_children_and_young_people_mental_health_programme_2025.pdf?utm_source=copilot.com"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pubmed.ncbi.nlm.nih.gov/40304085/" TargetMode="External"/><Relationship Id="rId23" Type="http://schemas.openxmlformats.org/officeDocument/2006/relationships/hyperlink" Target="https://www.bps.org.uk/?utm_source=copilot.com" TargetMode="External"/><Relationship Id="rId28" Type="http://schemas.openxmlformats.org/officeDocument/2006/relationships/hyperlink" Target="https://doi.org/10.3389/feduc.2025.1662602?utm_source=copilot.com" TargetMode="External"/><Relationship Id="rId36" Type="http://schemas.openxmlformats.org/officeDocument/2006/relationships/hyperlink" Target="https://casp-uk.net/casp-tools-checklists/?utm_source=copilot.com" TargetMode="External"/><Relationship Id="rId49" Type="http://schemas.openxmlformats.org/officeDocument/2006/relationships/hyperlink" Target="https://doi.org/10.1111/inm.70159" TargetMode="External"/><Relationship Id="rId57" Type="http://schemas.openxmlformats.org/officeDocument/2006/relationships/hyperlink" Target="https://doi.org/10.1037/0033-2909.129.5.674" TargetMode="External"/><Relationship Id="rId10" Type="http://schemas.openxmlformats.org/officeDocument/2006/relationships/hyperlink" Target="https://doi.org/10.1186/s12888-020-02659-0?utm_source=copilot.com" TargetMode="External"/><Relationship Id="rId31" Type="http://schemas.openxmlformats.org/officeDocument/2006/relationships/hyperlink" Target="https://assets.childrenscommissioner.gov.uk/wpuploads/2025/05/cco-childrens-mental-health-annual-briefing-may-2025.pdf?utm_source=copilot.com" TargetMode="External"/><Relationship Id="rId44" Type="http://schemas.openxmlformats.org/officeDocument/2006/relationships/hyperlink" Target="https://doi.org/10.1016/j.jaac.2026.01.011" TargetMode="External"/><Relationship Id="rId52" Type="http://schemas.openxmlformats.org/officeDocument/2006/relationships/hyperlink" Target="https://eprints.lancs.ac.uk/id/eprint/209288" TargetMode="External"/><Relationship Id="rId60" Type="http://schemas.openxmlformats.org/officeDocument/2006/relationships/hyperlink" Target="https://digital.nhs.uk" TargetMode="External"/><Relationship Id="rId65" Type="http://schemas.openxmlformats.org/officeDocument/2006/relationships/hyperlink" Target="https://www.england.nhs.uk/2023/11/one-in-five-children-and-young-people-had-a-probable-mental-disorder-in-2023/?utm_source=copilot.com" TargetMode="External"/><Relationship Id="rId73" Type="http://schemas.openxmlformats.org/officeDocument/2006/relationships/hyperlink" Target="https://database.inahta.org/article/2684" TargetMode="External"/><Relationship Id="rId78" Type="http://schemas.openxmlformats.org/officeDocument/2006/relationships/hyperlink" Target="https://centaur.reading.ac.uk/95754/2/Radez2021_Article_AdolescentsPerceivedBarriersAn.pdf" TargetMode="External"/><Relationship Id="rId81" Type="http://schemas.openxmlformats.org/officeDocument/2006/relationships/hyperlink" Target="https://pubmed.ncbi.nlm.nih.gov/29372331/" TargetMode="External"/><Relationship Id="rId86" Type="http://schemas.openxmlformats.org/officeDocument/2006/relationships/hyperlink" Target="https://www.rcpsych.ac.uk" TargetMode="External"/><Relationship Id="rId94" Type="http://schemas.openxmlformats.org/officeDocument/2006/relationships/hyperlink" Target="https://doi.org/10.1016/S0140-6736(71)92410-X" TargetMode="External"/><Relationship Id="rId99" Type="http://schemas.openxmlformats.org/officeDocument/2006/relationships/hyperlink" Target="https://www.youngminds.org.uk/?utm_source=copilot.com" TargetMode="External"/><Relationship Id="rId101" Type="http://schemas.openxmlformats.org/officeDocument/2006/relationships/hyperlink" Target="https://www.youngminds.org.uk" TargetMode="Externa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doi.org/10.1016/j.childyouth.2017.04.017" TargetMode="External"/><Relationship Id="rId18" Type="http://schemas.openxmlformats.org/officeDocument/2006/relationships/hyperlink" Target="https://doi.org/10.1177/1355819614527439?utm_source=copilot.com" TargetMode="External"/><Relationship Id="rId39" Type="http://schemas.openxmlformats.org/officeDocument/2006/relationships/hyperlink" Target="https://doi.org/10.1080/13676261.2022.2046983" TargetMode="External"/><Relationship Id="rId34" Type="http://schemas.openxmlformats.org/officeDocument/2006/relationships/hyperlink" Target="https://chicagounbound.uchicago.edu/uclf/vol1989/iss1/8/" TargetMode="External"/><Relationship Id="rId50" Type="http://schemas.openxmlformats.org/officeDocument/2006/relationships/hyperlink" Target="https://pureadmin.qub.ac.uk/ws/files/165919356/Leavey_et_al_2019_Social_Psychiatry_and_Psychiatric_Epidemiology.pdf" TargetMode="External"/><Relationship Id="rId55" Type="http://schemas.openxmlformats.org/officeDocument/2006/relationships/hyperlink" Target="https://doi.org/10.1002/jcv2.12294" TargetMode="External"/><Relationship Id="rId76" Type="http://schemas.openxmlformats.org/officeDocument/2006/relationships/hyperlink" Target="https://doi.org/10.1007/s00787-020-01707-0?utm_source=copilot.com" TargetMode="External"/><Relationship Id="rId97" Type="http://schemas.openxmlformats.org/officeDocument/2006/relationships/hyperlink" Target="https://doi.org/10.1136/bmjment-2023-300844?utm_source=copilot.com" TargetMode="External"/><Relationship Id="rId104" Type="http://schemas.openxmlformats.org/officeDocument/2006/relationships/theme" Target="theme/theme1.xml"/><Relationship Id="rId7" Type="http://schemas.openxmlformats.org/officeDocument/2006/relationships/footnotes" Target="footnotes.xml"/><Relationship Id="rId71" Type="http://schemas.openxmlformats.org/officeDocument/2006/relationships/hyperlink" Target="https://doi.org/10.1136/bmj.n71" TargetMode="External"/><Relationship Id="rId92" Type="http://schemas.openxmlformats.org/officeDocument/2006/relationships/hyperlink" Target="https://doi.org/10.1136/bmjopen-2023-083373?utm_source=copilot.com" TargetMode="External"/><Relationship Id="rId2" Type="http://schemas.openxmlformats.org/officeDocument/2006/relationships/customXml" Target="../customXml/item2.xml"/><Relationship Id="rId29" Type="http://schemas.openxmlformats.org/officeDocument/2006/relationships/hyperlink" Target="https://www.childrenscommissioner.gov.uk/?utm_source=copilot.com" TargetMode="External"/><Relationship Id="rId24" Type="http://schemas.openxmlformats.org/officeDocument/2006/relationships/hyperlink" Target="https://doi.org/10.1186/s12874-025-02571-9?utm_source=copilot.com" TargetMode="External"/><Relationship Id="rId40" Type="http://schemas.openxmlformats.org/officeDocument/2006/relationships/hyperlink" Target="https://pubmed.ncbi.nlm.nih.gov/21192795/" TargetMode="External"/><Relationship Id="rId45" Type="http://schemas.openxmlformats.org/officeDocument/2006/relationships/hyperlink" Target="https://doi.org/10.1111/hsc.14078" TargetMode="External"/><Relationship Id="rId66" Type="http://schemas.openxmlformats.org/officeDocument/2006/relationships/hyperlink" Target="https://doi.org/10.17179/excli2025-8325?utm_source=copilot.com" TargetMode="External"/><Relationship Id="rId87" Type="http://schemas.openxmlformats.org/officeDocument/2006/relationships/hyperlink" Target="https://www.rcpsych.ac.uk" TargetMode="External"/><Relationship Id="rId61" Type="http://schemas.openxmlformats.org/officeDocument/2006/relationships/hyperlink" Target="https://digital.nhs.uk/?utm_source=copilot.com" TargetMode="External"/><Relationship Id="rId82" Type="http://schemas.openxmlformats.org/officeDocument/2006/relationships/hyperlink" Target="https://doi.org/10.1186/s12913-020-05463-4?utm_source=copilot.com" TargetMode="External"/><Relationship Id="rId19" Type="http://schemas.openxmlformats.org/officeDocument/2006/relationships/hyperlink" Target="https://bjgp.org/content/57/544/807?utm_source=copilot.com" TargetMode="External"/><Relationship Id="rId14" Type="http://schemas.openxmlformats.org/officeDocument/2006/relationships/hyperlink" Target="https://doi.org/10.3399/BJGP.2021.0678?utm_source=copilot.com" TargetMode="External"/><Relationship Id="rId30" Type="http://schemas.openxmlformats.org/officeDocument/2006/relationships/hyperlink" Target="https://www.childrenscommissioner.gov.uk" TargetMode="External"/><Relationship Id="rId35" Type="http://schemas.openxmlformats.org/officeDocument/2006/relationships/hyperlink" Target="https://www.bing.com/search?q=%22https%3A%2F%2Fpmc.ncbi.nlm.nih.gov%2Farticles%2FPMC4078705%2F%22&amp;utm_source=copilot.com" TargetMode="External"/><Relationship Id="rId56" Type="http://schemas.openxmlformats.org/officeDocument/2006/relationships/hyperlink" Target="https://doi.org/10.1186/s12889-024-18714-4" TargetMode="External"/><Relationship Id="rId77" Type="http://schemas.openxmlformats.org/officeDocument/2006/relationships/hyperlink" Target="https://doi.org/10.1007/s00787-020-01549-8?utm_source=copilot.com" TargetMode="External"/><Relationship Id="rId100" Type="http://schemas.openxmlformats.org/officeDocument/2006/relationships/hyperlink" Target="https://www.youngminds.org.uk" TargetMode="External"/><Relationship Id="rId8" Type="http://schemas.openxmlformats.org/officeDocument/2006/relationships/endnotes" Target="endnotes.xml"/><Relationship Id="rId51" Type="http://schemas.openxmlformats.org/officeDocument/2006/relationships/hyperlink" Target="https://doi.org/10.1111/camh.12645?utm_source=copilot.com" TargetMode="External"/><Relationship Id="rId72" Type="http://schemas.openxmlformats.org/officeDocument/2006/relationships/hyperlink" Target="https://pubmed.ncbi.nlm.nih.gov/30815691/?utm_source=copilot.com" TargetMode="External"/><Relationship Id="rId93" Type="http://schemas.openxmlformats.org/officeDocument/2006/relationships/hyperlink" Target="https://doi.org/10.1186/1471-2288-8-45" TargetMode="External"/><Relationship Id="rId98" Type="http://schemas.openxmlformats.org/officeDocument/2006/relationships/hyperlink" Target="https://pubmed.ncbi.nlm.nih.gov/28540593/?utm_source=copilot.com" TargetMode="Externa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14" ma:contentTypeDescription="Create a new document." ma:contentTypeScope="" ma:versionID="9b5ad346d6f0b33135b7021c44cf9371">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d8af36fc3d66252be965342922f212eb"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element ref="ns3:MediaServiceDateTaken" minOccurs="0"/>
                <xsd:element ref="ns3:MediaServiceSystemTags" minOccurs="0"/>
                <xsd:element ref="ns3:MediaServiceOCR" minOccurs="0"/>
                <xsd:element ref="ns3:MediaServiceGenerationTime" minOccurs="0"/>
                <xsd:element ref="ns3:MediaServiceEventHashCode"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450a3cc-050d-4aca-8a4e-543025a63de0" xsi:nil="true"/>
  </documentManagement>
</p:properties>
</file>

<file path=customXml/itemProps1.xml><?xml version="1.0" encoding="utf-8"?>
<ds:datastoreItem xmlns:ds="http://schemas.openxmlformats.org/officeDocument/2006/customXml" ds:itemID="{99CC9E8D-5120-4D1A-BB1C-F3C99AC36C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9ADBA9B-CCB4-4BBE-9410-F451AEFE2451}">
  <ds:schemaRefs>
    <ds:schemaRef ds:uri="http://schemas.microsoft.com/sharepoint/v3/contenttype/forms"/>
  </ds:schemaRefs>
</ds:datastoreItem>
</file>

<file path=customXml/itemProps3.xml><?xml version="1.0" encoding="utf-8"?>
<ds:datastoreItem xmlns:ds="http://schemas.openxmlformats.org/officeDocument/2006/customXml" ds:itemID="{C76C9190-BE49-438E-8BE2-5E17DE50CB69}">
  <ds:schemaRefs>
    <ds:schemaRef ds:uri="http://schemas.microsoft.com/office/2006/metadata/properties"/>
    <ds:schemaRef ds:uri="http://schemas.microsoft.com/office/infopath/2007/PartnerControls"/>
    <ds:schemaRef ds:uri="a450a3cc-050d-4aca-8a4e-543025a63de0"/>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81</Pages>
  <Words>26488</Words>
  <Characters>150987</Characters>
  <Application>Microsoft Office Word</Application>
  <DocSecurity>0</DocSecurity>
  <Lines>1258</Lines>
  <Paragraphs>354</Paragraphs>
  <ScaleCrop>false</ScaleCrop>
  <Company/>
  <LinksUpToDate>false</LinksUpToDate>
  <CharactersWithSpaces>177121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Rosena Lucy (2210256)</dc:creator>
  <cp:keywords/>
  <dc:description/>
  <cp:lastModifiedBy>Rosena Lucy (2210256)</cp:lastModifiedBy>
  <cp:revision>20</cp:revision>
  <dcterms:created xsi:type="dcterms:W3CDTF">2026-07-27T13:01:00Z</dcterms:created>
  <dcterms:modified xsi:type="dcterms:W3CDTF">2026-07-29T13:37:00Z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fb781833-a9df-4a8b-ab56-7634f06551dd</vt:lpwstr>
  </property>
  <property fmtid="{D5CDD505-2E9C-101B-9397-08002B2CF9AE}" pid="3" name="ContentTypeId">
    <vt:lpwstr>0x01010003FE60FBA00DFD4EA0E1E66DCDED4993</vt:lpwstr>
  </property>
</Properties>
</file>