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B33D2">
      <w:pPr>
        <w:shd w:val="clear" w:color="auto" w:fill="FFFFFF"/>
        <w:jc w:val="center"/>
        <w:rPr>
          <w:rFonts w:eastAsia="Arial" w:cs="Arial"/>
          <w:b/>
          <w:bCs/>
          <w:color w:val="333333"/>
          <w:sz w:val="32"/>
          <w:szCs w:val="32"/>
          <w:lang w:val="en-GB"/>
        </w:rPr>
      </w:pPr>
    </w:p>
    <w:p w14:paraId="38B0FEA6">
      <w:pPr>
        <w:shd w:val="clear" w:color="auto" w:fill="FFFFFF"/>
        <w:jc w:val="center"/>
        <w:rPr>
          <w:rFonts w:eastAsia="Arial" w:cs="Arial"/>
          <w:b/>
          <w:bCs/>
          <w:color w:val="333333"/>
          <w:sz w:val="32"/>
          <w:szCs w:val="32"/>
          <w:lang w:val="en-GB"/>
        </w:rPr>
      </w:pPr>
      <w:r>
        <w:rPr>
          <w:lang w:val="en-US"/>
        </w:rPr>
        <w:drawing>
          <wp:inline distT="0" distB="0" distL="0" distR="0">
            <wp:extent cx="3042285" cy="1272540"/>
            <wp:effectExtent l="0" t="0" r="5715" b="3810"/>
            <wp:docPr id="1356087196" name="Picture 1356087196"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87196" name="Picture 1356087196"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050698" cy="1275907"/>
                    </a:xfrm>
                    <a:prstGeom prst="rect">
                      <a:avLst/>
                    </a:prstGeom>
                    <a:noFill/>
                    <a:ln>
                      <a:noFill/>
                    </a:ln>
                  </pic:spPr>
                </pic:pic>
              </a:graphicData>
            </a:graphic>
          </wp:inline>
        </w:drawing>
      </w:r>
    </w:p>
    <w:p w14:paraId="0C7237A5">
      <w:pPr>
        <w:shd w:val="clear" w:color="auto" w:fill="FFFFFF"/>
        <w:jc w:val="center"/>
        <w:rPr>
          <w:rFonts w:eastAsia="Arial" w:cs="Arial"/>
          <w:b/>
          <w:bCs/>
          <w:color w:val="333333"/>
          <w:sz w:val="32"/>
          <w:szCs w:val="32"/>
          <w:lang w:val="en-GB"/>
        </w:rPr>
      </w:pPr>
    </w:p>
    <w:p w14:paraId="00000001">
      <w:pPr>
        <w:shd w:val="clear" w:color="auto" w:fill="FFFFFF"/>
        <w:jc w:val="center"/>
        <w:rPr>
          <w:rFonts w:eastAsia="Arial" w:cs="Arial"/>
          <w:b/>
          <w:bCs/>
          <w:color w:val="333333"/>
          <w:sz w:val="32"/>
          <w:szCs w:val="32"/>
          <w:lang w:val="en-GB"/>
        </w:rPr>
      </w:pPr>
      <w:r>
        <w:rPr>
          <w:rFonts w:eastAsia="Arial" w:cs="Arial"/>
          <w:b/>
          <w:bCs/>
          <w:color w:val="333333"/>
          <w:sz w:val="32"/>
          <w:szCs w:val="32"/>
          <w:lang w:val="en-GB"/>
        </w:rPr>
        <w:t>MODULE NAME: FINANCIAL MANAGEMENT</w:t>
      </w:r>
    </w:p>
    <w:p w14:paraId="177F9A50">
      <w:pPr>
        <w:shd w:val="clear" w:color="auto" w:fill="FFFFFF"/>
        <w:jc w:val="center"/>
        <w:rPr>
          <w:rFonts w:eastAsia="Arial" w:cs="Arial"/>
          <w:b/>
          <w:bCs/>
          <w:color w:val="333333"/>
          <w:sz w:val="32"/>
          <w:szCs w:val="32"/>
          <w:lang w:val="en-GB"/>
        </w:rPr>
      </w:pPr>
      <w:r>
        <w:rPr>
          <w:rFonts w:eastAsia="Arial" w:cs="Arial"/>
          <w:b/>
          <w:bCs/>
          <w:color w:val="333333"/>
          <w:sz w:val="32"/>
          <w:szCs w:val="32"/>
          <w:lang w:val="en-GB"/>
        </w:rPr>
        <w:t xml:space="preserve">MODULE CODE: LCMB7002 </w:t>
      </w:r>
    </w:p>
    <w:p w14:paraId="6DA0ED8D">
      <w:pPr>
        <w:shd w:val="clear" w:color="auto" w:fill="FFFFFF"/>
        <w:jc w:val="center"/>
        <w:rPr>
          <w:rFonts w:eastAsia="Arial" w:cs="Arial"/>
          <w:b/>
          <w:bCs/>
          <w:color w:val="333333"/>
          <w:sz w:val="32"/>
          <w:szCs w:val="32"/>
          <w:lang w:val="en-GB"/>
        </w:rPr>
      </w:pPr>
      <w:r>
        <w:rPr>
          <w:rFonts w:eastAsia="Arial" w:cs="Arial"/>
          <w:b/>
          <w:bCs/>
          <w:color w:val="333333"/>
          <w:sz w:val="32"/>
          <w:szCs w:val="32"/>
          <w:lang w:val="en-GB"/>
        </w:rPr>
        <w:t xml:space="preserve"> PROGRAM: MASTER OF BUSINESS ADMINISTRATION</w:t>
      </w:r>
    </w:p>
    <w:p w14:paraId="5E5F7C61">
      <w:pPr>
        <w:shd w:val="clear" w:color="auto" w:fill="FFFFFF"/>
        <w:jc w:val="center"/>
        <w:rPr>
          <w:rFonts w:hint="default" w:eastAsia="Arial" w:cs="Arial"/>
          <w:b/>
          <w:bCs/>
          <w:color w:val="333333"/>
          <w:sz w:val="32"/>
          <w:szCs w:val="32"/>
          <w:lang w:val="en-IN"/>
        </w:rPr>
      </w:pPr>
      <w:r>
        <w:rPr>
          <w:rFonts w:eastAsia="Arial" w:cs="Arial"/>
          <w:b/>
          <w:bCs/>
          <w:color w:val="333333"/>
          <w:sz w:val="32"/>
          <w:szCs w:val="32"/>
          <w:lang w:val="en-GB"/>
        </w:rPr>
        <w:t>ORGANISATION CHOSEN: HILTON WORLD W</w:t>
      </w:r>
      <w:r>
        <w:rPr>
          <w:rFonts w:hint="default" w:eastAsia="Arial" w:cs="Arial"/>
          <w:b/>
          <w:bCs/>
          <w:color w:val="333333"/>
          <w:sz w:val="32"/>
          <w:szCs w:val="32"/>
          <w:lang w:val="en-IN"/>
        </w:rPr>
        <w:t>IDE</w:t>
      </w:r>
      <w:bookmarkStart w:id="62" w:name="_GoBack"/>
      <w:bookmarkEnd w:id="62"/>
    </w:p>
    <w:p w14:paraId="4372BF18">
      <w:pPr>
        <w:shd w:val="clear" w:color="auto" w:fill="FFFFFF"/>
        <w:jc w:val="center"/>
        <w:rPr>
          <w:rFonts w:eastAsia="Arial" w:cs="Arial"/>
          <w:b/>
          <w:bCs/>
          <w:color w:val="333333"/>
          <w:sz w:val="32"/>
          <w:szCs w:val="32"/>
          <w:lang w:val="en-GB"/>
        </w:rPr>
      </w:pPr>
      <w:r>
        <w:rPr>
          <w:rFonts w:eastAsia="Arial" w:cs="Arial"/>
          <w:b/>
          <w:bCs/>
          <w:color w:val="333333"/>
          <w:sz w:val="32"/>
          <w:szCs w:val="32"/>
          <w:lang w:val="en-GB"/>
        </w:rPr>
        <w:t>FINANCIAL PERFORMANCE AND MANAGEMENT</w:t>
      </w:r>
    </w:p>
    <w:p w14:paraId="349DED66">
      <w:pPr>
        <w:shd w:val="clear" w:color="auto" w:fill="FFFFFF"/>
        <w:jc w:val="center"/>
        <w:rPr>
          <w:rFonts w:eastAsia="Arial" w:cs="Arial"/>
          <w:b/>
          <w:bCs/>
          <w:color w:val="333333"/>
          <w:sz w:val="32"/>
          <w:szCs w:val="32"/>
          <w:lang w:val="en-GB"/>
        </w:rPr>
      </w:pPr>
    </w:p>
    <w:p w14:paraId="06C3D119">
      <w:pPr>
        <w:shd w:val="clear" w:color="auto" w:fill="FFFFFF"/>
        <w:jc w:val="center"/>
        <w:rPr>
          <w:rFonts w:eastAsia="Arial" w:cs="Arial"/>
          <w:b/>
          <w:bCs/>
          <w:color w:val="333333"/>
          <w:sz w:val="28"/>
          <w:szCs w:val="28"/>
          <w:lang w:val="en-GB"/>
        </w:rPr>
      </w:pPr>
      <w:r>
        <w:rPr>
          <w:rFonts w:eastAsia="Arial" w:cs="Arial"/>
          <w:b/>
          <w:bCs/>
          <w:color w:val="333333"/>
          <w:sz w:val="28"/>
          <w:szCs w:val="28"/>
          <w:lang w:val="en-GB"/>
        </w:rPr>
        <w:t xml:space="preserve">LECTURER: SHENGFENG MEI </w:t>
      </w:r>
    </w:p>
    <w:p w14:paraId="31A6B5E9">
      <w:pPr>
        <w:shd w:val="clear" w:color="auto" w:fill="FFFFFF"/>
        <w:jc w:val="center"/>
        <w:rPr>
          <w:rFonts w:eastAsia="Arial" w:cs="Arial"/>
          <w:b/>
          <w:bCs/>
          <w:color w:val="333333"/>
          <w:sz w:val="28"/>
          <w:szCs w:val="28"/>
          <w:lang w:val="en-GB"/>
        </w:rPr>
      </w:pPr>
      <w:r>
        <w:rPr>
          <w:rFonts w:eastAsia="Arial" w:cs="Arial"/>
          <w:b/>
          <w:bCs/>
          <w:color w:val="333333"/>
          <w:sz w:val="28"/>
          <w:szCs w:val="28"/>
          <w:lang w:val="en-GB"/>
        </w:rPr>
        <w:t>PATRICK YEBOAH</w:t>
      </w:r>
    </w:p>
    <w:p w14:paraId="06756E5C">
      <w:pPr>
        <w:shd w:val="clear" w:color="auto" w:fill="FFFFFF"/>
        <w:jc w:val="center"/>
        <w:rPr>
          <w:rFonts w:eastAsia="Arial" w:cs="Arial"/>
          <w:color w:val="333333"/>
          <w:lang w:val="en-GB"/>
        </w:rPr>
      </w:pPr>
    </w:p>
    <w:p w14:paraId="65D162F3">
      <w:pPr>
        <w:spacing w:before="240" w:after="240" w:line="360" w:lineRule="auto"/>
        <w:jc w:val="center"/>
        <w:rPr>
          <w:rFonts w:eastAsia="Times New Roman"/>
          <w:b/>
          <w:bCs/>
          <w:sz w:val="32"/>
          <w:szCs w:val="24"/>
          <w:lang w:val="en-GB"/>
        </w:rPr>
      </w:pPr>
      <w:r>
        <w:rPr>
          <w:rFonts w:eastAsia="Times New Roman"/>
          <w:b/>
          <w:bCs/>
          <w:sz w:val="32"/>
          <w:szCs w:val="24"/>
          <w:lang w:val="en-GB"/>
        </w:rPr>
        <w:t>Student Name</w:t>
      </w:r>
      <w:r>
        <w:rPr>
          <w:rFonts w:hint="default" w:eastAsia="Times New Roman"/>
          <w:b/>
          <w:bCs/>
          <w:sz w:val="32"/>
          <w:szCs w:val="24"/>
          <w:lang w:val="en-IN"/>
        </w:rPr>
        <w:t xml:space="preserve"> </w:t>
      </w:r>
      <w:r>
        <w:rPr>
          <w:rFonts w:eastAsia="Times New Roman"/>
          <w:b/>
          <w:bCs/>
          <w:sz w:val="32"/>
          <w:szCs w:val="24"/>
          <w:lang w:val="en-GB"/>
        </w:rPr>
        <w:t>:</w:t>
      </w:r>
      <w:r>
        <w:rPr>
          <w:rFonts w:hint="default" w:eastAsia="Times New Roman"/>
          <w:b/>
          <w:bCs/>
          <w:sz w:val="32"/>
          <w:szCs w:val="24"/>
          <w:lang w:val="en-IN"/>
        </w:rPr>
        <w:t xml:space="preserve"> </w:t>
      </w:r>
      <w:r>
        <w:rPr>
          <w:rFonts w:hint="default"/>
          <w:b/>
          <w:bCs/>
          <w:sz w:val="32"/>
          <w:szCs w:val="32"/>
          <w:lang w:val="en-IN"/>
        </w:rPr>
        <w:t>Ankit Gopalbhai Rabari</w:t>
      </w:r>
    </w:p>
    <w:p w14:paraId="0707E0C6">
      <w:pPr>
        <w:shd w:val="clear" w:color="auto" w:fill="FFFFFF"/>
        <w:jc w:val="center"/>
        <w:rPr>
          <w:rFonts w:eastAsia="Arial" w:cs="Arial"/>
          <w:b/>
          <w:bCs/>
          <w:color w:val="333333"/>
          <w:lang w:val="en-GB"/>
        </w:rPr>
      </w:pPr>
      <w:r>
        <w:rPr>
          <w:rFonts w:eastAsia="Times New Roman"/>
          <w:b/>
          <w:bCs/>
          <w:sz w:val="32"/>
          <w:szCs w:val="24"/>
          <w:lang w:val="en-GB"/>
        </w:rPr>
        <w:t>Student ID</w:t>
      </w:r>
      <w:r>
        <w:rPr>
          <w:rFonts w:hint="default" w:eastAsia="Times New Roman"/>
          <w:b/>
          <w:bCs/>
          <w:sz w:val="32"/>
          <w:szCs w:val="24"/>
          <w:lang w:val="en-IN"/>
        </w:rPr>
        <w:t xml:space="preserve"> </w:t>
      </w:r>
      <w:r>
        <w:rPr>
          <w:rFonts w:eastAsia="Times New Roman"/>
          <w:b/>
          <w:bCs/>
          <w:sz w:val="32"/>
          <w:szCs w:val="24"/>
          <w:lang w:val="en-GB"/>
        </w:rPr>
        <w:t>:</w:t>
      </w:r>
      <w:r>
        <w:rPr>
          <w:rFonts w:hint="default" w:eastAsia="Times New Roman"/>
          <w:b/>
          <w:bCs/>
          <w:sz w:val="32"/>
          <w:szCs w:val="24"/>
          <w:lang w:val="en-IN"/>
        </w:rPr>
        <w:t xml:space="preserve"> </w:t>
      </w:r>
      <w:r>
        <w:rPr>
          <w:rFonts w:hint="default"/>
          <w:b/>
          <w:bCs/>
          <w:sz w:val="32"/>
          <w:szCs w:val="32"/>
          <w:lang w:val="en-IN"/>
        </w:rPr>
        <w:t>2535776</w:t>
      </w:r>
      <w:r>
        <w:rPr>
          <w:rFonts w:eastAsia="Arial" w:cs="Arial"/>
          <w:b/>
          <w:bCs/>
          <w:color w:val="333333"/>
          <w:lang w:val="en-GB"/>
        </w:rPr>
        <w:t xml:space="preserve"> </w:t>
      </w:r>
    </w:p>
    <w:p w14:paraId="602A427C">
      <w:pPr>
        <w:rPr>
          <w:rFonts w:eastAsia="Arial" w:cs="Arial"/>
          <w:b/>
          <w:bCs/>
          <w:color w:val="333333"/>
          <w:sz w:val="32"/>
          <w:szCs w:val="32"/>
          <w:lang w:val="en-GB"/>
        </w:rPr>
      </w:pPr>
      <w:r>
        <w:rPr>
          <w:rFonts w:eastAsia="Arial" w:cs="Arial"/>
          <w:b/>
          <w:bCs/>
          <w:color w:val="333333"/>
          <w:sz w:val="32"/>
          <w:szCs w:val="32"/>
          <w:lang w:val="en-GB"/>
        </w:rPr>
        <w:br w:type="page"/>
      </w:r>
    </w:p>
    <w:p w14:paraId="6E52426C">
      <w:pPr>
        <w:spacing w:before="100" w:beforeAutospacing="1" w:after="100" w:afterAutospacing="1"/>
        <w:jc w:val="center"/>
        <w:rPr>
          <w:rFonts w:cs="Arial"/>
          <w:b/>
          <w:bCs/>
          <w:lang w:val="en-GB"/>
        </w:rPr>
      </w:pPr>
      <w:r>
        <w:rPr>
          <w:rFonts w:cs="Arial"/>
          <w:b/>
          <w:bCs/>
          <w:lang w:val="en-GB"/>
        </w:rPr>
        <w:t>Executive summary</w:t>
      </w:r>
    </w:p>
    <w:p w14:paraId="64CB1FEB">
      <w:pPr>
        <w:spacing w:before="100" w:beforeAutospacing="1" w:after="100" w:afterAutospacing="1"/>
        <w:rPr>
          <w:rFonts w:cs="Arial"/>
          <w:lang w:val="en-GB"/>
        </w:rPr>
      </w:pPr>
      <w:r>
        <w:rPr>
          <w:rFonts w:cs="Arial"/>
          <w:lang w:val="en-GB"/>
        </w:rPr>
        <w:t>Holdings Inc. demonstrated strong post</w:t>
      </w:r>
      <w:r>
        <w:rPr>
          <w:rFonts w:cs="Arial"/>
          <w:lang w:val="en-GB"/>
        </w:rPr>
        <w:noBreakHyphen/>
      </w:r>
      <w:r>
        <w:rPr>
          <w:rFonts w:cs="Arial"/>
          <w:lang w:val="en-GB"/>
        </w:rPr>
        <w:t>pandemic recovery between 2021 and 2025, with revenues nearly doubling and operating profits tripling. Earnings per share rose fourfold, reflecting shareholder value creation. However, persistent negative equity and high leverage expose Hilton to liquidity risks and interest rate volatility. Working capital efficiency improved through faster receivable collection, yet declining current and quick ratios highlight short</w:t>
      </w:r>
      <w:r>
        <w:rPr>
          <w:rFonts w:cs="Arial"/>
          <w:lang w:val="en-GB"/>
        </w:rPr>
        <w:noBreakHyphen/>
      </w:r>
      <w:r>
        <w:rPr>
          <w:rFonts w:cs="Arial"/>
          <w:lang w:val="en-GB"/>
        </w:rPr>
        <w:t>term financing stress. Strategic restructuring options—divestiture, equity injection, alliances, and green bond issuance—are recommended to strengthen balance sheet flexibility. Project C emerges as the most viable investment, offering positive NPV, fastest payback, and superior returns.</w:t>
      </w:r>
    </w:p>
    <w:p w14:paraId="13316E7E">
      <w:pPr>
        <w:shd w:val="clear" w:color="auto" w:fill="FFFFFF"/>
        <w:rPr>
          <w:rFonts w:eastAsia="Arial" w:cs="Arial"/>
          <w:b/>
          <w:bCs/>
          <w:color w:val="333333"/>
          <w:sz w:val="32"/>
          <w:szCs w:val="32"/>
          <w:lang w:val="en-GB"/>
        </w:rPr>
      </w:pPr>
    </w:p>
    <w:p w14:paraId="00000004">
      <w:pPr>
        <w:rPr>
          <w:rFonts w:eastAsia="Arial" w:cs="Arial"/>
          <w:lang w:val="en-GB"/>
        </w:rPr>
      </w:pPr>
    </w:p>
    <w:p w14:paraId="0FE11C8E">
      <w:pPr>
        <w:rPr>
          <w:rFonts w:eastAsia="Arial" w:cs="Arial"/>
          <w:b/>
          <w:bCs/>
          <w:lang w:val="en-GB"/>
        </w:rPr>
      </w:pPr>
      <w:bookmarkStart w:id="0" w:name="_ffqv9313lcvt" w:colFirst="0" w:colLast="0"/>
      <w:bookmarkEnd w:id="0"/>
      <w:r>
        <w:rPr>
          <w:rFonts w:eastAsia="Arial" w:cs="Arial"/>
          <w:lang w:val="en-GB"/>
        </w:rPr>
        <w:br w:type="page"/>
      </w:r>
    </w:p>
    <w:sdt>
      <w:sdtPr>
        <w:rPr>
          <w:rFonts w:ascii="Arial" w:hAnsi="Arial" w:eastAsia="Times New Roman" w:cs="Arial"/>
          <w:color w:val="auto"/>
          <w:sz w:val="24"/>
          <w:szCs w:val="24"/>
          <w:lang w:val="en-GB" w:eastAsia="en-IN"/>
        </w:rPr>
        <w:id w:val="-1652744961"/>
        <w:docPartObj>
          <w:docPartGallery w:val="Table of Contents"/>
          <w:docPartUnique/>
        </w:docPartObj>
      </w:sdtPr>
      <w:sdtEndPr>
        <w:rPr>
          <w:rFonts w:ascii="Arial" w:hAnsi="Arial" w:eastAsia="Times New Roman" w:cs="Arial"/>
          <w:b/>
          <w:bCs/>
          <w:color w:val="auto"/>
          <w:sz w:val="24"/>
          <w:szCs w:val="24"/>
          <w:lang w:val="en-GB" w:eastAsia="en-IN"/>
        </w:rPr>
      </w:sdtEndPr>
      <w:sdtContent>
        <w:p w14:paraId="6231E15F">
          <w:pPr>
            <w:pStyle w:val="23"/>
            <w:spacing w:before="200" w:after="200" w:line="360" w:lineRule="auto"/>
            <w:jc w:val="center"/>
            <w:rPr>
              <w:rFonts w:ascii="Arial" w:hAnsi="Arial" w:cs="Arial"/>
              <w:b/>
              <w:bCs/>
              <w:color w:val="000000" w:themeColor="text1"/>
              <w:sz w:val="24"/>
              <w:szCs w:val="24"/>
              <w:lang w:val="en-GB"/>
              <w14:textFill>
                <w14:solidFill>
                  <w14:schemeClr w14:val="tx1"/>
                </w14:solidFill>
              </w14:textFill>
            </w:rPr>
          </w:pPr>
          <w:r>
            <w:rPr>
              <w:rFonts w:ascii="Arial" w:hAnsi="Arial" w:cs="Arial"/>
              <w:b/>
              <w:bCs/>
              <w:color w:val="000000" w:themeColor="text1"/>
              <w:sz w:val="24"/>
              <w:szCs w:val="24"/>
              <w:lang w:val="en-GB"/>
              <w14:textFill>
                <w14:solidFill>
                  <w14:schemeClr w14:val="tx1"/>
                </w14:solidFill>
              </w14:textFill>
            </w:rPr>
            <w:t>Table of Contents</w:t>
          </w:r>
        </w:p>
        <w:p w14:paraId="5D22E4FD">
          <w:pPr>
            <w:pStyle w:val="18"/>
            <w:tabs>
              <w:tab w:val="right" w:leader="dot" w:pos="9350"/>
            </w:tabs>
            <w:rPr>
              <w:rFonts w:asciiTheme="minorHAnsi" w:hAnsiTheme="minorHAnsi" w:eastAsiaTheme="minorEastAsia" w:cstheme="minorBidi"/>
              <w:kern w:val="2"/>
              <w:lang w:val="en-GB"/>
              <w14:ligatures w14:val="standardContextual"/>
            </w:rPr>
          </w:pPr>
          <w:r>
            <w:rPr>
              <w:rFonts w:cs="Arial"/>
              <w:lang w:val="en-GB"/>
            </w:rPr>
            <w:fldChar w:fldCharType="begin"/>
          </w:r>
          <w:r>
            <w:rPr>
              <w:rFonts w:cs="Arial"/>
              <w:lang w:val="en-GB"/>
            </w:rPr>
            <w:instrText xml:space="preserve"> TOC \o "1-3" \h \z \u </w:instrText>
          </w:r>
          <w:r>
            <w:rPr>
              <w:rFonts w:cs="Arial"/>
              <w:lang w:val="en-GB"/>
            </w:rPr>
            <w:fldChar w:fldCharType="separate"/>
          </w:r>
          <w:r>
            <w:fldChar w:fldCharType="begin"/>
          </w:r>
          <w:r>
            <w:instrText xml:space="preserve"> HYPERLINK \l "_Toc237522606" </w:instrText>
          </w:r>
          <w:r>
            <w:fldChar w:fldCharType="separate"/>
          </w:r>
          <w:r>
            <w:rPr>
              <w:rStyle w:val="14"/>
              <w:lang w:val="en-GB"/>
            </w:rPr>
            <w:t>Introduction</w:t>
          </w:r>
          <w:r>
            <w:rPr>
              <w:lang w:val="en-GB"/>
            </w:rPr>
            <w:tab/>
          </w:r>
          <w:r>
            <w:rPr>
              <w:lang w:val="en-GB"/>
            </w:rPr>
            <w:fldChar w:fldCharType="begin"/>
          </w:r>
          <w:r>
            <w:rPr>
              <w:lang w:val="en-GB"/>
            </w:rPr>
            <w:instrText xml:space="preserve"> PAGEREF _Toc237522606 \h </w:instrText>
          </w:r>
          <w:r>
            <w:rPr>
              <w:lang w:val="en-GB"/>
            </w:rPr>
            <w:fldChar w:fldCharType="separate"/>
          </w:r>
          <w:r>
            <w:rPr>
              <w:lang w:val="en-GB"/>
            </w:rPr>
            <w:t>5</w:t>
          </w:r>
          <w:r>
            <w:rPr>
              <w:lang w:val="en-GB"/>
            </w:rPr>
            <w:fldChar w:fldCharType="end"/>
          </w:r>
          <w:r>
            <w:rPr>
              <w:lang w:val="en-GB"/>
            </w:rPr>
            <w:fldChar w:fldCharType="end"/>
          </w:r>
        </w:p>
        <w:p w14:paraId="1EB79DF8">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"_Toc237522607" </w:instrText>
          </w:r>
          <w:r>
            <w:fldChar w:fldCharType="separate"/>
          </w:r>
          <w:r>
            <w:rPr>
              <w:rStyle w:val="14"/>
              <w:lang w:val="en-GB"/>
            </w:rPr>
            <w:t>1. Financial Health Check</w:t>
          </w:r>
          <w:r>
            <w:rPr>
              <w:lang w:val="en-GB"/>
            </w:rPr>
            <w:tab/>
          </w:r>
          <w:r>
            <w:rPr>
              <w:lang w:val="en-GB"/>
            </w:rPr>
            <w:fldChar w:fldCharType="begin"/>
          </w:r>
          <w:r>
            <w:rPr>
              <w:lang w:val="en-GB"/>
            </w:rPr>
            <w:instrText xml:space="preserve"> PAGEREF _Toc237522607 \h </w:instrText>
          </w:r>
          <w:r>
            <w:rPr>
              <w:lang w:val="en-GB"/>
            </w:rPr>
            <w:fldChar w:fldCharType="separate"/>
          </w:r>
          <w:r>
            <w:rPr>
              <w:lang w:val="en-GB"/>
            </w:rPr>
            <w:t>5</w:t>
          </w:r>
          <w:r>
            <w:rPr>
              <w:lang w:val="en-GB"/>
            </w:rPr>
            <w:fldChar w:fldCharType="end"/>
          </w:r>
          <w:r>
            <w:rPr>
              <w:lang w:val="en-GB"/>
            </w:rPr>
            <w:fldChar w:fldCharType="end"/>
          </w:r>
        </w:p>
        <w:p w14:paraId="053407B1">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"_Toc237522608" </w:instrText>
          </w:r>
          <w:r>
            <w:fldChar w:fldCharType="separate"/>
          </w:r>
          <w:r>
            <w:rPr>
              <w:rStyle w:val="14"/>
              <w:lang w:val="en-GB"/>
            </w:rPr>
            <w:t>a. Financial statements</w:t>
          </w:r>
          <w:r>
            <w:rPr>
              <w:lang w:val="en-GB"/>
            </w:rPr>
            <w:tab/>
          </w:r>
          <w:r>
            <w:rPr>
              <w:lang w:val="en-GB"/>
            </w:rPr>
            <w:fldChar w:fldCharType="begin"/>
          </w:r>
          <w:r>
            <w:rPr>
              <w:lang w:val="en-GB"/>
            </w:rPr>
            <w:instrText xml:space="preserve"> PAGEREF _Toc237522608 \h </w:instrText>
          </w:r>
          <w:r>
            <w:rPr>
              <w:lang w:val="en-GB"/>
            </w:rPr>
            <w:fldChar w:fldCharType="separate"/>
          </w:r>
          <w:r>
            <w:rPr>
              <w:lang w:val="en-GB"/>
            </w:rPr>
            <w:t>5</w:t>
          </w:r>
          <w:r>
            <w:rPr>
              <w:lang w:val="en-GB"/>
            </w:rPr>
            <w:fldChar w:fldCharType="end"/>
          </w:r>
          <w:r>
            <w:rPr>
              <w:lang w:val="en-GB"/>
            </w:rPr>
            <w:fldChar w:fldCharType="end"/>
          </w:r>
        </w:p>
        <w:p w14:paraId="3817C78D">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"_Toc237522609" </w:instrText>
          </w:r>
          <w:r>
            <w:fldChar w:fldCharType="separate"/>
          </w:r>
          <w:r>
            <w:rPr>
              <w:rStyle w:val="14"/>
              <w:lang w:val="en-GB"/>
            </w:rPr>
            <w:t>b. Ratio analysis</w:t>
          </w:r>
          <w:r>
            <w:rPr>
              <w:lang w:val="en-GB"/>
            </w:rPr>
            <w:tab/>
          </w:r>
          <w:r>
            <w:rPr>
              <w:lang w:val="en-GB"/>
            </w:rPr>
            <w:fldChar w:fldCharType="begin"/>
          </w:r>
          <w:r>
            <w:rPr>
              <w:lang w:val="en-GB"/>
            </w:rPr>
            <w:instrText xml:space="preserve"> PAGEREF _Toc237522609 \h </w:instrText>
          </w:r>
          <w:r>
            <w:rPr>
              <w:lang w:val="en-GB"/>
            </w:rPr>
            <w:fldChar w:fldCharType="separate"/>
          </w:r>
          <w:r>
            <w:rPr>
              <w:lang w:val="en-GB"/>
            </w:rPr>
            <w:t>17</w:t>
          </w:r>
          <w:r>
            <w:rPr>
              <w:lang w:val="en-GB"/>
            </w:rPr>
            <w:fldChar w:fldCharType="end"/>
          </w:r>
          <w:r>
            <w:rPr>
              <w:lang w:val="en-GB"/>
            </w:rPr>
            <w:fldChar w:fldCharType="end"/>
          </w:r>
        </w:p>
        <w:p w14:paraId="034F332F">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"_Toc237522610" </w:instrText>
          </w:r>
          <w:r>
            <w:fldChar w:fldCharType="separate"/>
          </w:r>
          <w:r>
            <w:rPr>
              <w:rStyle w:val="14"/>
              <w:lang w:val="en-GB"/>
            </w:rPr>
            <w:t>c. Trends, strengths, and potential threats</w:t>
          </w:r>
          <w:r>
            <w:rPr>
              <w:lang w:val="en-GB"/>
            </w:rPr>
            <w:tab/>
          </w:r>
          <w:r>
            <w:rPr>
              <w:lang w:val="en-GB"/>
            </w:rPr>
            <w:fldChar w:fldCharType="begin"/>
          </w:r>
          <w:r>
            <w:rPr>
              <w:lang w:val="en-GB"/>
            </w:rPr>
            <w:instrText xml:space="preserve"> PAGEREF _Toc237522610 \h </w:instrText>
          </w:r>
          <w:r>
            <w:rPr>
              <w:lang w:val="en-GB"/>
            </w:rPr>
            <w:fldChar w:fldCharType="separate"/>
          </w:r>
          <w:r>
            <w:rPr>
              <w:lang w:val="en-GB"/>
            </w:rPr>
            <w:t>19</w:t>
          </w:r>
          <w:r>
            <w:rPr>
              <w:lang w:val="en-GB"/>
            </w:rPr>
            <w:fldChar w:fldCharType="end"/>
          </w:r>
          <w:r>
            <w:rPr>
              <w:lang w:val="en-GB"/>
            </w:rPr>
            <w:fldChar w:fldCharType="end"/>
          </w:r>
        </w:p>
        <w:p w14:paraId="106B4614">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"_Toc237522611" </w:instrText>
          </w:r>
          <w:r>
            <w:fldChar w:fldCharType="separate"/>
          </w:r>
          <w:r>
            <w:rPr>
              <w:rStyle w:val="14"/>
              <w:lang w:val="en-GB"/>
            </w:rPr>
            <w:t>d. Benchmark Comparison</w:t>
          </w:r>
          <w:r>
            <w:rPr>
              <w:lang w:val="en-GB"/>
            </w:rPr>
            <w:tab/>
          </w:r>
          <w:r>
            <w:rPr>
              <w:lang w:val="en-GB"/>
            </w:rPr>
            <w:fldChar w:fldCharType="begin"/>
          </w:r>
          <w:r>
            <w:rPr>
              <w:lang w:val="en-GB"/>
            </w:rPr>
            <w:instrText xml:space="preserve"> PAGEREF _Toc237522611 \h </w:instrText>
          </w:r>
          <w:r>
            <w:rPr>
              <w:lang w:val="en-GB"/>
            </w:rPr>
            <w:fldChar w:fldCharType="separate"/>
          </w:r>
          <w:r>
            <w:rPr>
              <w:lang w:val="en-GB"/>
            </w:rPr>
            <w:t>20</w:t>
          </w:r>
          <w:r>
            <w:rPr>
              <w:lang w:val="en-GB"/>
            </w:rPr>
            <w:fldChar w:fldCharType="end"/>
          </w:r>
          <w:r>
            <w:rPr>
              <w:lang w:val="en-GB"/>
            </w:rPr>
            <w:fldChar w:fldCharType="end"/>
          </w:r>
        </w:p>
        <w:p w14:paraId="7E6C22FD">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"_Toc237522612" </w:instrText>
          </w:r>
          <w:r>
            <w:fldChar w:fldCharType="separate"/>
          </w:r>
          <w:r>
            <w:rPr>
              <w:rStyle w:val="14"/>
              <w:rFonts w:eastAsia="Arial Unicode MS"/>
              <w:lang w:val="en-GB"/>
            </w:rPr>
            <w:t>2. Working Capital Management Analysis</w:t>
          </w:r>
          <w:r>
            <w:rPr>
              <w:lang w:val="en-GB"/>
            </w:rPr>
            <w:tab/>
          </w:r>
          <w:r>
            <w:rPr>
              <w:lang w:val="en-GB"/>
            </w:rPr>
            <w:fldChar w:fldCharType="begin"/>
          </w:r>
          <w:r>
            <w:rPr>
              <w:lang w:val="en-GB"/>
            </w:rPr>
            <w:instrText xml:space="preserve"> PAGEREF _Toc237522612 \h </w:instrText>
          </w:r>
          <w:r>
            <w:rPr>
              <w:lang w:val="en-GB"/>
            </w:rPr>
            <w:fldChar w:fldCharType="separate"/>
          </w:r>
          <w:r>
            <w:rPr>
              <w:lang w:val="en-GB"/>
            </w:rPr>
            <w:t>20</w:t>
          </w:r>
          <w:r>
            <w:rPr>
              <w:lang w:val="en-GB"/>
            </w:rPr>
            <w:fldChar w:fldCharType="end"/>
          </w:r>
          <w:r>
            <w:rPr>
              <w:lang w:val="en-GB"/>
            </w:rPr>
            <w:fldChar w:fldCharType="end"/>
          </w:r>
        </w:p>
        <w:p w14:paraId="15873DD2">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"_Toc237522613" </w:instrText>
          </w:r>
          <w:r>
            <w:fldChar w:fldCharType="separate"/>
          </w:r>
          <w:r>
            <w:rPr>
              <w:rStyle w:val="14"/>
              <w:lang w:val="en-GB"/>
            </w:rPr>
            <w:t>a. Cash operating cycle</w:t>
          </w:r>
          <w:r>
            <w:rPr>
              <w:lang w:val="en-GB"/>
            </w:rPr>
            <w:tab/>
          </w:r>
          <w:r>
            <w:rPr>
              <w:lang w:val="en-GB"/>
            </w:rPr>
            <w:fldChar w:fldCharType="begin"/>
          </w:r>
          <w:r>
            <w:rPr>
              <w:lang w:val="en-GB"/>
            </w:rPr>
            <w:instrText xml:space="preserve"> PAGEREF _Toc237522613 \h </w:instrText>
          </w:r>
          <w:r>
            <w:rPr>
              <w:lang w:val="en-GB"/>
            </w:rPr>
            <w:fldChar w:fldCharType="separate"/>
          </w:r>
          <w:r>
            <w:rPr>
              <w:lang w:val="en-GB"/>
            </w:rPr>
            <w:t>20</w:t>
          </w:r>
          <w:r>
            <w:rPr>
              <w:lang w:val="en-GB"/>
            </w:rPr>
            <w:fldChar w:fldCharType="end"/>
          </w:r>
          <w:r>
            <w:rPr>
              <w:lang w:val="en-GB"/>
            </w:rPr>
            <w:fldChar w:fldCharType="end"/>
          </w:r>
        </w:p>
        <w:p w14:paraId="005B6926">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"_Toc237522614" </w:instrText>
          </w:r>
          <w:r>
            <w:fldChar w:fldCharType="separate"/>
          </w:r>
          <w:r>
            <w:rPr>
              <w:rStyle w:val="14"/>
              <w:lang w:val="en-GB"/>
            </w:rPr>
            <w:t>b. Recommendations to improve liquidity through working capital reforms</w:t>
          </w:r>
          <w:r>
            <w:rPr>
              <w:lang w:val="en-GB"/>
            </w:rPr>
            <w:tab/>
          </w:r>
          <w:r>
            <w:rPr>
              <w:lang w:val="en-GB"/>
            </w:rPr>
            <w:fldChar w:fldCharType="begin"/>
          </w:r>
          <w:r>
            <w:rPr>
              <w:lang w:val="en-GB"/>
            </w:rPr>
            <w:instrText xml:space="preserve"> PAGEREF _Toc237522614 \h </w:instrText>
          </w:r>
          <w:r>
            <w:rPr>
              <w:lang w:val="en-GB"/>
            </w:rPr>
            <w:fldChar w:fldCharType="separate"/>
          </w:r>
          <w:r>
            <w:rPr>
              <w:lang w:val="en-GB"/>
            </w:rPr>
            <w:t>21</w:t>
          </w:r>
          <w:r>
            <w:rPr>
              <w:lang w:val="en-GB"/>
            </w:rPr>
            <w:fldChar w:fldCharType="end"/>
          </w:r>
          <w:r>
            <w:rPr>
              <w:lang w:val="en-GB"/>
            </w:rPr>
            <w:fldChar w:fldCharType="end"/>
          </w:r>
        </w:p>
        <w:p w14:paraId="4DDD91B3">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"_Toc237522615" </w:instrText>
          </w:r>
          <w:r>
            <w:fldChar w:fldCharType="separate"/>
          </w:r>
          <w:r>
            <w:rPr>
              <w:rStyle w:val="14"/>
              <w:lang w:val="en-GB"/>
            </w:rPr>
            <w:t>c. Comparison between short-term and long-term financing options</w:t>
          </w:r>
          <w:r>
            <w:rPr>
              <w:lang w:val="en-GB"/>
            </w:rPr>
            <w:tab/>
          </w:r>
          <w:r>
            <w:rPr>
              <w:lang w:val="en-GB"/>
            </w:rPr>
            <w:fldChar w:fldCharType="begin"/>
          </w:r>
          <w:r>
            <w:rPr>
              <w:lang w:val="en-GB"/>
            </w:rPr>
            <w:instrText xml:space="preserve"> PAGEREF _Toc237522615 \h </w:instrText>
          </w:r>
          <w:r>
            <w:rPr>
              <w:lang w:val="en-GB"/>
            </w:rPr>
            <w:fldChar w:fldCharType="separate"/>
          </w:r>
          <w:r>
            <w:rPr>
              <w:lang w:val="en-GB"/>
            </w:rPr>
            <w:t>22</w:t>
          </w:r>
          <w:r>
            <w:rPr>
              <w:lang w:val="en-GB"/>
            </w:rPr>
            <w:fldChar w:fldCharType="end"/>
          </w:r>
          <w:r>
            <w:rPr>
              <w:lang w:val="en-GB"/>
            </w:rPr>
            <w:fldChar w:fldCharType="end"/>
          </w:r>
        </w:p>
        <w:p w14:paraId="482B5107">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"_Toc237522616" </w:instrText>
          </w:r>
          <w:r>
            <w:fldChar w:fldCharType="separate"/>
          </w:r>
          <w:r>
            <w:rPr>
              <w:rStyle w:val="14"/>
              <w:lang w:val="en-GB"/>
            </w:rPr>
            <w:t>3. Strategic Financial Restructuring Plan</w:t>
          </w:r>
          <w:r>
            <w:rPr>
              <w:lang w:val="en-GB"/>
            </w:rPr>
            <w:tab/>
          </w:r>
          <w:r>
            <w:rPr>
              <w:lang w:val="en-GB"/>
            </w:rPr>
            <w:fldChar w:fldCharType="begin"/>
          </w:r>
          <w:r>
            <w:rPr>
              <w:lang w:val="en-GB"/>
            </w:rPr>
            <w:instrText xml:space="preserve"> PAGEREF _Toc237522616 \h </w:instrText>
          </w:r>
          <w:r>
            <w:rPr>
              <w:lang w:val="en-GB"/>
            </w:rPr>
            <w:fldChar w:fldCharType="separate"/>
          </w:r>
          <w:r>
            <w:rPr>
              <w:lang w:val="en-GB"/>
            </w:rPr>
            <w:t>24</w:t>
          </w:r>
          <w:r>
            <w:rPr>
              <w:lang w:val="en-GB"/>
            </w:rPr>
            <w:fldChar w:fldCharType="end"/>
          </w:r>
          <w:r>
            <w:rPr>
              <w:lang w:val="en-GB"/>
            </w:rPr>
            <w:fldChar w:fldCharType="end"/>
          </w:r>
        </w:p>
        <w:p w14:paraId="40D048F8">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"_Toc237522617" </w:instrText>
          </w:r>
          <w:r>
            <w:fldChar w:fldCharType="separate"/>
          </w:r>
          <w:r>
            <w:rPr>
              <w:rStyle w:val="14"/>
              <w:lang w:val="en-GB"/>
            </w:rPr>
            <w:t>a. Recommended Financial Restructuring Options</w:t>
          </w:r>
          <w:r>
            <w:rPr>
              <w:lang w:val="en-GB"/>
            </w:rPr>
            <w:tab/>
          </w:r>
          <w:r>
            <w:rPr>
              <w:lang w:val="en-GB"/>
            </w:rPr>
            <w:fldChar w:fldCharType="begin"/>
          </w:r>
          <w:r>
            <w:rPr>
              <w:lang w:val="en-GB"/>
            </w:rPr>
            <w:instrText xml:space="preserve"> PAGEREF _Toc237522617 \h </w:instrText>
          </w:r>
          <w:r>
            <w:rPr>
              <w:lang w:val="en-GB"/>
            </w:rPr>
            <w:fldChar w:fldCharType="separate"/>
          </w:r>
          <w:r>
            <w:rPr>
              <w:lang w:val="en-GB"/>
            </w:rPr>
            <w:t>24</w:t>
          </w:r>
          <w:r>
            <w:rPr>
              <w:lang w:val="en-GB"/>
            </w:rPr>
            <w:fldChar w:fldCharType="end"/>
          </w:r>
          <w:r>
            <w:rPr>
              <w:lang w:val="en-GB"/>
            </w:rPr>
            <w:fldChar w:fldCharType="end"/>
          </w:r>
        </w:p>
        <w:p w14:paraId="118C1A41">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"_Toc237522618" </w:instrText>
          </w:r>
          <w:r>
            <w:fldChar w:fldCharType="separate"/>
          </w:r>
          <w:r>
            <w:rPr>
              <w:rStyle w:val="14"/>
              <w:lang w:val="en-GB"/>
            </w:rPr>
            <w:t>b. Impact on Shareholder Value, Debt Structure, and Operational Flexibility</w:t>
          </w:r>
          <w:r>
            <w:rPr>
              <w:lang w:val="en-GB"/>
            </w:rPr>
            <w:tab/>
          </w:r>
          <w:r>
            <w:rPr>
              <w:lang w:val="en-GB"/>
            </w:rPr>
            <w:fldChar w:fldCharType="begin"/>
          </w:r>
          <w:r>
            <w:rPr>
              <w:lang w:val="en-GB"/>
            </w:rPr>
            <w:instrText xml:space="preserve"> PAGEREF _Toc237522618 \h </w:instrText>
          </w:r>
          <w:r>
            <w:rPr>
              <w:lang w:val="en-GB"/>
            </w:rPr>
            <w:fldChar w:fldCharType="separate"/>
          </w:r>
          <w:r>
            <w:rPr>
              <w:lang w:val="en-GB"/>
            </w:rPr>
            <w:t>25</w:t>
          </w:r>
          <w:r>
            <w:rPr>
              <w:lang w:val="en-GB"/>
            </w:rPr>
            <w:fldChar w:fldCharType="end"/>
          </w:r>
          <w:r>
            <w:rPr>
              <w:lang w:val="en-GB"/>
            </w:rPr>
            <w:fldChar w:fldCharType="end"/>
          </w:r>
        </w:p>
        <w:p w14:paraId="46D7E004">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"_Toc237522619" </w:instrText>
          </w:r>
          <w:r>
            <w:fldChar w:fldCharType="separate"/>
          </w:r>
          <w:r>
            <w:rPr>
              <w:rStyle w:val="14"/>
              <w:lang w:val="en-GB"/>
            </w:rPr>
            <w:t>c. International and Ethical Considerations</w:t>
          </w:r>
          <w:r>
            <w:rPr>
              <w:lang w:val="en-GB"/>
            </w:rPr>
            <w:tab/>
          </w:r>
          <w:r>
            <w:rPr>
              <w:lang w:val="en-GB"/>
            </w:rPr>
            <w:fldChar w:fldCharType="begin"/>
          </w:r>
          <w:r>
            <w:rPr>
              <w:lang w:val="en-GB"/>
            </w:rPr>
            <w:instrText xml:space="preserve"> PAGEREF _Toc237522619 \h </w:instrText>
          </w:r>
          <w:r>
            <w:rPr>
              <w:lang w:val="en-GB"/>
            </w:rPr>
            <w:fldChar w:fldCharType="separate"/>
          </w:r>
          <w:r>
            <w:rPr>
              <w:lang w:val="en-GB"/>
            </w:rPr>
            <w:t>26</w:t>
          </w:r>
          <w:r>
            <w:rPr>
              <w:lang w:val="en-GB"/>
            </w:rPr>
            <w:fldChar w:fldCharType="end"/>
          </w:r>
          <w:r>
            <w:rPr>
              <w:lang w:val="en-GB"/>
            </w:rPr>
            <w:fldChar w:fldCharType="end"/>
          </w:r>
        </w:p>
        <w:p w14:paraId="62B9E054">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"_Toc237522620" </w:instrText>
          </w:r>
          <w:r>
            <w:fldChar w:fldCharType="separate"/>
          </w:r>
          <w:r>
            <w:rPr>
              <w:rStyle w:val="14"/>
              <w:lang w:val="en-GB"/>
            </w:rPr>
            <w:t>4. Investment Appraisal and Capital Budgeting</w:t>
          </w:r>
          <w:r>
            <w:rPr>
              <w:lang w:val="en-GB"/>
            </w:rPr>
            <w:tab/>
          </w:r>
          <w:r>
            <w:rPr>
              <w:lang w:val="en-GB"/>
            </w:rPr>
            <w:fldChar w:fldCharType="begin"/>
          </w:r>
          <w:r>
            <w:rPr>
              <w:lang w:val="en-GB"/>
            </w:rPr>
            <w:instrText xml:space="preserve"> PAGEREF _Toc237522620 \h </w:instrText>
          </w:r>
          <w:r>
            <w:rPr>
              <w:lang w:val="en-GB"/>
            </w:rPr>
            <w:fldChar w:fldCharType="separate"/>
          </w:r>
          <w:r>
            <w:rPr>
              <w:lang w:val="en-GB"/>
            </w:rPr>
            <w:t>27</w:t>
          </w:r>
          <w:r>
            <w:rPr>
              <w:lang w:val="en-GB"/>
            </w:rPr>
            <w:fldChar w:fldCharType="end"/>
          </w:r>
          <w:r>
            <w:rPr>
              <w:lang w:val="en-GB"/>
            </w:rPr>
            <w:fldChar w:fldCharType="end"/>
          </w:r>
        </w:p>
        <w:p w14:paraId="0FDFDF6B">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"_Toc237522621" </w:instrText>
          </w:r>
          <w:r>
            <w:fldChar w:fldCharType="separate"/>
          </w:r>
          <w:r>
            <w:rPr>
              <w:rStyle w:val="14"/>
              <w:lang w:val="en-GB"/>
            </w:rPr>
            <w:t>PBP, ARR, NPV, PI, and IRR</w:t>
          </w:r>
          <w:r>
            <w:rPr>
              <w:lang w:val="en-GB"/>
            </w:rPr>
            <w:tab/>
          </w:r>
          <w:r>
            <w:rPr>
              <w:lang w:val="en-GB"/>
            </w:rPr>
            <w:fldChar w:fldCharType="begin"/>
          </w:r>
          <w:r>
            <w:rPr>
              <w:lang w:val="en-GB"/>
            </w:rPr>
            <w:instrText xml:space="preserve"> PAGEREF _Toc237522621 \h </w:instrText>
          </w:r>
          <w:r>
            <w:rPr>
              <w:lang w:val="en-GB"/>
            </w:rPr>
            <w:fldChar w:fldCharType="separate"/>
          </w:r>
          <w:r>
            <w:rPr>
              <w:lang w:val="en-GB"/>
            </w:rPr>
            <w:t>27</w:t>
          </w:r>
          <w:r>
            <w:rPr>
              <w:lang w:val="en-GB"/>
            </w:rPr>
            <w:fldChar w:fldCharType="end"/>
          </w:r>
          <w:r>
            <w:rPr>
              <w:lang w:val="en-GB"/>
            </w:rPr>
            <w:fldChar w:fldCharType="end"/>
          </w:r>
        </w:p>
        <w:p w14:paraId="1A8ACABD">
          <w:pPr>
            <w:pStyle w:val="20"/>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"_Toc237522622" </w:instrText>
          </w:r>
          <w:r>
            <w:fldChar w:fldCharType="separate"/>
          </w:r>
          <w:r>
            <w:rPr>
              <w:rStyle w:val="14"/>
              <w:rFonts w:cs="Arial"/>
              <w:lang w:val="en-GB"/>
            </w:rPr>
            <w:t>Project A</w:t>
          </w:r>
          <w:r>
            <w:rPr>
              <w:lang w:val="en-GB"/>
            </w:rPr>
            <w:tab/>
          </w:r>
          <w:r>
            <w:rPr>
              <w:lang w:val="en-GB"/>
            </w:rPr>
            <w:fldChar w:fldCharType="begin"/>
          </w:r>
          <w:r>
            <w:rPr>
              <w:lang w:val="en-GB"/>
            </w:rPr>
            <w:instrText xml:space="preserve"> PAGEREF _Toc237522622 \h </w:instrText>
          </w:r>
          <w:r>
            <w:rPr>
              <w:lang w:val="en-GB"/>
            </w:rPr>
            <w:fldChar w:fldCharType="separate"/>
          </w:r>
          <w:r>
            <w:rPr>
              <w:lang w:val="en-GB"/>
            </w:rPr>
            <w:t>27</w:t>
          </w:r>
          <w:r>
            <w:rPr>
              <w:lang w:val="en-GB"/>
            </w:rPr>
            <w:fldChar w:fldCharType="end"/>
          </w:r>
          <w:r>
            <w:rPr>
              <w:lang w:val="en-GB"/>
            </w:rPr>
            <w:fldChar w:fldCharType="end"/>
          </w:r>
        </w:p>
        <w:p w14:paraId="59907758">
          <w:pPr>
            <w:pStyle w:val="20"/>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"_Toc237522623" </w:instrText>
          </w:r>
          <w:r>
            <w:fldChar w:fldCharType="separate"/>
          </w:r>
          <w:r>
            <w:rPr>
              <w:rStyle w:val="14"/>
              <w:rFonts w:cs="Arial"/>
              <w:lang w:val="en-GB"/>
            </w:rPr>
            <w:t>Project B</w:t>
          </w:r>
          <w:r>
            <w:rPr>
              <w:lang w:val="en-GB"/>
            </w:rPr>
            <w:tab/>
          </w:r>
          <w:r>
            <w:rPr>
              <w:lang w:val="en-GB"/>
            </w:rPr>
            <w:fldChar w:fldCharType="begin"/>
          </w:r>
          <w:r>
            <w:rPr>
              <w:lang w:val="en-GB"/>
            </w:rPr>
            <w:instrText xml:space="preserve"> PAGEREF _Toc237522623 \h </w:instrText>
          </w:r>
          <w:r>
            <w:rPr>
              <w:lang w:val="en-GB"/>
            </w:rPr>
            <w:fldChar w:fldCharType="separate"/>
          </w:r>
          <w:r>
            <w:rPr>
              <w:lang w:val="en-GB"/>
            </w:rPr>
            <w:t>30</w:t>
          </w:r>
          <w:r>
            <w:rPr>
              <w:lang w:val="en-GB"/>
            </w:rPr>
            <w:fldChar w:fldCharType="end"/>
          </w:r>
          <w:r>
            <w:rPr>
              <w:lang w:val="en-GB"/>
            </w:rPr>
            <w:fldChar w:fldCharType="end"/>
          </w:r>
        </w:p>
        <w:p w14:paraId="163F5E23">
          <w:pPr>
            <w:pStyle w:val="20"/>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"_Toc237522624" </w:instrText>
          </w:r>
          <w:r>
            <w:fldChar w:fldCharType="separate"/>
          </w:r>
          <w:r>
            <w:rPr>
              <w:rStyle w:val="14"/>
              <w:rFonts w:cs="Arial"/>
              <w:lang w:val="en-GB"/>
            </w:rPr>
            <w:t>Project C</w:t>
          </w:r>
          <w:r>
            <w:rPr>
              <w:lang w:val="en-GB"/>
            </w:rPr>
            <w:tab/>
          </w:r>
          <w:r>
            <w:rPr>
              <w:lang w:val="en-GB"/>
            </w:rPr>
            <w:fldChar w:fldCharType="begin"/>
          </w:r>
          <w:r>
            <w:rPr>
              <w:lang w:val="en-GB"/>
            </w:rPr>
            <w:instrText xml:space="preserve"> PAGEREF _Toc237522624 \h </w:instrText>
          </w:r>
          <w:r>
            <w:rPr>
              <w:lang w:val="en-GB"/>
            </w:rPr>
            <w:fldChar w:fldCharType="separate"/>
          </w:r>
          <w:r>
            <w:rPr>
              <w:lang w:val="en-GB"/>
            </w:rPr>
            <w:t>32</w:t>
          </w:r>
          <w:r>
            <w:rPr>
              <w:lang w:val="en-GB"/>
            </w:rPr>
            <w:fldChar w:fldCharType="end"/>
          </w:r>
          <w:r>
            <w:rPr>
              <w:lang w:val="en-GB"/>
            </w:rPr>
            <w:fldChar w:fldCharType="end"/>
          </w:r>
        </w:p>
        <w:p w14:paraId="180B1F29">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"_Toc237522625" </w:instrText>
          </w:r>
          <w:r>
            <w:fldChar w:fldCharType="separate"/>
          </w:r>
          <w:r>
            <w:rPr>
              <w:rStyle w:val="14"/>
              <w:lang w:val="en-GB"/>
            </w:rPr>
            <w:t>Recommendation</w:t>
          </w:r>
          <w:r>
            <w:rPr>
              <w:lang w:val="en-GB"/>
            </w:rPr>
            <w:tab/>
          </w:r>
          <w:r>
            <w:rPr>
              <w:lang w:val="en-GB"/>
            </w:rPr>
            <w:fldChar w:fldCharType="begin"/>
          </w:r>
          <w:r>
            <w:rPr>
              <w:lang w:val="en-GB"/>
            </w:rPr>
            <w:instrText xml:space="preserve"> PAGEREF _Toc237522625 \h </w:instrText>
          </w:r>
          <w:r>
            <w:rPr>
              <w:lang w:val="en-GB"/>
            </w:rPr>
            <w:fldChar w:fldCharType="separate"/>
          </w:r>
          <w:r>
            <w:rPr>
              <w:lang w:val="en-GB"/>
            </w:rPr>
            <w:t>34</w:t>
          </w:r>
          <w:r>
            <w:rPr>
              <w:lang w:val="en-GB"/>
            </w:rPr>
            <w:fldChar w:fldCharType="end"/>
          </w:r>
          <w:r>
            <w:rPr>
              <w:lang w:val="en-GB"/>
            </w:rPr>
            <w:fldChar w:fldCharType="end"/>
          </w:r>
        </w:p>
        <w:p w14:paraId="7DB73571">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"_Toc237522626" </w:instrText>
          </w:r>
          <w:r>
            <w:fldChar w:fldCharType="separate"/>
          </w:r>
          <w:r>
            <w:rPr>
              <w:rStyle w:val="14"/>
              <w:lang w:val="en-GB"/>
            </w:rPr>
            <w:t>Combination of projects for investment</w:t>
          </w:r>
          <w:r>
            <w:rPr>
              <w:lang w:val="en-GB"/>
            </w:rPr>
            <w:tab/>
          </w:r>
          <w:r>
            <w:rPr>
              <w:lang w:val="en-GB"/>
            </w:rPr>
            <w:fldChar w:fldCharType="begin"/>
          </w:r>
          <w:r>
            <w:rPr>
              <w:lang w:val="en-GB"/>
            </w:rPr>
            <w:instrText xml:space="preserve"> PAGEREF _Toc237522626 \h </w:instrText>
          </w:r>
          <w:r>
            <w:rPr>
              <w:lang w:val="en-GB"/>
            </w:rPr>
            <w:fldChar w:fldCharType="separate"/>
          </w:r>
          <w:r>
            <w:rPr>
              <w:lang w:val="en-GB"/>
            </w:rPr>
            <w:t>35</w:t>
          </w:r>
          <w:r>
            <w:rPr>
              <w:lang w:val="en-GB"/>
            </w:rPr>
            <w:fldChar w:fldCharType="end"/>
          </w:r>
          <w:r>
            <w:rPr>
              <w:lang w:val="en-GB"/>
            </w:rPr>
            <w:fldChar w:fldCharType="end"/>
          </w:r>
        </w:p>
        <w:p w14:paraId="788A302D">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"_Toc237522627" </w:instrText>
          </w:r>
          <w:r>
            <w:fldChar w:fldCharType="separate"/>
          </w:r>
          <w:r>
            <w:rPr>
              <w:rStyle w:val="14"/>
              <w:rFonts w:eastAsia="Roboto"/>
              <w:lang w:val="en-GB"/>
            </w:rPr>
            <w:t>5. Critical Reflection on AI Usage</w:t>
          </w:r>
          <w:r>
            <w:rPr>
              <w:lang w:val="en-GB"/>
            </w:rPr>
            <w:tab/>
          </w:r>
          <w:r>
            <w:rPr>
              <w:lang w:val="en-GB"/>
            </w:rPr>
            <w:fldChar w:fldCharType="begin"/>
          </w:r>
          <w:r>
            <w:rPr>
              <w:lang w:val="en-GB"/>
            </w:rPr>
            <w:instrText xml:space="preserve"> PAGEREF _Toc237522627 \h </w:instrText>
          </w:r>
          <w:r>
            <w:rPr>
              <w:lang w:val="en-GB"/>
            </w:rPr>
            <w:fldChar w:fldCharType="separate"/>
          </w:r>
          <w:r>
            <w:rPr>
              <w:lang w:val="en-GB"/>
            </w:rPr>
            <w:t>36</w:t>
          </w:r>
          <w:r>
            <w:rPr>
              <w:lang w:val="en-GB"/>
            </w:rPr>
            <w:fldChar w:fldCharType="end"/>
          </w:r>
          <w:r>
            <w:rPr>
              <w:lang w:val="en-GB"/>
            </w:rPr>
            <w:fldChar w:fldCharType="end"/>
          </w:r>
        </w:p>
        <w:p w14:paraId="68671F90">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"_Toc237522628" </w:instrText>
          </w:r>
          <w:r>
            <w:fldChar w:fldCharType="separate"/>
          </w:r>
          <w:r>
            <w:rPr>
              <w:rStyle w:val="14"/>
              <w:lang w:val="en-GB"/>
            </w:rPr>
            <w:t>a. Tool Disclosure</w:t>
          </w:r>
          <w:r>
            <w:rPr>
              <w:lang w:val="en-GB"/>
            </w:rPr>
            <w:tab/>
          </w:r>
          <w:r>
            <w:rPr>
              <w:lang w:val="en-GB"/>
            </w:rPr>
            <w:fldChar w:fldCharType="begin"/>
          </w:r>
          <w:r>
            <w:rPr>
              <w:lang w:val="en-GB"/>
            </w:rPr>
            <w:instrText xml:space="preserve"> PAGEREF _Toc237522628 \h </w:instrText>
          </w:r>
          <w:r>
            <w:rPr>
              <w:lang w:val="en-GB"/>
            </w:rPr>
            <w:fldChar w:fldCharType="separate"/>
          </w:r>
          <w:r>
            <w:rPr>
              <w:lang w:val="en-GB"/>
            </w:rPr>
            <w:t>36</w:t>
          </w:r>
          <w:r>
            <w:rPr>
              <w:lang w:val="en-GB"/>
            </w:rPr>
            <w:fldChar w:fldCharType="end"/>
          </w:r>
          <w:r>
            <w:rPr>
              <w:lang w:val="en-GB"/>
            </w:rPr>
            <w:fldChar w:fldCharType="end"/>
          </w:r>
        </w:p>
        <w:p w14:paraId="5732C2D5">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"_Toc237522629" </w:instrText>
          </w:r>
          <w:r>
            <w:fldChar w:fldCharType="separate"/>
          </w:r>
          <w:r>
            <w:rPr>
              <w:rStyle w:val="14"/>
              <w:lang w:val="en-GB"/>
            </w:rPr>
            <w:t>b. Critical Evaluation of AI Output</w:t>
          </w:r>
          <w:r>
            <w:rPr>
              <w:lang w:val="en-GB"/>
            </w:rPr>
            <w:tab/>
          </w:r>
          <w:r>
            <w:rPr>
              <w:lang w:val="en-GB"/>
            </w:rPr>
            <w:fldChar w:fldCharType="begin"/>
          </w:r>
          <w:r>
            <w:rPr>
              <w:lang w:val="en-GB"/>
            </w:rPr>
            <w:instrText xml:space="preserve"> PAGEREF _Toc237522629 \h </w:instrText>
          </w:r>
          <w:r>
            <w:rPr>
              <w:lang w:val="en-GB"/>
            </w:rPr>
            <w:fldChar w:fldCharType="separate"/>
          </w:r>
          <w:r>
            <w:rPr>
              <w:lang w:val="en-GB"/>
            </w:rPr>
            <w:t>37</w:t>
          </w:r>
          <w:r>
            <w:rPr>
              <w:lang w:val="en-GB"/>
            </w:rPr>
            <w:fldChar w:fldCharType="end"/>
          </w:r>
          <w:r>
            <w:rPr>
              <w:lang w:val="en-GB"/>
            </w:rPr>
            <w:fldChar w:fldCharType="end"/>
          </w:r>
        </w:p>
        <w:p w14:paraId="51695851">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"_Toc237522630" </w:instrText>
          </w:r>
          <w:r>
            <w:fldChar w:fldCharType="separate"/>
          </w:r>
          <w:r>
            <w:rPr>
              <w:rStyle w:val="14"/>
              <w:lang w:val="en-GB"/>
            </w:rPr>
            <w:t>c. Contribution Analysis</w:t>
          </w:r>
          <w:r>
            <w:rPr>
              <w:lang w:val="en-GB"/>
            </w:rPr>
            <w:tab/>
          </w:r>
          <w:r>
            <w:rPr>
              <w:lang w:val="en-GB"/>
            </w:rPr>
            <w:fldChar w:fldCharType="begin"/>
          </w:r>
          <w:r>
            <w:rPr>
              <w:lang w:val="en-GB"/>
            </w:rPr>
            <w:instrText xml:space="preserve"> PAGEREF _Toc237522630 \h </w:instrText>
          </w:r>
          <w:r>
            <w:rPr>
              <w:lang w:val="en-GB"/>
            </w:rPr>
            <w:fldChar w:fldCharType="separate"/>
          </w:r>
          <w:r>
            <w:rPr>
              <w:lang w:val="en-GB"/>
            </w:rPr>
            <w:t>37</w:t>
          </w:r>
          <w:r>
            <w:rPr>
              <w:lang w:val="en-GB"/>
            </w:rPr>
            <w:fldChar w:fldCharType="end"/>
          </w:r>
          <w:r>
            <w:rPr>
              <w:lang w:val="en-GB"/>
            </w:rPr>
            <w:fldChar w:fldCharType="end"/>
          </w:r>
        </w:p>
        <w:p w14:paraId="516E0DB1">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"_Toc237522631" </w:instrText>
          </w:r>
          <w:r>
            <w:fldChar w:fldCharType="separate"/>
          </w:r>
          <w:r>
            <w:rPr>
              <w:rStyle w:val="14"/>
              <w:lang w:val="en-GB"/>
            </w:rPr>
            <w:t>d. Ethical &amp; Professional Reflection</w:t>
          </w:r>
          <w:r>
            <w:rPr>
              <w:lang w:val="en-GB"/>
            </w:rPr>
            <w:tab/>
          </w:r>
          <w:r>
            <w:rPr>
              <w:lang w:val="en-GB"/>
            </w:rPr>
            <w:fldChar w:fldCharType="begin"/>
          </w:r>
          <w:r>
            <w:rPr>
              <w:lang w:val="en-GB"/>
            </w:rPr>
            <w:instrText xml:space="preserve"> PAGEREF _Toc237522631 \h </w:instrText>
          </w:r>
          <w:r>
            <w:rPr>
              <w:lang w:val="en-GB"/>
            </w:rPr>
            <w:fldChar w:fldCharType="separate"/>
          </w:r>
          <w:r>
            <w:rPr>
              <w:lang w:val="en-GB"/>
            </w:rPr>
            <w:t>38</w:t>
          </w:r>
          <w:r>
            <w:rPr>
              <w:lang w:val="en-GB"/>
            </w:rPr>
            <w:fldChar w:fldCharType="end"/>
          </w:r>
          <w:r>
            <w:rPr>
              <w:lang w:val="en-GB"/>
            </w:rPr>
            <w:fldChar w:fldCharType="end"/>
          </w:r>
        </w:p>
        <w:p w14:paraId="06101938">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"_Toc237522632" </w:instrText>
          </w:r>
          <w:r>
            <w:fldChar w:fldCharType="separate"/>
          </w:r>
          <w:r>
            <w:rPr>
              <w:rStyle w:val="14"/>
              <w:lang w:val="en-GB"/>
            </w:rPr>
            <w:t>Conclusion</w:t>
          </w:r>
          <w:r>
            <w:rPr>
              <w:lang w:val="en-GB"/>
            </w:rPr>
            <w:tab/>
          </w:r>
          <w:r>
            <w:rPr>
              <w:lang w:val="en-GB"/>
            </w:rPr>
            <w:fldChar w:fldCharType="begin"/>
          </w:r>
          <w:r>
            <w:rPr>
              <w:lang w:val="en-GB"/>
            </w:rPr>
            <w:instrText xml:space="preserve"> PAGEREF _Toc237522632 \h </w:instrText>
          </w:r>
          <w:r>
            <w:rPr>
              <w:lang w:val="en-GB"/>
            </w:rPr>
            <w:fldChar w:fldCharType="separate"/>
          </w:r>
          <w:r>
            <w:rPr>
              <w:lang w:val="en-GB"/>
            </w:rPr>
            <w:t>38</w:t>
          </w:r>
          <w:r>
            <w:rPr>
              <w:lang w:val="en-GB"/>
            </w:rPr>
            <w:fldChar w:fldCharType="end"/>
          </w:r>
          <w:r>
            <w:rPr>
              <w:lang w:val="en-GB"/>
            </w:rPr>
            <w:fldChar w:fldCharType="end"/>
          </w:r>
        </w:p>
        <w:p w14:paraId="32A42B9F">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"_Toc237522633" </w:instrText>
          </w:r>
          <w:r>
            <w:fldChar w:fldCharType="separate"/>
          </w:r>
          <w:r>
            <w:rPr>
              <w:rStyle w:val="14"/>
              <w:lang w:val="en-GB"/>
            </w:rPr>
            <w:t>Reference</w:t>
          </w:r>
          <w:r>
            <w:rPr>
              <w:lang w:val="en-GB"/>
            </w:rPr>
            <w:tab/>
          </w:r>
          <w:r>
            <w:rPr>
              <w:lang w:val="en-GB"/>
            </w:rPr>
            <w:fldChar w:fldCharType="begin"/>
          </w:r>
          <w:r>
            <w:rPr>
              <w:lang w:val="en-GB"/>
            </w:rPr>
            <w:instrText xml:space="preserve"> PAGEREF _Toc237522633 \h </w:instrText>
          </w:r>
          <w:r>
            <w:rPr>
              <w:lang w:val="en-GB"/>
            </w:rPr>
            <w:fldChar w:fldCharType="separate"/>
          </w:r>
          <w:r>
            <w:rPr>
              <w:lang w:val="en-GB"/>
            </w:rPr>
            <w:t>40</w:t>
          </w:r>
          <w:r>
            <w:rPr>
              <w:lang w:val="en-GB"/>
            </w:rPr>
            <w:fldChar w:fldCharType="end"/>
          </w:r>
          <w:r>
            <w:rPr>
              <w:lang w:val="en-GB"/>
            </w:rPr>
            <w:fldChar w:fldCharType="end"/>
          </w:r>
        </w:p>
        <w:p w14:paraId="5F2A4807">
          <w:pPr>
            <w:pStyle w:val="18"/>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"_Toc237522634" </w:instrText>
          </w:r>
          <w:r>
            <w:fldChar w:fldCharType="separate"/>
          </w:r>
          <w:r>
            <w:rPr>
              <w:rStyle w:val="14"/>
              <w:lang w:val="en-GB"/>
            </w:rPr>
            <w:t>Appendices</w:t>
          </w:r>
          <w:r>
            <w:rPr>
              <w:lang w:val="en-GB"/>
            </w:rPr>
            <w:tab/>
          </w:r>
          <w:r>
            <w:rPr>
              <w:lang w:val="en-GB"/>
            </w:rPr>
            <w:fldChar w:fldCharType="begin"/>
          </w:r>
          <w:r>
            <w:rPr>
              <w:lang w:val="en-GB"/>
            </w:rPr>
            <w:instrText xml:space="preserve"> PAGEREF _Toc237522634 \h </w:instrText>
          </w:r>
          <w:r>
            <w:rPr>
              <w:lang w:val="en-GB"/>
            </w:rPr>
            <w:fldChar w:fldCharType="separate"/>
          </w:r>
          <w:r>
            <w:rPr>
              <w:lang w:val="en-GB"/>
            </w:rPr>
            <w:t>44</w:t>
          </w:r>
          <w:r>
            <w:rPr>
              <w:lang w:val="en-GB"/>
            </w:rPr>
            <w:fldChar w:fldCharType="end"/>
          </w:r>
          <w:r>
            <w:rPr>
              <w:lang w:val="en-GB"/>
            </w:rPr>
            <w:fldChar w:fldCharType="end"/>
          </w:r>
        </w:p>
        <w:p w14:paraId="741A2981">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"_Toc237522635" </w:instrText>
          </w:r>
          <w:r>
            <w:fldChar w:fldCharType="separate"/>
          </w:r>
          <w:r>
            <w:rPr>
              <w:rStyle w:val="14"/>
              <w:lang w:val="en-GB"/>
            </w:rPr>
            <w:t>Appendix 1: Ratio tables</w:t>
          </w:r>
          <w:r>
            <w:rPr>
              <w:lang w:val="en-GB"/>
            </w:rPr>
            <w:tab/>
          </w:r>
          <w:r>
            <w:rPr>
              <w:lang w:val="en-GB"/>
            </w:rPr>
            <w:fldChar w:fldCharType="begin"/>
          </w:r>
          <w:r>
            <w:rPr>
              <w:lang w:val="en-GB"/>
            </w:rPr>
            <w:instrText xml:space="preserve"> PAGEREF _Toc237522635 \h </w:instrText>
          </w:r>
          <w:r>
            <w:rPr>
              <w:lang w:val="en-GB"/>
            </w:rPr>
            <w:fldChar w:fldCharType="separate"/>
          </w:r>
          <w:r>
            <w:rPr>
              <w:lang w:val="en-GB"/>
            </w:rPr>
            <w:t>44</w:t>
          </w:r>
          <w:r>
            <w:rPr>
              <w:lang w:val="en-GB"/>
            </w:rPr>
            <w:fldChar w:fldCharType="end"/>
          </w:r>
          <w:r>
            <w:rPr>
              <w:lang w:val="en-GB"/>
            </w:rPr>
            <w:fldChar w:fldCharType="end"/>
          </w:r>
        </w:p>
        <w:p w14:paraId="2AB72876">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"_Toc237522636" </w:instrText>
          </w:r>
          <w:r>
            <w:fldChar w:fldCharType="separate"/>
          </w:r>
          <w:r>
            <w:rPr>
              <w:rStyle w:val="14"/>
              <w:lang w:val="en-GB"/>
            </w:rPr>
            <w:t>Appendix 2: Investment appraisal calculations</w:t>
          </w:r>
          <w:r>
            <w:rPr>
              <w:lang w:val="en-GB"/>
            </w:rPr>
            <w:tab/>
          </w:r>
          <w:r>
            <w:rPr>
              <w:lang w:val="en-GB"/>
            </w:rPr>
            <w:fldChar w:fldCharType="begin"/>
          </w:r>
          <w:r>
            <w:rPr>
              <w:lang w:val="en-GB"/>
            </w:rPr>
            <w:instrText xml:space="preserve"> PAGEREF _Toc237522636 \h </w:instrText>
          </w:r>
          <w:r>
            <w:rPr>
              <w:lang w:val="en-GB"/>
            </w:rPr>
            <w:fldChar w:fldCharType="separate"/>
          </w:r>
          <w:r>
            <w:rPr>
              <w:lang w:val="en-GB"/>
            </w:rPr>
            <w:t>49</w:t>
          </w:r>
          <w:r>
            <w:rPr>
              <w:lang w:val="en-GB"/>
            </w:rPr>
            <w:fldChar w:fldCharType="end"/>
          </w:r>
          <w:r>
            <w:rPr>
              <w:lang w:val="en-GB"/>
            </w:rPr>
            <w:fldChar w:fldCharType="end"/>
          </w:r>
        </w:p>
        <w:p w14:paraId="4F97EE3D">
          <w:pPr>
            <w:pStyle w:val="19"/>
            <w:tabs>
              <w:tab w:val="right" w:leader="dot" w:pos="9350"/>
            </w:tabs>
            <w:rPr>
              <w:rFonts w:asciiTheme="minorHAnsi" w:hAnsiTheme="minorHAnsi" w:eastAsiaTheme="minorEastAsia" w:cstheme="minorBidi"/>
              <w:kern w:val="2"/>
              <w:lang w:val="en-GB"/>
              <w14:ligatures w14:val="standardContextual"/>
            </w:rPr>
          </w:pPr>
          <w:r>
            <w:fldChar w:fldCharType="begin"/>
          </w:r>
          <w:r>
            <w:instrText xml:space="preserve"> HYPERLINK \l "_Toc237522637" </w:instrText>
          </w:r>
          <w:r>
            <w:fldChar w:fldCharType="separate"/>
          </w:r>
          <w:r>
            <w:rPr>
              <w:rStyle w:val="14"/>
              <w:lang w:val="en-GB"/>
            </w:rPr>
            <w:t>Appendix 3: Graphical Presentation</w:t>
          </w:r>
          <w:r>
            <w:rPr>
              <w:lang w:val="en-GB"/>
            </w:rPr>
            <w:tab/>
          </w:r>
          <w:r>
            <w:rPr>
              <w:lang w:val="en-GB"/>
            </w:rPr>
            <w:fldChar w:fldCharType="begin"/>
          </w:r>
          <w:r>
            <w:rPr>
              <w:lang w:val="en-GB"/>
            </w:rPr>
            <w:instrText xml:space="preserve"> PAGEREF _Toc237522637 \h </w:instrText>
          </w:r>
          <w:r>
            <w:rPr>
              <w:lang w:val="en-GB"/>
            </w:rPr>
            <w:fldChar w:fldCharType="separate"/>
          </w:r>
          <w:r>
            <w:rPr>
              <w:lang w:val="en-GB"/>
            </w:rPr>
            <w:t>55</w:t>
          </w:r>
          <w:r>
            <w:rPr>
              <w:lang w:val="en-GB"/>
            </w:rPr>
            <w:fldChar w:fldCharType="end"/>
          </w:r>
          <w:r>
            <w:rPr>
              <w:lang w:val="en-GB"/>
            </w:rPr>
            <w:fldChar w:fldCharType="end"/>
          </w:r>
        </w:p>
        <w:p w14:paraId="2E9FED34">
          <w:pPr>
            <w:rPr>
              <w:rFonts w:cs="Arial"/>
              <w:lang w:val="en-GB"/>
            </w:rPr>
          </w:pPr>
          <w:r>
            <w:rPr>
              <w:rFonts w:cs="Arial"/>
              <w:b/>
              <w:bCs/>
              <w:lang w:val="en-GB"/>
            </w:rPr>
            <w:fldChar w:fldCharType="end"/>
          </w:r>
        </w:p>
      </w:sdtContent>
    </w:sdt>
    <w:p w14:paraId="179BF1FB">
      <w:pPr>
        <w:rPr>
          <w:rFonts w:eastAsia="Arial" w:cs="Arial"/>
          <w:b/>
          <w:bCs/>
          <w:lang w:val="en-GB"/>
        </w:rPr>
      </w:pPr>
      <w:r>
        <w:rPr>
          <w:rFonts w:eastAsia="Arial" w:cs="Arial"/>
          <w:lang w:val="en-GB"/>
        </w:rPr>
        <w:br w:type="page"/>
      </w:r>
    </w:p>
    <w:p w14:paraId="64C04BE7">
      <w:pPr>
        <w:pStyle w:val="2"/>
        <w:rPr>
          <w:color w:val="000000" w:themeColor="text1"/>
          <w14:textFill>
            <w14:solidFill>
              <w14:schemeClr w14:val="tx1"/>
            </w14:solidFill>
          </w14:textFill>
        </w:rPr>
      </w:pPr>
      <w:bookmarkStart w:id="1" w:name="_nztybg4klmy9" w:colFirst="0" w:colLast="0"/>
      <w:bookmarkEnd w:id="1"/>
      <w:bookmarkStart w:id="2" w:name="_Toc237522606"/>
      <w:bookmarkStart w:id="3" w:name="_Toc237521536"/>
      <w:r>
        <w:rPr>
          <w:color w:val="000000" w:themeColor="text1"/>
          <w14:textFill>
            <w14:solidFill>
              <w14:schemeClr w14:val="tx1"/>
            </w14:solidFill>
          </w14:textFill>
        </w:rPr>
        <w:t>Introduction</w:t>
      </w:r>
      <w:bookmarkEnd w:id="2"/>
      <w:r>
        <w:rPr>
          <w:color w:val="000000" w:themeColor="text1"/>
          <w14:textFill>
            <w14:solidFill>
              <w14:schemeClr w14:val="tx1"/>
            </w14:solidFill>
          </w14:textFill>
        </w:rPr>
        <w:t xml:space="preserve"> </w:t>
      </w:r>
    </w:p>
    <w:p w14:paraId="4F5E03B0">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Financial management is considered very significant since it is at centre of humans' acts. It is considered as significantly in effect to form fluidity processes and the value of the business in relating to Shareholders considering socio economic environment wherein business operating. In context of a business in to scope of analysis the report the company named Hilt on Worldwide Holdings Inc has been appointed to study financial performance and strategic growth future aspect since scale of business is important for business growth; business relevance, company address for defining the context broader.  Thus 5 years as of 2021-2025 of financial performances are been studied and additionally working capital management.  Furthermore, recommend that business restructuring will offer investment and more profitable way..</w:t>
      </w:r>
    </w:p>
    <w:p w14:paraId="48736CF6">
      <w:pPr>
        <w:pStyle w:val="2"/>
        <w:rPr>
          <w:color w:val="000000" w:themeColor="text1"/>
          <w14:textFill>
            <w14:solidFill>
              <w14:schemeClr w14:val="tx1"/>
            </w14:solidFill>
          </w14:textFill>
        </w:rPr>
      </w:pPr>
      <w:bookmarkStart w:id="4" w:name="_Toc237522607"/>
      <w:r>
        <w:rPr>
          <w:color w:val="000000" w:themeColor="text1"/>
          <w14:textFill>
            <w14:solidFill>
              <w14:schemeClr w14:val="tx1"/>
            </w14:solidFill>
          </w14:textFill>
        </w:rPr>
        <w:t>1. Financial Health Check</w:t>
      </w:r>
      <w:bookmarkEnd w:id="3"/>
      <w:bookmarkEnd w:id="4"/>
      <w:r>
        <w:rPr>
          <w:color w:val="000000" w:themeColor="text1"/>
          <w14:textFill>
            <w14:solidFill>
              <w14:schemeClr w14:val="tx1"/>
            </w14:solidFill>
          </w14:textFill>
        </w:rPr>
        <w:t xml:space="preserve"> </w:t>
      </w:r>
    </w:p>
    <w:p w14:paraId="0F280352">
      <w:pPr>
        <w:pStyle w:val="3"/>
        <w:rPr>
          <w:color w:val="000000" w:themeColor="text1"/>
          <w14:textFill>
            <w14:solidFill>
              <w14:schemeClr w14:val="tx1"/>
            </w14:solidFill>
          </w14:textFill>
        </w:rPr>
      </w:pPr>
      <w:bookmarkStart w:id="5" w:name="_ytpxct8io35u" w:colFirst="0" w:colLast="0"/>
      <w:bookmarkEnd w:id="5"/>
      <w:bookmarkStart w:id="6" w:name="_Toc237522608"/>
      <w:bookmarkStart w:id="7" w:name="_Toc237521537"/>
      <w:r>
        <w:rPr>
          <w:color w:val="000000" w:themeColor="text1"/>
          <w14:textFill>
            <w14:solidFill>
              <w14:schemeClr w14:val="tx1"/>
            </w14:solidFill>
          </w14:textFill>
        </w:rPr>
        <w:t>a. Financial statements</w:t>
      </w:r>
      <w:bookmarkEnd w:id="6"/>
      <w:bookmarkEnd w:id="7"/>
      <w:r>
        <w:rPr>
          <w:color w:val="000000" w:themeColor="text1"/>
          <w14:textFill>
            <w14:solidFill>
              <w14:schemeClr w14:val="tx1"/>
            </w14:solidFill>
          </w14:textFill>
        </w:rPr>
        <w:t xml:space="preserve"> </w:t>
      </w:r>
    </w:p>
    <w:p w14:paraId="0D140E20">
      <w:pPr>
        <w:rPr>
          <w:rFonts w:cs="Arial"/>
          <w:b/>
          <w:bCs/>
          <w:i/>
          <w:iCs/>
          <w:color w:val="000000" w:themeColor="text1"/>
          <w:lang w:val="en-GB"/>
          <w14:textFill>
            <w14:solidFill>
              <w14:schemeClr w14:val="tx1"/>
            </w14:solidFill>
          </w14:textFill>
        </w:rPr>
      </w:pPr>
      <w:r>
        <w:rPr>
          <w:rFonts w:cs="Arial"/>
          <w:b/>
          <w:bCs/>
          <w:i/>
          <w:iCs/>
          <w:color w:val="000000" w:themeColor="text1"/>
          <w:lang w:val="en-GB"/>
          <w14:textFill>
            <w14:solidFill>
              <w14:schemeClr w14:val="tx1"/>
            </w14:solidFill>
          </w14:textFill>
        </w:rPr>
        <w:t xml:space="preserve">Income Statement Trends </w:t>
      </w:r>
    </w:p>
    <w:p w14:paraId="556E90FB">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404485" cy="53054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8"/>
                    <a:srcRect/>
                    <a:stretch>
                      <a:fillRect/>
                    </a:stretch>
                  </pic:blipFill>
                  <pic:spPr>
                    <a:xfrm>
                      <a:off x="0" y="0"/>
                      <a:ext cx="5404564" cy="5305809"/>
                    </a:xfrm>
                    <a:prstGeom prst="rect">
                      <a:avLst/>
                    </a:prstGeom>
                  </pic:spPr>
                </pic:pic>
              </a:graphicData>
            </a:graphic>
          </wp:inline>
        </w:drawing>
      </w:r>
    </w:p>
    <w:p w14:paraId="0DBCBF3C">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6190615" cy="519557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6191032" cy="5195888"/>
                    </a:xfrm>
                    <a:prstGeom prst="rect">
                      <a:avLst/>
                    </a:prstGeom>
                  </pic:spPr>
                </pic:pic>
              </a:graphicData>
            </a:graphic>
          </wp:inline>
        </w:drawing>
      </w:r>
    </w:p>
    <w:p w14:paraId="1D01104E">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730875" cy="47117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referRelativeResize="0"/>
                  </pic:nvPicPr>
                  <pic:blipFill>
                    <a:blip r:embed="rId10"/>
                    <a:srcRect/>
                    <a:stretch>
                      <a:fillRect/>
                    </a:stretch>
                  </pic:blipFill>
                  <pic:spPr>
                    <a:xfrm>
                      <a:off x="0" y="0"/>
                      <a:ext cx="5731200" cy="4711700"/>
                    </a:xfrm>
                    <a:prstGeom prst="rect">
                      <a:avLst/>
                    </a:prstGeom>
                  </pic:spPr>
                </pic:pic>
              </a:graphicData>
            </a:graphic>
          </wp:inline>
        </w:drawing>
      </w:r>
    </w:p>
    <w:p w14:paraId="4CDB39F5">
      <w:pPr>
        <w:jc w:val="center"/>
        <w:rPr>
          <w:rFonts w:cs="Arial"/>
          <w:b/>
          <w:bCs/>
          <w:color w:val="000000" w:themeColor="text1"/>
          <w:lang w:val="en-GB"/>
          <w14:textFill>
            <w14:solidFill>
              <w14:schemeClr w14:val="tx1"/>
            </w14:solidFill>
          </w14:textFill>
        </w:rPr>
      </w:pPr>
      <w:r>
        <w:rPr>
          <w:rFonts w:cs="Arial"/>
          <w:b/>
          <w:bCs/>
          <w:color w:val="000000" w:themeColor="text1"/>
          <w:lang w:val="en-GB"/>
          <w14:textFill>
            <w14:solidFill>
              <w14:schemeClr w14:val="tx1"/>
            </w14:solidFill>
          </w14:textFill>
        </w:rPr>
        <w:t xml:space="preserve">Figure 1: Income statements </w:t>
      </w:r>
    </w:p>
    <w:p w14:paraId="114B39A2">
      <w:pPr>
        <w:jc w:val="cente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(Source: Hilton Annual report)</w:t>
      </w:r>
    </w:p>
    <w:p w14:paraId="0DEEB639">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Figure 1 shows the last five years (2021-2025) of profit and loss statements. Hilton’s last five years' income statements show a strong recovery path. In 2021, the company generated their revenue approximately </w:t>
      </w:r>
      <w:r>
        <w:rPr>
          <w:rFonts w:cs="Arial"/>
          <w:b/>
          <w:bCs/>
          <w:color w:val="000000" w:themeColor="text1"/>
          <w:lang w:val="en-GB"/>
          <w14:textFill>
            <w14:solidFill>
              <w14:schemeClr w14:val="tx1"/>
            </w14:solidFill>
          </w14:textFill>
        </w:rPr>
        <w:t>$5.8 billion</w:t>
      </w:r>
      <w:r>
        <w:rPr>
          <w:rFonts w:cs="Arial"/>
          <w:color w:val="000000" w:themeColor="text1"/>
          <w:lang w:val="en-GB"/>
          <w14:textFill>
            <w14:solidFill>
              <w14:schemeClr w14:val="tx1"/>
            </w14:solidFill>
          </w14:textFill>
        </w:rPr>
        <w:t>, which reflected the impact of the pandemic. Further, in 2022, the company’s overall revenue increased significantly to</w:t>
      </w:r>
      <w:r>
        <w:rPr>
          <w:rFonts w:cs="Arial"/>
          <w:b/>
          <w:bCs/>
          <w:color w:val="000000" w:themeColor="text1"/>
          <w:lang w:val="en-GB"/>
          <w14:textFill>
            <w14:solidFill>
              <w14:schemeClr w14:val="tx1"/>
            </w14:solidFill>
          </w14:textFill>
        </w:rPr>
        <w:t xml:space="preserve"> $8.8 billion</w:t>
      </w:r>
      <w:r>
        <w:rPr>
          <w:rFonts w:cs="Arial"/>
          <w:color w:val="000000" w:themeColor="text1"/>
          <w:lang w:val="en-GB"/>
          <w14:textFill>
            <w14:solidFill>
              <w14:schemeClr w14:val="tx1"/>
            </w14:solidFill>
          </w14:textFill>
        </w:rPr>
        <w:t xml:space="preserve"> and showed growth of more than 50% from the previous year. In this year, the company's revenue massively grew massively because of high demand for global travel and also significantly helped the company to strengthen their franchise model. On the other hand, in 2023, the company’s revenue reached $10.2</w:t>
      </w:r>
      <w:r>
        <w:rPr>
          <w:rFonts w:cs="Arial"/>
          <w:b/>
          <w:bCs/>
          <w:color w:val="000000" w:themeColor="text1"/>
          <w:lang w:val="en-GB"/>
          <w14:textFill>
            <w14:solidFill>
              <w14:schemeClr w14:val="tx1"/>
            </w14:solidFill>
          </w14:textFill>
        </w:rPr>
        <w:t xml:space="preserve"> billion</w:t>
      </w:r>
      <w:r>
        <w:rPr>
          <w:rFonts w:cs="Arial"/>
          <w:color w:val="000000" w:themeColor="text1"/>
          <w:lang w:val="en-GB"/>
          <w14:textFill>
            <w14:solidFill>
              <w14:schemeClr w14:val="tx1"/>
            </w14:solidFill>
          </w14:textFill>
        </w:rPr>
        <w:t xml:space="preserve"> and showed stable growth. Similarly, in 2024, revenue reached $11.1</w:t>
      </w:r>
      <w:r>
        <w:rPr>
          <w:rFonts w:cs="Arial"/>
          <w:b/>
          <w:bCs/>
          <w:color w:val="000000" w:themeColor="text1"/>
          <w:lang w:val="en-GB"/>
          <w14:textFill>
            <w14:solidFill>
              <w14:schemeClr w14:val="tx1"/>
            </w14:solidFill>
          </w14:textFill>
        </w:rPr>
        <w:t xml:space="preserve"> billion</w:t>
      </w:r>
      <w:r>
        <w:rPr>
          <w:rFonts w:cs="Arial"/>
          <w:color w:val="000000" w:themeColor="text1"/>
          <w:lang w:val="en-GB"/>
          <w14:textFill>
            <w14:solidFill>
              <w14:schemeClr w14:val="tx1"/>
            </w14:solidFill>
          </w14:textFill>
        </w:rPr>
        <w:t xml:space="preserve">, followed by </w:t>
      </w:r>
      <w:r>
        <w:rPr>
          <w:rFonts w:cs="Arial"/>
          <w:b/>
          <w:bCs/>
          <w:color w:val="000000" w:themeColor="text1"/>
          <w:lang w:val="en-GB"/>
          <w14:textFill>
            <w14:solidFill>
              <w14:schemeClr w14:val="tx1"/>
            </w14:solidFill>
          </w14:textFill>
        </w:rPr>
        <w:t>$12.0 billion</w:t>
      </w:r>
      <w:r>
        <w:rPr>
          <w:rFonts w:cs="Arial"/>
          <w:color w:val="000000" w:themeColor="text1"/>
          <w:lang w:val="en-GB"/>
          <w14:textFill>
            <w14:solidFill>
              <w14:schemeClr w14:val="tx1"/>
            </w14:solidFill>
          </w14:textFill>
        </w:rPr>
        <w:t xml:space="preserve"> in 2025. </w:t>
      </w:r>
    </w:p>
    <w:p w14:paraId="19D16F4B">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In 2021, Hilton reported their operational profit of around $0.56 billion. On the other hand, in 2022 this operational profit rose to $1.7 billion. Further, in the year 2023, this profit showed a slight jump and reached </w:t>
      </w:r>
      <w:r>
        <w:rPr>
          <w:rFonts w:cs="Arial"/>
          <w:b/>
          <w:bCs/>
          <w:color w:val="000000" w:themeColor="text1"/>
          <w:lang w:val="en-GB"/>
          <w14:textFill>
            <w14:solidFill>
              <w14:schemeClr w14:val="tx1"/>
            </w14:solidFill>
          </w14:textFill>
        </w:rPr>
        <w:t xml:space="preserve">$1.6 billion. </w:t>
      </w:r>
      <w:r>
        <w:rPr>
          <w:rFonts w:cs="Arial"/>
          <w:color w:val="000000" w:themeColor="text1"/>
          <w:lang w:val="en-GB"/>
          <w14:textFill>
            <w14:solidFill>
              <w14:schemeClr w14:val="tx1"/>
            </w14:solidFill>
          </w14:textFill>
        </w:rPr>
        <w:t xml:space="preserve">Similarly, in the year 2024, operational profit also the same and reported at around </w:t>
      </w:r>
      <w:r>
        <w:rPr>
          <w:rFonts w:cs="Arial"/>
          <w:b/>
          <w:bCs/>
          <w:color w:val="000000" w:themeColor="text1"/>
          <w:lang w:val="en-GB"/>
          <w14:textFill>
            <w14:solidFill>
              <w14:schemeClr w14:val="tx1"/>
            </w14:solidFill>
          </w14:textFill>
        </w:rPr>
        <w:t xml:space="preserve">$1.7 billion. </w:t>
      </w:r>
      <w:r>
        <w:rPr>
          <w:rFonts w:cs="Arial"/>
          <w:color w:val="000000" w:themeColor="text1"/>
          <w:lang w:val="en-GB"/>
          <w14:textFill>
            <w14:solidFill>
              <w14:schemeClr w14:val="tx1"/>
            </w14:solidFill>
          </w14:textFill>
        </w:rPr>
        <w:t xml:space="preserve">Finally, in 2025, the company reported its operational profit climbing further to </w:t>
      </w:r>
      <w:r>
        <w:rPr>
          <w:rFonts w:cs="Arial"/>
          <w:b/>
          <w:bCs/>
          <w:color w:val="000000" w:themeColor="text1"/>
          <w:lang w:val="en-GB"/>
          <w14:textFill>
            <w14:solidFill>
              <w14:schemeClr w14:val="tx1"/>
            </w14:solidFill>
          </w14:textFill>
        </w:rPr>
        <w:t xml:space="preserve">$2.0 billion. </w:t>
      </w:r>
      <w:r>
        <w:rPr>
          <w:rFonts w:cs="Arial"/>
          <w:color w:val="000000" w:themeColor="text1"/>
          <w:lang w:val="en-GB"/>
          <w14:textFill>
            <w14:solidFill>
              <w14:schemeClr w14:val="tx1"/>
            </w14:solidFill>
          </w14:textFill>
        </w:rPr>
        <w:t>Thus, this growth in operational profit demonstrated that Hilton can control their costs while also deeply focusing on their franchise and management model fees.</w:t>
      </w:r>
    </w:p>
    <w:p w14:paraId="12A747C5">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On the other hand, the company’s net income also showed significant improvement. For example, in the year 2021, the reported net income was </w:t>
      </w:r>
      <w:r>
        <w:rPr>
          <w:rFonts w:cs="Arial"/>
          <w:b/>
          <w:bCs/>
          <w:color w:val="000000" w:themeColor="text1"/>
          <w:lang w:val="en-GB"/>
          <w14:textFill>
            <w14:solidFill>
              <w14:schemeClr w14:val="tx1"/>
            </w14:solidFill>
          </w14:textFill>
        </w:rPr>
        <w:t xml:space="preserve">$0.4 billion. </w:t>
      </w:r>
      <w:r>
        <w:rPr>
          <w:rFonts w:cs="Arial"/>
          <w:color w:val="000000" w:themeColor="text1"/>
          <w:lang w:val="en-GB"/>
          <w14:textFill>
            <w14:solidFill>
              <w14:schemeClr w14:val="tx1"/>
            </w14:solidFill>
          </w14:textFill>
        </w:rPr>
        <w:t xml:space="preserve">Further, in 2022, this net income showed massive growth and reached </w:t>
      </w:r>
      <w:r>
        <w:rPr>
          <w:rFonts w:cs="Arial"/>
          <w:b/>
          <w:bCs/>
          <w:color w:val="000000" w:themeColor="text1"/>
          <w:lang w:val="en-GB"/>
          <w14:textFill>
            <w14:solidFill>
              <w14:schemeClr w14:val="tx1"/>
            </w14:solidFill>
          </w14:textFill>
        </w:rPr>
        <w:t xml:space="preserve">$1.2 billion. </w:t>
      </w:r>
      <w:r>
        <w:rPr>
          <w:rFonts w:cs="Arial"/>
          <w:color w:val="000000" w:themeColor="text1"/>
          <w:lang w:val="en-GB"/>
          <w14:textFill>
            <w14:solidFill>
              <w14:schemeClr w14:val="tx1"/>
            </w14:solidFill>
          </w14:textFill>
        </w:rPr>
        <w:t xml:space="preserve">On the other hand, in 2023 it reached </w:t>
      </w:r>
      <w:r>
        <w:rPr>
          <w:rFonts w:cs="Arial"/>
          <w:b/>
          <w:bCs/>
          <w:color w:val="000000" w:themeColor="text1"/>
          <w:lang w:val="en-GB"/>
          <w14:textFill>
            <w14:solidFill>
              <w14:schemeClr w14:val="tx1"/>
            </w14:solidFill>
          </w14:textFill>
        </w:rPr>
        <w:t>$1.1 billion, $1.5 billion</w:t>
      </w:r>
      <w:r>
        <w:rPr>
          <w:rFonts w:cs="Arial"/>
          <w:color w:val="000000" w:themeColor="text1"/>
          <w:lang w:val="en-GB"/>
          <w14:textFill>
            <w14:solidFill>
              <w14:schemeClr w14:val="tx1"/>
            </w14:solidFill>
          </w14:textFill>
        </w:rPr>
        <w:t xml:space="preserve"> in 2024, and </w:t>
      </w:r>
      <w:r>
        <w:rPr>
          <w:rFonts w:cs="Arial"/>
          <w:b/>
          <w:bCs/>
          <w:color w:val="000000" w:themeColor="text1"/>
          <w:lang w:val="en-GB"/>
          <w14:textFill>
            <w14:solidFill>
              <w14:schemeClr w14:val="tx1"/>
            </w14:solidFill>
          </w14:textFill>
        </w:rPr>
        <w:t>$1.4 billion</w:t>
      </w:r>
      <w:r>
        <w:rPr>
          <w:rFonts w:cs="Arial"/>
          <w:color w:val="000000" w:themeColor="text1"/>
          <w:lang w:val="en-GB"/>
          <w14:textFill>
            <w14:solidFill>
              <w14:schemeClr w14:val="tx1"/>
            </w14:solidFill>
          </w14:textFill>
        </w:rPr>
        <w:t xml:space="preserve"> in 2025. Thus, this trend in net income demonstrated that the company was able to increased their net income over the last five years. However, Hilton management showed slow growth in net income after 2024, which highlights the significant pressure of inflation.</w:t>
      </w:r>
    </w:p>
    <w:p w14:paraId="36791AE5">
      <w:pPr>
        <w:rPr>
          <w:rFonts w:cs="Arial"/>
          <w:color w:val="000000" w:themeColor="text1"/>
          <w:lang w:val="en-GB"/>
          <w14:textFill>
            <w14:solidFill>
              <w14:schemeClr w14:val="tx1"/>
            </w14:solidFill>
          </w14:textFill>
        </w:rPr>
      </w:pPr>
    </w:p>
    <w:p w14:paraId="5F09A439">
      <w:pPr>
        <w:rPr>
          <w:rFonts w:cs="Arial"/>
          <w:color w:val="000000" w:themeColor="text1"/>
          <w:lang w:val="en-GB"/>
          <w14:textFill>
            <w14:solidFill>
              <w14:schemeClr w14:val="tx1"/>
            </w14:solidFill>
          </w14:textFill>
        </w:rPr>
      </w:pPr>
    </w:p>
    <w:p w14:paraId="0FEE012B">
      <w:pPr>
        <w:rPr>
          <w:rFonts w:cs="Arial"/>
          <w:color w:val="000000" w:themeColor="text1"/>
          <w:lang w:val="en-GB"/>
          <w14:textFill>
            <w14:solidFill>
              <w14:schemeClr w14:val="tx1"/>
            </w14:solidFill>
          </w14:textFill>
        </w:rPr>
      </w:pPr>
    </w:p>
    <w:p w14:paraId="38AF75A9">
      <w:pPr>
        <w:rPr>
          <w:rFonts w:cs="Arial"/>
          <w:color w:val="000000" w:themeColor="text1"/>
          <w:lang w:val="en-GB"/>
          <w14:textFill>
            <w14:solidFill>
              <w14:schemeClr w14:val="tx1"/>
            </w14:solidFill>
          </w14:textFill>
        </w:rPr>
      </w:pPr>
    </w:p>
    <w:p w14:paraId="3E41A039">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410200" cy="638175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referRelativeResize="0"/>
                  </pic:nvPicPr>
                  <pic:blipFill>
                    <a:blip r:embed="rId11"/>
                    <a:srcRect/>
                    <a:stretch>
                      <a:fillRect/>
                    </a:stretch>
                  </pic:blipFill>
                  <pic:spPr>
                    <a:xfrm>
                      <a:off x="0" y="0"/>
                      <a:ext cx="5410200" cy="6381750"/>
                    </a:xfrm>
                    <a:prstGeom prst="rect">
                      <a:avLst/>
                    </a:prstGeom>
                  </pic:spPr>
                </pic:pic>
              </a:graphicData>
            </a:graphic>
          </wp:inline>
        </w:drawing>
      </w:r>
    </w:p>
    <w:p w14:paraId="0F161F6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730875" cy="57404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referRelativeResize="0"/>
                  </pic:nvPicPr>
                  <pic:blipFill>
                    <a:blip r:embed="rId12"/>
                    <a:srcRect/>
                    <a:stretch>
                      <a:fillRect/>
                    </a:stretch>
                  </pic:blipFill>
                  <pic:spPr>
                    <a:xfrm>
                      <a:off x="0" y="0"/>
                      <a:ext cx="5731200" cy="5740400"/>
                    </a:xfrm>
                    <a:prstGeom prst="rect">
                      <a:avLst/>
                    </a:prstGeom>
                  </pic:spPr>
                </pic:pic>
              </a:graphicData>
            </a:graphic>
          </wp:inline>
        </w:drawing>
      </w:r>
    </w:p>
    <w:p w14:paraId="2C9C5B4A">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724525" cy="59055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referRelativeResize="0"/>
                  </pic:nvPicPr>
                  <pic:blipFill>
                    <a:blip r:embed="rId13"/>
                    <a:srcRect/>
                    <a:stretch>
                      <a:fillRect/>
                    </a:stretch>
                  </pic:blipFill>
                  <pic:spPr>
                    <a:xfrm>
                      <a:off x="0" y="0"/>
                      <a:ext cx="5724525" cy="5905500"/>
                    </a:xfrm>
                    <a:prstGeom prst="rect">
                      <a:avLst/>
                    </a:prstGeom>
                  </pic:spPr>
                </pic:pic>
              </a:graphicData>
            </a:graphic>
          </wp:inline>
        </w:drawing>
      </w:r>
    </w:p>
    <w:p w14:paraId="4B237C11">
      <w:pPr>
        <w:jc w:val="center"/>
        <w:rPr>
          <w:rFonts w:cs="Arial"/>
          <w:b/>
          <w:bCs/>
          <w:color w:val="000000" w:themeColor="text1"/>
          <w:lang w:val="en-GB"/>
          <w14:textFill>
            <w14:solidFill>
              <w14:schemeClr w14:val="tx1"/>
            </w14:solidFill>
          </w14:textFill>
        </w:rPr>
      </w:pPr>
      <w:r>
        <w:rPr>
          <w:rFonts w:cs="Arial"/>
          <w:b/>
          <w:bCs/>
          <w:color w:val="000000" w:themeColor="text1"/>
          <w:lang w:val="en-GB"/>
          <w14:textFill>
            <w14:solidFill>
              <w14:schemeClr w14:val="tx1"/>
            </w14:solidFill>
          </w14:textFill>
        </w:rPr>
        <w:t>Figure 2: Balance Sheet</w:t>
      </w:r>
    </w:p>
    <w:p w14:paraId="3339CABD">
      <w:pPr>
        <w:jc w:val="cente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(Source: Hilton Annual report)</w:t>
      </w:r>
    </w:p>
    <w:p w14:paraId="5B5ECE86">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In Figure 2, Hilton's balance sheet reveals growth but structural weaknesses in its balance sheets Hilton reported a rise in total assets from $15.5 billion in 2021 to $16.7 billion in 2025 . While growing, its growth is led by increase in intangible brand value, goodwill, and investments in property (Table, supra). Total liabilities are increasing too from $16.2 billion to $22.1 billion . The leverage of this balance sheets could restrict future options for flexibility Hilton.</w:t>
      </w:r>
    </w:p>
    <w:p w14:paraId="5F25D8AC">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For both 2021 and 2025, shareholder equity was negative in the amounts of -0.8 billion and –5.3 billion respectively. This trend directly correlates the past losses endured with active and ongoing share repurchase programs. The continuation of negative shareholder’s equity indicates their reliance on debt. This illustrates the structure flaw in Hilton’s balance sheet.</w:t>
      </w:r>
    </w:p>
    <w:p w14:paraId="49F63133">
      <w:pPr>
        <w:rPr>
          <w:rFonts w:cs="Arial"/>
          <w:color w:val="000000" w:themeColor="text1"/>
          <w:lang w:val="en-GB"/>
          <w14:textFill>
            <w14:solidFill>
              <w14:schemeClr w14:val="tx1"/>
            </w14:solidFill>
          </w14:textFill>
        </w:rPr>
      </w:pPr>
    </w:p>
    <w:p w14:paraId="04CA4EE4">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410200" cy="631507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referRelativeResize="0"/>
                  </pic:nvPicPr>
                  <pic:blipFill>
                    <a:blip r:embed="rId14"/>
                    <a:srcRect/>
                    <a:stretch>
                      <a:fillRect/>
                    </a:stretch>
                  </pic:blipFill>
                  <pic:spPr>
                    <a:xfrm>
                      <a:off x="0" y="0"/>
                      <a:ext cx="5410200" cy="6315075"/>
                    </a:xfrm>
                    <a:prstGeom prst="rect">
                      <a:avLst/>
                    </a:prstGeom>
                  </pic:spPr>
                </pic:pic>
              </a:graphicData>
            </a:graphic>
          </wp:inline>
        </w:drawing>
      </w:r>
    </w:p>
    <w:p w14:paraId="604140BE">
      <w:pPr>
        <w:rPr>
          <w:rFonts w:cs="Arial"/>
          <w:color w:val="000000" w:themeColor="text1"/>
          <w:lang w:val="en-GB"/>
          <w14:textFill>
            <w14:solidFill>
              <w14:schemeClr w14:val="tx1"/>
            </w14:solidFill>
          </w14:textFill>
        </w:rPr>
      </w:pPr>
    </w:p>
    <w:p w14:paraId="425D908A">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730875" cy="54610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5"/>
                    <a:srcRect/>
                    <a:stretch>
                      <a:fillRect/>
                    </a:stretch>
                  </pic:blipFill>
                  <pic:spPr>
                    <a:xfrm>
                      <a:off x="0" y="0"/>
                      <a:ext cx="5731200" cy="5461000"/>
                    </a:xfrm>
                    <a:prstGeom prst="rect">
                      <a:avLst/>
                    </a:prstGeom>
                  </pic:spPr>
                </pic:pic>
              </a:graphicData>
            </a:graphic>
          </wp:inline>
        </w:drawing>
      </w:r>
    </w:p>
    <w:p w14:paraId="1A7EDDF8">
      <w:pPr>
        <w:rPr>
          <w:rFonts w:cs="Arial"/>
          <w:color w:val="000000" w:themeColor="text1"/>
          <w:lang w:val="en-GB"/>
          <w14:textFill>
            <w14:solidFill>
              <w14:schemeClr w14:val="tx1"/>
            </w14:solidFill>
          </w14:textFill>
        </w:rPr>
      </w:pPr>
    </w:p>
    <w:p w14:paraId="101632C9">
      <w:pPr>
        <w:rPr>
          <w:rFonts w:cs="Arial"/>
          <w:color w:val="000000" w:themeColor="text1"/>
          <w:lang w:val="en-GB"/>
          <w14:textFill>
            <w14:solidFill>
              <w14:schemeClr w14:val="tx1"/>
            </w14:solidFill>
          </w14:textFill>
        </w:rPr>
      </w:pPr>
    </w:p>
    <w:p w14:paraId="3EA70BA2">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drawing>
          <wp:inline distT="114300" distB="114300" distL="114300" distR="114300">
            <wp:extent cx="5730875" cy="55880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referRelativeResize="0"/>
                  </pic:nvPicPr>
                  <pic:blipFill>
                    <a:blip r:embed="rId16"/>
                    <a:srcRect/>
                    <a:stretch>
                      <a:fillRect/>
                    </a:stretch>
                  </pic:blipFill>
                  <pic:spPr>
                    <a:xfrm>
                      <a:off x="0" y="0"/>
                      <a:ext cx="5731200" cy="5588000"/>
                    </a:xfrm>
                    <a:prstGeom prst="rect">
                      <a:avLst/>
                    </a:prstGeom>
                  </pic:spPr>
                </pic:pic>
              </a:graphicData>
            </a:graphic>
          </wp:inline>
        </w:drawing>
      </w:r>
    </w:p>
    <w:p w14:paraId="605CAF9F">
      <w:pPr>
        <w:jc w:val="center"/>
        <w:rPr>
          <w:rFonts w:cs="Arial"/>
          <w:b/>
          <w:bCs/>
          <w:color w:val="000000" w:themeColor="text1"/>
          <w:lang w:val="en-GB"/>
          <w14:textFill>
            <w14:solidFill>
              <w14:schemeClr w14:val="tx1"/>
            </w14:solidFill>
          </w14:textFill>
        </w:rPr>
      </w:pPr>
      <w:r>
        <w:rPr>
          <w:rFonts w:cs="Arial"/>
          <w:b/>
          <w:bCs/>
          <w:color w:val="000000" w:themeColor="text1"/>
          <w:lang w:val="en-GB"/>
          <w14:textFill>
            <w14:solidFill>
              <w14:schemeClr w14:val="tx1"/>
            </w14:solidFill>
          </w14:textFill>
        </w:rPr>
        <w:t xml:space="preserve">Figure 3: Cash Flow Statement </w:t>
      </w:r>
    </w:p>
    <w:p w14:paraId="7D74D039">
      <w:pPr>
        <w:jc w:val="cente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(Source: Hilton Annual report)</w:t>
      </w:r>
    </w:p>
    <w:p w14:paraId="30AB1D81">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In figure 3, the cash flow statement reveals a bit more about the operational ability of the Hilton. Hilton’s net operating cash flow was steadily rising from $0.1 billion in 2021 to $1.6 billion in 2022, $1.9 in 2023, $2.0B, and $2.1 billion in 2024 to 2025. The cash generated from net cash from operations suggests strong cash inflows. In 2023, net cash from operations was up in large part due to gains in occupancy. The Hilton's tremendous network of hotels is contributing positively to revenues through fees.Net cash from investing activities was negative; showing flows of between $0.057 billion and $0.19 billion per year. The flows from property investment, takeovers and technology were offset by asset disposals which meant that Hilton managed its investment in property in a prudent way.  Net cash from financing activities showed a negative net flow; and was caused mainly by debt repayment and share buy-backs. </w:t>
      </w:r>
    </w:p>
    <w:p w14:paraId="2F97AB0A">
      <w:pPr>
        <w:pStyle w:val="3"/>
        <w:rPr>
          <w:color w:val="000000" w:themeColor="text1"/>
          <w14:textFill>
            <w14:solidFill>
              <w14:schemeClr w14:val="tx1"/>
            </w14:solidFill>
          </w14:textFill>
        </w:rPr>
      </w:pPr>
      <w:bookmarkStart w:id="8" w:name="_Toc237522609"/>
      <w:bookmarkStart w:id="9" w:name="_Toc237521538"/>
      <w:r>
        <w:rPr>
          <w:color w:val="000000" w:themeColor="text1"/>
          <w14:textFill>
            <w14:solidFill>
              <w14:schemeClr w14:val="tx1"/>
            </w14:solidFill>
          </w14:textFill>
        </w:rPr>
        <w:t>b. Ratio analysis</w:t>
      </w:r>
      <w:bookmarkEnd w:id="8"/>
      <w:bookmarkEnd w:id="9"/>
    </w:p>
    <w:p w14:paraId="68897BEB">
      <w:pPr>
        <w:rPr>
          <w:rFonts w:cs="Arial"/>
          <w:b/>
          <w:bCs/>
          <w:i/>
          <w:iCs/>
          <w:color w:val="000000" w:themeColor="text1"/>
          <w:lang w:val="en-GB"/>
          <w14:textFill>
            <w14:solidFill>
              <w14:schemeClr w14:val="tx1"/>
            </w14:solidFill>
          </w14:textFill>
        </w:rPr>
      </w:pPr>
      <w:r>
        <w:rPr>
          <w:rFonts w:cs="Arial"/>
          <w:b/>
          <w:bCs/>
          <w:i/>
          <w:iCs/>
          <w:color w:val="000000" w:themeColor="text1"/>
          <w:lang w:val="en-GB"/>
          <w14:textFill>
            <w14:solidFill>
              <w14:schemeClr w14:val="tx1"/>
            </w14:solidFill>
          </w14:textFill>
        </w:rPr>
        <w:t>Profitability Ratios</w:t>
      </w:r>
    </w:p>
    <w:p w14:paraId="7D63C5A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More on that Hilton profitability ratios indicates that management has successfully recovered well post-pandemic (Santos, 2024, pg.14). For example, its net profit margin has grown stably from 7.03% (2021) to 12.1% (2025), signifying that Hilton management has excelled to successfully generate a significant amount of profits from revenues. That said, such improvement further signifies an increased ability for the management for operating efficiently, through its cost control mechanism and a strong scalability for a global franchise models. Lastly, it has further increased its Return on Assets (ROA) from 3% in 2021 to 9% by 2025. Thus such improvements indicate a clear increase in Hilton profitability.</w:t>
      </w:r>
    </w:p>
    <w:p w14:paraId="77A37FD8">
      <w:pPr>
        <w:rPr>
          <w:rFonts w:cs="Arial"/>
          <w:b/>
          <w:bCs/>
          <w:i/>
          <w:iCs/>
          <w:color w:val="000000" w:themeColor="text1"/>
          <w:lang w:val="en-GB"/>
          <w14:textFill>
            <w14:solidFill>
              <w14:schemeClr w14:val="tx1"/>
            </w14:solidFill>
          </w14:textFill>
        </w:rPr>
      </w:pPr>
      <w:r>
        <w:rPr>
          <w:rFonts w:cs="Arial"/>
          <w:b/>
          <w:bCs/>
          <w:i/>
          <w:iCs/>
          <w:color w:val="000000" w:themeColor="text1"/>
          <w:lang w:val="en-GB"/>
          <w14:textFill>
            <w14:solidFill>
              <w14:schemeClr w14:val="tx1"/>
            </w14:solidFill>
          </w14:textFill>
        </w:rPr>
        <w:t>Liquidity Ratios</w:t>
      </w:r>
    </w:p>
    <w:p w14:paraId="566C875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Overall the liquidity of Hilton look acceptable though with a negative trending. From 2021 to 2025, the current ratio and quick ratio all have declined by 29% and 38% respectively. Specifically, from 0.95 (2021) to 0.66(2025) in current ratio and from 0.83(2021) to 0.58(2025) in quick ratio. In short, Hilton has comparatively fewer current assets in proportion to their liabilities than they have in the past, thus Hilton may encounter liquidity problems, especially considering it is largely debt financed (Dai and Han 2022, p.24). Relative to the industry's liquidity ratios of approximately 1 of Marriott and IHG, Hilton's ratio was 0.66.</w:t>
      </w:r>
    </w:p>
    <w:p w14:paraId="1C91EB68">
      <w:pPr>
        <w:rPr>
          <w:rFonts w:cs="Arial"/>
          <w:b/>
          <w:bCs/>
          <w:i/>
          <w:iCs/>
          <w:color w:val="000000" w:themeColor="text1"/>
          <w:lang w:val="en-GB"/>
          <w14:textFill>
            <w14:solidFill>
              <w14:schemeClr w14:val="tx1"/>
            </w14:solidFill>
          </w14:textFill>
        </w:rPr>
      </w:pPr>
      <w:r>
        <w:rPr>
          <w:rFonts w:cs="Arial"/>
          <w:b/>
          <w:bCs/>
          <w:i/>
          <w:iCs/>
          <w:color w:val="000000" w:themeColor="text1"/>
          <w:lang w:val="en-GB"/>
          <w14:textFill>
            <w14:solidFill>
              <w14:schemeClr w14:val="tx1"/>
            </w14:solidFill>
          </w14:textFill>
        </w:rPr>
        <w:t>Efficiency Ratios</w:t>
      </w:r>
    </w:p>
    <w:p w14:paraId="2500A87C">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Hilton's efficiency ratio compares the use of all groups of assets to generate revenues and the collection of its receivables efficiently (Derowitsch </w:t>
      </w:r>
      <w:r>
        <w:rPr>
          <w:rFonts w:cs="Arial"/>
          <w:i/>
          <w:iCs/>
          <w:color w:val="000000" w:themeColor="text1"/>
          <w:lang w:val="en-GB"/>
          <w14:textFill>
            <w14:solidFill>
              <w14:schemeClr w14:val="tx1"/>
            </w14:solidFill>
          </w14:textFill>
        </w:rPr>
        <w:t>et al</w:t>
      </w:r>
      <w:r>
        <w:rPr>
          <w:rFonts w:cs="Arial"/>
          <w:color w:val="000000" w:themeColor="text1"/>
          <w:lang w:val="en-GB"/>
          <w14:textFill>
            <w14:solidFill>
              <w14:schemeClr w14:val="tx1"/>
            </w14:solidFill>
          </w14:textFill>
        </w:rPr>
        <w:t>., 2025, p.7). Total asset turnover was fairly stable at a value just below 0.7 for each year throughout the five years, each $1 of asset was contributing 70 cents towards total revenue. For account receivable days the value improved at it decreases from 67 days in 2021 down to 51 days in 2025; this implies a higher degree to which Hilton can convert cash from receivables. This trend in improvement is reflected in the adoption of new digital booking and payment systems which decreases the time lag for collecting cash.</w:t>
      </w:r>
    </w:p>
    <w:p w14:paraId="254C5D43">
      <w:pPr>
        <w:rPr>
          <w:rFonts w:cs="Arial"/>
          <w:b/>
          <w:bCs/>
          <w:color w:val="000000" w:themeColor="text1"/>
          <w:lang w:val="en-GB"/>
          <w14:textFill>
            <w14:solidFill>
              <w14:schemeClr w14:val="tx1"/>
            </w14:solidFill>
          </w14:textFill>
        </w:rPr>
      </w:pPr>
      <w:r>
        <w:rPr>
          <w:rFonts w:cs="Arial"/>
          <w:b/>
          <w:bCs/>
          <w:color w:val="000000" w:themeColor="text1"/>
          <w:lang w:val="en-GB"/>
          <w14:textFill>
            <w14:solidFill>
              <w14:schemeClr w14:val="tx1"/>
            </w14:solidFill>
          </w14:textFill>
        </w:rPr>
        <w:t xml:space="preserve">Gearing Ratios </w:t>
      </w:r>
    </w:p>
    <w:p w14:paraId="7DA2A05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As we found, Hilton's capital structure is highly leveraged. During all this time the ratio debt to capital is negative due to the negative balance of equity. The shareholder's equity figures for 2021 and 2025 are -$821 Million and -$5388 Million respectively.  These figures were caused by the total incurred accumulated past losses and by the strongly bought share buy-back programs. This indicates that the ratio debt to capital is almost equal to 100%, meaning that Hilton makes use of debt financing to the extreme. Thus, the high leverage has provided Hilton with the facility to extend their business more aggressively, although it places the company at the mercy of interest rate increases.</w:t>
      </w:r>
    </w:p>
    <w:p w14:paraId="62EF057F">
      <w:pPr>
        <w:rPr>
          <w:rFonts w:cs="Arial"/>
          <w:b/>
          <w:bCs/>
          <w:color w:val="000000" w:themeColor="text1"/>
          <w:lang w:val="en-GB"/>
          <w14:textFill>
            <w14:solidFill>
              <w14:schemeClr w14:val="tx1"/>
            </w14:solidFill>
          </w14:textFill>
        </w:rPr>
      </w:pPr>
      <w:r>
        <w:rPr>
          <w:rFonts w:cs="Arial"/>
          <w:b/>
          <w:bCs/>
          <w:color w:val="000000" w:themeColor="text1"/>
          <w:lang w:val="en-GB"/>
          <w14:textFill>
            <w14:solidFill>
              <w14:schemeClr w14:val="tx1"/>
            </w14:solidFill>
          </w14:textFill>
        </w:rPr>
        <w:t>Investment Ratios</w:t>
      </w:r>
    </w:p>
    <w:p w14:paraId="06B2C0C4">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Investment ratios depict how desirable Hilton may be as an investment for a shareholder. Earnings per share grew from $1.46 in 2021 to $6.12 in 2025. This shows an expansion of over 4 times the existing per share earnings. </w:t>
      </w:r>
    </w:p>
    <w:p w14:paraId="1299DAB3">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Hilton business had a relatively high price-to-earnings ratio (P/E) when measured against its industry and fluctuated greatly across Hilton's shares, moving from a P/E of 105 in 2021 to 47 in 2025 and the share price was higher than the growth expectations within the time of analysis. </w:t>
      </w:r>
    </w:p>
    <w:p w14:paraId="3367C10C">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This represents higher levels of shareholder satisfaction within the Hilton business from a financial standpoint moving into the Hilton 2025 timeframe.</w:t>
      </w:r>
    </w:p>
    <w:p w14:paraId="2E65AFCB">
      <w:pPr>
        <w:rPr>
          <w:rFonts w:cs="Arial"/>
          <w:b/>
          <w:bCs/>
          <w:color w:val="000000" w:themeColor="text1"/>
          <w:lang w:val="en-GB"/>
          <w14:textFill>
            <w14:solidFill>
              <w14:schemeClr w14:val="tx1"/>
            </w14:solidFill>
          </w14:textFill>
        </w:rPr>
      </w:pPr>
      <w:r>
        <w:rPr>
          <w:rFonts w:cs="Arial"/>
          <w:b/>
          <w:bCs/>
          <w:color w:val="000000" w:themeColor="text1"/>
          <w:lang w:val="en-GB"/>
          <w14:textFill>
            <w14:solidFill>
              <w14:schemeClr w14:val="tx1"/>
            </w14:solidFill>
          </w14:textFill>
        </w:rPr>
        <w:t>Cash Flow Ratios</w:t>
      </w:r>
    </w:p>
    <w:p w14:paraId="5C807E20">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Cash Flow ratios have been helpful for a good operational capability and at the same time highlighted the impact of operational leverage to the total debt of Hilton. The cash to debt ratio ( operating cash flow / total debt) went from 0.01 ( for 2021) to 0.10( for 2025), which proves that Hilton is having stronger ability to repay its debt using the cash flow that generates from the operations compared to last year. The cash flow to current liability ratio , an operation measure related to cash flow related to a company's liquidity. The ratio is also changed from 0.04( for 2021) to 0.47 ( for 2025) which is better than last year however, it does not reach the standard level of Hilton's competitors and thus it can still have a potential as an operational threat.</w:t>
      </w:r>
    </w:p>
    <w:p w14:paraId="074FA034">
      <w:pPr>
        <w:pStyle w:val="3"/>
      </w:pPr>
      <w:bookmarkStart w:id="10" w:name="_Toc237522610"/>
      <w:r>
        <w:t>c. Trends, strengths, and potential threats</w:t>
      </w:r>
      <w:bookmarkEnd w:id="10"/>
      <w:r>
        <w:t xml:space="preserve"> </w:t>
      </w:r>
    </w:p>
    <w:p w14:paraId="14C18C63">
      <w:pPr>
        <w:rPr>
          <w:rFonts w:cs="Arial"/>
          <w:b/>
          <w:bCs/>
          <w:i/>
          <w:iCs/>
          <w:lang w:val="en-GB"/>
        </w:rPr>
      </w:pPr>
      <w:bookmarkStart w:id="11" w:name="_9d3wsrac38x0" w:colFirst="0" w:colLast="0"/>
      <w:bookmarkEnd w:id="11"/>
      <w:r>
        <w:rPr>
          <w:rFonts w:cs="Arial"/>
          <w:b/>
          <w:bCs/>
          <w:i/>
          <w:iCs/>
          <w:lang w:val="en-GB"/>
        </w:rPr>
        <w:t xml:space="preserve">Trends </w:t>
      </w:r>
    </w:p>
    <w:p w14:paraId="2FE404EC">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Since 2021-2025, the revenue has almost doubled up, where the operating profit increased 3 times; a considerable change can be seen also in the net profit which has almost grew 3.5 times reflecting that company had got rid of crisis of COVID. Moreover, the substantial rise of earnings per share as much as 4 times which definitely effects strongly impact to all shareholder, reduced amount of current and quick ratio shows the company may face short term financing stress, however, it is noticeable to indicate positive cash inflow from operation but significantly huge out flow on financial transactions, such as loan payment and share redemption..</w:t>
      </w:r>
    </w:p>
    <w:p w14:paraId="599D92C5">
      <w:pPr>
        <w:rPr>
          <w:rFonts w:cs="Arial"/>
          <w:b/>
          <w:bCs/>
          <w:i/>
          <w:iCs/>
          <w:lang w:val="en-GB"/>
        </w:rPr>
      </w:pPr>
      <w:bookmarkStart w:id="12" w:name="_d5qur5tyrsun" w:colFirst="0" w:colLast="0"/>
      <w:bookmarkEnd w:id="12"/>
      <w:r>
        <w:rPr>
          <w:rFonts w:cs="Arial"/>
          <w:b/>
          <w:bCs/>
          <w:i/>
          <w:iCs/>
          <w:lang w:val="en-GB"/>
        </w:rPr>
        <w:t xml:space="preserve">Strengths </w:t>
      </w:r>
    </w:p>
    <w:p w14:paraId="0D1482E2">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There are mainly 3 main factors why Hiltons could perform and continue to profit like this, Hilton's reliance to the asset light franchise business, its considerable international exposure and continuing investment in loyalty programs. The strong operating cash flow and the ability Hilton has in receivables management demonstrates how successful and profitable the company can and is at creating value .</w:t>
      </w:r>
    </w:p>
    <w:p w14:paraId="66EDE07B">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Furthermore, consistent growth in EPS along with stable operating cash flow signifies Hilton's proficiency in managing its assets effectively and providing value to investors along with sound cash operations across different markets and concludes that with all given, Hilton have the effective model of business and system of asset management so that can tackle the changes in market as well..</w:t>
      </w:r>
    </w:p>
    <w:p w14:paraId="4EC9BA5B">
      <w:pPr>
        <w:rPr>
          <w:rFonts w:cs="Arial"/>
          <w:b/>
          <w:bCs/>
          <w:i/>
          <w:iCs/>
          <w:lang w:val="en-GB"/>
        </w:rPr>
      </w:pPr>
      <w:bookmarkStart w:id="13" w:name="_82m9pb5mdoi6" w:colFirst="0" w:colLast="0"/>
      <w:bookmarkEnd w:id="13"/>
      <w:r>
        <w:rPr>
          <w:rFonts w:cs="Arial"/>
          <w:b/>
          <w:bCs/>
          <w:i/>
          <w:iCs/>
          <w:lang w:val="en-GB"/>
        </w:rPr>
        <w:t>Potential threats</w:t>
      </w:r>
    </w:p>
    <w:p w14:paraId="6D8AF7C1">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The negative equity ongoing for Hilton and very high debt to equity ratio makes the business very sensitive to fluctuations in interest rates, which limits its financial manoeuvring abilities and also increases cost of financing. Lower liquidity ratios in comparison to the industry mean an impaired ability to settle immediate liabilities during difficult economic situations. External risks: Geopolitical issues, rising inflation, consumerism behaviour shift and debt dependence also impose on Hilton’s sustainability (Leotaud </w:t>
      </w:r>
      <w:r>
        <w:rPr>
          <w:rFonts w:cs="Arial"/>
          <w:i/>
          <w:iCs/>
          <w:color w:val="000000" w:themeColor="text1"/>
          <w:lang w:val="en-GB"/>
          <w14:textFill>
            <w14:solidFill>
              <w14:schemeClr w14:val="tx1"/>
            </w14:solidFill>
          </w14:textFill>
        </w:rPr>
        <w:t>et al</w:t>
      </w:r>
      <w:r>
        <w:rPr>
          <w:rFonts w:cs="Arial"/>
          <w:color w:val="000000" w:themeColor="text1"/>
          <w:lang w:val="en-GB"/>
          <w14:textFill>
            <w14:solidFill>
              <w14:schemeClr w14:val="tx1"/>
            </w14:solidFill>
          </w14:textFill>
        </w:rPr>
        <w:t>.  2024).  All the other financial and non-financial risks mentioned will constrain the company’s investment ability, capacity for effective managing of crises and profitability, thereby increasing importance of improving liquidity levels in the Hilton, through the reduced utilization of debt financing in capital structure.</w:t>
      </w:r>
    </w:p>
    <w:p w14:paraId="2FFDA521">
      <w:pPr>
        <w:pStyle w:val="3"/>
      </w:pPr>
      <w:bookmarkStart w:id="14" w:name="_Toc237522611"/>
      <w:r>
        <w:t>d. Benchmark Comparison</w:t>
      </w:r>
      <w:bookmarkEnd w:id="14"/>
    </w:p>
    <w:p w14:paraId="2A5086ED">
      <w:pPr>
        <w:pStyle w:val="15"/>
        <w:spacing w:before="240" w:beforeAutospacing="0" w:after="240" w:afterAutospacing="0" w:line="360" w:lineRule="auto"/>
        <w:jc w:val="both"/>
        <w:rPr>
          <w:rFonts w:cs="Arial"/>
          <w:lang w:val="en-GB"/>
        </w:rPr>
      </w:pPr>
      <w:r>
        <w:rPr>
          <w:rFonts w:cs="Arial"/>
          <w:color w:val="000000"/>
          <w:lang w:val="en-GB"/>
        </w:rPr>
        <w:t xml:space="preserve">Relative to industry benchmarks, Hilton’s profitability ratios outperform Accor and are comparable to Marriott and IHG. However, liquidity ratios are weaker, with Hilton’s current ratio of </w:t>
      </w:r>
      <w:r>
        <w:rPr>
          <w:rFonts w:cs="Arial"/>
          <w:b/>
          <w:bCs/>
          <w:color w:val="000000"/>
          <w:lang w:val="en-GB"/>
        </w:rPr>
        <w:t>0.66 in 2025</w:t>
      </w:r>
      <w:r>
        <w:rPr>
          <w:rFonts w:cs="Arial"/>
          <w:color w:val="000000"/>
          <w:lang w:val="en-GB"/>
        </w:rPr>
        <w:t xml:space="preserve"> trailing Marriott’s average of around </w:t>
      </w:r>
      <w:r>
        <w:rPr>
          <w:rFonts w:cs="Arial"/>
          <w:b/>
          <w:bCs/>
          <w:color w:val="000000"/>
          <w:lang w:val="en-GB"/>
        </w:rPr>
        <w:t>1.0</w:t>
      </w:r>
      <w:r>
        <w:rPr>
          <w:rFonts w:cs="Arial"/>
          <w:color w:val="000000"/>
          <w:lang w:val="en-GB"/>
        </w:rPr>
        <w:t>. This suggests Hilton is less prepared to meet short</w:t>
      </w:r>
      <w:r>
        <w:rPr>
          <w:rFonts w:cs="Arial"/>
          <w:color w:val="000000"/>
          <w:lang w:val="en-GB"/>
        </w:rPr>
        <w:noBreakHyphen/>
      </w:r>
      <w:r>
        <w:rPr>
          <w:rFonts w:cs="Arial"/>
          <w:color w:val="000000"/>
          <w:lang w:val="en-GB"/>
        </w:rPr>
        <w:t>term obligations compared to peers.</w:t>
      </w:r>
    </w:p>
    <w:p w14:paraId="05D07D73">
      <w:pPr>
        <w:pStyle w:val="2"/>
      </w:pPr>
      <w:bookmarkStart w:id="15" w:name="_Toc237522612"/>
      <w:r>
        <w:rPr>
          <w:rFonts w:eastAsia="Arial Unicode MS"/>
        </w:rPr>
        <w:t>2. Working Capital Management Analysis</w:t>
      </w:r>
      <w:bookmarkEnd w:id="15"/>
      <w:r>
        <w:rPr>
          <w:rFonts w:eastAsia="Arial Unicode MS"/>
        </w:rPr>
        <w:t xml:space="preserve">   </w:t>
      </w:r>
    </w:p>
    <w:p w14:paraId="2A6960A6">
      <w:pPr>
        <w:pStyle w:val="3"/>
      </w:pPr>
      <w:bookmarkStart w:id="16" w:name="_41xqoe8fidqy" w:colFirst="0" w:colLast="0"/>
      <w:bookmarkEnd w:id="16"/>
      <w:bookmarkStart w:id="17" w:name="_Toc237522613"/>
      <w:bookmarkStart w:id="18" w:name="_Toc237521098"/>
      <w:r>
        <w:t>a. Cash operating cycle</w:t>
      </w:r>
      <w:bookmarkEnd w:id="17"/>
      <w:bookmarkEnd w:id="18"/>
    </w:p>
    <w:p w14:paraId="27AD78C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The cash operating cycle (COC) is an indicator that calculates the length of time it takes for the firm to turn any investments made for both inventory and receivables into cash, while taking into account the time period of credit allowed by the suppliers. COC in Hilton Worldwide is influenced by the asset-light franchise model, which includes lower inventory costs compared to other hotels (Derowitsch </w:t>
      </w:r>
      <w:r>
        <w:rPr>
          <w:rFonts w:cs="Arial"/>
          <w:i/>
          <w:iCs/>
          <w:color w:val="000000" w:themeColor="text1"/>
          <w:lang w:val="en-GB"/>
          <w14:textFill>
            <w14:solidFill>
              <w14:schemeClr w14:val="tx1"/>
            </w14:solidFill>
          </w14:textFill>
        </w:rPr>
        <w:t>et al.</w:t>
      </w:r>
      <w:r>
        <w:rPr>
          <w:rFonts w:cs="Arial"/>
          <w:color w:val="000000" w:themeColor="text1"/>
          <w:lang w:val="en-GB"/>
          <w14:textFill>
            <w14:solidFill>
              <w14:schemeClr w14:val="tx1"/>
            </w14:solidFill>
          </w14:textFill>
        </w:rPr>
        <w:t>, 2025, p.5). The number of days required to turn receivables has decreased from 67 days in 2021 to 51 days in 2025, which means that the company collects payments from customers and franchisees much quicker than before. The appropriate time of credit payment could be managed through digital technology, which involves an automatic update system to identify income flow.</w:t>
      </w:r>
    </w:p>
    <w:p w14:paraId="450028AA">
      <w:pPr>
        <w:rPr>
          <w:rFonts w:cs="Arial"/>
          <w:lang w:val="en-GB"/>
        </w:rPr>
      </w:pPr>
      <w:r>
        <w:rPr>
          <w:rFonts w:cs="Arial"/>
          <w:lang w:val="en-GB"/>
        </w:rPr>
        <w:t xml:space="preserve">Despite the improvements made in terms of receivable efficiency by Hilton, the company is still under significant pressure when it comes to its cash operating cycle. The liabilities of the firm has increased in 2025 by $4.5 billion, but the assets value decreased to $3 billion. The result is that Hilton has a smaller liquidity buffer because its current ratio shrank from 0.95 in 2021 to 0.66 in 2025. The company’s quick ratio also fell from 0.83 to 0.45, indicating a decline in the immediate liquidity prospects.  </w:t>
      </w:r>
    </w:p>
    <w:p w14:paraId="3224D395">
      <w:pPr>
        <w:rPr>
          <w:rFonts w:cs="Arial"/>
          <w:lang w:val="en-GB"/>
        </w:rPr>
      </w:pPr>
      <w:r>
        <w:rPr>
          <w:rFonts w:cs="Arial"/>
          <w:lang w:val="en-GB"/>
        </w:rPr>
        <w:t>Overall, though receivable efficiency increased, the overall cash operating cycle of Hilton  remains pressured by limited current assets and increasing short</w:t>
      </w:r>
      <w:r>
        <w:rPr>
          <w:rFonts w:ascii="Cambria Math" w:hAnsi="Cambria Math" w:cs="Cambria Math"/>
          <w:lang w:val="en-GB"/>
        </w:rPr>
        <w:t>‑</w:t>
      </w:r>
      <w:r>
        <w:rPr>
          <w:rFonts w:cs="Arial"/>
          <w:lang w:val="en-GB"/>
        </w:rPr>
        <w:t>term obligations</w:t>
      </w:r>
    </w:p>
    <w:p w14:paraId="49D5BC17">
      <w:pPr>
        <w:pStyle w:val="3"/>
      </w:pPr>
      <w:bookmarkStart w:id="19" w:name="_v9emu3hcbheu" w:colFirst="0" w:colLast="0"/>
      <w:bookmarkEnd w:id="19"/>
      <w:bookmarkStart w:id="20" w:name="_Toc237521099"/>
      <w:bookmarkStart w:id="21" w:name="_Toc237522614"/>
      <w:r>
        <w:t>b. Recommendations to improve liquidity through working capital reforms</w:t>
      </w:r>
      <w:bookmarkEnd w:id="20"/>
      <w:bookmarkEnd w:id="21"/>
    </w:p>
    <w:p w14:paraId="279DAAB4">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The liquidity of the firm could be improved through technological integration, better price structure, and proper financial statements.  </w:t>
      </w:r>
    </w:p>
    <w:p w14:paraId="66AA87E4">
      <w:pPr>
        <w:rPr>
          <w:rFonts w:cs="Arial"/>
          <w:lang w:val="en-GB"/>
        </w:rPr>
      </w:pPr>
      <w:r>
        <w:rPr>
          <w:rFonts w:cs="Arial"/>
          <w:b/>
          <w:bCs/>
          <w:i/>
          <w:iCs/>
          <w:lang w:val="en-GB"/>
        </w:rPr>
        <w:t>Technological Integration:</w:t>
      </w:r>
      <w:r>
        <w:rPr>
          <w:rFonts w:cs="Arial"/>
          <w:lang w:val="en-GB"/>
        </w:rPr>
        <w:t xml:space="preserve"> The firm could adopt digital technology to manage its financial structure in its business. The digital technology refers to artificial intelligence (AI), which could be appropriate to enhance the financial performance of the firm through an automated monitoring system (Matta, 2026, p.733). This automated system provides overall details of profit and financial loss within the firm. The firm could use it to improve its financial stability in the global hospitality sector.</w:t>
      </w:r>
    </w:p>
    <w:p w14:paraId="372C2120">
      <w:pPr>
        <w:rPr>
          <w:rFonts w:cs="Arial"/>
          <w:lang w:val="en-GB"/>
        </w:rPr>
      </w:pPr>
      <w:r>
        <w:rPr>
          <w:rFonts w:cs="Arial"/>
          <w:b/>
          <w:bCs/>
          <w:i/>
          <w:iCs/>
          <w:lang w:val="en-GB"/>
        </w:rPr>
        <w:t xml:space="preserve">Dynamic Pricing Structure: </w:t>
      </w:r>
      <w:r>
        <w:rPr>
          <w:rFonts w:cs="Arial"/>
          <w:lang w:val="en-GB"/>
        </w:rPr>
        <w:t>Hilton Worldwide could also maintain a dynamic pricing structure to maintain a proper financial balance. Dynamic pricing means appropriate pricing of suppliers, distributors, and customers, which helps with better control of revenues and expenses in inventory management (Li &amp; Mizuno 2022). Furthermore, Hilton must review its supplier contracts to potentially change payment schemes in order to keep the relationship with its suppliers intact as well as exploit its size for better payment terms by prolonging accounts payable.</w:t>
      </w:r>
    </w:p>
    <w:p w14:paraId="32FFA6A9">
      <w:pPr>
        <w:rPr>
          <w:rFonts w:cs="Arial"/>
          <w:lang w:val="en-GB"/>
        </w:rPr>
      </w:pPr>
      <w:r>
        <w:rPr>
          <w:rFonts w:cs="Arial"/>
          <w:b/>
          <w:bCs/>
          <w:i/>
          <w:iCs/>
          <w:lang w:val="en-GB"/>
        </w:rPr>
        <w:t xml:space="preserve">Balanced Financial Statements: </w:t>
      </w:r>
      <w:r>
        <w:rPr>
          <w:rFonts w:cs="Arial"/>
          <w:lang w:val="en-GB"/>
        </w:rPr>
        <w:t>Hilton needs to make certain changes in managing working capital to improve liquidity. First, the process of managing accounts receivable has to be improved through enhanced use of electronic payments instead of manual invoicing. Additionally, Hilton could implement different forms of incentives for franchisees and corporations to encourage them to pay sooner.</w:t>
      </w:r>
    </w:p>
    <w:p w14:paraId="14A979AA">
      <w:pPr>
        <w:rPr>
          <w:rFonts w:cs="Arial"/>
          <w:lang w:val="en-GB"/>
        </w:rPr>
      </w:pPr>
      <w:r>
        <w:rPr>
          <w:rFonts w:cs="Arial"/>
          <w:lang w:val="en-GB"/>
        </w:rPr>
        <w:t>Further, the company also need to improve its inventory (owned properties) management. The much-praised asset-light model of Hilton still generates food and beverage operations and thus requires effective stock control in the restaurant and gastronomy sector. The implementation of predictive analytics can help it to reduce food wastage while saving expenses required to hold inventory.</w:t>
      </w:r>
    </w:p>
    <w:p w14:paraId="44AD212F">
      <w:pPr>
        <w:rPr>
          <w:rFonts w:cs="Arial"/>
          <w:lang w:val="en-GB"/>
        </w:rPr>
      </w:pPr>
    </w:p>
    <w:p w14:paraId="40DEEB48">
      <w:pPr>
        <w:pStyle w:val="3"/>
      </w:pPr>
      <w:bookmarkStart w:id="22" w:name="_f3lmrhpzdexc" w:colFirst="0" w:colLast="0"/>
      <w:bookmarkEnd w:id="22"/>
      <w:bookmarkStart w:id="23" w:name="_Toc237521100"/>
      <w:bookmarkStart w:id="24" w:name="_Toc237522615"/>
      <w:r>
        <w:t>c. Comparison between short-term and long-term financing options</w:t>
      </w:r>
      <w:bookmarkEnd w:id="23"/>
      <w:bookmarkEnd w:id="24"/>
    </w:p>
    <w:p w14:paraId="42F4EF84">
      <w:pPr>
        <w:rPr>
          <w:rFonts w:cs="Arial"/>
          <w:lang w:val="en-GB"/>
        </w:rPr>
      </w:pPr>
      <w:r>
        <w:rPr>
          <w:rFonts w:cs="Arial"/>
          <w:lang w:val="en-GB"/>
        </w:rPr>
        <w:t>Hilton’s financing strategy needs to be able to ensure appropriate cash flow and a steady capital structure over time. The options are elaborated in Table 1.</w:t>
      </w:r>
    </w:p>
    <w:tbl>
      <w:tblPr>
        <w:tblStyle w:val="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365"/>
        <w:gridCol w:w="3141"/>
        <w:gridCol w:w="2728"/>
        <w:gridCol w:w="2326"/>
      </w:tblGrid>
      <w:tr w14:paraId="08D922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96" w:hRule="atLeast"/>
          <w:jc w:val="center"/>
        </w:trPr>
        <w:tc>
          <w:tcPr>
            <w:tcW w:w="714" w:type="pct"/>
            <w:tcMar>
              <w:top w:w="100" w:type="dxa"/>
              <w:left w:w="100" w:type="dxa"/>
              <w:bottom w:w="100" w:type="dxa"/>
              <w:right w:w="100" w:type="dxa"/>
            </w:tcMar>
          </w:tcPr>
          <w:p w14:paraId="499563EF">
            <w:pPr>
              <w:widowControl w:val="0"/>
              <w:pBdr>
                <w:top w:val="none" w:color="auto" w:sz="0" w:space="0"/>
                <w:left w:val="none" w:color="auto" w:sz="0" w:space="0"/>
                <w:bottom w:val="none" w:color="auto" w:sz="0" w:space="0"/>
                <w:right w:val="none" w:color="auto" w:sz="0" w:space="0"/>
                <w:between w:val="none" w:color="auto" w:sz="0" w:space="0"/>
              </w:pBdr>
              <w:rPr>
                <w:rFonts w:cs="Arial"/>
                <w:b/>
                <w:bCs/>
                <w:lang w:val="en-GB"/>
              </w:rPr>
            </w:pPr>
            <w:r>
              <w:rPr>
                <w:rFonts w:cs="Arial"/>
                <w:b/>
                <w:bCs/>
                <w:lang w:val="en-GB"/>
              </w:rPr>
              <w:t>Financing Options</w:t>
            </w:r>
          </w:p>
        </w:tc>
        <w:tc>
          <w:tcPr>
            <w:tcW w:w="1643" w:type="pct"/>
            <w:tcMar>
              <w:top w:w="100" w:type="dxa"/>
              <w:left w:w="100" w:type="dxa"/>
              <w:bottom w:w="100" w:type="dxa"/>
              <w:right w:w="100" w:type="dxa"/>
            </w:tcMar>
          </w:tcPr>
          <w:p w14:paraId="03279E85">
            <w:pPr>
              <w:widowControl w:val="0"/>
              <w:pBdr>
                <w:top w:val="none" w:color="auto" w:sz="0" w:space="0"/>
                <w:left w:val="none" w:color="auto" w:sz="0" w:space="0"/>
                <w:bottom w:val="none" w:color="auto" w:sz="0" w:space="0"/>
                <w:right w:val="none" w:color="auto" w:sz="0" w:space="0"/>
                <w:between w:val="none" w:color="auto" w:sz="0" w:space="0"/>
              </w:pBdr>
              <w:rPr>
                <w:rFonts w:cs="Arial"/>
                <w:b/>
                <w:bCs/>
                <w:lang w:val="en-GB"/>
              </w:rPr>
            </w:pPr>
            <w:r>
              <w:rPr>
                <w:rFonts w:cs="Arial"/>
                <w:b/>
                <w:bCs/>
                <w:lang w:val="en-GB"/>
              </w:rPr>
              <w:t>Description</w:t>
            </w:r>
          </w:p>
        </w:tc>
        <w:tc>
          <w:tcPr>
            <w:tcW w:w="1427" w:type="pct"/>
            <w:tcMar>
              <w:top w:w="100" w:type="dxa"/>
              <w:left w:w="100" w:type="dxa"/>
              <w:bottom w:w="100" w:type="dxa"/>
              <w:right w:w="100" w:type="dxa"/>
            </w:tcMar>
          </w:tcPr>
          <w:p w14:paraId="21F90DDD">
            <w:pPr>
              <w:widowControl w:val="0"/>
              <w:pBdr>
                <w:top w:val="none" w:color="auto" w:sz="0" w:space="0"/>
                <w:left w:val="none" w:color="auto" w:sz="0" w:space="0"/>
                <w:bottom w:val="none" w:color="auto" w:sz="0" w:space="0"/>
                <w:right w:val="none" w:color="auto" w:sz="0" w:space="0"/>
                <w:between w:val="none" w:color="auto" w:sz="0" w:space="0"/>
              </w:pBdr>
              <w:rPr>
                <w:rFonts w:cs="Arial"/>
                <w:b/>
                <w:bCs/>
                <w:lang w:val="en-GB"/>
              </w:rPr>
            </w:pPr>
            <w:r>
              <w:rPr>
                <w:rFonts w:cs="Arial"/>
                <w:b/>
                <w:bCs/>
                <w:lang w:val="en-GB"/>
              </w:rPr>
              <w:t>Advantages</w:t>
            </w:r>
          </w:p>
        </w:tc>
        <w:tc>
          <w:tcPr>
            <w:tcW w:w="1216" w:type="pct"/>
            <w:tcMar>
              <w:top w:w="100" w:type="dxa"/>
              <w:left w:w="100" w:type="dxa"/>
              <w:bottom w:w="100" w:type="dxa"/>
              <w:right w:w="100" w:type="dxa"/>
            </w:tcMar>
          </w:tcPr>
          <w:p w14:paraId="6A959DF1">
            <w:pPr>
              <w:widowControl w:val="0"/>
              <w:pBdr>
                <w:top w:val="none" w:color="auto" w:sz="0" w:space="0"/>
                <w:left w:val="none" w:color="auto" w:sz="0" w:space="0"/>
                <w:bottom w:val="none" w:color="auto" w:sz="0" w:space="0"/>
                <w:right w:val="none" w:color="auto" w:sz="0" w:space="0"/>
                <w:between w:val="none" w:color="auto" w:sz="0" w:space="0"/>
              </w:pBdr>
              <w:rPr>
                <w:rFonts w:cs="Arial"/>
                <w:b/>
                <w:bCs/>
                <w:lang w:val="en-GB"/>
              </w:rPr>
            </w:pPr>
            <w:r>
              <w:rPr>
                <w:rFonts w:cs="Arial"/>
                <w:b/>
                <w:bCs/>
                <w:lang w:val="en-GB"/>
              </w:rPr>
              <w:t>Disadvantages</w:t>
            </w:r>
          </w:p>
        </w:tc>
      </w:tr>
      <w:tr w14:paraId="77DD6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714" w:type="pct"/>
            <w:tcMar>
              <w:top w:w="100" w:type="dxa"/>
              <w:left w:w="100" w:type="dxa"/>
              <w:bottom w:w="100" w:type="dxa"/>
              <w:right w:w="100" w:type="dxa"/>
            </w:tcMar>
          </w:tcPr>
          <w:p w14:paraId="0D09D34A">
            <w:pPr>
              <w:widowControl w:val="0"/>
              <w:rPr>
                <w:rFonts w:cs="Arial"/>
                <w:b/>
                <w:bCs/>
                <w:i/>
                <w:iCs/>
                <w:lang w:val="en-GB"/>
              </w:rPr>
            </w:pPr>
            <w:r>
              <w:rPr>
                <w:rFonts w:cs="Arial"/>
                <w:b/>
                <w:bCs/>
                <w:i/>
                <w:iCs/>
                <w:lang w:val="en-GB"/>
              </w:rPr>
              <w:t>Short-term</w:t>
            </w:r>
          </w:p>
        </w:tc>
        <w:tc>
          <w:tcPr>
            <w:tcW w:w="1643" w:type="pct"/>
            <w:tcMar>
              <w:top w:w="100" w:type="dxa"/>
              <w:left w:w="100" w:type="dxa"/>
              <w:bottom w:w="100" w:type="dxa"/>
              <w:right w:w="100" w:type="dxa"/>
            </w:tcMar>
          </w:tcPr>
          <w:p w14:paraId="4CFB79C0">
            <w:pPr>
              <w:rPr>
                <w:rFonts w:cs="Arial"/>
                <w:lang w:val="en-GB"/>
              </w:rPr>
            </w:pPr>
            <w:r>
              <w:rPr>
                <w:rFonts w:cs="Arial"/>
                <w:lang w:val="en-GB"/>
              </w:rPr>
              <w:t xml:space="preserve">Hilton has access to a variety of short-term financial instruments such as short-term loans, commercial papers, and revolving credits that allow the firm to rapidly secure financing in an emergency situation prompted by a low current ratio relative to the current ratios of its rivals (Rice </w:t>
            </w:r>
            <w:r>
              <w:rPr>
                <w:rFonts w:cs="Arial"/>
                <w:i/>
                <w:iCs/>
                <w:lang w:val="en-GB"/>
              </w:rPr>
              <w:t>et al</w:t>
            </w:r>
            <w:r>
              <w:rPr>
                <w:rFonts w:cs="Arial"/>
                <w:lang w:val="en-GB"/>
              </w:rPr>
              <w:t>., 2023, p.61).</w:t>
            </w:r>
          </w:p>
        </w:tc>
        <w:tc>
          <w:tcPr>
            <w:tcW w:w="1427" w:type="pct"/>
            <w:tcMar>
              <w:top w:w="100" w:type="dxa"/>
              <w:left w:w="100" w:type="dxa"/>
              <w:bottom w:w="100" w:type="dxa"/>
              <w:right w:w="100" w:type="dxa"/>
            </w:tcMar>
          </w:tcPr>
          <w:p w14:paraId="667A999B">
            <w:pPr>
              <w:widowControl w:val="0"/>
              <w:pBdr>
                <w:top w:val="none" w:color="auto" w:sz="0" w:space="0"/>
                <w:left w:val="none" w:color="auto" w:sz="0" w:space="0"/>
                <w:bottom w:val="none" w:color="auto" w:sz="0" w:space="0"/>
                <w:right w:val="none" w:color="auto" w:sz="0" w:space="0"/>
                <w:between w:val="none" w:color="auto" w:sz="0" w:space="0"/>
              </w:pBdr>
              <w:rPr>
                <w:rFonts w:cs="Arial"/>
                <w:lang w:val="en-GB"/>
              </w:rPr>
            </w:pPr>
            <w:r>
              <w:rPr>
                <w:rFonts w:cs="Arial"/>
                <w:color w:val="000000" w:themeColor="text1"/>
                <w:lang w:val="en-GB"/>
                <w14:textFill>
                  <w14:solidFill>
                    <w14:schemeClr w14:val="tx1"/>
                  </w14:solidFill>
                </w14:textFill>
              </w:rPr>
              <w:t>The short-term financing maintain stability through bank loans and credits (Jain, 2024, p.12).</w:t>
            </w:r>
          </w:p>
        </w:tc>
        <w:tc>
          <w:tcPr>
            <w:tcW w:w="1216" w:type="pct"/>
            <w:tcMar>
              <w:top w:w="100" w:type="dxa"/>
              <w:left w:w="100" w:type="dxa"/>
              <w:bottom w:w="100" w:type="dxa"/>
              <w:right w:w="100" w:type="dxa"/>
            </w:tcMar>
          </w:tcPr>
          <w:p w14:paraId="0863CDDE">
            <w:pPr>
              <w:widowControl w:val="0"/>
              <w:pBdr>
                <w:top w:val="none" w:color="auto" w:sz="0" w:space="0"/>
                <w:left w:val="none" w:color="auto" w:sz="0" w:space="0"/>
                <w:bottom w:val="none" w:color="auto" w:sz="0" w:space="0"/>
                <w:right w:val="none" w:color="auto" w:sz="0" w:space="0"/>
                <w:between w:val="none" w:color="auto" w:sz="0" w:space="0"/>
              </w:pBdr>
              <w:rPr>
                <w:rFonts w:cs="Arial"/>
                <w:lang w:val="en-GB"/>
              </w:rPr>
            </w:pPr>
            <w:r>
              <w:rPr>
                <w:rFonts w:cs="Arial"/>
                <w:color w:val="000000" w:themeColor="text1"/>
                <w:lang w:val="en-GB"/>
                <w14:textFill>
                  <w14:solidFill>
                    <w14:schemeClr w14:val="tx1"/>
                  </w14:solidFill>
                </w14:textFill>
              </w:rPr>
              <w:t>This financing option also involves limitations related to higher interest rates, which disrupt financial statement.</w:t>
            </w:r>
          </w:p>
        </w:tc>
      </w:tr>
      <w:tr w14:paraId="38BF8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714" w:type="pct"/>
            <w:tcMar>
              <w:top w:w="100" w:type="dxa"/>
              <w:left w:w="100" w:type="dxa"/>
              <w:bottom w:w="100" w:type="dxa"/>
              <w:right w:w="100" w:type="dxa"/>
            </w:tcMar>
          </w:tcPr>
          <w:p w14:paraId="04161824">
            <w:pPr>
              <w:widowControl w:val="0"/>
              <w:rPr>
                <w:rFonts w:cs="Arial"/>
                <w:b/>
                <w:bCs/>
                <w:i/>
                <w:iCs/>
                <w:lang w:val="en-GB"/>
              </w:rPr>
            </w:pPr>
            <w:r>
              <w:rPr>
                <w:rFonts w:cs="Arial"/>
                <w:b/>
                <w:bCs/>
                <w:i/>
                <w:iCs/>
                <w:lang w:val="en-GB"/>
              </w:rPr>
              <w:t>Long-term</w:t>
            </w:r>
          </w:p>
        </w:tc>
        <w:tc>
          <w:tcPr>
            <w:tcW w:w="1643" w:type="pct"/>
            <w:tcMar>
              <w:top w:w="100" w:type="dxa"/>
              <w:left w:w="100" w:type="dxa"/>
              <w:bottom w:w="100" w:type="dxa"/>
              <w:right w:w="100" w:type="dxa"/>
            </w:tcMar>
          </w:tcPr>
          <w:p w14:paraId="5EA8BCC5">
            <w:pPr>
              <w:widowControl w:val="0"/>
              <w:rPr>
                <w:rFonts w:cs="Arial"/>
                <w:lang w:val="en-GB"/>
              </w:rPr>
            </w:pPr>
            <w:r>
              <w:rPr>
                <w:rFonts w:cs="Arial"/>
                <w:lang w:val="en-GB"/>
              </w:rPr>
              <w:t>Long-term funding choices consist of equity financing, bond financing, and long-term loans (Bauer</w:t>
            </w:r>
            <w:r>
              <w:rPr>
                <w:rFonts w:cs="Arial"/>
                <w:i/>
                <w:iCs/>
                <w:lang w:val="en-GB"/>
              </w:rPr>
              <w:t xml:space="preserve"> et al.,</w:t>
            </w:r>
            <w:r>
              <w:rPr>
                <w:rFonts w:cs="Arial"/>
                <w:lang w:val="en-GB"/>
              </w:rPr>
              <w:t xml:space="preserve"> 2024, p.1367). Equity financing will enhance Hilton's balance sheet by eliminating negative equity while potentially diluting the existing shareholders. The bonds issuance allows getting stable funds necessary for the development plans but increases long-term costs because of the bigger capital costs. Given the situation with Hilton's equity, it should use bonds sparingly to avoid building up debts.</w:t>
            </w:r>
          </w:p>
        </w:tc>
        <w:tc>
          <w:tcPr>
            <w:tcW w:w="1427" w:type="pct"/>
            <w:tcMar>
              <w:top w:w="100" w:type="dxa"/>
              <w:left w:w="100" w:type="dxa"/>
              <w:bottom w:w="100" w:type="dxa"/>
              <w:right w:w="100" w:type="dxa"/>
            </w:tcMar>
          </w:tcPr>
          <w:p w14:paraId="0A5ECB67">
            <w:pPr>
              <w:widowControl w:val="0"/>
              <w:pBdr>
                <w:top w:val="none" w:color="auto" w:sz="0" w:space="0"/>
                <w:left w:val="none" w:color="auto" w:sz="0" w:space="0"/>
                <w:bottom w:val="none" w:color="auto" w:sz="0" w:space="0"/>
                <w:right w:val="none" w:color="auto" w:sz="0" w:space="0"/>
                <w:between w:val="none" w:color="auto" w:sz="0" w:space="0"/>
              </w:pBdr>
              <w:rPr>
                <w:rFonts w:cs="Arial"/>
                <w:lang w:val="en-GB"/>
              </w:rPr>
            </w:pPr>
            <w:r>
              <w:rPr>
                <w:rFonts w:cs="Arial"/>
                <w:lang w:val="en-GB"/>
              </w:rPr>
              <w:t>The long-term financing option maintains flexibility in the financial statement as compared to the short-term approach. This strategy also ensures lower interest costs for bank loans and debts.</w:t>
            </w:r>
          </w:p>
        </w:tc>
        <w:tc>
          <w:tcPr>
            <w:tcW w:w="1216" w:type="pct"/>
            <w:tcMar>
              <w:top w:w="100" w:type="dxa"/>
              <w:left w:w="100" w:type="dxa"/>
              <w:bottom w:w="100" w:type="dxa"/>
              <w:right w:w="100" w:type="dxa"/>
            </w:tcMar>
          </w:tcPr>
          <w:p w14:paraId="71ADEF3A">
            <w:pPr>
              <w:widowControl w:val="0"/>
              <w:pBdr>
                <w:top w:val="none" w:color="auto" w:sz="0" w:space="0"/>
                <w:left w:val="none" w:color="auto" w:sz="0" w:space="0"/>
                <w:bottom w:val="none" w:color="auto" w:sz="0" w:space="0"/>
                <w:right w:val="none" w:color="auto" w:sz="0" w:space="0"/>
                <w:between w:val="none" w:color="auto" w:sz="0" w:space="0"/>
              </w:pBdr>
              <w:rPr>
                <w:rFonts w:cs="Arial"/>
                <w:lang w:val="en-GB"/>
              </w:rPr>
            </w:pPr>
            <w:r>
              <w:rPr>
                <w:rFonts w:cs="Arial"/>
                <w:lang w:val="en-GB"/>
              </w:rPr>
              <w:t>This financing option also involves challenges of limited access to the capital market, which disrupts corporate financing requirements (Ramadhan, 2025, p.32).</w:t>
            </w:r>
          </w:p>
        </w:tc>
      </w:tr>
    </w:tbl>
    <w:p w14:paraId="2316F0B0">
      <w:pPr>
        <w:jc w:val="center"/>
        <w:rPr>
          <w:rFonts w:cs="Arial"/>
          <w:b/>
          <w:bCs/>
          <w:lang w:val="en-GB"/>
        </w:rPr>
      </w:pPr>
      <w:r>
        <w:rPr>
          <w:rFonts w:cs="Arial"/>
          <w:b/>
          <w:bCs/>
          <w:lang w:val="en-GB"/>
        </w:rPr>
        <w:t>Table 1: Comparison</w:t>
      </w:r>
    </w:p>
    <w:p w14:paraId="6C140C39">
      <w:pPr>
        <w:jc w:val="center"/>
        <w:rPr>
          <w:rFonts w:cs="Arial"/>
          <w:lang w:val="en-GB"/>
        </w:rPr>
      </w:pPr>
      <w:r>
        <w:rPr>
          <w:rFonts w:cs="Arial"/>
          <w:lang w:val="en-GB"/>
        </w:rPr>
        <w:t>(Source: Self-Created)</w:t>
      </w:r>
    </w:p>
    <w:p w14:paraId="1DDC512B">
      <w:pPr>
        <w:rPr>
          <w:rFonts w:cs="Arial"/>
          <w:b/>
          <w:bCs/>
          <w:lang w:val="en-GB"/>
        </w:rPr>
      </w:pPr>
      <w:r>
        <w:rPr>
          <w:rFonts w:cs="Arial"/>
          <w:b/>
          <w:bCs/>
          <w:lang w:val="en-GB"/>
        </w:rPr>
        <w:t xml:space="preserve">Recommended approach </w:t>
      </w:r>
    </w:p>
    <w:p w14:paraId="78E860A4">
      <w:pPr>
        <w:rPr>
          <w:rFonts w:cs="Arial"/>
          <w:lang w:val="en-GB"/>
        </w:rPr>
      </w:pPr>
      <w:r>
        <w:rPr>
          <w:rFonts w:cs="Arial"/>
          <w:lang w:val="en-GB"/>
        </w:rPr>
        <w:t>From the above analysis, the recommended way is to adopt a balanced approach. It is advisable for Hilton to make use of short-term financing so as to counter immediate liquidity pressures and seek long-term financing selectively. For example, by issuing green bonds associated with sustainability projects, Hilton will be able to attract ESG investors and enhance its brand image (Rivera, 2022, p.197). Also, capital injections will contribute to decreasing the leverage of the company and building a strong equity position.</w:t>
      </w:r>
    </w:p>
    <w:p w14:paraId="00000005">
      <w:pPr>
        <w:pStyle w:val="2"/>
      </w:pPr>
      <w:bookmarkStart w:id="25" w:name="_Toc237522616"/>
      <w:r>
        <w:t>3. Strategic Financial Restructuring Plan</w:t>
      </w:r>
      <w:bookmarkEnd w:id="25"/>
    </w:p>
    <w:p w14:paraId="00000006">
      <w:pPr>
        <w:pStyle w:val="3"/>
      </w:pPr>
      <w:bookmarkStart w:id="26" w:name="_qzt55hkhfdhj" w:colFirst="0" w:colLast="0"/>
      <w:bookmarkEnd w:id="26"/>
      <w:bookmarkStart w:id="27" w:name="_Toc237522617"/>
      <w:r>
        <w:t>a. Recommended Financial Restructuring Options</w:t>
      </w:r>
      <w:bookmarkEnd w:id="27"/>
    </w:p>
    <w:p w14:paraId="00000007">
      <w:pPr>
        <w:rPr>
          <w:rFonts w:eastAsia="Arial" w:cs="Arial"/>
          <w:lang w:val="en-GB"/>
        </w:rPr>
      </w:pPr>
      <w:r>
        <w:rPr>
          <w:rFonts w:eastAsia="Arial" w:cs="Arial"/>
          <w:lang w:val="en-GB"/>
        </w:rPr>
        <w:t>Hilton Worldwide Holdings Inc. has shown goo</w:t>
      </w:r>
      <w:r>
        <w:rPr>
          <w:rFonts w:cs="Arial"/>
          <w:lang w:val="en-GB"/>
        </w:rPr>
        <w:t>d revenue and profit growth from 2021 to 2025. However, its balance sheet is extremely leveraged, with liabilitie</w:t>
      </w:r>
      <w:r>
        <w:rPr>
          <w:rFonts w:eastAsia="Arial" w:cs="Arial"/>
          <w:lang w:val="en-GB"/>
        </w:rPr>
        <w:t xml:space="preserve">s higher than assets and with negative shareholder equity. Several types of restructuring strategies could be considered in order to address the weakness of its structure which are going to be discussed below. </w:t>
      </w:r>
    </w:p>
    <w:p w14:paraId="00000008">
      <w:pPr>
        <w:rPr>
          <w:rFonts w:eastAsia="Arial" w:cs="Arial"/>
          <w:b/>
          <w:bCs/>
          <w:i/>
          <w:iCs/>
          <w:lang w:val="en-GB"/>
        </w:rPr>
      </w:pPr>
      <w:r>
        <w:rPr>
          <w:rFonts w:eastAsia="Arial" w:cs="Arial"/>
          <w:b/>
          <w:bCs/>
          <w:i/>
          <w:iCs/>
          <w:lang w:val="en-GB"/>
        </w:rPr>
        <w:t>Divestiture of underperforming owned properties</w:t>
      </w:r>
    </w:p>
    <w:p w14:paraId="00000009">
      <w:pPr>
        <w:rPr>
          <w:rFonts w:eastAsia="Arial" w:cs="Arial"/>
          <w:lang w:val="en-GB"/>
        </w:rPr>
      </w:pPr>
      <w:r>
        <w:rPr>
          <w:rFonts w:eastAsia="Arial" w:cs="Arial"/>
          <w:lang w:val="en-GB"/>
        </w:rPr>
        <w:t>First, selling non-core company-owned facilities will lower cash needs and result in higher return on capital, as well as cash needed to cover the company’s borrowings. The company has already demonstrated its profit from the capital-light, company-owned facilities model and the existing as evidenced in company metrics ratio, Hilton can maintain its capital-light model for a long time.</w:t>
      </w:r>
    </w:p>
    <w:p w14:paraId="0000000A">
      <w:pPr>
        <w:rPr>
          <w:rFonts w:eastAsia="Arial" w:cs="Arial"/>
          <w:b/>
          <w:bCs/>
          <w:i/>
          <w:iCs/>
          <w:lang w:val="en-GB"/>
        </w:rPr>
      </w:pPr>
      <w:r>
        <w:rPr>
          <w:rFonts w:eastAsia="Arial" w:cs="Arial"/>
          <w:b/>
          <w:bCs/>
          <w:i/>
          <w:iCs/>
          <w:lang w:val="en-GB"/>
        </w:rPr>
        <w:t>Equity injection</w:t>
      </w:r>
    </w:p>
    <w:p w14:paraId="0000000B">
      <w:pPr>
        <w:rPr>
          <w:rFonts w:eastAsia="Arial" w:cs="Arial"/>
          <w:lang w:val="en-GB"/>
        </w:rPr>
      </w:pPr>
      <w:r>
        <w:rPr>
          <w:rFonts w:eastAsia="Arial" w:cs="Arial"/>
          <w:lang w:val="en-GB"/>
        </w:rPr>
        <w:t>Second, an equity infusion can bolster Hilton’s balance sheet, mainly the capital base and bring equity into positive territory. The new capital can be raised through a share issuance, private equity transaction or sale to a strategic partner. Equity injections can reduce leverage, make better loan (credit) ratios and boost financial flexibility (Ebrahimi and Al</w:t>
      </w:r>
      <w:r>
        <w:rPr>
          <w:rFonts w:ascii="Cambria Math" w:hAnsi="Cambria Math" w:eastAsia="Arial" w:cs="Cambria Math"/>
          <w:lang w:val="en-GB"/>
        </w:rPr>
        <w:t>‐</w:t>
      </w:r>
      <w:r>
        <w:rPr>
          <w:rFonts w:eastAsia="Arial" w:cs="Arial"/>
          <w:lang w:val="en-GB"/>
        </w:rPr>
        <w:t>Najjar, 2025, p. 25).</w:t>
      </w:r>
    </w:p>
    <w:p w14:paraId="0000000C">
      <w:pPr>
        <w:rPr>
          <w:rFonts w:eastAsia="Arial" w:cs="Arial"/>
          <w:b/>
          <w:bCs/>
          <w:i/>
          <w:iCs/>
          <w:lang w:val="en-GB"/>
        </w:rPr>
      </w:pPr>
      <w:r>
        <w:rPr>
          <w:rFonts w:eastAsia="Arial" w:cs="Arial"/>
          <w:b/>
          <w:bCs/>
          <w:i/>
          <w:iCs/>
          <w:lang w:val="en-GB"/>
        </w:rPr>
        <w:t>Mergers or strategic alliances</w:t>
      </w:r>
    </w:p>
    <w:p w14:paraId="0000000D">
      <w:pPr>
        <w:rPr>
          <w:rFonts w:eastAsia="Arial" w:cs="Arial"/>
          <w:lang w:val="en-GB"/>
        </w:rPr>
      </w:pPr>
      <w:r>
        <w:rPr>
          <w:rFonts w:eastAsia="Arial" w:cs="Arial"/>
          <w:lang w:val="en-GB"/>
        </w:rPr>
        <w:t>Another way Hilton could approach it is through a joint venture or a merger, with a company within the developing country. This would allow Hilton to leverage existing distribution channels and share risk with an existing player within the market, with a limited capital investment. A further benefit of this is that currency and regulatory risks are shared.</w:t>
      </w:r>
    </w:p>
    <w:p w14:paraId="0000000E">
      <w:pPr>
        <w:rPr>
          <w:rFonts w:eastAsia="Arial" w:cs="Arial"/>
          <w:b/>
          <w:bCs/>
          <w:i/>
          <w:iCs/>
          <w:lang w:val="en-GB"/>
        </w:rPr>
      </w:pPr>
      <w:r>
        <w:rPr>
          <w:rFonts w:eastAsia="Arial" w:cs="Arial"/>
          <w:b/>
          <w:bCs/>
          <w:i/>
          <w:iCs/>
          <w:lang w:val="en-GB"/>
        </w:rPr>
        <w:t>Green bond issuance</w:t>
      </w:r>
    </w:p>
    <w:p w14:paraId="0000000F">
      <w:pPr>
        <w:rPr>
          <w:rFonts w:eastAsia="Arial" w:cs="Arial"/>
          <w:lang w:val="en-GB"/>
        </w:rPr>
      </w:pPr>
      <w:r>
        <w:rPr>
          <w:rFonts w:eastAsia="Arial" w:cs="Arial"/>
          <w:lang w:val="en-GB"/>
        </w:rPr>
        <w:t xml:space="preserve">Secondly, Hilton could employ green bonds in conjunction with its sustainability projects for the Travel with Purpose strategy (Juthi </w:t>
      </w:r>
      <w:r>
        <w:rPr>
          <w:rFonts w:eastAsia="Arial" w:cs="Arial"/>
          <w:i/>
          <w:iCs/>
          <w:lang w:val="en-GB"/>
        </w:rPr>
        <w:t>et al</w:t>
      </w:r>
      <w:r>
        <w:rPr>
          <w:rFonts w:eastAsia="Arial" w:cs="Arial"/>
          <w:lang w:val="en-GB"/>
        </w:rPr>
        <w:t>., 2025, p. 26). ESG-focused investors could be attracted to the new bonds, the lending will offer a more diverse source of finance, and social responsibility would also be integrated into the debt restructure strategy.</w:t>
      </w:r>
    </w:p>
    <w:p w14:paraId="00000010">
      <w:pPr>
        <w:pStyle w:val="3"/>
      </w:pPr>
      <w:bookmarkStart w:id="28" w:name="_4h91nvdv74zz" w:colFirst="0" w:colLast="0"/>
      <w:bookmarkEnd w:id="28"/>
      <w:bookmarkStart w:id="29" w:name="_Toc237522618"/>
      <w:r>
        <w:t>b. Impact on Shareholder Value, Debt Structure, and Operational Flexibility</w:t>
      </w:r>
      <w:bookmarkEnd w:id="29"/>
    </w:p>
    <w:p w14:paraId="00000011">
      <w:pPr>
        <w:rPr>
          <w:rFonts w:eastAsia="Arial" w:cs="Arial"/>
          <w:b/>
          <w:bCs/>
          <w:i/>
          <w:iCs/>
          <w:lang w:val="en-GB"/>
        </w:rPr>
      </w:pPr>
      <w:r>
        <w:rPr>
          <w:rFonts w:eastAsia="Arial" w:cs="Arial"/>
          <w:b/>
          <w:bCs/>
          <w:i/>
          <w:iCs/>
          <w:lang w:val="en-GB"/>
        </w:rPr>
        <w:t>Shareholder Value</w:t>
      </w:r>
    </w:p>
    <w:p w14:paraId="00000012">
      <w:pPr>
        <w:rPr>
          <w:rFonts w:eastAsia="Arial" w:cs="Arial"/>
          <w:lang w:val="en-GB"/>
        </w:rPr>
      </w:pPr>
      <w:r>
        <w:rPr>
          <w:rFonts w:eastAsia="Arial" w:cs="Arial"/>
          <w:lang w:val="en-GB"/>
        </w:rPr>
        <w:t>Certainly, shareholder value would have been obvious and enhanced through the restructuring activities. Spin-offs or sales would generate cash and provide a reduction in the expense in terms of depreciation thus a resulting return on assets expansion. Equity investments perhaps diluted share price of existing shareholders for now but was worth in long term by securing the balance sheets (Hasanudin, 2026, P. 26). Furthermore, in relation to green bonds the establishment would build green reputational image, lure green investors so that the valuation would perform better.</w:t>
      </w:r>
    </w:p>
    <w:p w14:paraId="00000013">
      <w:pPr>
        <w:rPr>
          <w:rFonts w:eastAsia="Arial" w:cs="Arial"/>
          <w:b/>
          <w:bCs/>
          <w:i/>
          <w:iCs/>
          <w:lang w:val="en-GB"/>
        </w:rPr>
      </w:pPr>
      <w:r>
        <w:rPr>
          <w:rFonts w:eastAsia="Arial" w:cs="Arial"/>
          <w:b/>
          <w:bCs/>
          <w:i/>
          <w:iCs/>
          <w:lang w:val="en-GB"/>
        </w:rPr>
        <w:t>Debt Structure</w:t>
      </w:r>
    </w:p>
    <w:p w14:paraId="00000014">
      <w:pPr>
        <w:rPr>
          <w:rFonts w:eastAsia="Arial" w:cs="Arial"/>
          <w:lang w:val="en-GB"/>
        </w:rPr>
      </w:pPr>
      <w:r>
        <w:rPr>
          <w:rFonts w:eastAsia="Arial" w:cs="Arial"/>
          <w:lang w:val="en-GB"/>
        </w:rPr>
        <w:t xml:space="preserve">In regards to debt structure, divestiture and equity issuance would deleverage the company. They could decrease interest expense and improve the debt-to-capital ratios, which could enhance Hilton's resiliency to shocks to macroeconomic conditions. Issuing bonds would, however increase leverage unless equity is issued simultaneously. Thus, a balanced approach is required. </w:t>
      </w:r>
    </w:p>
    <w:p w14:paraId="00000015">
      <w:pPr>
        <w:rPr>
          <w:rFonts w:eastAsia="Arial" w:cs="Arial"/>
          <w:lang w:val="en-GB"/>
        </w:rPr>
      </w:pPr>
      <w:r>
        <w:rPr>
          <w:rFonts w:eastAsia="Arial" w:cs="Arial"/>
          <w:lang w:val="en-GB"/>
        </w:rPr>
        <w:t xml:space="preserve">Operating flexibility would also be greatly enhanced by an asset-light strategy. Divestment of physical assets would allow the organisation to deploy resources to its brand, its technologies, and the customers' experiences (Koohang </w:t>
      </w:r>
      <w:r>
        <w:rPr>
          <w:rFonts w:eastAsia="Arial" w:cs="Arial"/>
          <w:i/>
          <w:iCs/>
          <w:lang w:val="en-GB"/>
        </w:rPr>
        <w:t>et al</w:t>
      </w:r>
      <w:r>
        <w:rPr>
          <w:rFonts w:eastAsia="Arial" w:cs="Arial"/>
          <w:lang w:val="en-GB"/>
        </w:rPr>
        <w:t>., 2023, p. 27). Further strategic alliances would extend the operation of the Hilton brand into new markets with limited capital expense and increase the organisation's adaptability to changes in demand.</w:t>
      </w:r>
    </w:p>
    <w:p w14:paraId="00000016">
      <w:pPr>
        <w:pStyle w:val="3"/>
      </w:pPr>
      <w:bookmarkStart w:id="30" w:name="_3xcbdhrq9rv5" w:colFirst="0" w:colLast="0"/>
      <w:bookmarkEnd w:id="30"/>
      <w:bookmarkStart w:id="31" w:name="_Toc237522619"/>
      <w:r>
        <w:t>c. International and Ethical Considerations</w:t>
      </w:r>
      <w:bookmarkEnd w:id="31"/>
    </w:p>
    <w:p w14:paraId="00000017">
      <w:pPr>
        <w:rPr>
          <w:rFonts w:cs="Arial"/>
          <w:lang w:val="en-GB"/>
        </w:rPr>
      </w:pPr>
      <w:r>
        <w:rPr>
          <w:rFonts w:eastAsia="Arial" w:cs="Arial"/>
          <w:lang w:val="en-GB"/>
        </w:rPr>
        <w:t>The restructuring of Hilton has several international and ethical considerations, which are going to be discussed below</w:t>
      </w:r>
    </w:p>
    <w:p w14:paraId="00000018">
      <w:pPr>
        <w:rPr>
          <w:rFonts w:eastAsia="Arial" w:cs="Arial"/>
          <w:b/>
          <w:bCs/>
          <w:i/>
          <w:iCs/>
          <w:lang w:val="en-GB"/>
        </w:rPr>
      </w:pPr>
      <w:r>
        <w:rPr>
          <w:rFonts w:eastAsia="Arial" w:cs="Arial"/>
          <w:b/>
          <w:bCs/>
          <w:i/>
          <w:iCs/>
          <w:lang w:val="en-GB"/>
        </w:rPr>
        <w:t>Taxation</w:t>
      </w:r>
    </w:p>
    <w:p w14:paraId="00000019">
      <w:pPr>
        <w:rPr>
          <w:rFonts w:eastAsia="Arial" w:cs="Arial"/>
          <w:lang w:val="en-GB"/>
        </w:rPr>
      </w:pPr>
      <w:r>
        <w:rPr>
          <w:rFonts w:eastAsia="Arial" w:cs="Arial"/>
          <w:lang w:val="en-GB"/>
        </w:rPr>
        <w:t xml:space="preserve">Taxation is important since Hilton's activities extend through all 143 countries (Csákvári </w:t>
      </w:r>
      <w:r>
        <w:rPr>
          <w:rFonts w:eastAsia="Arial" w:cs="Arial"/>
          <w:i/>
          <w:iCs/>
          <w:lang w:val="en-GB"/>
        </w:rPr>
        <w:t>et al.</w:t>
      </w:r>
      <w:r>
        <w:rPr>
          <w:rFonts w:eastAsia="Arial" w:cs="Arial"/>
          <w:lang w:val="en-GB"/>
        </w:rPr>
        <w:t xml:space="preserve">, 2023, p. 28). Equity injections or divestments must be structured to maximise their efficiency as regards taxation. </w:t>
      </w:r>
    </w:p>
    <w:p w14:paraId="0000001A">
      <w:pPr>
        <w:rPr>
          <w:rFonts w:eastAsia="Arial" w:cs="Arial"/>
          <w:b/>
          <w:bCs/>
          <w:i/>
          <w:iCs/>
          <w:lang w:val="en-GB"/>
        </w:rPr>
      </w:pPr>
      <w:r>
        <w:rPr>
          <w:rFonts w:eastAsia="Arial" w:cs="Arial"/>
          <w:b/>
          <w:bCs/>
          <w:i/>
          <w:iCs/>
          <w:lang w:val="en-GB"/>
        </w:rPr>
        <w:t>Currency risk</w:t>
      </w:r>
    </w:p>
    <w:p w14:paraId="0000001B">
      <w:pPr>
        <w:rPr>
          <w:rFonts w:eastAsia="Arial" w:cs="Arial"/>
          <w:lang w:val="en-GB"/>
        </w:rPr>
      </w:pPr>
      <w:r>
        <w:rPr>
          <w:rFonts w:eastAsia="Arial" w:cs="Arial"/>
          <w:lang w:val="en-GB"/>
        </w:rPr>
        <w:t xml:space="preserve">Risk is not only about exchange rates, with revenues all over the world, and this can influence profitability (Pangestuti </w:t>
      </w:r>
      <w:r>
        <w:rPr>
          <w:rFonts w:eastAsia="Arial" w:cs="Arial"/>
          <w:i/>
          <w:iCs/>
          <w:lang w:val="en-GB"/>
        </w:rPr>
        <w:t>et al</w:t>
      </w:r>
      <w:r>
        <w:rPr>
          <w:rFonts w:eastAsia="Arial" w:cs="Arial"/>
          <w:lang w:val="en-GB"/>
        </w:rPr>
        <w:t>., 2022, p. 28). So, by joining an alliance, a player in this segment could probably diminish exposure to risk and benefit from local partners' knowledge and network.</w:t>
      </w:r>
    </w:p>
    <w:p w14:paraId="0000001C">
      <w:pPr>
        <w:rPr>
          <w:rFonts w:eastAsia="Arial" w:cs="Arial"/>
          <w:b/>
          <w:bCs/>
          <w:i/>
          <w:iCs/>
          <w:lang w:val="en-GB"/>
        </w:rPr>
      </w:pPr>
      <w:r>
        <w:rPr>
          <w:rFonts w:eastAsia="Arial" w:cs="Arial"/>
          <w:b/>
          <w:bCs/>
          <w:i/>
          <w:iCs/>
          <w:lang w:val="en-GB"/>
        </w:rPr>
        <w:t>Inflationary pressures</w:t>
      </w:r>
    </w:p>
    <w:p w14:paraId="0000001D">
      <w:pPr>
        <w:rPr>
          <w:rFonts w:eastAsia="Arial" w:cs="Arial"/>
          <w:lang w:val="en-GB"/>
        </w:rPr>
      </w:pPr>
      <w:r>
        <w:rPr>
          <w:rFonts w:eastAsia="Arial" w:cs="Arial"/>
          <w:lang w:val="en-GB"/>
        </w:rPr>
        <w:t>Higher operating expenses due to inflationary environments in core markets would increase interest expense. Lower leverage through equity issuance would result in greater ability to withstand inflationary pressures.</w:t>
      </w:r>
    </w:p>
    <w:p w14:paraId="0000001E">
      <w:pPr>
        <w:rPr>
          <w:rFonts w:eastAsia="Arial" w:cs="Arial"/>
          <w:b/>
          <w:bCs/>
          <w:i/>
          <w:iCs/>
          <w:lang w:val="en-GB"/>
        </w:rPr>
      </w:pPr>
      <w:r>
        <w:rPr>
          <w:rFonts w:eastAsia="Arial" w:cs="Arial"/>
          <w:b/>
          <w:bCs/>
          <w:i/>
          <w:iCs/>
          <w:lang w:val="en-GB"/>
        </w:rPr>
        <w:t>CSR and ESG commitments</w:t>
      </w:r>
    </w:p>
    <w:p w14:paraId="0000001F">
      <w:pPr>
        <w:rPr>
          <w:rFonts w:eastAsia="Arial" w:cs="Arial"/>
          <w:lang w:val="en-GB"/>
        </w:rPr>
      </w:pPr>
      <w:r>
        <w:rPr>
          <w:rFonts w:eastAsia="Arial" w:cs="Arial"/>
          <w:lang w:val="en-GB"/>
        </w:rPr>
        <w:t xml:space="preserve">Lastly, Hilton's Travel with Purpose sustainability initiative highlights its attention to CSR and ESG compliance (Juthi </w:t>
      </w:r>
      <w:r>
        <w:rPr>
          <w:rFonts w:eastAsia="Arial" w:cs="Arial"/>
          <w:i/>
          <w:iCs/>
          <w:lang w:val="en-GB"/>
        </w:rPr>
        <w:t>et al.</w:t>
      </w:r>
      <w:r>
        <w:rPr>
          <w:rFonts w:eastAsia="Arial" w:cs="Arial"/>
          <w:lang w:val="en-GB"/>
        </w:rPr>
        <w:t>, 2025, p. 28). By issuing green bonds or utilising divestiture gains from sustainability initiatives, Hilton can demonstrate that it conducts its business ethically. This trend and demand can also be observed by the growing pressure exerted by regulators, primarily in Europe as well as North America and the fact that ESG compliance is now a must (Pietrancosta and Marraud des Grottes, 2022, p. 29).</w:t>
      </w:r>
    </w:p>
    <w:p w14:paraId="00000020">
      <w:pPr>
        <w:rPr>
          <w:rFonts w:eastAsia="Arial" w:cs="Arial"/>
          <w:b/>
          <w:bCs/>
          <w:lang w:val="en-GB"/>
        </w:rPr>
      </w:pPr>
      <w:r>
        <w:rPr>
          <w:rFonts w:eastAsia="Arial" w:cs="Arial"/>
          <w:b/>
          <w:bCs/>
          <w:lang w:val="en-GB"/>
        </w:rPr>
        <w:t>Conclusion of Restructuring Plan</w:t>
      </w:r>
    </w:p>
    <w:p w14:paraId="008459C6">
      <w:pPr>
        <w:rPr>
          <w:rFonts w:eastAsia="Arial" w:cs="Arial"/>
          <w:lang w:val="en-GB"/>
        </w:rPr>
      </w:pPr>
      <w:r>
        <w:rPr>
          <w:rFonts w:eastAsia="Arial" w:cs="Arial"/>
          <w:lang w:val="en-GB"/>
        </w:rPr>
        <w:t>The Hilton group restructuring strategy will require balancing the immediate requirement to deleverage the business against long-term growth strategy implementation. Divestment, equity fundraising, and the ESG-linked borrowing can each achieve parts of that whilst helping to build share value, whilst the adoption of the various international or ethical factors (tax, currency, inflation, ESG) will ensure a scalable, robust and socially responsible strategy has been enacted.</w:t>
      </w:r>
      <w:bookmarkStart w:id="32" w:name="_qeccbd947ypl" w:colFirst="0" w:colLast="0"/>
      <w:bookmarkEnd w:id="32"/>
    </w:p>
    <w:p w14:paraId="15D1207E">
      <w:pPr>
        <w:pStyle w:val="2"/>
      </w:pPr>
      <w:bookmarkStart w:id="33" w:name="_Toc237521101"/>
      <w:bookmarkStart w:id="34" w:name="_Toc237522620"/>
      <w:r>
        <w:t>4. Investment Appraisal and Capital Budgeting</w:t>
      </w:r>
      <w:bookmarkEnd w:id="33"/>
      <w:bookmarkEnd w:id="34"/>
    </w:p>
    <w:p w14:paraId="636AC76A">
      <w:pPr>
        <w:pStyle w:val="3"/>
      </w:pPr>
      <w:bookmarkStart w:id="35" w:name="_Toc237522621"/>
      <w:r>
        <w:t>PBP, ARR, NPV, PI, and IRR</w:t>
      </w:r>
      <w:bookmarkEnd w:id="35"/>
      <w:r>
        <w:t xml:space="preserve"> </w:t>
      </w:r>
    </w:p>
    <w:p w14:paraId="1271283E">
      <w:pPr>
        <w:rPr>
          <w:rFonts w:cs="Arial"/>
          <w:lang w:val="en-GB"/>
        </w:rPr>
      </w:pPr>
      <w:r>
        <w:rPr>
          <w:rFonts w:cs="Arial"/>
          <w:lang w:val="en-GB"/>
        </w:rPr>
        <w:t>The capital budgeting is a financial technique which is essential tool for Hilton Worldwide Holdings Inc. This financial technique help organisations to evaluate multiple projects which require substantial capital expenditure (Gnap and Pitera, 2023). The organisation has a strong global presence and dependence on strategic investments for continued growth of Hilton. Proper project selection becomes important for creating value for shareholders, staying liquid, and meeting sustainability objectives. This section has analysed three different projects (Projects A, B, and C) by using Payback Period (PBP), Accounting Rate of Return (ARR), Net Present Value (NPV), Profitability Index (PI), and Internal Rate of Return (IRR). This analysis has considered the performance of Hilton along with non-financial risks to recommend the best course of action under capital rationing.</w:t>
      </w:r>
    </w:p>
    <w:p w14:paraId="1A219A3C">
      <w:pPr>
        <w:pStyle w:val="4"/>
        <w:spacing w:before="200" w:after="200"/>
        <w:rPr>
          <w:rFonts w:cs="Arial"/>
          <w:lang w:val="en-GB"/>
        </w:rPr>
      </w:pPr>
      <w:bookmarkStart w:id="36" w:name="_xt07tjrok1rt" w:colFirst="0" w:colLast="0"/>
      <w:bookmarkEnd w:id="36"/>
      <w:bookmarkStart w:id="37" w:name="_Toc237522622"/>
      <w:r>
        <w:rPr>
          <w:rFonts w:cs="Arial"/>
          <w:lang w:val="en-GB"/>
        </w:rPr>
        <w:t>Project A</w:t>
      </w:r>
      <w:bookmarkEnd w:id="37"/>
    </w:p>
    <w:p w14:paraId="16269CC2">
      <w:pPr>
        <w:rPr>
          <w:rFonts w:cs="Arial"/>
          <w:b/>
          <w:bCs/>
          <w:i/>
          <w:iCs/>
          <w:lang w:val="en-GB"/>
        </w:rPr>
      </w:pPr>
      <w:r>
        <w:rPr>
          <w:rFonts w:cs="Arial"/>
          <w:b/>
          <w:bCs/>
          <w:i/>
          <w:iCs/>
          <w:lang w:val="en-GB"/>
        </w:rPr>
        <w:t>PBP</w:t>
      </w:r>
    </w:p>
    <w:p w14:paraId="6258715A">
      <w:pPr>
        <w:jc w:val="center"/>
        <w:rPr>
          <w:rFonts w:cs="Arial"/>
          <w:lang w:val="en-GB"/>
        </w:rPr>
      </w:pPr>
      <w:r>
        <w:rPr>
          <w:rFonts w:cs="Arial"/>
          <w:lang w:val="en-GB"/>
        </w:rPr>
        <w:drawing>
          <wp:inline distT="114300" distB="114300" distL="114300" distR="114300">
            <wp:extent cx="5543550" cy="19716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referRelativeResize="0"/>
                  </pic:nvPicPr>
                  <pic:blipFill>
                    <a:blip r:embed="rId17"/>
                    <a:srcRect/>
                    <a:stretch>
                      <a:fillRect/>
                    </a:stretch>
                  </pic:blipFill>
                  <pic:spPr>
                    <a:xfrm>
                      <a:off x="0" y="0"/>
                      <a:ext cx="5543550" cy="1971675"/>
                    </a:xfrm>
                    <a:prstGeom prst="rect">
                      <a:avLst/>
                    </a:prstGeom>
                  </pic:spPr>
                </pic:pic>
              </a:graphicData>
            </a:graphic>
          </wp:inline>
        </w:drawing>
      </w:r>
    </w:p>
    <w:p w14:paraId="76017058">
      <w:pPr>
        <w:jc w:val="center"/>
        <w:rPr>
          <w:rFonts w:cs="Arial"/>
          <w:b/>
          <w:bCs/>
          <w:lang w:val="en-GB"/>
        </w:rPr>
      </w:pPr>
      <w:r>
        <w:rPr>
          <w:rFonts w:cs="Arial"/>
          <w:b/>
          <w:bCs/>
          <w:lang w:val="en-GB"/>
        </w:rPr>
        <w:t>Figure 4: PBP for Project A</w:t>
      </w:r>
    </w:p>
    <w:p w14:paraId="303FDA54">
      <w:pPr>
        <w:jc w:val="center"/>
        <w:rPr>
          <w:rFonts w:cs="Arial"/>
          <w:lang w:val="en-GB"/>
        </w:rPr>
      </w:pPr>
      <w:r>
        <w:rPr>
          <w:rFonts w:cs="Arial"/>
          <w:lang w:val="en-GB"/>
        </w:rPr>
        <w:t>(Source: MS Excel)</w:t>
      </w:r>
    </w:p>
    <w:p w14:paraId="1CA793D2">
      <w:pPr>
        <w:rPr>
          <w:rFonts w:cs="Arial"/>
          <w:lang w:val="en-GB"/>
        </w:rPr>
      </w:pPr>
      <w:r>
        <w:rPr>
          <w:rFonts w:cs="Arial"/>
          <w:lang w:val="en-GB"/>
        </w:rPr>
        <w:t xml:space="preserve">The above figure has been indicated that Project A requires a total investment of £50m, but it generates uneven cash flows of £10m, £12m, £14m, £10m, and £8m. It has been indicated that the total payback period is 4 years. This means that before this time period, Hilton cannot recover its initial investment. It shows relatively slow recovery, which effectively reduces liquidity flexibility. </w:t>
      </w:r>
    </w:p>
    <w:p w14:paraId="63DEA7D1">
      <w:pPr>
        <w:rPr>
          <w:rFonts w:cs="Arial"/>
          <w:b/>
          <w:bCs/>
          <w:i/>
          <w:iCs/>
          <w:lang w:val="en-GB"/>
        </w:rPr>
      </w:pPr>
      <w:r>
        <w:rPr>
          <w:rFonts w:cs="Arial"/>
          <w:b/>
          <w:bCs/>
          <w:i/>
          <w:iCs/>
          <w:lang w:val="en-GB"/>
        </w:rPr>
        <w:t>NPV and PI</w:t>
      </w:r>
    </w:p>
    <w:p w14:paraId="6FD8F688">
      <w:pPr>
        <w:jc w:val="center"/>
        <w:rPr>
          <w:rFonts w:cs="Arial"/>
          <w:lang w:val="en-GB"/>
        </w:rPr>
      </w:pPr>
      <w:r>
        <w:rPr>
          <w:rFonts w:cs="Arial"/>
          <w:lang w:val="en-GB"/>
        </w:rPr>
        <w:drawing>
          <wp:inline distT="114300" distB="114300" distL="114300" distR="114300">
            <wp:extent cx="5943600" cy="185420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11" name="image5.png"/>
                    <pic:cNvPicPr preferRelativeResize="0"/>
                  </pic:nvPicPr>
                  <pic:blipFill>
                    <a:blip r:embed="rId18"/>
                    <a:srcRect/>
                    <a:stretch>
                      <a:fillRect/>
                    </a:stretch>
                  </pic:blipFill>
                  <pic:spPr>
                    <a:xfrm>
                      <a:off x="0" y="0"/>
                      <a:ext cx="5943600" cy="1854200"/>
                    </a:xfrm>
                    <a:prstGeom prst="rect">
                      <a:avLst/>
                    </a:prstGeom>
                  </pic:spPr>
                </pic:pic>
              </a:graphicData>
            </a:graphic>
          </wp:inline>
        </w:drawing>
      </w:r>
    </w:p>
    <w:p w14:paraId="7176B80A">
      <w:pPr>
        <w:jc w:val="center"/>
        <w:rPr>
          <w:rFonts w:cs="Arial"/>
          <w:b/>
          <w:bCs/>
          <w:lang w:val="en-GB"/>
        </w:rPr>
      </w:pPr>
      <w:r>
        <w:rPr>
          <w:rFonts w:cs="Arial"/>
          <w:b/>
          <w:bCs/>
          <w:lang w:val="en-GB"/>
        </w:rPr>
        <w:t>Figure 5: Project A NPV and PI</w:t>
      </w:r>
    </w:p>
    <w:p w14:paraId="727F428E">
      <w:pPr>
        <w:jc w:val="center"/>
        <w:rPr>
          <w:rFonts w:cs="Arial"/>
          <w:lang w:val="en-GB"/>
        </w:rPr>
      </w:pPr>
      <w:r>
        <w:rPr>
          <w:rFonts w:cs="Arial"/>
          <w:lang w:val="en-GB"/>
        </w:rPr>
        <w:t>(Source: MS Excel)</w:t>
      </w:r>
    </w:p>
    <w:p w14:paraId="17292338">
      <w:pPr>
        <w:rPr>
          <w:rFonts w:cs="Arial"/>
          <w:lang w:val="en-GB"/>
        </w:rPr>
      </w:pPr>
      <w:r>
        <w:rPr>
          <w:rFonts w:cs="Arial"/>
          <w:lang w:val="en-GB"/>
        </w:rPr>
        <w:t>The above figure indicates that the NPV calculation for Project A reveals that the present value of cash flows from the project over the five-year period will be £43.46 million. In addition this project required total initial the cost of £50 million, which can create negative NPV value of –£6.54 million and a PI is 0.87. As noted by Yogantara (2024), if NPV is negative and PI is less than one the project has become is financially vulnerable for both investors and organisation.</w:t>
      </w:r>
    </w:p>
    <w:p w14:paraId="2038E8E6">
      <w:pPr>
        <w:rPr>
          <w:rFonts w:cs="Arial"/>
          <w:b/>
          <w:bCs/>
          <w:i/>
          <w:iCs/>
          <w:lang w:val="en-GB"/>
        </w:rPr>
      </w:pPr>
      <w:r>
        <w:rPr>
          <w:rFonts w:cs="Arial"/>
          <w:b/>
          <w:bCs/>
          <w:i/>
          <w:iCs/>
          <w:lang w:val="en-GB"/>
        </w:rPr>
        <w:t>IRR</w:t>
      </w:r>
    </w:p>
    <w:p w14:paraId="424B72F5">
      <w:pPr>
        <w:jc w:val="center"/>
        <w:rPr>
          <w:rFonts w:cs="Arial"/>
          <w:lang w:val="en-GB"/>
        </w:rPr>
      </w:pPr>
      <w:r>
        <w:rPr>
          <w:rFonts w:cs="Arial"/>
          <w:lang w:val="en-GB"/>
        </w:rPr>
        <w:drawing>
          <wp:inline distT="114300" distB="114300" distL="114300" distR="114300">
            <wp:extent cx="2705100" cy="1781175"/>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12" name="image6.png"/>
                    <pic:cNvPicPr preferRelativeResize="0"/>
                  </pic:nvPicPr>
                  <pic:blipFill>
                    <a:blip r:embed="rId19"/>
                    <a:srcRect/>
                    <a:stretch>
                      <a:fillRect/>
                    </a:stretch>
                  </pic:blipFill>
                  <pic:spPr>
                    <a:xfrm>
                      <a:off x="0" y="0"/>
                      <a:ext cx="2705100" cy="1781175"/>
                    </a:xfrm>
                    <a:prstGeom prst="rect">
                      <a:avLst/>
                    </a:prstGeom>
                  </pic:spPr>
                </pic:pic>
              </a:graphicData>
            </a:graphic>
          </wp:inline>
        </w:drawing>
      </w:r>
      <w:r>
        <w:rPr>
          <w:rFonts w:cs="Arial"/>
          <w:lang w:val="en-GB"/>
        </w:rPr>
        <w:t xml:space="preserve">  </w:t>
      </w:r>
    </w:p>
    <w:p w14:paraId="6385EBB5">
      <w:pPr>
        <w:jc w:val="center"/>
        <w:rPr>
          <w:rFonts w:cs="Arial"/>
          <w:b/>
          <w:bCs/>
          <w:lang w:val="en-GB"/>
        </w:rPr>
      </w:pPr>
      <w:r>
        <w:rPr>
          <w:rFonts w:cs="Arial"/>
          <w:b/>
          <w:bCs/>
          <w:lang w:val="en-GB"/>
        </w:rPr>
        <w:t>Figure 6: Project A IRR</w:t>
      </w:r>
    </w:p>
    <w:p w14:paraId="23B05C44">
      <w:pPr>
        <w:jc w:val="center"/>
        <w:rPr>
          <w:rFonts w:cs="Arial"/>
          <w:lang w:val="en-GB"/>
        </w:rPr>
      </w:pPr>
      <w:r>
        <w:rPr>
          <w:rFonts w:cs="Arial"/>
          <w:lang w:val="en-GB"/>
        </w:rPr>
        <w:t>(Source: MS Excel)</w:t>
      </w:r>
    </w:p>
    <w:p w14:paraId="3FD06A8E">
      <w:pPr>
        <w:rPr>
          <w:rFonts w:cs="Arial"/>
          <w:lang w:val="en-GB"/>
        </w:rPr>
      </w:pPr>
      <w:r>
        <w:rPr>
          <w:rFonts w:cs="Arial"/>
          <w:lang w:val="en-GB"/>
        </w:rPr>
        <w:t>The above figure demonstrates that the total value of IRR for Project A is computed at just 3%. This IRR value is lower as compared to its total cost of capital which is 8%. The IRR value of the Project A is lower than 8% which also affect shareholder value. Overall, with this IRR, the outcome of Project A can be considered unviable.</w:t>
      </w:r>
    </w:p>
    <w:p w14:paraId="399498DC">
      <w:pPr>
        <w:rPr>
          <w:rFonts w:cs="Arial"/>
          <w:b/>
          <w:bCs/>
          <w:i/>
          <w:iCs/>
          <w:lang w:val="en-GB"/>
        </w:rPr>
      </w:pPr>
      <w:r>
        <w:rPr>
          <w:rFonts w:cs="Arial"/>
          <w:b/>
          <w:bCs/>
          <w:i/>
          <w:iCs/>
          <w:lang w:val="en-GB"/>
        </w:rPr>
        <w:t>ARR</w:t>
      </w:r>
    </w:p>
    <w:p w14:paraId="14B91082">
      <w:pPr>
        <w:jc w:val="center"/>
        <w:rPr>
          <w:rFonts w:cs="Arial"/>
          <w:lang w:val="en-GB"/>
        </w:rPr>
      </w:pPr>
      <w:r>
        <w:rPr>
          <w:rFonts w:cs="Arial"/>
          <w:lang w:val="en-GB"/>
        </w:rPr>
        <w:drawing>
          <wp:inline distT="114300" distB="114300" distL="114300" distR="114300">
            <wp:extent cx="5943600" cy="6604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13" name="image4.png"/>
                    <pic:cNvPicPr preferRelativeResize="0"/>
                  </pic:nvPicPr>
                  <pic:blipFill>
                    <a:blip r:embed="rId20"/>
                    <a:srcRect/>
                    <a:stretch>
                      <a:fillRect/>
                    </a:stretch>
                  </pic:blipFill>
                  <pic:spPr>
                    <a:xfrm>
                      <a:off x="0" y="0"/>
                      <a:ext cx="5943600" cy="660400"/>
                    </a:xfrm>
                    <a:prstGeom prst="rect">
                      <a:avLst/>
                    </a:prstGeom>
                  </pic:spPr>
                </pic:pic>
              </a:graphicData>
            </a:graphic>
          </wp:inline>
        </w:drawing>
      </w:r>
    </w:p>
    <w:p w14:paraId="1ABB03E0">
      <w:pPr>
        <w:jc w:val="center"/>
        <w:rPr>
          <w:rFonts w:cs="Arial"/>
          <w:b/>
          <w:bCs/>
          <w:lang w:val="en-GB"/>
        </w:rPr>
      </w:pPr>
      <w:r>
        <w:rPr>
          <w:rFonts w:cs="Arial"/>
          <w:b/>
          <w:bCs/>
          <w:lang w:val="en-GB"/>
        </w:rPr>
        <w:t>Figure 7: ARR for Project A</w:t>
      </w:r>
    </w:p>
    <w:p w14:paraId="13906824">
      <w:pPr>
        <w:jc w:val="center"/>
        <w:rPr>
          <w:rFonts w:cs="Arial"/>
          <w:lang w:val="en-GB"/>
        </w:rPr>
      </w:pPr>
      <w:r>
        <w:rPr>
          <w:rFonts w:cs="Arial"/>
          <w:lang w:val="en-GB"/>
        </w:rPr>
        <w:t>(Source: MS Excel)</w:t>
      </w:r>
    </w:p>
    <w:p w14:paraId="25F7F6A9">
      <w:pPr>
        <w:rPr>
          <w:rFonts w:cs="Arial"/>
          <w:lang w:val="en-GB"/>
        </w:rPr>
      </w:pPr>
      <w:r>
        <w:rPr>
          <w:rFonts w:cs="Arial"/>
          <w:lang w:val="en-GB"/>
        </w:rPr>
        <w:t xml:space="preserve">From the above figure, it has been shown that Project A has 10.8% average profitability, which creates a moderate outcome. In addition, the ARR value also exceeds Hilton’s cost of capital, which can limit shareholder engagement and value creation in the organisation. </w:t>
      </w:r>
    </w:p>
    <w:p w14:paraId="34BE731C">
      <w:pPr>
        <w:pStyle w:val="4"/>
        <w:spacing w:before="200" w:after="200"/>
        <w:rPr>
          <w:rFonts w:cs="Arial"/>
          <w:lang w:val="en-GB"/>
        </w:rPr>
      </w:pPr>
      <w:bookmarkStart w:id="38" w:name="_7jy2pdhunqzv" w:colFirst="0" w:colLast="0"/>
      <w:bookmarkEnd w:id="38"/>
      <w:bookmarkStart w:id="39" w:name="_Toc237522623"/>
      <w:r>
        <w:rPr>
          <w:rFonts w:cs="Arial"/>
          <w:lang w:val="en-GB"/>
        </w:rPr>
        <w:t>Project B</w:t>
      </w:r>
      <w:bookmarkEnd w:id="39"/>
    </w:p>
    <w:p w14:paraId="0952B81E">
      <w:pPr>
        <w:rPr>
          <w:rFonts w:cs="Arial"/>
          <w:b/>
          <w:bCs/>
          <w:i/>
          <w:iCs/>
          <w:lang w:val="en-GB"/>
        </w:rPr>
      </w:pPr>
      <w:r>
        <w:rPr>
          <w:rFonts w:cs="Arial"/>
          <w:b/>
          <w:bCs/>
          <w:i/>
          <w:iCs/>
          <w:lang w:val="en-GB"/>
        </w:rPr>
        <w:t xml:space="preserve">PBP </w:t>
      </w:r>
    </w:p>
    <w:p w14:paraId="456DFA31">
      <w:pPr>
        <w:jc w:val="center"/>
        <w:rPr>
          <w:rFonts w:cs="Arial"/>
          <w:lang w:val="en-GB"/>
        </w:rPr>
      </w:pPr>
      <w:r>
        <w:rPr>
          <w:rFonts w:cs="Arial"/>
          <w:lang w:val="en-GB"/>
        </w:rPr>
        <w:drawing>
          <wp:inline distT="114300" distB="114300" distL="114300" distR="114300">
            <wp:extent cx="4019550" cy="1971675"/>
            <wp:effectExtent l="0" t="0" r="0" b="0"/>
            <wp:docPr id="14" name="image8.png"/>
            <wp:cNvGraphicFramePr/>
            <a:graphic xmlns:a="http://schemas.openxmlformats.org/drawingml/2006/main">
              <a:graphicData uri="http://schemas.openxmlformats.org/drawingml/2006/picture">
                <pic:pic xmlns:pic="http://schemas.openxmlformats.org/drawingml/2006/picture">
                  <pic:nvPicPr>
                    <pic:cNvPr id="14" name="image8.png"/>
                    <pic:cNvPicPr preferRelativeResize="0"/>
                  </pic:nvPicPr>
                  <pic:blipFill>
                    <a:blip r:embed="rId21"/>
                    <a:srcRect/>
                    <a:stretch>
                      <a:fillRect/>
                    </a:stretch>
                  </pic:blipFill>
                  <pic:spPr>
                    <a:xfrm>
                      <a:off x="0" y="0"/>
                      <a:ext cx="4019550" cy="1971675"/>
                    </a:xfrm>
                    <a:prstGeom prst="rect">
                      <a:avLst/>
                    </a:prstGeom>
                  </pic:spPr>
                </pic:pic>
              </a:graphicData>
            </a:graphic>
          </wp:inline>
        </w:drawing>
      </w:r>
    </w:p>
    <w:p w14:paraId="2723F27C">
      <w:pPr>
        <w:jc w:val="center"/>
        <w:rPr>
          <w:rFonts w:cs="Arial"/>
          <w:b/>
          <w:bCs/>
          <w:lang w:val="en-GB"/>
        </w:rPr>
      </w:pPr>
      <w:r>
        <w:rPr>
          <w:rFonts w:cs="Arial"/>
          <w:b/>
          <w:bCs/>
          <w:lang w:val="en-GB"/>
        </w:rPr>
        <w:t>Figure 8: Project B PBP</w:t>
      </w:r>
    </w:p>
    <w:p w14:paraId="291A39DE">
      <w:pPr>
        <w:jc w:val="center"/>
        <w:rPr>
          <w:rFonts w:cs="Arial"/>
          <w:lang w:val="en-GB"/>
        </w:rPr>
      </w:pPr>
      <w:r>
        <w:rPr>
          <w:rFonts w:cs="Arial"/>
          <w:lang w:val="en-GB"/>
        </w:rPr>
        <w:t>(Source: MS Excel)</w:t>
      </w:r>
    </w:p>
    <w:p w14:paraId="6E2AC3AD">
      <w:pPr>
        <w:jc w:val="left"/>
        <w:rPr>
          <w:rFonts w:cs="Arial"/>
          <w:lang w:val="en-GB"/>
        </w:rPr>
      </w:pPr>
      <w:r>
        <w:rPr>
          <w:rFonts w:cs="Arial"/>
          <w:lang w:val="en-GB"/>
        </w:rPr>
        <w:t>The above figure highlights the payback period of Project B, which was calculated through the presented annual cash flows of £11m and an initial investment of £50m. According to financial analysis,  the overall payback period of this project option is to be 4 years and 6.5 months. This indicates that by selecting the project B the company was able to take the longest time compared to other projects in recovering the initial investment.</w:t>
      </w:r>
    </w:p>
    <w:p w14:paraId="79A1AF5E">
      <w:pPr>
        <w:rPr>
          <w:rFonts w:cs="Arial"/>
          <w:b/>
          <w:bCs/>
          <w:i/>
          <w:iCs/>
          <w:lang w:val="en-GB"/>
        </w:rPr>
      </w:pPr>
      <w:r>
        <w:rPr>
          <w:rFonts w:cs="Arial"/>
          <w:b/>
          <w:bCs/>
          <w:i/>
          <w:iCs/>
          <w:lang w:val="en-GB"/>
        </w:rPr>
        <w:t>NPV and PI</w:t>
      </w:r>
    </w:p>
    <w:p w14:paraId="4AD19C2A">
      <w:pPr>
        <w:jc w:val="center"/>
        <w:rPr>
          <w:rFonts w:cs="Arial"/>
          <w:lang w:val="en-GB"/>
        </w:rPr>
      </w:pPr>
      <w:r>
        <w:rPr>
          <w:rFonts w:cs="Arial"/>
          <w:lang w:val="en-GB"/>
        </w:rPr>
        <w:drawing>
          <wp:inline distT="114300" distB="114300" distL="114300" distR="114300">
            <wp:extent cx="5829300" cy="21717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15" name="image2.png"/>
                    <pic:cNvPicPr preferRelativeResize="0"/>
                  </pic:nvPicPr>
                  <pic:blipFill>
                    <a:blip r:embed="rId22"/>
                    <a:srcRect/>
                    <a:stretch>
                      <a:fillRect/>
                    </a:stretch>
                  </pic:blipFill>
                  <pic:spPr>
                    <a:xfrm>
                      <a:off x="0" y="0"/>
                      <a:ext cx="5829300" cy="2171700"/>
                    </a:xfrm>
                    <a:prstGeom prst="rect">
                      <a:avLst/>
                    </a:prstGeom>
                  </pic:spPr>
                </pic:pic>
              </a:graphicData>
            </a:graphic>
          </wp:inline>
        </w:drawing>
      </w:r>
    </w:p>
    <w:p w14:paraId="6660CA34">
      <w:pPr>
        <w:jc w:val="center"/>
        <w:rPr>
          <w:rFonts w:cs="Arial"/>
          <w:b/>
          <w:bCs/>
          <w:lang w:val="en-GB"/>
        </w:rPr>
      </w:pPr>
      <w:r>
        <w:rPr>
          <w:rFonts w:cs="Arial"/>
          <w:b/>
          <w:bCs/>
          <w:lang w:val="en-GB"/>
        </w:rPr>
        <w:t>Figure 9: Project B NPV and PI</w:t>
      </w:r>
    </w:p>
    <w:p w14:paraId="2A3A09A7">
      <w:pPr>
        <w:jc w:val="center"/>
        <w:rPr>
          <w:rFonts w:cs="Arial"/>
          <w:lang w:val="en-GB"/>
        </w:rPr>
      </w:pPr>
      <w:r>
        <w:rPr>
          <w:rFonts w:cs="Arial"/>
          <w:lang w:val="en-GB"/>
        </w:rPr>
        <w:t>(Source: MS Excel)</w:t>
      </w:r>
    </w:p>
    <w:p w14:paraId="0F912091">
      <w:pPr>
        <w:rPr>
          <w:rFonts w:cs="Arial"/>
          <w:lang w:val="en-GB"/>
        </w:rPr>
      </w:pPr>
      <w:r>
        <w:rPr>
          <w:rFonts w:cs="Arial"/>
          <w:lang w:val="en-GB"/>
        </w:rPr>
        <w:t>According to the figure, the overall  NPV of the project came out to be -6.08. The negative NPV indicates that the company is not going to be generating a positive valuation growth by adopting project B in the time period of 5 years. This understanding was also confirmed by the PI value of 0.88, which was less than 1. These financial observations indicate that the project is not going to be viable in the 5-year time frame and can take a long time to gain profits.</w:t>
      </w:r>
    </w:p>
    <w:p w14:paraId="4D9B066F">
      <w:pPr>
        <w:rPr>
          <w:rFonts w:cs="Arial"/>
          <w:lang w:val="en-GB"/>
        </w:rPr>
      </w:pPr>
      <w:r>
        <w:rPr>
          <w:rFonts w:cs="Arial"/>
          <w:b/>
          <w:bCs/>
          <w:i/>
          <w:iCs/>
          <w:lang w:val="en-GB"/>
        </w:rPr>
        <w:t>IRR</w:t>
      </w:r>
      <w:r>
        <w:rPr>
          <w:rFonts w:cs="Arial"/>
          <w:lang w:val="en-GB"/>
        </w:rPr>
        <w:t xml:space="preserve"> </w:t>
      </w:r>
    </w:p>
    <w:p w14:paraId="4F52AD29">
      <w:pPr>
        <w:jc w:val="center"/>
        <w:rPr>
          <w:rFonts w:cs="Arial"/>
          <w:lang w:val="en-GB"/>
        </w:rPr>
      </w:pPr>
      <w:r>
        <w:rPr>
          <w:rFonts w:cs="Arial"/>
          <w:lang w:val="en-GB"/>
        </w:rPr>
        <w:br w:type="textWrapping"/>
      </w:r>
      <w:r>
        <w:rPr>
          <w:rFonts w:cs="Arial"/>
          <w:lang w:val="en-GB"/>
        </w:rPr>
        <w:drawing>
          <wp:inline distT="114300" distB="114300" distL="114300" distR="114300">
            <wp:extent cx="3162300" cy="196215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16" name="image3.png"/>
                    <pic:cNvPicPr preferRelativeResize="0"/>
                  </pic:nvPicPr>
                  <pic:blipFill>
                    <a:blip r:embed="rId23"/>
                    <a:srcRect/>
                    <a:stretch>
                      <a:fillRect/>
                    </a:stretch>
                  </pic:blipFill>
                  <pic:spPr>
                    <a:xfrm>
                      <a:off x="0" y="0"/>
                      <a:ext cx="3162300" cy="1962150"/>
                    </a:xfrm>
                    <a:prstGeom prst="rect">
                      <a:avLst/>
                    </a:prstGeom>
                  </pic:spPr>
                </pic:pic>
              </a:graphicData>
            </a:graphic>
          </wp:inline>
        </w:drawing>
      </w:r>
    </w:p>
    <w:p w14:paraId="31C9D9C2">
      <w:pPr>
        <w:jc w:val="center"/>
        <w:rPr>
          <w:rFonts w:cs="Arial"/>
          <w:b/>
          <w:bCs/>
          <w:lang w:val="en-GB"/>
        </w:rPr>
      </w:pPr>
      <w:r>
        <w:rPr>
          <w:rFonts w:cs="Arial"/>
          <w:b/>
          <w:bCs/>
          <w:lang w:val="en-GB"/>
        </w:rPr>
        <w:t>Figure 10: Project B IRR</w:t>
      </w:r>
    </w:p>
    <w:p w14:paraId="27B3B57B">
      <w:pPr>
        <w:jc w:val="center"/>
        <w:rPr>
          <w:rFonts w:cs="Arial"/>
          <w:lang w:val="en-GB"/>
        </w:rPr>
      </w:pPr>
      <w:r>
        <w:rPr>
          <w:rFonts w:cs="Arial"/>
          <w:lang w:val="en-GB"/>
        </w:rPr>
        <w:t>(Source: MS Excel)</w:t>
      </w:r>
    </w:p>
    <w:p w14:paraId="3445E688">
      <w:pPr>
        <w:jc w:val="left"/>
        <w:rPr>
          <w:rFonts w:cs="Arial"/>
          <w:lang w:val="en-GB"/>
        </w:rPr>
      </w:pPr>
      <w:r>
        <w:rPr>
          <w:rFonts w:cs="Arial"/>
          <w:lang w:val="en-GB"/>
        </w:rPr>
        <w:t xml:space="preserve">The above figure highlights the IRR value of project B. According to the financial evaluation, the IRR value of project B was 3%, which was much smaller compared to the discount rate or rate of return that was 8%. This observation indicates that the project can deliver the expected returns of 8%, leading to a cash shortage or valuation loss. </w:t>
      </w:r>
      <w:r>
        <w:rPr>
          <w:rFonts w:cs="Arial"/>
          <w:lang w:val="en-GB"/>
        </w:rPr>
        <w:br w:type="textWrapping"/>
      </w:r>
      <w:r>
        <w:rPr>
          <w:rFonts w:cs="Arial"/>
          <w:b/>
          <w:bCs/>
          <w:i/>
          <w:iCs/>
          <w:lang w:val="en-GB"/>
        </w:rPr>
        <w:t>ARR</w:t>
      </w:r>
    </w:p>
    <w:p w14:paraId="78A9C7BE">
      <w:pPr>
        <w:jc w:val="center"/>
        <w:rPr>
          <w:rFonts w:cs="Arial"/>
          <w:lang w:val="en-GB"/>
        </w:rPr>
      </w:pPr>
      <w:r>
        <w:rPr>
          <w:rFonts w:cs="Arial"/>
          <w:lang w:val="en-GB"/>
        </w:rPr>
        <w:drawing>
          <wp:inline distT="114300" distB="114300" distL="114300" distR="114300">
            <wp:extent cx="5943600" cy="6477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17" name="image7.png"/>
                    <pic:cNvPicPr preferRelativeResize="0"/>
                  </pic:nvPicPr>
                  <pic:blipFill>
                    <a:blip r:embed="rId24"/>
                    <a:srcRect/>
                    <a:stretch>
                      <a:fillRect/>
                    </a:stretch>
                  </pic:blipFill>
                  <pic:spPr>
                    <a:xfrm>
                      <a:off x="0" y="0"/>
                      <a:ext cx="5943600" cy="647700"/>
                    </a:xfrm>
                    <a:prstGeom prst="rect">
                      <a:avLst/>
                    </a:prstGeom>
                  </pic:spPr>
                </pic:pic>
              </a:graphicData>
            </a:graphic>
          </wp:inline>
        </w:drawing>
      </w:r>
    </w:p>
    <w:p w14:paraId="2460CA26">
      <w:pPr>
        <w:jc w:val="center"/>
        <w:rPr>
          <w:rFonts w:cs="Arial"/>
          <w:b/>
          <w:bCs/>
          <w:lang w:val="en-GB"/>
        </w:rPr>
      </w:pPr>
      <w:r>
        <w:rPr>
          <w:rFonts w:cs="Arial"/>
          <w:b/>
          <w:bCs/>
          <w:lang w:val="en-GB"/>
        </w:rPr>
        <w:t>Figure 11: Project B ARR</w:t>
      </w:r>
    </w:p>
    <w:p w14:paraId="3037CCAD">
      <w:pPr>
        <w:jc w:val="center"/>
        <w:rPr>
          <w:rFonts w:cs="Arial"/>
          <w:lang w:val="en-GB"/>
        </w:rPr>
      </w:pPr>
      <w:r>
        <w:rPr>
          <w:rFonts w:cs="Arial"/>
          <w:lang w:val="en-GB"/>
        </w:rPr>
        <w:t>(Source: MS Excel)</w:t>
      </w:r>
    </w:p>
    <w:p w14:paraId="67B3DD84">
      <w:pPr>
        <w:jc w:val="left"/>
        <w:rPr>
          <w:rFonts w:cs="Arial"/>
          <w:lang w:val="en-GB"/>
        </w:rPr>
      </w:pPr>
      <w:r>
        <w:rPr>
          <w:rFonts w:cs="Arial"/>
          <w:lang w:val="en-GB"/>
        </w:rPr>
        <w:t xml:space="preserve">The above figure highlights the ARR value of Project B, which was evaluated in consideration of the present value of the cash flows. The ARR value of the project was evaluated to be 11% on average, which was slightly higher compared to Project A.   </w:t>
      </w:r>
    </w:p>
    <w:p w14:paraId="7A45F488">
      <w:pPr>
        <w:pStyle w:val="4"/>
        <w:spacing w:before="200" w:after="200"/>
        <w:rPr>
          <w:rFonts w:cs="Arial"/>
          <w:lang w:val="en-GB"/>
        </w:rPr>
      </w:pPr>
      <w:bookmarkStart w:id="40" w:name="_iq6kisxqlw9o" w:colFirst="0" w:colLast="0"/>
      <w:bookmarkEnd w:id="40"/>
      <w:bookmarkStart w:id="41" w:name="_Toc237522624"/>
      <w:r>
        <w:rPr>
          <w:rFonts w:cs="Arial"/>
          <w:lang w:val="en-GB"/>
        </w:rPr>
        <w:t>Project C</w:t>
      </w:r>
      <w:bookmarkEnd w:id="41"/>
      <w:r>
        <w:rPr>
          <w:rFonts w:cs="Arial"/>
          <w:lang w:val="en-GB"/>
        </w:rPr>
        <w:t xml:space="preserve"> </w:t>
      </w:r>
    </w:p>
    <w:p w14:paraId="68C2EE9A">
      <w:pPr>
        <w:rPr>
          <w:rFonts w:cs="Arial"/>
          <w:b/>
          <w:bCs/>
          <w:i/>
          <w:iCs/>
          <w:lang w:val="en-GB"/>
        </w:rPr>
      </w:pPr>
      <w:r>
        <w:rPr>
          <w:rFonts w:cs="Arial"/>
          <w:b/>
          <w:bCs/>
          <w:i/>
          <w:iCs/>
          <w:lang w:val="en-GB"/>
        </w:rPr>
        <w:t xml:space="preserve">PBP </w:t>
      </w:r>
    </w:p>
    <w:p w14:paraId="19488B0D">
      <w:pPr>
        <w:jc w:val="center"/>
        <w:rPr>
          <w:rFonts w:cs="Arial"/>
          <w:b/>
          <w:bCs/>
          <w:lang w:val="en-GB"/>
        </w:rPr>
      </w:pPr>
      <w:r>
        <w:rPr>
          <w:rFonts w:cs="Arial"/>
          <w:lang w:val="en-GB"/>
        </w:rPr>
        <w:drawing>
          <wp:inline distT="0" distB="0" distL="0" distR="0">
            <wp:extent cx="4724400" cy="1971675"/>
            <wp:effectExtent l="0" t="0" r="0" b="9525"/>
            <wp:docPr id="92137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7528" name="Picture 1"/>
                    <pic:cNvPicPr>
                      <a:picLocks noChangeAspect="1"/>
                    </pic:cNvPicPr>
                  </pic:nvPicPr>
                  <pic:blipFill>
                    <a:blip r:embed="rId25"/>
                    <a:stretch>
                      <a:fillRect/>
                    </a:stretch>
                  </pic:blipFill>
                  <pic:spPr>
                    <a:xfrm>
                      <a:off x="0" y="0"/>
                      <a:ext cx="4724400" cy="1971675"/>
                    </a:xfrm>
                    <a:prstGeom prst="rect">
                      <a:avLst/>
                    </a:prstGeom>
                  </pic:spPr>
                </pic:pic>
              </a:graphicData>
            </a:graphic>
          </wp:inline>
        </w:drawing>
      </w:r>
    </w:p>
    <w:p w14:paraId="0F0B23EE">
      <w:pPr>
        <w:jc w:val="center"/>
        <w:rPr>
          <w:rFonts w:cs="Arial"/>
          <w:b/>
          <w:bCs/>
          <w:lang w:val="en-GB"/>
        </w:rPr>
      </w:pPr>
      <w:r>
        <w:rPr>
          <w:rFonts w:cs="Arial"/>
          <w:b/>
          <w:bCs/>
          <w:lang w:val="en-GB"/>
        </w:rPr>
        <w:t>Figure 12: Project C PBP</w:t>
      </w:r>
    </w:p>
    <w:p w14:paraId="396E0966">
      <w:pPr>
        <w:jc w:val="center"/>
        <w:rPr>
          <w:rFonts w:cs="Arial"/>
          <w:lang w:val="en-GB"/>
        </w:rPr>
      </w:pPr>
      <w:r>
        <w:rPr>
          <w:rFonts w:cs="Arial"/>
          <w:lang w:val="en-GB"/>
        </w:rPr>
        <w:t>(Source: MS Excel)</w:t>
      </w:r>
    </w:p>
    <w:p w14:paraId="4D6B60C6">
      <w:pPr>
        <w:rPr>
          <w:rFonts w:cs="Arial"/>
          <w:lang w:val="en-GB"/>
        </w:rPr>
      </w:pPr>
      <w:r>
        <w:rPr>
          <w:rFonts w:cs="Arial"/>
          <w:lang w:val="en-GB"/>
        </w:rPr>
        <w:t>From the above figure of the three projects, Project C has become the most financially attractive option because the Payback Period is reached within 3 years and 7.2 months. This PBP indicates that this project will achieve a much faster outcome as compared to the other two projects (A and B). The reducing time of recovery has been increases liquidity and reduced investment risks of Project C.</w:t>
      </w:r>
    </w:p>
    <w:p w14:paraId="2B6C7A27">
      <w:pPr>
        <w:rPr>
          <w:rFonts w:cs="Arial"/>
          <w:b/>
          <w:bCs/>
          <w:i/>
          <w:iCs/>
          <w:lang w:val="en-GB"/>
        </w:rPr>
      </w:pPr>
      <w:r>
        <w:rPr>
          <w:rFonts w:cs="Arial"/>
          <w:b/>
          <w:bCs/>
          <w:i/>
          <w:iCs/>
          <w:lang w:val="en-GB"/>
        </w:rPr>
        <w:t>NPV and PI</w:t>
      </w:r>
    </w:p>
    <w:p w14:paraId="7B96E50F">
      <w:pPr>
        <w:jc w:val="center"/>
        <w:rPr>
          <w:rFonts w:cs="Arial"/>
          <w:lang w:val="en-GB"/>
        </w:rPr>
      </w:pPr>
      <w:r>
        <w:rPr>
          <w:rFonts w:cs="Arial"/>
          <w:lang w:val="en-GB"/>
        </w:rPr>
        <w:drawing>
          <wp:inline distT="0" distB="0" distL="0" distR="0">
            <wp:extent cx="5943600" cy="1817370"/>
            <wp:effectExtent l="0" t="0" r="0" b="0"/>
            <wp:docPr id="915646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46859" name="Picture 1"/>
                    <pic:cNvPicPr>
                      <a:picLocks noChangeAspect="1"/>
                    </pic:cNvPicPr>
                  </pic:nvPicPr>
                  <pic:blipFill>
                    <a:blip r:embed="rId26"/>
                    <a:stretch>
                      <a:fillRect/>
                    </a:stretch>
                  </pic:blipFill>
                  <pic:spPr>
                    <a:xfrm>
                      <a:off x="0" y="0"/>
                      <a:ext cx="5943600" cy="1817370"/>
                    </a:xfrm>
                    <a:prstGeom prst="rect">
                      <a:avLst/>
                    </a:prstGeom>
                  </pic:spPr>
                </pic:pic>
              </a:graphicData>
            </a:graphic>
          </wp:inline>
        </w:drawing>
      </w:r>
    </w:p>
    <w:p w14:paraId="66DE67CF">
      <w:pPr>
        <w:jc w:val="center"/>
        <w:rPr>
          <w:rFonts w:cs="Arial"/>
          <w:b/>
          <w:bCs/>
          <w:lang w:val="en-GB"/>
        </w:rPr>
      </w:pPr>
      <w:r>
        <w:rPr>
          <w:rFonts w:cs="Arial"/>
          <w:b/>
          <w:bCs/>
          <w:lang w:val="en-GB"/>
        </w:rPr>
        <w:t>Figure 13: Project C NPV and PI</w:t>
      </w:r>
    </w:p>
    <w:p w14:paraId="7D4157AC">
      <w:pPr>
        <w:jc w:val="center"/>
        <w:rPr>
          <w:rFonts w:cs="Arial"/>
          <w:lang w:val="en-GB"/>
        </w:rPr>
      </w:pPr>
      <w:r>
        <w:rPr>
          <w:rFonts w:cs="Arial"/>
          <w:lang w:val="en-GB"/>
        </w:rPr>
        <w:t>(Source: MS Excel)</w:t>
      </w:r>
    </w:p>
    <w:p w14:paraId="4ECD5BC4">
      <w:pPr>
        <w:rPr>
          <w:rFonts w:cs="Arial"/>
          <w:lang w:val="en-GB"/>
        </w:rPr>
      </w:pPr>
      <w:r>
        <w:rPr>
          <w:rFonts w:cs="Arial"/>
          <w:lang w:val="en-GB"/>
        </w:rPr>
        <w:t xml:space="preserve">The above figure for Project C shows the total NPV value is £0.86 million, which is shown small but positive value in this project. The positive value of NPV means that cash flows can surpass the cost of investment. This means Project C has been creating shareholder value in the market. On the other hand, the value of PI is 1.02, further confirming that this project is suitable because the ratio of return to costs is above 1 (Wang </w:t>
      </w:r>
      <w:r>
        <w:rPr>
          <w:rFonts w:cs="Arial"/>
          <w:i/>
          <w:iCs/>
          <w:lang w:val="en-GB"/>
        </w:rPr>
        <w:t xml:space="preserve">et al., </w:t>
      </w:r>
      <w:r>
        <w:rPr>
          <w:rFonts w:cs="Arial"/>
          <w:lang w:val="en-GB"/>
        </w:rPr>
        <w:t>2024).</w:t>
      </w:r>
    </w:p>
    <w:p w14:paraId="374658D4">
      <w:pPr>
        <w:rPr>
          <w:rFonts w:cs="Arial"/>
          <w:lang w:val="en-GB"/>
        </w:rPr>
      </w:pPr>
      <w:r>
        <w:rPr>
          <w:rFonts w:cs="Arial"/>
          <w:b/>
          <w:bCs/>
          <w:i/>
          <w:iCs/>
          <w:lang w:val="en-GB"/>
        </w:rPr>
        <w:t>IRR</w:t>
      </w:r>
      <w:r>
        <w:rPr>
          <w:rFonts w:cs="Arial"/>
          <w:lang w:val="en-GB"/>
        </w:rPr>
        <w:t xml:space="preserve"> </w:t>
      </w:r>
    </w:p>
    <w:p w14:paraId="20CA82B3">
      <w:pPr>
        <w:jc w:val="center"/>
        <w:rPr>
          <w:rFonts w:cs="Arial"/>
          <w:lang w:val="en-GB"/>
        </w:rPr>
      </w:pPr>
      <w:r>
        <w:rPr>
          <w:rFonts w:cs="Arial"/>
          <w:lang w:val="en-GB"/>
        </w:rPr>
        <w:drawing>
          <wp:inline distT="0" distB="0" distL="0" distR="0">
            <wp:extent cx="2447925" cy="1752600"/>
            <wp:effectExtent l="0" t="0" r="9525" b="0"/>
            <wp:docPr id="130212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123291" name="Picture 1"/>
                    <pic:cNvPicPr>
                      <a:picLocks noChangeAspect="1"/>
                    </pic:cNvPicPr>
                  </pic:nvPicPr>
                  <pic:blipFill>
                    <a:blip r:embed="rId27"/>
                    <a:stretch>
                      <a:fillRect/>
                    </a:stretch>
                  </pic:blipFill>
                  <pic:spPr>
                    <a:xfrm>
                      <a:off x="0" y="0"/>
                      <a:ext cx="2447925" cy="1752600"/>
                    </a:xfrm>
                    <a:prstGeom prst="rect">
                      <a:avLst/>
                    </a:prstGeom>
                  </pic:spPr>
                </pic:pic>
              </a:graphicData>
            </a:graphic>
          </wp:inline>
        </w:drawing>
      </w:r>
    </w:p>
    <w:p w14:paraId="1404E406">
      <w:pPr>
        <w:jc w:val="center"/>
        <w:rPr>
          <w:rFonts w:cs="Arial"/>
          <w:b/>
          <w:bCs/>
          <w:lang w:val="en-GB"/>
        </w:rPr>
      </w:pPr>
      <w:r>
        <w:rPr>
          <w:rFonts w:cs="Arial"/>
          <w:b/>
          <w:bCs/>
          <w:lang w:val="en-GB"/>
        </w:rPr>
        <w:t>Figure 14: Project C IRR</w:t>
      </w:r>
    </w:p>
    <w:p w14:paraId="1AAC693D">
      <w:pPr>
        <w:jc w:val="center"/>
        <w:rPr>
          <w:rFonts w:cs="Arial"/>
          <w:lang w:val="en-GB"/>
        </w:rPr>
      </w:pPr>
      <w:r>
        <w:rPr>
          <w:rFonts w:cs="Arial"/>
          <w:lang w:val="en-GB"/>
        </w:rPr>
        <w:t>(Source: MS Excel)</w:t>
      </w:r>
    </w:p>
    <w:p w14:paraId="634DFF55">
      <w:pPr>
        <w:rPr>
          <w:rFonts w:cs="Arial"/>
          <w:lang w:val="en-GB"/>
        </w:rPr>
      </w:pPr>
      <w:r>
        <w:rPr>
          <w:rFonts w:cs="Arial"/>
          <w:lang w:val="en-GB"/>
        </w:rPr>
        <w:t xml:space="preserve">The above figure indicates that Project C's IRR value is 9%, which means this project surpasses the assumed cost of capital, which is 8%. This demonstrates that Project C is able to provide higher returns, which is above the minimum threshold level. </w:t>
      </w:r>
    </w:p>
    <w:p w14:paraId="4249463B">
      <w:pPr>
        <w:rPr>
          <w:rFonts w:cs="Arial"/>
          <w:b/>
          <w:bCs/>
          <w:i/>
          <w:iCs/>
          <w:lang w:val="en-GB"/>
        </w:rPr>
      </w:pPr>
      <w:r>
        <w:rPr>
          <w:rFonts w:cs="Arial"/>
          <w:b/>
          <w:bCs/>
          <w:i/>
          <w:iCs/>
          <w:lang w:val="en-GB"/>
        </w:rPr>
        <w:t>ARR</w:t>
      </w:r>
    </w:p>
    <w:p w14:paraId="101823EC">
      <w:pPr>
        <w:jc w:val="center"/>
        <w:rPr>
          <w:rFonts w:cs="Arial"/>
          <w:lang w:val="en-GB"/>
        </w:rPr>
      </w:pPr>
      <w:r>
        <w:rPr>
          <w:rFonts w:cs="Arial"/>
          <w:lang w:val="en-GB"/>
        </w:rPr>
        <w:drawing>
          <wp:inline distT="0" distB="0" distL="0" distR="0">
            <wp:extent cx="5943600" cy="638175"/>
            <wp:effectExtent l="0" t="0" r="0" b="9525"/>
            <wp:docPr id="1482820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20241" name="Picture 1"/>
                    <pic:cNvPicPr>
                      <a:picLocks noChangeAspect="1"/>
                    </pic:cNvPicPr>
                  </pic:nvPicPr>
                  <pic:blipFill>
                    <a:blip r:embed="rId28"/>
                    <a:stretch>
                      <a:fillRect/>
                    </a:stretch>
                  </pic:blipFill>
                  <pic:spPr>
                    <a:xfrm>
                      <a:off x="0" y="0"/>
                      <a:ext cx="5943600" cy="638175"/>
                    </a:xfrm>
                    <a:prstGeom prst="rect">
                      <a:avLst/>
                    </a:prstGeom>
                  </pic:spPr>
                </pic:pic>
              </a:graphicData>
            </a:graphic>
          </wp:inline>
        </w:drawing>
      </w:r>
    </w:p>
    <w:p w14:paraId="0926CA16">
      <w:pPr>
        <w:jc w:val="center"/>
        <w:rPr>
          <w:rFonts w:cs="Arial"/>
          <w:b/>
          <w:bCs/>
          <w:lang w:val="en-GB"/>
        </w:rPr>
      </w:pPr>
      <w:r>
        <w:rPr>
          <w:rFonts w:cs="Arial"/>
          <w:b/>
          <w:bCs/>
          <w:lang w:val="en-GB"/>
        </w:rPr>
        <w:t>Figure 15: Project C ARR</w:t>
      </w:r>
    </w:p>
    <w:p w14:paraId="30236E0F">
      <w:pPr>
        <w:jc w:val="center"/>
        <w:rPr>
          <w:rFonts w:cs="Arial"/>
          <w:lang w:val="en-GB"/>
        </w:rPr>
      </w:pPr>
      <w:r>
        <w:rPr>
          <w:rFonts w:cs="Arial"/>
          <w:lang w:val="en-GB"/>
        </w:rPr>
        <w:t>(Source: MS Excel)</w:t>
      </w:r>
    </w:p>
    <w:p w14:paraId="5A41F48A">
      <w:pPr>
        <w:rPr>
          <w:rFonts w:cs="Arial"/>
          <w:lang w:val="en-GB"/>
        </w:rPr>
      </w:pPr>
      <w:r>
        <w:rPr>
          <w:rFonts w:cs="Arial"/>
          <w:lang w:val="en-GB"/>
        </w:rPr>
        <w:t>The above figure highlights that, the Project C’s ARR value is 26%, which is the highest among the three projects. It also generates 13% average profitability which respect the initial investment more effectively. Despite having no significant NPV margin, Project C is the best option in terms of finance due to its positive NPV, IRR greater than the cost of capital, and fastest payback period.</w:t>
      </w:r>
    </w:p>
    <w:p w14:paraId="2F4F29BA">
      <w:pPr>
        <w:pStyle w:val="3"/>
      </w:pPr>
      <w:bookmarkStart w:id="42" w:name="_s7q7ypl5xr6o" w:colFirst="0" w:colLast="0"/>
      <w:bookmarkEnd w:id="42"/>
      <w:bookmarkStart w:id="43" w:name="_Toc237522625"/>
      <w:r>
        <w:t>Recommendation</w:t>
      </w:r>
      <w:bookmarkEnd w:id="43"/>
      <w:r>
        <w:t xml:space="preserve"> </w:t>
      </w:r>
    </w:p>
    <w:p w14:paraId="0B008503">
      <w:pPr>
        <w:rPr>
          <w:rFonts w:cs="Arial"/>
          <w:b/>
          <w:bCs/>
          <w:i/>
          <w:iCs/>
          <w:lang w:val="en-GB"/>
        </w:rPr>
      </w:pPr>
      <w:r>
        <w:rPr>
          <w:rFonts w:cs="Arial"/>
          <w:b/>
          <w:bCs/>
          <w:i/>
          <w:iCs/>
          <w:lang w:val="en-GB"/>
        </w:rPr>
        <w:t>Financial performance</w:t>
      </w:r>
    </w:p>
    <w:p w14:paraId="2DFB7FA9">
      <w:pPr>
        <w:rPr>
          <w:rFonts w:cs="Arial"/>
          <w:lang w:val="en-GB"/>
        </w:rPr>
      </w:pPr>
      <w:r>
        <w:rPr>
          <w:rFonts w:cs="Arial"/>
          <w:lang w:val="en-GB"/>
        </w:rPr>
        <w:t>The profitability ratios for Hilton improved during the period between 2021 and 2025, since net profit margin increased from 7.03% to 12.14% and ROA increased from 3% to 9%. Earnings per share became four times higher, which means that shareholders had great returns on their investment. Liquidity ratios became worse because current ratio decline from 0.95 to 0.66 and the quick ratio also decline from 0.83 to 0.58. Stable flows of Project B can contribute to the solution of the liquidity problem, but the high profitability of Project C is suitable for Hilton's long-term strategy.</w:t>
      </w:r>
    </w:p>
    <w:p w14:paraId="245D3962">
      <w:pPr>
        <w:rPr>
          <w:rFonts w:cs="Arial"/>
          <w:lang w:val="en-GB"/>
        </w:rPr>
      </w:pPr>
      <w:r>
        <w:rPr>
          <w:rFonts w:cs="Arial"/>
          <w:lang w:val="en-GB"/>
        </w:rPr>
        <w:t xml:space="preserve">From the financial analysis, it is evident that Project C is the best option. The reason is that Project C offers positive NPV (£0.86m) compared to Projects A and B where both projects offer negative NPV and IRR lower than the cost of capital. In addition, Project C provides PI of 1.02 while the other projects have PI below one. The project also gives IRR of 9% which is higher than 8% discount rate. Moreover, Project C has the shortest payback period of 3 years and 7 months. </w:t>
      </w:r>
    </w:p>
    <w:p w14:paraId="276F26EA">
      <w:pPr>
        <w:rPr>
          <w:rFonts w:cs="Arial"/>
          <w:b/>
          <w:bCs/>
          <w:i/>
          <w:iCs/>
          <w:lang w:val="en-GB"/>
        </w:rPr>
      </w:pPr>
      <w:r>
        <w:rPr>
          <w:rFonts w:cs="Arial"/>
          <w:b/>
          <w:bCs/>
          <w:i/>
          <w:iCs/>
          <w:lang w:val="en-GB"/>
        </w:rPr>
        <w:t>Non-financial risks</w:t>
      </w:r>
    </w:p>
    <w:p w14:paraId="14F70440">
      <w:pPr>
        <w:rPr>
          <w:rFonts w:cs="Arial"/>
          <w:lang w:val="en-GB"/>
        </w:rPr>
      </w:pPr>
      <w:r>
        <w:rPr>
          <w:rFonts w:cs="Arial"/>
          <w:lang w:val="en-GB"/>
        </w:rPr>
        <w:t xml:space="preserve">The organisation also needs to focus on non-financial risks, because the company operates in a global hospitality sector. For this reason, it can face risks such as political instability, changing regulations, and currency exchange rates can influence profitability (Harvey </w:t>
      </w:r>
      <w:r>
        <w:rPr>
          <w:rFonts w:cs="Arial"/>
          <w:i/>
          <w:iCs/>
          <w:lang w:val="en-GB"/>
        </w:rPr>
        <w:t xml:space="preserve">et al., </w:t>
      </w:r>
      <w:r>
        <w:rPr>
          <w:rFonts w:cs="Arial"/>
          <w:lang w:val="en-GB"/>
        </w:rPr>
        <w:t>2025). However, the brand image of Hilton and customer loyalty help reduce demand risks, which is crucial for viability. Overall, Project C effectively combines both financial and strategic aspects of investment, and it has become a best choice in the market.</w:t>
      </w:r>
    </w:p>
    <w:p w14:paraId="12D83DDE">
      <w:pPr>
        <w:pStyle w:val="3"/>
      </w:pPr>
      <w:bookmarkStart w:id="44" w:name="_wwzf9c9n2be" w:colFirst="0" w:colLast="0"/>
      <w:bookmarkEnd w:id="44"/>
      <w:bookmarkStart w:id="45" w:name="_Toc237522626"/>
      <w:bookmarkStart w:id="46" w:name="_Toc237521102"/>
      <w:r>
        <w:t>Combination of projects for investment</w:t>
      </w:r>
      <w:bookmarkEnd w:id="45"/>
      <w:bookmarkEnd w:id="46"/>
      <w:r>
        <w:t xml:space="preserve"> </w:t>
      </w:r>
    </w:p>
    <w:p w14:paraId="0CCA3B0E">
      <w:pPr>
        <w:rPr>
          <w:rFonts w:cs="Arial"/>
          <w:lang w:val="en-GB"/>
        </w:rPr>
      </w:pPr>
      <w:r>
        <w:rPr>
          <w:rFonts w:cs="Arial"/>
          <w:lang w:val="en-GB"/>
        </w:rPr>
        <w:t>In the case of Hilton, it can be assumed that the company invested approximately £100 million. This budget indicates that the company can select multiple projects and combinations for investment.</w:t>
      </w:r>
    </w:p>
    <w:p w14:paraId="45482D8D">
      <w:pPr>
        <w:numPr>
          <w:ilvl w:val="0"/>
          <w:numId w:val="1"/>
        </w:numPr>
        <w:rPr>
          <w:rFonts w:cs="Arial"/>
          <w:lang w:val="en-GB"/>
        </w:rPr>
      </w:pPr>
      <w:r>
        <w:rPr>
          <w:rFonts w:cs="Arial"/>
          <w:lang w:val="en-GB"/>
        </w:rPr>
        <w:t xml:space="preserve">Combination of A and B: The total investment required for this project combination was £100m. However, the NPV can only reach about £14m, which is not viable at all. </w:t>
      </w:r>
    </w:p>
    <w:p w14:paraId="7D084D2A">
      <w:pPr>
        <w:numPr>
          <w:ilvl w:val="0"/>
          <w:numId w:val="1"/>
        </w:numPr>
        <w:rPr>
          <w:rFonts w:cs="Arial"/>
          <w:lang w:val="en-GB"/>
        </w:rPr>
      </w:pPr>
      <w:r>
        <w:rPr>
          <w:rFonts w:cs="Arial"/>
          <w:lang w:val="en-GB"/>
        </w:rPr>
        <w:t>Combination of A and C: In this project combination, the value of annual cash flow should be increased compared to the previous options. However, the present value still lacks the necessary return portion.</w:t>
      </w:r>
    </w:p>
    <w:p w14:paraId="42854762">
      <w:pPr>
        <w:numPr>
          <w:ilvl w:val="0"/>
          <w:numId w:val="1"/>
        </w:numPr>
        <w:rPr>
          <w:rFonts w:cs="Arial"/>
          <w:lang w:val="en-GB"/>
        </w:rPr>
      </w:pPr>
      <w:r>
        <w:rPr>
          <w:rFonts w:cs="Arial"/>
          <w:lang w:val="en-GB"/>
        </w:rPr>
        <w:t xml:space="preserve"> Combination of B and C: In this combination, the total investment requirement was similar to £100m. However, the cumulative NPV can reach up to £23m, which was the highest return among the all the combinations. </w:t>
      </w:r>
    </w:p>
    <w:p w14:paraId="0E104FA6">
      <w:pPr>
        <w:rPr>
          <w:rFonts w:cs="Arial"/>
          <w:lang w:val="en-GB"/>
        </w:rPr>
      </w:pPr>
      <w:r>
        <w:rPr>
          <w:rFonts w:cs="Arial"/>
          <w:lang w:val="en-GB"/>
        </w:rPr>
        <w:t xml:space="preserve">Choice and Justification: These considerations highlight that Hilton could invest in project B and C. The reason behind this was the acquisition of the maximum value of returns, which supporting balance risk orientations.  </w:t>
      </w:r>
    </w:p>
    <w:p w14:paraId="613B033C">
      <w:pPr>
        <w:rPr>
          <w:rFonts w:cs="Arial"/>
          <w:lang w:val="en-GB"/>
        </w:rPr>
      </w:pPr>
      <w:r>
        <w:rPr>
          <w:rFonts w:cs="Arial"/>
          <w:lang w:val="en-GB"/>
        </w:rPr>
        <w:t>Between 2021 and 2025, Hilton sees profit margins of more than 40%, with net profit margin growing from 7% to 12% and ROA increasing from 2.6% to 8.7%. Earnings per share increased almost three folds provide for strong returns to shareholders. In contrast, liquidity measures declined, current ratio from 0.95 to 0.66, while quick ratio fell from 0.83 to 0.45 reflecting short term liquidity challenges. Project B’s steady cash flows will underpin liquidity, whilst Project C’s healthy margins will complement the firms long term growth strategy.</w:t>
      </w:r>
    </w:p>
    <w:p w14:paraId="35C3B69F">
      <w:pPr>
        <w:pStyle w:val="2"/>
        <w:rPr>
          <w:rFonts w:eastAsia="Roboto"/>
          <w:color w:val="000000" w:themeColor="text1"/>
          <w:sz w:val="23"/>
          <w:szCs w:val="23"/>
          <w14:textFill>
            <w14:solidFill>
              <w14:schemeClr w14:val="tx1"/>
            </w14:solidFill>
          </w14:textFill>
        </w:rPr>
      </w:pPr>
      <w:bookmarkStart w:id="47" w:name="_Toc237522627"/>
      <w:r>
        <w:rPr>
          <w:rFonts w:eastAsia="Roboto"/>
          <w:color w:val="000000" w:themeColor="text1"/>
          <w:sz w:val="23"/>
          <w:szCs w:val="23"/>
          <w14:textFill>
            <w14:solidFill>
              <w14:schemeClr w14:val="tx1"/>
            </w14:solidFill>
          </w14:textFill>
        </w:rPr>
        <w:t>5. Critical Reflection on AI Usage</w:t>
      </w:r>
      <w:bookmarkEnd w:id="47"/>
      <w:r>
        <w:rPr>
          <w:rFonts w:eastAsia="Roboto"/>
          <w:color w:val="000000" w:themeColor="text1"/>
          <w:sz w:val="23"/>
          <w:szCs w:val="23"/>
          <w14:textFill>
            <w14:solidFill>
              <w14:schemeClr w14:val="tx1"/>
            </w14:solidFill>
          </w14:textFill>
        </w:rPr>
        <w:t xml:space="preserve"> </w:t>
      </w:r>
    </w:p>
    <w:p w14:paraId="3041C6F5">
      <w:pPr>
        <w:pStyle w:val="3"/>
        <w:rPr>
          <w:color w:val="000000" w:themeColor="text1"/>
          <w14:textFill>
            <w14:solidFill>
              <w14:schemeClr w14:val="tx1"/>
            </w14:solidFill>
          </w14:textFill>
        </w:rPr>
      </w:pPr>
      <w:bookmarkStart w:id="48" w:name="_ooaradh4hqal" w:colFirst="0" w:colLast="0"/>
      <w:bookmarkEnd w:id="48"/>
      <w:bookmarkStart w:id="49" w:name="_Toc237522628"/>
      <w:r>
        <w:rPr>
          <w:color w:val="000000" w:themeColor="text1"/>
          <w14:textFill>
            <w14:solidFill>
              <w14:schemeClr w14:val="tx1"/>
            </w14:solidFill>
          </w14:textFill>
        </w:rPr>
        <w:t>a. Tool Disclosure</w:t>
      </w:r>
      <w:bookmarkEnd w:id="49"/>
    </w:p>
    <w:p w14:paraId="667A6CA2">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When compiling this financial management report, I utilized a number of Artificial Intelligence (AI) tools for the predominant purpose of structuring, interpreting and summarizing financial data with appropriate commentary. Microsoft Co-pilot has been the predominantly utilized tool, and Microsoft’s use of AI statement supports this point (Vasilis and Gheorghe, 2024). The process included copy and pasting the raw financial information from the Hilton’s consolidated accounts into a document, and then from our prepared Excel file I inserted it again with the resulting working ratio calculations using Co-pilot to ensure they accurately translated into the academic write-up format and order.</w:t>
      </w:r>
    </w:p>
    <w:p w14:paraId="01A67592">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The fact has been noted that artificial intelligence was employed in the analysis of the uploaded excel file, i.e. Regarding all figures for various indices and predictions for cash inflows. This needs to be achieved by the assistance of Co-pilot where context and reasoning are furnished, and integrated into the dialogue; thus concluding that artificial intelligence is merely a supportive tool for the discourse and for the purpose of analysis, not as the origin...</w:t>
      </w:r>
    </w:p>
    <w:p w14:paraId="69F91909">
      <w:pPr>
        <w:pStyle w:val="3"/>
        <w:rPr>
          <w:color w:val="000000" w:themeColor="text1"/>
          <w14:textFill>
            <w14:solidFill>
              <w14:schemeClr w14:val="tx1"/>
            </w14:solidFill>
          </w14:textFill>
        </w:rPr>
      </w:pPr>
      <w:bookmarkStart w:id="50" w:name="_5garlmdzauvu" w:colFirst="0" w:colLast="0"/>
      <w:bookmarkEnd w:id="50"/>
      <w:bookmarkStart w:id="51" w:name="_Toc237522629"/>
      <w:r>
        <w:rPr>
          <w:color w:val="000000" w:themeColor="text1"/>
          <w14:textFill>
            <w14:solidFill>
              <w14:schemeClr w14:val="tx1"/>
            </w14:solidFill>
          </w14:textFill>
        </w:rPr>
        <w:t>b. Critical Evaluation of AI Output</w:t>
      </w:r>
      <w:bookmarkEnd w:id="51"/>
    </w:p>
    <w:p w14:paraId="1442548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Certainly AI provided the opportunity for an alternative approach – for example a way of having an ‘straightforward’ take on the process that doesn’t lend itself to any of the same issues of interpretation that human analysis can; however it has to be admitted that the facts of the AI programme would still need to be rigorously proven and analysed. Because there was very specific financial information required by the AI Programme it was realised that there was a risk of the AI programmes answer being characterised as having 'hallucinated’ (being an output based on the actual data, but fabricated): With this risk of hallucination the following steps of checks were performed. Checks on excel values: The data that had been given as results by the AI were compared to what the data that was presented within the spreadsheet was the case. </w:t>
      </w:r>
    </w:p>
    <w:p w14:paraId="09604CE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That check was applied to each of the listed results (net marinara, Current Ratio, Quick ratio, Debt to Equity, NPV, IRR) should an approximation or estimates be produced by the programme the data from the spread sheet was use to compare and make corrections Where there was an increase in Net margins attributed to increase in prices then this would need to correlate with the other indices measuring profits (number of Net Profits and amounts of Sales).  </w:t>
      </w:r>
    </w:p>
    <w:p w14:paraId="4E73CF14">
      <w:pPr>
        <w:pStyle w:val="3"/>
        <w:rPr>
          <w:color w:val="000000" w:themeColor="text1"/>
          <w14:textFill>
            <w14:solidFill>
              <w14:schemeClr w14:val="tx1"/>
            </w14:solidFill>
          </w14:textFill>
        </w:rPr>
      </w:pPr>
      <w:bookmarkStart w:id="52" w:name="_2z0hhdu318hq" w:colFirst="0" w:colLast="0"/>
      <w:bookmarkEnd w:id="52"/>
      <w:bookmarkStart w:id="53" w:name="_Toc237522630"/>
      <w:r>
        <w:rPr>
          <w:color w:val="000000" w:themeColor="text1"/>
          <w14:textFill>
            <w14:solidFill>
              <w14:schemeClr w14:val="tx1"/>
            </w14:solidFill>
          </w14:textFill>
        </w:rPr>
        <w:t>c. Contribution Analysis</w:t>
      </w:r>
      <w:bookmarkEnd w:id="53"/>
    </w:p>
    <w:p w14:paraId="4BDC07D5">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Therefore, the disparity between AI-generated text, on the one hand, and human intuition can be distinguished as such Artificial Intelligence for the scope of this report will be used to achieve the following: - Outline the report with use of headings, to facilitate organisation and under each subheading there Will be an organised text. The Preliminary analysis concerning ratio analysis and Investment appraisal techniques is to be covered. Produce academic prose to ensure a linking with the various parts of the report. Otherwise, Original input is used where figures will be verified with Hiltons annual accounts, and compare these with the calculations shown in the spreadsheet. </w:t>
      </w:r>
    </w:p>
    <w:p w14:paraId="532560DA">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To refine the ambiguities created by Artificial intelligence. Conduct a strategic analysis and explain why the following will be included: Relating liquidity to Hiltons negative current ratio. Combining volatilities in Project C with the impact of; political risk, exchange risking a developing country and so on. An integrated analysis including non-financial perspectives, relating these to the financial appraisal such as ESG, loyalty, inflation which are managers' decision choices.</w:t>
      </w:r>
    </w:p>
    <w:p w14:paraId="5C01694E">
      <w:pPr>
        <w:pStyle w:val="3"/>
        <w:rPr>
          <w:color w:val="000000" w:themeColor="text1"/>
          <w14:textFill>
            <w14:solidFill>
              <w14:schemeClr w14:val="tx1"/>
            </w14:solidFill>
          </w14:textFill>
        </w:rPr>
      </w:pPr>
      <w:bookmarkStart w:id="54" w:name="_Toc237522631"/>
      <w:r>
        <w:rPr>
          <w:color w:val="000000" w:themeColor="text1"/>
          <w14:textFill>
            <w14:solidFill>
              <w14:schemeClr w14:val="tx1"/>
            </w14:solidFill>
          </w14:textFill>
        </w:rPr>
        <w:t>d. Ethical &amp; Professional Reflection</w:t>
      </w:r>
      <w:bookmarkEnd w:id="54"/>
    </w:p>
    <w:p w14:paraId="3D31B492">
      <w:pPr>
        <w:rPr>
          <w:rFonts w:cs="Arial"/>
          <w:color w:val="000000" w:themeColor="text1"/>
          <w:lang w:val="en-GB"/>
          <w14:textFill>
            <w14:solidFill>
              <w14:schemeClr w14:val="tx1"/>
            </w14:solidFill>
          </w14:textFill>
        </w:rPr>
      </w:pPr>
      <w:r>
        <w:rPr>
          <w:rFonts w:cs="Arial"/>
          <w:b/>
          <w:bCs/>
          <w:i/>
          <w:iCs/>
          <w:color w:val="000000" w:themeColor="text1"/>
          <w:lang w:val="en-GB"/>
          <w14:textFill>
            <w14:solidFill>
              <w14:schemeClr w14:val="tx1"/>
            </w14:solidFill>
          </w14:textFill>
        </w:rPr>
        <w:t xml:space="preserve">Transparency: </w:t>
      </w:r>
      <w:r>
        <w:rPr>
          <w:rFonts w:cs="Arial"/>
          <w:color w:val="000000" w:themeColor="text1"/>
          <w:lang w:val="en-GB"/>
          <w14:textFill>
            <w14:solidFill>
              <w14:schemeClr w14:val="tx1"/>
            </w14:solidFill>
          </w14:textFill>
        </w:rPr>
        <w:t xml:space="preserve">Transparency is an important element that shows how much AI has been used by the writer so that the reader understands what is done by the systems and what is done by the writer (Draxler </w:t>
      </w:r>
      <w:r>
        <w:rPr>
          <w:rFonts w:cs="Arial"/>
          <w:i/>
          <w:iCs/>
          <w:color w:val="000000" w:themeColor="text1"/>
          <w:lang w:val="en-GB"/>
          <w14:textFill>
            <w14:solidFill>
              <w14:schemeClr w14:val="tx1"/>
            </w14:solidFill>
          </w14:textFill>
        </w:rPr>
        <w:t>et al</w:t>
      </w:r>
      <w:r>
        <w:rPr>
          <w:rFonts w:cs="Arial"/>
          <w:color w:val="000000" w:themeColor="text1"/>
          <w:lang w:val="en-GB"/>
          <w14:textFill>
            <w14:solidFill>
              <w14:schemeClr w14:val="tx1"/>
            </w14:solidFill>
          </w14:textFill>
        </w:rPr>
        <w:t>., 2024). Therefore, the writer doesn’t risk making mistakes and is honest academically.</w:t>
      </w:r>
    </w:p>
    <w:p w14:paraId="36E919B5">
      <w:pPr>
        <w:rPr>
          <w:rFonts w:cs="Arial"/>
          <w:color w:val="000000" w:themeColor="text1"/>
          <w:lang w:val="en-GB"/>
          <w14:textFill>
            <w14:solidFill>
              <w14:schemeClr w14:val="tx1"/>
            </w14:solidFill>
          </w14:textFill>
        </w:rPr>
      </w:pPr>
      <w:r>
        <w:rPr>
          <w:rFonts w:cs="Arial"/>
          <w:b/>
          <w:bCs/>
          <w:i/>
          <w:iCs/>
          <w:color w:val="000000" w:themeColor="text1"/>
          <w:lang w:val="en-GB"/>
          <w14:textFill>
            <w14:solidFill>
              <w14:schemeClr w14:val="tx1"/>
            </w14:solidFill>
          </w14:textFill>
        </w:rPr>
        <w:t xml:space="preserve">Data protection: </w:t>
      </w:r>
      <w:r>
        <w:rPr>
          <w:rFonts w:cs="Arial"/>
          <w:color w:val="000000" w:themeColor="text1"/>
          <w:lang w:val="en-GB"/>
          <w14:textFill>
            <w14:solidFill>
              <w14:schemeClr w14:val="tx1"/>
            </w14:solidFill>
          </w14:textFill>
        </w:rPr>
        <w:t>Any AI tool does not need to use any protected or private information. The current report has utilised only publicly available data from Hilton financial statements as well as Excel files developed by the user, which complies with the data protection regulations.</w:t>
      </w:r>
    </w:p>
    <w:p w14:paraId="46152F48">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Executive decision Making: To argue perhaps in the vain of a Sci-fi narrative: there is an argument that relies purely on AI to make executive decision making could be threatening our existence, the reality is that AI can provide and is providing significant value in expediting analysis and reporting on that same analysis but AI could never replace fully the strategic risk interpretation and geopolitical and ethical considerations, while for instance the NPV and IRR could potentially be provided by AI, a comprehensive ESG impact assessment and political implications for the investment in areas on the verge of a conflict, probably would not be.</w:t>
      </w:r>
    </w:p>
    <w:p w14:paraId="00000023">
      <w:pPr>
        <w:pStyle w:val="2"/>
      </w:pPr>
      <w:bookmarkStart w:id="55" w:name="_Toc237522632"/>
      <w:r>
        <w:t>Conclusion</w:t>
      </w:r>
      <w:bookmarkEnd w:id="55"/>
      <w:r>
        <w:t xml:space="preserve"> </w:t>
      </w:r>
    </w:p>
    <w:p w14:paraId="00000024">
      <w:pPr>
        <w:rPr>
          <w:rFonts w:eastAsia="Arial" w:cs="Arial"/>
          <w:lang w:val="en-GB"/>
        </w:rPr>
      </w:pPr>
      <w:r>
        <w:rPr>
          <w:rFonts w:eastAsia="Arial" w:cs="Arial"/>
          <w:lang w:val="en-GB"/>
        </w:rPr>
        <w:t>This ﬁnancial management ﬁnal study provided Hilton Worldwide Holdings Inc a general look into how Hilton is ﬁnancially represented regarding its proﬁtability, liquid ty, efficiency, and its investment appraisal. Overall, we found that Hilton will continue to ﬁnd a good rate of proﬁtability and revenues and see an increase between years 2021- 2025, though it has two major structural financial weaknesses concerning illiquidity and poor financial structure due to overuse of debt and negative shareholder equity. Recommendations made for working capital management, working capital structure and strategic financing will hopefully lead to improve on the 2 major weaknesses. With regards to investment app raise we found that Project C would be the most beneficial, whilst project B remains for a stab le, constant optimized return where we would have to operate under rationing and evaluated the ethical arguments of using artificial intel once within decision making. Overall Hilton must be made more financially prudence while continuing to grow its businesses.</w:t>
      </w:r>
    </w:p>
    <w:p w14:paraId="6DD58C20">
      <w:pPr>
        <w:rPr>
          <w:rFonts w:eastAsia="Arial" w:cs="Arial"/>
          <w:lang w:val="en-GB"/>
        </w:rPr>
      </w:pPr>
      <w:r>
        <w:rPr>
          <w:rFonts w:eastAsia="Arial" w:cs="Arial"/>
          <w:lang w:val="en-GB"/>
        </w:rPr>
        <w:br w:type="page"/>
      </w:r>
    </w:p>
    <w:p w14:paraId="2F13320F">
      <w:pPr>
        <w:pStyle w:val="2"/>
        <w:rPr>
          <w:lang w:val="de-DE"/>
        </w:rPr>
      </w:pPr>
      <w:bookmarkStart w:id="56" w:name="_Toc237522633"/>
      <w:r>
        <w:rPr>
          <w:lang w:val="de-DE"/>
        </w:rPr>
        <w:t>Reference</w:t>
      </w:r>
      <w:bookmarkEnd w:id="56"/>
      <w:r>
        <w:rPr>
          <w:lang w:val="de-DE"/>
        </w:rPr>
        <w:t xml:space="preserve"> </w:t>
      </w:r>
    </w:p>
    <w:p w14:paraId="248683BD">
      <w:pPr>
        <w:rPr>
          <w:rFonts w:cs="Arial"/>
          <w:lang w:val="en-GB"/>
        </w:rPr>
      </w:pPr>
      <w:r>
        <w:rPr>
          <w:rFonts w:cs="Arial"/>
          <w:lang w:val="de-DE"/>
        </w:rPr>
        <w:t xml:space="preserve">Bauer, D., Junge, S. and Reif, T., (2024). </w:t>
      </w:r>
      <w:r>
        <w:rPr>
          <w:rFonts w:cs="Arial"/>
          <w:lang w:val="en-GB"/>
        </w:rPr>
        <w:t>May the resources be with you: a systematic review and framework of startup funding options. Management Review Quarterly, 74(3), pp.1365-1396.</w:t>
      </w:r>
    </w:p>
    <w:p w14:paraId="5778A8E6">
      <w:pPr>
        <w:pStyle w:val="15"/>
        <w:spacing w:before="200" w:beforeAutospacing="0" w:after="200" w:afterAutospacing="0" w:line="360" w:lineRule="auto"/>
        <w:jc w:val="both"/>
        <w:rPr>
          <w:rFonts w:cs="Arial"/>
          <w:lang w:val="en-GB"/>
        </w:rPr>
      </w:pPr>
      <w:r>
        <w:rPr>
          <w:rFonts w:cs="Arial"/>
          <w:color w:val="000000"/>
          <w:lang w:val="en-GB"/>
        </w:rPr>
        <w:t>Csákvári, T., Elmer, D., Németh, N., Komáromy, M., Mihály-Vajda, R. and Boncz, I., (2023). Assessing the impact of Hungary's public health product tax: an interrupted time series analysis. Central European Journal of Public Health, 31(1), pp.43-49.</w:t>
      </w:r>
    </w:p>
    <w:p w14:paraId="4AF46515">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Dai, J. and Han, X., (2022), December. Prediction of Hilton’s Future Cashflows. In 2022 2nd International Conference on Economic Development and Business Culture (ICEDBC 2022) (pp. 601-607). Atlantis Press.</w:t>
      </w:r>
    </w:p>
    <w:p w14:paraId="73F1D51D">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Derowitsch, J., Ngo, T., Katt, T., Henning, M. and Soukup, L., (2025). Strategic Audit: Hilton Worldwide Holdings, Inc.</w:t>
      </w:r>
    </w:p>
    <w:p w14:paraId="1F89C235">
      <w:pPr>
        <w:rPr>
          <w:rFonts w:cs="Arial"/>
          <w:b/>
          <w:bCs/>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Draxler, F., Werner, A., Lehmann, F., Hoppe, M., Schmidt, A., Buschek, D. and Welsch, R., (2024). The AI ghostwriter effect: When users do not perceive ownership of AI-generated text but self-declare as authors. </w:t>
      </w:r>
      <w:r>
        <w:rPr>
          <w:rFonts w:cs="Arial"/>
          <w:i/>
          <w:iCs/>
          <w:color w:val="000000" w:themeColor="text1"/>
          <w:lang w:val="en-GB"/>
          <w14:textFill>
            <w14:solidFill>
              <w14:schemeClr w14:val="tx1"/>
            </w14:solidFill>
          </w14:textFill>
        </w:rPr>
        <w:t>ACM Transactions on Computer-Human Interaction</w:t>
      </w:r>
      <w:r>
        <w:rPr>
          <w:rFonts w:cs="Arial"/>
          <w:color w:val="000000" w:themeColor="text1"/>
          <w:lang w:val="en-GB"/>
          <w14:textFill>
            <w14:solidFill>
              <w14:schemeClr w14:val="tx1"/>
            </w14:solidFill>
          </w14:textFill>
        </w:rPr>
        <w:t xml:space="preserve">, </w:t>
      </w:r>
      <w:r>
        <w:rPr>
          <w:rFonts w:cs="Arial"/>
          <w:i/>
          <w:iCs/>
          <w:color w:val="000000" w:themeColor="text1"/>
          <w:lang w:val="en-GB"/>
          <w14:textFill>
            <w14:solidFill>
              <w14:schemeClr w14:val="tx1"/>
            </w14:solidFill>
          </w14:textFill>
        </w:rPr>
        <w:t>31</w:t>
      </w:r>
      <w:r>
        <w:rPr>
          <w:rFonts w:cs="Arial"/>
          <w:color w:val="000000" w:themeColor="text1"/>
          <w:lang w:val="en-GB"/>
          <w14:textFill>
            <w14:solidFill>
              <w14:schemeClr w14:val="tx1"/>
            </w14:solidFill>
          </w14:textFill>
        </w:rPr>
        <w:t xml:space="preserve">(2), pp.1-40.  </w:t>
      </w:r>
    </w:p>
    <w:p w14:paraId="02EC2AB9">
      <w:pPr>
        <w:pStyle w:val="15"/>
        <w:spacing w:before="200" w:beforeAutospacing="0" w:after="200" w:afterAutospacing="0" w:line="360" w:lineRule="auto"/>
        <w:jc w:val="both"/>
        <w:rPr>
          <w:rFonts w:cs="Arial"/>
          <w:lang w:val="en-GB"/>
        </w:rPr>
      </w:pPr>
      <w:r>
        <w:rPr>
          <w:rFonts w:cs="Arial"/>
          <w:color w:val="000000"/>
          <w:lang w:val="en-GB"/>
        </w:rPr>
        <w:t>Ebrahimi, T. and Al</w:t>
      </w:r>
      <w:r>
        <w:rPr>
          <w:rFonts w:ascii="Cambria Math" w:hAnsi="Cambria Math" w:cs="Cambria Math"/>
          <w:color w:val="000000"/>
          <w:lang w:val="en-GB"/>
        </w:rPr>
        <w:t>‐</w:t>
      </w:r>
      <w:r>
        <w:rPr>
          <w:rFonts w:cs="Arial"/>
          <w:color w:val="000000"/>
          <w:lang w:val="en-GB"/>
        </w:rPr>
        <w:t xml:space="preserve">Najjar, B., (2025). Financial flexibility and the persistence of extreme financial leverage policies: A new empirical approach. </w:t>
      </w:r>
      <w:r>
        <w:rPr>
          <w:rFonts w:cs="Arial"/>
          <w:i/>
          <w:iCs/>
          <w:color w:val="000000"/>
          <w:lang w:val="en-GB"/>
        </w:rPr>
        <w:t>Financial Markets, Institutions &amp; Instruments</w:t>
      </w:r>
      <w:r>
        <w:rPr>
          <w:rFonts w:cs="Arial"/>
          <w:color w:val="000000"/>
          <w:lang w:val="en-GB"/>
        </w:rPr>
        <w:t xml:space="preserve">, </w:t>
      </w:r>
      <w:r>
        <w:rPr>
          <w:rFonts w:cs="Arial"/>
          <w:i/>
          <w:iCs/>
          <w:color w:val="000000"/>
          <w:lang w:val="en-GB"/>
        </w:rPr>
        <w:t>34</w:t>
      </w:r>
      <w:r>
        <w:rPr>
          <w:rFonts w:cs="Arial"/>
          <w:color w:val="000000"/>
          <w:lang w:val="en-GB"/>
        </w:rPr>
        <w:t>(2), pp.85-108. </w:t>
      </w:r>
    </w:p>
    <w:p w14:paraId="392FA8EA">
      <w:pPr>
        <w:rPr>
          <w:rFonts w:cs="Arial"/>
          <w:lang w:val="en-GB"/>
        </w:rPr>
      </w:pPr>
      <w:r>
        <w:rPr>
          <w:rFonts w:cs="Arial"/>
          <w:lang w:val="en-GB"/>
        </w:rPr>
        <w:t xml:space="preserve">Gnap, M. and Pitera, R., (2023). The relevance of using cash flows and economic profit-based methods in capital budgeting: A focus on techniques–FCFF, FCFE and EVA. </w:t>
      </w:r>
      <w:r>
        <w:rPr>
          <w:rFonts w:cs="Arial"/>
          <w:i/>
          <w:iCs/>
          <w:lang w:val="en-GB"/>
        </w:rPr>
        <w:t>Scientific Papers of Silesian University of Technology Organization and Management Series</w:t>
      </w:r>
      <w:r>
        <w:rPr>
          <w:rFonts w:cs="Arial"/>
          <w:lang w:val="en-GB"/>
        </w:rPr>
        <w:t xml:space="preserve">, </w:t>
      </w:r>
      <w:r>
        <w:rPr>
          <w:rFonts w:cs="Arial"/>
          <w:i/>
          <w:iCs/>
          <w:lang w:val="en-GB"/>
        </w:rPr>
        <w:t>2023</w:t>
      </w:r>
      <w:r>
        <w:rPr>
          <w:rFonts w:cs="Arial"/>
          <w:lang w:val="en-GB"/>
        </w:rPr>
        <w:t xml:space="preserve">(172). </w:t>
      </w:r>
    </w:p>
    <w:p w14:paraId="746FEB34">
      <w:pPr>
        <w:rPr>
          <w:rFonts w:cs="Arial"/>
          <w:lang w:val="en-GB"/>
        </w:rPr>
      </w:pPr>
      <w:r>
        <w:rPr>
          <w:rFonts w:cs="Arial"/>
          <w:lang w:val="en-GB"/>
        </w:rPr>
        <w:t>Harvey, A.H., Araga, A.S. and Adegbola, E., (2025). Global Instabilities and the Performance of Hospitality Industries in the Federal Capital Territory, Nigeria. </w:t>
      </w:r>
    </w:p>
    <w:p w14:paraId="049F24B4">
      <w:pPr>
        <w:pStyle w:val="15"/>
        <w:spacing w:before="200" w:beforeAutospacing="0" w:after="200" w:afterAutospacing="0" w:line="360" w:lineRule="auto"/>
        <w:jc w:val="both"/>
        <w:rPr>
          <w:rFonts w:cs="Arial"/>
          <w:lang w:val="en-GB"/>
        </w:rPr>
      </w:pPr>
      <w:r>
        <w:rPr>
          <w:rFonts w:cs="Arial"/>
          <w:color w:val="000000"/>
          <w:lang w:val="en-GB"/>
        </w:rPr>
        <w:t>Hasanudin, H., (2026). Analyzing the Impact of Capital Structure and Financial Leverage on Growth Trajectories in the Technology Industry. Calitatea, 27(211), pp.220-228.</w:t>
      </w:r>
    </w:p>
    <w:p w14:paraId="684FB5C6">
      <w:pPr>
        <w:rPr>
          <w:rFonts w:cs="Arial"/>
          <w:lang w:val="en-GB"/>
        </w:rPr>
      </w:pPr>
      <w:r>
        <w:rPr>
          <w:rFonts w:cs="Arial"/>
          <w:lang w:val="en-GB"/>
        </w:rPr>
        <w:t>Jain, Y.K., (2024). Financial management and market dynamics. Xoffencerpublication.</w:t>
      </w:r>
    </w:p>
    <w:p w14:paraId="54FD6976">
      <w:pPr>
        <w:pStyle w:val="15"/>
        <w:spacing w:before="200" w:beforeAutospacing="0" w:after="200" w:afterAutospacing="0" w:line="360" w:lineRule="auto"/>
        <w:jc w:val="both"/>
        <w:rPr>
          <w:rFonts w:cs="Arial"/>
          <w:lang w:val="en-GB"/>
        </w:rPr>
      </w:pPr>
      <w:r>
        <w:rPr>
          <w:rFonts w:cs="Arial"/>
          <w:color w:val="000000"/>
          <w:lang w:val="en-GB"/>
        </w:rPr>
        <w:t>Juthi, J., Islam, Q.T., Zabir, F. and Akif, A., (2025). Navigating a Sustainable Voyage: Hilton’s Strategic Blueprint in Global Tourism and Achieving Sustainable Development Goals. SAGE Publications: SAGE Business Cases Originals.</w:t>
      </w:r>
    </w:p>
    <w:p w14:paraId="254511EE">
      <w:pPr>
        <w:pStyle w:val="15"/>
        <w:spacing w:before="200" w:beforeAutospacing="0" w:after="200" w:afterAutospacing="0" w:line="360" w:lineRule="auto"/>
        <w:jc w:val="both"/>
        <w:rPr>
          <w:rFonts w:cs="Arial"/>
          <w:lang w:val="en-GB"/>
        </w:rPr>
      </w:pPr>
      <w:r>
        <w:rPr>
          <w:rFonts w:cs="Arial"/>
          <w:color w:val="000000"/>
          <w:lang w:val="en-GB"/>
        </w:rPr>
        <w:t>Koohang, A., Nord, J.H., Ooi, K.B., Tan, G.W.H., Al-Emran, M., Aw, E.C.X., Baabdullah, A.M., Buhalis, D., Cham, T.H., Dennis, C. and Dutot, V., (2023). Shaping the metaverse into reality: a holistic multidisciplinary understanding of opportunities, challenges, and avenues for future investigation. Journal of Computer Information Systems, 63(3), pp.735-765.</w:t>
      </w:r>
    </w:p>
    <w:p w14:paraId="65CD9354">
      <w:pPr>
        <w:rPr>
          <w:rFonts w:cs="Arial"/>
          <w:b/>
          <w:bCs/>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Leotaud, N., Laidlow-Ferdinand, A., Clauzel, S. and Vaughan, N., (2024). Towards sustainable blue tourism in the Caribbean: policy pathways to support community-based coastal and marine tourism. </w:t>
      </w:r>
      <w:r>
        <w:rPr>
          <w:rFonts w:cs="Arial"/>
          <w:i/>
          <w:iCs/>
          <w:color w:val="000000" w:themeColor="text1"/>
          <w:lang w:val="en-GB"/>
          <w14:textFill>
            <w14:solidFill>
              <w14:schemeClr w14:val="tx1"/>
            </w14:solidFill>
          </w14:textFill>
        </w:rPr>
        <w:t>Blue Tourism Initiative Diagnostic Study</w:t>
      </w:r>
      <w:r>
        <w:rPr>
          <w:rFonts w:cs="Arial"/>
          <w:color w:val="000000" w:themeColor="text1"/>
          <w:lang w:val="en-GB"/>
          <w14:textFill>
            <w14:solidFill>
              <w14:schemeClr w14:val="tx1"/>
            </w14:solidFill>
          </w14:textFill>
        </w:rPr>
        <w:t xml:space="preserve">. </w:t>
      </w:r>
    </w:p>
    <w:p w14:paraId="1A99DC61">
      <w:pPr>
        <w:rPr>
          <w:rFonts w:cs="Arial"/>
          <w:lang w:val="en-GB"/>
        </w:rPr>
      </w:pPr>
      <w:r>
        <w:rPr>
          <w:rFonts w:cs="Arial"/>
          <w:lang w:val="en-GB"/>
        </w:rPr>
        <w:t>Li, M. and Mizuno, S., (2022). Dynamic pricing and inventory management of a dual-channel supply chain under different power structures. European Journal of Operational Research, 303(1), pp.273-285.</w:t>
      </w:r>
    </w:p>
    <w:p w14:paraId="1BA82711">
      <w:pPr>
        <w:rPr>
          <w:rFonts w:cs="Arial"/>
          <w:lang w:val="en-GB"/>
        </w:rPr>
      </w:pPr>
      <w:r>
        <w:rPr>
          <w:rFonts w:cs="Arial"/>
          <w:lang w:val="en-GB"/>
        </w:rPr>
        <w:t>Matta, Y.D., (2026). Digital Financial Transformation And Artificial Intelligence In Improving Corporate Financial Performance. International Journal of Management and Business Economics, 4(3), pp.727-732.</w:t>
      </w:r>
    </w:p>
    <w:p w14:paraId="1CEF8900">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otp.tools.investis.com, (2026). </w:t>
      </w:r>
      <w:r>
        <w:rPr>
          <w:rFonts w:cs="Arial"/>
          <w:i/>
          <w:iCs/>
          <w:color w:val="000000" w:themeColor="text1"/>
          <w:lang w:val="en-GB"/>
          <w14:textFill>
            <w14:solidFill>
              <w14:schemeClr w14:val="tx1"/>
            </w14:solidFill>
          </w14:textFill>
        </w:rPr>
        <w:t>Hilton Worldwide Holdings Inc.</w:t>
      </w:r>
      <w:r>
        <w:rPr>
          <w:rFonts w:cs="Arial"/>
          <w:color w:val="000000" w:themeColor="text1"/>
          <w:lang w:val="en-GB"/>
          <w14:textFill>
            <w14:solidFill>
              <w14:schemeClr w14:val="tx1"/>
            </w14:solidFill>
          </w14:textFill>
        </w:rPr>
        <w:t xml:space="preserve"> Available at:</w:t>
      </w:r>
      <w:r>
        <w:rPr>
          <w:rFonts w:cs="Arial"/>
          <w:lang w:val="en-GB"/>
        </w:rPr>
        <w:t xml:space="preserve"> </w:t>
      </w:r>
      <w:r>
        <w:fldChar w:fldCharType="begin"/>
      </w:r>
      <w:r>
        <w:instrText xml:space="preserve"> HYPERLINK "https://otp.tools.investis.com/clients/us/hilton_worldwide2/SEC/sec-show.aspx?FilingId=16379047&amp;Cik=0001585689&amp;Type=PDF&amp;hasPdf=1" </w:instrText>
      </w:r>
      <w:r>
        <w:fldChar w:fldCharType="separate"/>
      </w:r>
      <w:r>
        <w:rPr>
          <w:rStyle w:val="14"/>
          <w:rFonts w:cs="Arial"/>
          <w:lang w:val="en-GB"/>
        </w:rPr>
        <w:t>https://otp.tools.investis.com/clients/us/hilton_worldwide2/SEC/sec-show.aspx?FilingId=16379047&amp;Cik=0001585689&amp;Type=PDF&amp;hasPdf=1</w:t>
      </w:r>
      <w:r>
        <w:rPr>
          <w:rStyle w:val="14"/>
          <w:rFonts w:cs="Arial"/>
          <w:lang w:val="en-GB"/>
        </w:rPr>
        <w:fldChar w:fldCharType="end"/>
      </w:r>
      <w:r>
        <w:rPr>
          <w:rFonts w:cs="Arial"/>
          <w:color w:val="000000" w:themeColor="text1"/>
          <w:lang w:val="en-GB"/>
          <w14:textFill>
            <w14:solidFill>
              <w14:schemeClr w14:val="tx1"/>
            </w14:solidFill>
          </w14:textFill>
        </w:rPr>
        <w:t xml:space="preserve">  [Accessed on: 13-08-2026]</w:t>
      </w:r>
    </w:p>
    <w:p w14:paraId="2C6785F7">
      <w:pPr>
        <w:pStyle w:val="15"/>
        <w:spacing w:before="200" w:beforeAutospacing="0" w:after="200" w:afterAutospacing="0" w:line="360" w:lineRule="auto"/>
        <w:jc w:val="both"/>
        <w:rPr>
          <w:rFonts w:cs="Arial"/>
          <w:lang w:val="en-GB"/>
        </w:rPr>
      </w:pPr>
      <w:r>
        <w:rPr>
          <w:rFonts w:cs="Arial"/>
          <w:color w:val="000000"/>
          <w:lang w:val="en-GB"/>
        </w:rPr>
        <w:t>Pangestuti, D.C., Muktiyanto, A. and Geraldina, I., (2022). Role of profitability, business risk, and intellectual capital in increasing firm value. Journal of Indonesian Economy and Business, 37(3), pp.311-338.</w:t>
      </w:r>
    </w:p>
    <w:p w14:paraId="1A8B1AB7">
      <w:pPr>
        <w:pStyle w:val="15"/>
        <w:spacing w:before="200" w:beforeAutospacing="0" w:after="200" w:afterAutospacing="0" w:line="360" w:lineRule="auto"/>
        <w:jc w:val="both"/>
        <w:rPr>
          <w:rFonts w:cs="Arial"/>
          <w:color w:val="000000"/>
          <w:lang w:val="en-GB"/>
        </w:rPr>
      </w:pPr>
      <w:r>
        <w:rPr>
          <w:rFonts w:cs="Arial"/>
          <w:color w:val="000000"/>
          <w:lang w:val="en-GB"/>
        </w:rPr>
        <w:t>Pietrancosta, A. and Marraud des Grottes, A., (2022). ESG Trends–What the Boards of All Companies Should Know About ESG Regulatory Trends in Europe. Available at SSRN 4206521.</w:t>
      </w:r>
    </w:p>
    <w:p w14:paraId="658CAAFB">
      <w:pPr>
        <w:rPr>
          <w:rFonts w:cs="Arial"/>
          <w:lang w:val="en-GB"/>
        </w:rPr>
      </w:pPr>
      <w:r>
        <w:rPr>
          <w:rFonts w:cs="Arial"/>
          <w:lang w:val="en-GB"/>
        </w:rPr>
        <w:t>Ramadhan, M., (2025). Long-Term Financing Challenges for Companies in Maintaining Business Expansion and Innovation. Advances in Economics &amp; Financial Studies, 3(1), pp.29-42.</w:t>
      </w:r>
    </w:p>
    <w:p w14:paraId="60884A7B">
      <w:pPr>
        <w:rPr>
          <w:rFonts w:cs="Arial"/>
          <w:lang w:val="en-GB"/>
        </w:rPr>
      </w:pPr>
      <w:r>
        <w:rPr>
          <w:rFonts w:cs="Arial"/>
          <w:lang w:val="en-GB"/>
        </w:rPr>
        <w:t>Rice, J., Raziq, M.M., Martin, N., Fieger, P. and Rice, B., (2023). The debt crisis and the adoption of Asset-Light and Fee-Orientated (ALFO) arrangements at Marriott: 1980-1995. Journal of Tourism, Heritage &amp; Services Marketing, 9(1), pp.58-66.</w:t>
      </w:r>
    </w:p>
    <w:p w14:paraId="679E2EB7">
      <w:pPr>
        <w:rPr>
          <w:rFonts w:cs="Arial"/>
          <w:lang w:val="en-GB"/>
        </w:rPr>
      </w:pPr>
      <w:r>
        <w:rPr>
          <w:rFonts w:cs="Arial"/>
          <w:lang w:val="en-GB"/>
        </w:rPr>
        <w:t>Rivera, B., (2022). Green bonds: Reforming ESG regulation in the united states to meet the requisite funding demand for a decarbonized economy. Hastings Env't LJ, 28, p.191.</w:t>
      </w:r>
    </w:p>
    <w:p w14:paraId="3A73211C">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Santos, F.A.P., (2024). Hilton´ s path to post-pandemic prosperity: the value creation of Hilton corporation.</w:t>
      </w:r>
    </w:p>
    <w:p w14:paraId="12B232B5">
      <w:pPr>
        <w:rPr>
          <w:rFonts w:cs="Arial"/>
          <w:i/>
          <w:iCs/>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stories-editor.hilton.com, (2024).</w:t>
      </w:r>
      <w:r>
        <w:rPr>
          <w:rFonts w:cs="Arial"/>
          <w:i/>
          <w:iCs/>
          <w:color w:val="000000" w:themeColor="text1"/>
          <w:lang w:val="en-GB"/>
          <w14:textFill>
            <w14:solidFill>
              <w14:schemeClr w14:val="tx1"/>
            </w14:solidFill>
          </w14:textFill>
        </w:rPr>
        <w:t xml:space="preserve"> Annual report. </w:t>
      </w:r>
      <w:r>
        <w:rPr>
          <w:rFonts w:cs="Arial"/>
          <w:color w:val="000000" w:themeColor="text1"/>
          <w:lang w:val="en-GB"/>
          <w14:textFill>
            <w14:solidFill>
              <w14:schemeClr w14:val="tx1"/>
            </w14:solidFill>
          </w14:textFill>
        </w:rPr>
        <w:t xml:space="preserve">Available at: </w:t>
      </w:r>
      <w:r>
        <w:fldChar w:fldCharType="begin"/>
      </w:r>
      <w:r>
        <w:instrText xml:space="preserve"> HYPERLINK "https://stories-editor.hilton.com/wp-content/uploads/2024/04/2023-Annual-Report-10-K.pdf" </w:instrText>
      </w:r>
      <w:r>
        <w:fldChar w:fldCharType="separate"/>
      </w:r>
      <w:r>
        <w:rPr>
          <w:rStyle w:val="14"/>
          <w:rFonts w:cs="Arial"/>
          <w:lang w:val="en-GB"/>
        </w:rPr>
        <w:t>https://stories-editor.hilton.com/wp-content/uploads/2024/04/2023-Annual-Report-10-K.pdf</w:t>
      </w:r>
      <w:r>
        <w:rPr>
          <w:rStyle w:val="14"/>
          <w:rFonts w:cs="Arial"/>
          <w:lang w:val="en-GB"/>
        </w:rPr>
        <w:fldChar w:fldCharType="end"/>
      </w:r>
      <w:r>
        <w:rPr>
          <w:rFonts w:cs="Arial"/>
          <w:color w:val="000000" w:themeColor="text1"/>
          <w:lang w:val="en-GB"/>
          <w14:textFill>
            <w14:solidFill>
              <w14:schemeClr w14:val="tx1"/>
            </w14:solidFill>
          </w14:textFill>
        </w:rPr>
        <w:t xml:space="preserve"> [Accessed on: 13-08-2026]</w:t>
      </w:r>
    </w:p>
    <w:p w14:paraId="595016B4">
      <w:pPr>
        <w:rPr>
          <w:rFonts w:cs="Arial"/>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stories-editor.hilton.com, (2026). </w:t>
      </w:r>
      <w:r>
        <w:rPr>
          <w:rFonts w:cs="Arial"/>
          <w:i/>
          <w:iCs/>
          <w:color w:val="000000" w:themeColor="text1"/>
          <w:lang w:val="en-GB"/>
          <w14:textFill>
            <w14:solidFill>
              <w14:schemeClr w14:val="tx1"/>
            </w14:solidFill>
          </w14:textFill>
        </w:rPr>
        <w:t xml:space="preserve">Hilton Worldwide Holdings Inc. </w:t>
      </w:r>
      <w:r>
        <w:rPr>
          <w:rFonts w:cs="Arial"/>
          <w:color w:val="000000" w:themeColor="text1"/>
          <w:lang w:val="en-GB"/>
          <w14:textFill>
            <w14:solidFill>
              <w14:schemeClr w14:val="tx1"/>
            </w14:solidFill>
          </w14:textFill>
        </w:rPr>
        <w:t>Available at:</w:t>
      </w:r>
      <w:r>
        <w:rPr>
          <w:rFonts w:cs="Arial"/>
          <w:lang w:val="en-GB"/>
        </w:rPr>
        <w:t xml:space="preserve"> </w:t>
      </w:r>
      <w:r>
        <w:fldChar w:fldCharType="begin"/>
      </w:r>
      <w:r>
        <w:instrText xml:space="preserve"> HYPERLINK "https://stories-editor.hilton.com/wp-content/uploads/2026/03/Hilton-2025-Annual-Report-SEC-Form-10-K.pdf" </w:instrText>
      </w:r>
      <w:r>
        <w:fldChar w:fldCharType="separate"/>
      </w:r>
      <w:r>
        <w:rPr>
          <w:rStyle w:val="14"/>
          <w:rFonts w:cs="Arial"/>
          <w:lang w:val="en-GB"/>
        </w:rPr>
        <w:t>https://stories-editor.hilton.com/wp-content/uploads/2026/03/Hilton-2025-Annual-Report-SEC-Form-10-K.pdf</w:t>
      </w:r>
      <w:r>
        <w:rPr>
          <w:rStyle w:val="14"/>
          <w:rFonts w:cs="Arial"/>
          <w:lang w:val="en-GB"/>
        </w:rPr>
        <w:fldChar w:fldCharType="end"/>
      </w:r>
      <w:r>
        <w:rPr>
          <w:rFonts w:cs="Arial"/>
          <w:color w:val="000000" w:themeColor="text1"/>
          <w:lang w:val="en-GB"/>
          <w14:textFill>
            <w14:solidFill>
              <w14:schemeClr w14:val="tx1"/>
            </w14:solidFill>
          </w14:textFill>
        </w:rPr>
        <w:t xml:space="preserve"> </w:t>
      </w:r>
      <w:r>
        <w:rPr>
          <w:rFonts w:cs="Arial"/>
          <w:i/>
          <w:iCs/>
          <w:color w:val="000000" w:themeColor="text1"/>
          <w:lang w:val="en-GB"/>
          <w14:textFill>
            <w14:solidFill>
              <w14:schemeClr w14:val="tx1"/>
            </w14:solidFill>
          </w14:textFill>
        </w:rPr>
        <w:t xml:space="preserve"> </w:t>
      </w:r>
      <w:r>
        <w:rPr>
          <w:rFonts w:cs="Arial"/>
          <w:color w:val="000000" w:themeColor="text1"/>
          <w:lang w:val="en-GB"/>
          <w14:textFill>
            <w14:solidFill>
              <w14:schemeClr w14:val="tx1"/>
            </w14:solidFill>
          </w14:textFill>
        </w:rPr>
        <w:t>[Accessed on: 13-08-2026]</w:t>
      </w:r>
    </w:p>
    <w:p w14:paraId="7AA04B92">
      <w:pPr>
        <w:rPr>
          <w:rFonts w:cs="Arial"/>
          <w:b/>
          <w:bCs/>
          <w:color w:val="000000" w:themeColor="text1"/>
          <w:lang w:val="en-GB"/>
          <w14:textFill>
            <w14:solidFill>
              <w14:schemeClr w14:val="tx1"/>
            </w14:solidFill>
          </w14:textFill>
        </w:rPr>
      </w:pPr>
      <w:r>
        <w:rPr>
          <w:rFonts w:cs="Arial"/>
          <w:color w:val="000000" w:themeColor="text1"/>
          <w:lang w:val="en-GB"/>
          <w14:textFill>
            <w14:solidFill>
              <w14:schemeClr w14:val="tx1"/>
            </w14:solidFill>
          </w14:textFill>
        </w:rPr>
        <w:t xml:space="preserve">Vasilescu, C. and Gheorghe, M., (2024), June. Improving the performance of corporate employees through the use of artificial intelligence: The case of copilot application. In </w:t>
      </w:r>
      <w:r>
        <w:rPr>
          <w:rFonts w:cs="Arial"/>
          <w:i/>
          <w:iCs/>
          <w:color w:val="000000" w:themeColor="text1"/>
          <w:lang w:val="en-GB"/>
          <w14:textFill>
            <w14:solidFill>
              <w14:schemeClr w14:val="tx1"/>
            </w14:solidFill>
          </w14:textFill>
        </w:rPr>
        <w:t>Proceedings of the International Conference on Business Excellence</w:t>
      </w:r>
      <w:r>
        <w:rPr>
          <w:rFonts w:cs="Arial"/>
          <w:color w:val="000000" w:themeColor="text1"/>
          <w:lang w:val="en-GB"/>
          <w14:textFill>
            <w14:solidFill>
              <w14:schemeClr w14:val="tx1"/>
            </w14:solidFill>
          </w14:textFill>
        </w:rPr>
        <w:t xml:space="preserve"> (Vol. 18, No. 1, pp. 1819-1830). Bucharest University of Economic Studies.</w:t>
      </w:r>
      <w:r>
        <w:rPr>
          <w:rFonts w:cs="Arial"/>
          <w:b/>
          <w:bCs/>
          <w:color w:val="000000" w:themeColor="text1"/>
          <w:lang w:val="en-GB"/>
          <w14:textFill>
            <w14:solidFill>
              <w14:schemeClr w14:val="tx1"/>
            </w14:solidFill>
          </w14:textFill>
        </w:rPr>
        <w:t xml:space="preserve"> </w:t>
      </w:r>
      <w:r>
        <w:rPr>
          <w:rFonts w:cs="Arial"/>
          <w:color w:val="000000" w:themeColor="text1"/>
          <w:lang w:val="en-GB"/>
          <w14:textFill>
            <w14:solidFill>
              <w14:schemeClr w14:val="tx1"/>
            </w14:solidFill>
          </w14:textFill>
        </w:rPr>
        <w:t> </w:t>
      </w:r>
    </w:p>
    <w:p w14:paraId="72800CC2">
      <w:pPr>
        <w:rPr>
          <w:rFonts w:cs="Arial"/>
          <w:lang w:val="en-GB"/>
        </w:rPr>
      </w:pPr>
      <w:r>
        <w:rPr>
          <w:rFonts w:cs="Arial"/>
          <w:lang w:val="en-GB"/>
        </w:rPr>
        <w:t xml:space="preserve">Wang, Y., Lee, S., Li, C., Umair, M. and Yakhyaeva, I., (2024). Techno-economic evaluation of solar photovoltaic power production in China for sustainable development and the environment. </w:t>
      </w:r>
      <w:r>
        <w:rPr>
          <w:rFonts w:cs="Arial"/>
          <w:i/>
          <w:iCs/>
          <w:lang w:val="en-GB"/>
        </w:rPr>
        <w:t>Environment, Development and Sustainability</w:t>
      </w:r>
      <w:r>
        <w:rPr>
          <w:rFonts w:cs="Arial"/>
          <w:lang w:val="en-GB"/>
        </w:rPr>
        <w:t>, pp.1-30. </w:t>
      </w:r>
    </w:p>
    <w:p w14:paraId="35765DE5">
      <w:pPr>
        <w:rPr>
          <w:rFonts w:cs="Arial"/>
          <w:lang w:val="en-GB"/>
        </w:rPr>
      </w:pPr>
      <w:r>
        <w:rPr>
          <w:rFonts w:cs="Arial"/>
          <w:lang w:val="en-GB"/>
        </w:rPr>
        <w:t>Yogantara, S.E., (2024). HOSPITAL VALUATION TO DETERMINE THE OPTIMAL ACQUISITION PRICE.</w:t>
      </w:r>
    </w:p>
    <w:p w14:paraId="4C292EB3">
      <w:pPr>
        <w:rPr>
          <w:rFonts w:cs="Arial"/>
          <w:color w:val="000000" w:themeColor="text1"/>
          <w:lang w:val="en-GB"/>
          <w14:textFill>
            <w14:solidFill>
              <w14:schemeClr w14:val="tx1"/>
            </w14:solidFill>
          </w14:textFill>
        </w:rPr>
      </w:pPr>
    </w:p>
    <w:p w14:paraId="398BE837">
      <w:pPr>
        <w:rPr>
          <w:rFonts w:cs="Arial"/>
          <w:color w:val="000000" w:themeColor="text1"/>
          <w:lang w:val="en-GB"/>
          <w14:textFill>
            <w14:solidFill>
              <w14:schemeClr w14:val="tx1"/>
            </w14:solidFill>
          </w14:textFill>
        </w:rPr>
      </w:pPr>
    </w:p>
    <w:p w14:paraId="66E4F56D">
      <w:pPr>
        <w:pStyle w:val="15"/>
        <w:spacing w:before="200" w:beforeAutospacing="0" w:after="200" w:afterAutospacing="0" w:line="360" w:lineRule="auto"/>
        <w:jc w:val="both"/>
        <w:rPr>
          <w:rFonts w:cs="Arial"/>
          <w:lang w:val="en-GB"/>
        </w:rPr>
      </w:pPr>
    </w:p>
    <w:p w14:paraId="2C90B125">
      <w:pPr>
        <w:rPr>
          <w:rFonts w:eastAsia="Arial" w:cs="Arial"/>
          <w:lang w:val="en-GB"/>
        </w:rPr>
      </w:pPr>
      <w:r>
        <w:rPr>
          <w:rFonts w:eastAsia="Arial" w:cs="Arial"/>
          <w:lang w:val="en-GB"/>
        </w:rPr>
        <w:br w:type="page"/>
      </w:r>
    </w:p>
    <w:p w14:paraId="4833E383">
      <w:pPr>
        <w:pStyle w:val="2"/>
      </w:pPr>
      <w:bookmarkStart w:id="57" w:name="_Toc237522634"/>
      <w:r>
        <w:t>Appendices</w:t>
      </w:r>
      <w:bookmarkEnd w:id="57"/>
    </w:p>
    <w:p w14:paraId="64AA558D">
      <w:pPr>
        <w:pStyle w:val="3"/>
      </w:pPr>
      <w:bookmarkStart w:id="58" w:name="_Toc237522635"/>
      <w:r>
        <w:t>Appendix 1: Ratio table</w:t>
      </w:r>
      <w:bookmarkEnd w:id="58"/>
      <w:r>
        <w:t>s</w:t>
      </w:r>
    </w:p>
    <w:tbl>
      <w:tblPr>
        <w:tblStyle w:val="9"/>
        <w:tblW w:w="5000" w:type="pct"/>
        <w:jc w:val="center"/>
        <w:tblLayout w:type="autofit"/>
        <w:tblCellMar>
          <w:top w:w="0" w:type="dxa"/>
          <w:left w:w="108" w:type="dxa"/>
          <w:bottom w:w="0" w:type="dxa"/>
          <w:right w:w="108" w:type="dxa"/>
        </w:tblCellMar>
      </w:tblPr>
      <w:tblGrid>
        <w:gridCol w:w="1631"/>
        <w:gridCol w:w="1880"/>
        <w:gridCol w:w="1213"/>
        <w:gridCol w:w="1213"/>
        <w:gridCol w:w="1213"/>
        <w:gridCol w:w="1213"/>
        <w:gridCol w:w="1213"/>
      </w:tblGrid>
      <w:tr w14:paraId="244732DC">
        <w:trPr>
          <w:trHeight w:val="315"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000000" w:fill="8EA9DB"/>
            <w:noWrap/>
            <w:vAlign w:val="bottom"/>
          </w:tcPr>
          <w:p w14:paraId="3E8C37D8">
            <w:pPr>
              <w:jc w:val="center"/>
              <w:rPr>
                <w:rFonts w:cs="Arial"/>
                <w:b/>
                <w:bCs/>
                <w:color w:val="000000"/>
                <w:sz w:val="20"/>
                <w:szCs w:val="20"/>
                <w:lang w:val="en-GB"/>
              </w:rPr>
            </w:pPr>
            <w:r>
              <w:rPr>
                <w:rFonts w:cs="Arial"/>
                <w:b/>
                <w:bCs/>
                <w:color w:val="000000"/>
                <w:sz w:val="20"/>
                <w:szCs w:val="20"/>
                <w:lang w:val="en-GB"/>
              </w:rPr>
              <w:t>Profitability Ratio Analysis</w:t>
            </w:r>
          </w:p>
        </w:tc>
      </w:tr>
      <w:tr w14:paraId="27692E32">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5A76F025">
            <w:pPr>
              <w:jc w:val="left"/>
              <w:rPr>
                <w:rFonts w:cs="Arial"/>
                <w:b/>
                <w:bCs/>
                <w:i/>
                <w:iCs/>
                <w:color w:val="000000"/>
                <w:sz w:val="20"/>
                <w:szCs w:val="20"/>
                <w:lang w:val="en-GB"/>
              </w:rPr>
            </w:pPr>
            <w:r>
              <w:rPr>
                <w:rFonts w:cs="Arial"/>
                <w:b/>
                <w:bCs/>
                <w:i/>
                <w:iCs/>
                <w:color w:val="000000"/>
                <w:sz w:val="20"/>
                <w:szCs w:val="20"/>
                <w:lang w:val="en-GB"/>
              </w:rPr>
              <w:t>Ratios</w:t>
            </w:r>
          </w:p>
        </w:tc>
        <w:tc>
          <w:tcPr>
            <w:tcW w:w="1024" w:type="pct"/>
            <w:tcBorders>
              <w:top w:val="nil"/>
              <w:left w:val="nil"/>
              <w:bottom w:val="single" w:color="auto" w:sz="4" w:space="0"/>
              <w:right w:val="single" w:color="auto" w:sz="4" w:space="0"/>
            </w:tcBorders>
            <w:noWrap/>
            <w:vAlign w:val="bottom"/>
          </w:tcPr>
          <w:p w14:paraId="1FE7AD8F">
            <w:pPr>
              <w:jc w:val="left"/>
              <w:rPr>
                <w:rFonts w:cs="Arial"/>
                <w:b/>
                <w:bCs/>
                <w:i/>
                <w:iCs/>
                <w:color w:val="000000"/>
                <w:sz w:val="20"/>
                <w:szCs w:val="20"/>
                <w:lang w:val="en-GB"/>
              </w:rPr>
            </w:pPr>
            <w:r>
              <w:rPr>
                <w:rFonts w:cs="Arial"/>
                <w:b/>
                <w:bCs/>
                <w:i/>
                <w:iCs/>
                <w:color w:val="000000"/>
                <w:sz w:val="20"/>
                <w:szCs w:val="20"/>
                <w:lang w:val="en-GB"/>
              </w:rPr>
              <w:t>Formula</w:t>
            </w:r>
          </w:p>
        </w:tc>
        <w:tc>
          <w:tcPr>
            <w:tcW w:w="624" w:type="pct"/>
            <w:tcBorders>
              <w:top w:val="nil"/>
              <w:left w:val="nil"/>
              <w:bottom w:val="single" w:color="auto" w:sz="4" w:space="0"/>
              <w:right w:val="single" w:color="auto" w:sz="4" w:space="0"/>
            </w:tcBorders>
            <w:noWrap/>
            <w:vAlign w:val="bottom"/>
          </w:tcPr>
          <w:p w14:paraId="15FA12EE">
            <w:pPr>
              <w:jc w:val="left"/>
              <w:rPr>
                <w:rFonts w:cs="Arial"/>
                <w:b/>
                <w:bCs/>
                <w:i/>
                <w:iCs/>
                <w:color w:val="000000"/>
                <w:sz w:val="20"/>
                <w:szCs w:val="20"/>
                <w:lang w:val="en-GB"/>
              </w:rPr>
            </w:pPr>
            <w:r>
              <w:rPr>
                <w:rFonts w:cs="Arial"/>
                <w:b/>
                <w:bCs/>
                <w:i/>
                <w:iCs/>
                <w:color w:val="000000"/>
                <w:sz w:val="20"/>
                <w:szCs w:val="20"/>
                <w:lang w:val="en-GB"/>
              </w:rPr>
              <w:t>2025 ($, millions)</w:t>
            </w:r>
          </w:p>
        </w:tc>
        <w:tc>
          <w:tcPr>
            <w:tcW w:w="624" w:type="pct"/>
            <w:tcBorders>
              <w:top w:val="nil"/>
              <w:left w:val="nil"/>
              <w:bottom w:val="single" w:color="auto" w:sz="4" w:space="0"/>
              <w:right w:val="single" w:color="auto" w:sz="4" w:space="0"/>
            </w:tcBorders>
            <w:noWrap/>
            <w:vAlign w:val="bottom"/>
          </w:tcPr>
          <w:p w14:paraId="35B4EEFB">
            <w:pPr>
              <w:jc w:val="left"/>
              <w:rPr>
                <w:rFonts w:cs="Arial"/>
                <w:b/>
                <w:bCs/>
                <w:i/>
                <w:iCs/>
                <w:color w:val="000000"/>
                <w:sz w:val="20"/>
                <w:szCs w:val="20"/>
                <w:lang w:val="en-GB"/>
              </w:rPr>
            </w:pPr>
            <w:r>
              <w:rPr>
                <w:rFonts w:cs="Arial"/>
                <w:b/>
                <w:bCs/>
                <w:i/>
                <w:iCs/>
                <w:color w:val="000000"/>
                <w:sz w:val="20"/>
                <w:szCs w:val="20"/>
                <w:lang w:val="en-GB"/>
              </w:rPr>
              <w:t>2024 ($, millions)</w:t>
            </w:r>
          </w:p>
        </w:tc>
        <w:tc>
          <w:tcPr>
            <w:tcW w:w="624" w:type="pct"/>
            <w:tcBorders>
              <w:top w:val="nil"/>
              <w:left w:val="nil"/>
              <w:bottom w:val="single" w:color="auto" w:sz="4" w:space="0"/>
              <w:right w:val="single" w:color="auto" w:sz="4" w:space="0"/>
            </w:tcBorders>
            <w:noWrap/>
            <w:vAlign w:val="bottom"/>
          </w:tcPr>
          <w:p w14:paraId="7940E7B3">
            <w:pPr>
              <w:jc w:val="left"/>
              <w:rPr>
                <w:rFonts w:cs="Arial"/>
                <w:b/>
                <w:bCs/>
                <w:i/>
                <w:iCs/>
                <w:color w:val="000000"/>
                <w:sz w:val="20"/>
                <w:szCs w:val="20"/>
                <w:lang w:val="en-GB"/>
              </w:rPr>
            </w:pPr>
            <w:r>
              <w:rPr>
                <w:rFonts w:cs="Arial"/>
                <w:b/>
                <w:bCs/>
                <w:i/>
                <w:iCs/>
                <w:color w:val="000000"/>
                <w:sz w:val="20"/>
                <w:szCs w:val="20"/>
                <w:lang w:val="en-GB"/>
              </w:rPr>
              <w:t>2023 ($, millions)</w:t>
            </w:r>
          </w:p>
        </w:tc>
        <w:tc>
          <w:tcPr>
            <w:tcW w:w="624" w:type="pct"/>
            <w:tcBorders>
              <w:top w:val="nil"/>
              <w:left w:val="nil"/>
              <w:bottom w:val="single" w:color="auto" w:sz="4" w:space="0"/>
              <w:right w:val="single" w:color="auto" w:sz="4" w:space="0"/>
            </w:tcBorders>
            <w:noWrap/>
            <w:vAlign w:val="bottom"/>
          </w:tcPr>
          <w:p w14:paraId="4A05BA09">
            <w:pPr>
              <w:jc w:val="left"/>
              <w:rPr>
                <w:rFonts w:cs="Arial"/>
                <w:b/>
                <w:bCs/>
                <w:i/>
                <w:iCs/>
                <w:color w:val="000000"/>
                <w:sz w:val="20"/>
                <w:szCs w:val="20"/>
                <w:lang w:val="en-GB"/>
              </w:rPr>
            </w:pPr>
            <w:r>
              <w:rPr>
                <w:rFonts w:cs="Arial"/>
                <w:b/>
                <w:bCs/>
                <w:i/>
                <w:iCs/>
                <w:color w:val="000000"/>
                <w:sz w:val="20"/>
                <w:szCs w:val="20"/>
                <w:lang w:val="en-GB"/>
              </w:rPr>
              <w:t>2022 ($, millions)</w:t>
            </w:r>
          </w:p>
        </w:tc>
        <w:tc>
          <w:tcPr>
            <w:tcW w:w="624" w:type="pct"/>
            <w:tcBorders>
              <w:top w:val="nil"/>
              <w:left w:val="nil"/>
              <w:bottom w:val="single" w:color="auto" w:sz="4" w:space="0"/>
              <w:right w:val="single" w:color="auto" w:sz="4" w:space="0"/>
            </w:tcBorders>
            <w:noWrap/>
            <w:vAlign w:val="bottom"/>
          </w:tcPr>
          <w:p w14:paraId="58BEB66C">
            <w:pPr>
              <w:jc w:val="left"/>
              <w:rPr>
                <w:rFonts w:cs="Arial"/>
                <w:b/>
                <w:bCs/>
                <w:i/>
                <w:iCs/>
                <w:color w:val="000000"/>
                <w:sz w:val="20"/>
                <w:szCs w:val="20"/>
                <w:lang w:val="en-GB"/>
              </w:rPr>
            </w:pPr>
            <w:r>
              <w:rPr>
                <w:rFonts w:cs="Arial"/>
                <w:b/>
                <w:bCs/>
                <w:i/>
                <w:iCs/>
                <w:color w:val="000000"/>
                <w:sz w:val="20"/>
                <w:szCs w:val="20"/>
                <w:lang w:val="en-GB"/>
              </w:rPr>
              <w:t>2021 ($, millions)</w:t>
            </w:r>
          </w:p>
        </w:tc>
      </w:tr>
      <w:tr w14:paraId="5D38A62A">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091DE94B">
            <w:pPr>
              <w:jc w:val="left"/>
              <w:rPr>
                <w:rFonts w:cs="Arial"/>
                <w:b/>
                <w:bCs/>
                <w:i/>
                <w:iCs/>
                <w:color w:val="000000"/>
                <w:sz w:val="20"/>
                <w:szCs w:val="20"/>
                <w:lang w:val="en-GB"/>
              </w:rPr>
            </w:pPr>
            <w:r>
              <w:rPr>
                <w:rFonts w:cs="Arial"/>
                <w:b/>
                <w:bCs/>
                <w:i/>
                <w:iCs/>
                <w:color w:val="000000"/>
                <w:sz w:val="20"/>
                <w:szCs w:val="20"/>
                <w:lang w:val="en-GB"/>
              </w:rPr>
              <w:t>Net Profit Margin</w:t>
            </w:r>
          </w:p>
        </w:tc>
        <w:tc>
          <w:tcPr>
            <w:tcW w:w="1024" w:type="pct"/>
            <w:tcBorders>
              <w:top w:val="nil"/>
              <w:left w:val="nil"/>
              <w:bottom w:val="single" w:color="auto" w:sz="4" w:space="0"/>
              <w:right w:val="single" w:color="auto" w:sz="4" w:space="0"/>
            </w:tcBorders>
            <w:noWrap/>
            <w:vAlign w:val="bottom"/>
          </w:tcPr>
          <w:p w14:paraId="5B8B8D67">
            <w:pPr>
              <w:jc w:val="left"/>
              <w:rPr>
                <w:rFonts w:cs="Arial"/>
                <w:color w:val="000000"/>
                <w:sz w:val="20"/>
                <w:szCs w:val="20"/>
                <w:lang w:val="en-GB"/>
              </w:rPr>
            </w:pPr>
            <w:r>
              <w:rPr>
                <w:rFonts w:cs="Arial"/>
                <w:color w:val="000000"/>
                <w:sz w:val="20"/>
                <w:szCs w:val="20"/>
                <w:lang w:val="en-GB"/>
              </w:rPr>
              <w:t>(Net Profit/Revenue) *100</w:t>
            </w:r>
          </w:p>
        </w:tc>
        <w:tc>
          <w:tcPr>
            <w:tcW w:w="624" w:type="pct"/>
            <w:tcBorders>
              <w:top w:val="nil"/>
              <w:left w:val="nil"/>
              <w:bottom w:val="single" w:color="auto" w:sz="4" w:space="0"/>
              <w:right w:val="single" w:color="auto" w:sz="4" w:space="0"/>
            </w:tcBorders>
            <w:noWrap/>
            <w:vAlign w:val="bottom"/>
          </w:tcPr>
          <w:p w14:paraId="13BC9A3D">
            <w:pPr>
              <w:jc w:val="right"/>
              <w:rPr>
                <w:rFonts w:cs="Arial"/>
                <w:b/>
                <w:bCs/>
                <w:i/>
                <w:iCs/>
                <w:color w:val="000000"/>
                <w:sz w:val="20"/>
                <w:szCs w:val="20"/>
                <w:lang w:val="en-GB"/>
              </w:rPr>
            </w:pPr>
            <w:r>
              <w:rPr>
                <w:rFonts w:cs="Arial"/>
                <w:b/>
                <w:bCs/>
                <w:i/>
                <w:iCs/>
                <w:color w:val="000000"/>
                <w:sz w:val="20"/>
                <w:szCs w:val="20"/>
                <w:lang w:val="en-GB"/>
              </w:rPr>
              <w:t>12.14%</w:t>
            </w:r>
          </w:p>
        </w:tc>
        <w:tc>
          <w:tcPr>
            <w:tcW w:w="624" w:type="pct"/>
            <w:tcBorders>
              <w:top w:val="nil"/>
              <w:left w:val="nil"/>
              <w:bottom w:val="single" w:color="auto" w:sz="4" w:space="0"/>
              <w:right w:val="single" w:color="auto" w:sz="4" w:space="0"/>
            </w:tcBorders>
            <w:noWrap/>
            <w:vAlign w:val="bottom"/>
          </w:tcPr>
          <w:p w14:paraId="4575C644">
            <w:pPr>
              <w:jc w:val="right"/>
              <w:rPr>
                <w:rFonts w:cs="Arial"/>
                <w:b/>
                <w:bCs/>
                <w:i/>
                <w:iCs/>
                <w:color w:val="000000"/>
                <w:sz w:val="20"/>
                <w:szCs w:val="20"/>
                <w:lang w:val="en-GB"/>
              </w:rPr>
            </w:pPr>
            <w:r>
              <w:rPr>
                <w:rFonts w:cs="Arial"/>
                <w:b/>
                <w:bCs/>
                <w:i/>
                <w:iCs/>
                <w:color w:val="000000"/>
                <w:sz w:val="20"/>
                <w:szCs w:val="20"/>
                <w:lang w:val="en-GB"/>
              </w:rPr>
              <w:t>13.77%</w:t>
            </w:r>
          </w:p>
        </w:tc>
        <w:tc>
          <w:tcPr>
            <w:tcW w:w="624" w:type="pct"/>
            <w:tcBorders>
              <w:top w:val="nil"/>
              <w:left w:val="nil"/>
              <w:bottom w:val="single" w:color="auto" w:sz="4" w:space="0"/>
              <w:right w:val="single" w:color="auto" w:sz="4" w:space="0"/>
            </w:tcBorders>
            <w:noWrap/>
            <w:vAlign w:val="bottom"/>
          </w:tcPr>
          <w:p w14:paraId="5243E9B5">
            <w:pPr>
              <w:jc w:val="right"/>
              <w:rPr>
                <w:rFonts w:cs="Arial"/>
                <w:b/>
                <w:bCs/>
                <w:i/>
                <w:iCs/>
                <w:color w:val="000000"/>
                <w:sz w:val="20"/>
                <w:szCs w:val="20"/>
                <w:lang w:val="en-GB"/>
              </w:rPr>
            </w:pPr>
            <w:r>
              <w:rPr>
                <w:rFonts w:cs="Arial"/>
                <w:b/>
                <w:bCs/>
                <w:i/>
                <w:iCs/>
                <w:color w:val="000000"/>
                <w:sz w:val="20"/>
                <w:szCs w:val="20"/>
                <w:lang w:val="en-GB"/>
              </w:rPr>
              <w:t>11.25%</w:t>
            </w:r>
          </w:p>
        </w:tc>
        <w:tc>
          <w:tcPr>
            <w:tcW w:w="624" w:type="pct"/>
            <w:tcBorders>
              <w:top w:val="nil"/>
              <w:left w:val="nil"/>
              <w:bottom w:val="single" w:color="auto" w:sz="4" w:space="0"/>
              <w:right w:val="single" w:color="auto" w:sz="4" w:space="0"/>
            </w:tcBorders>
            <w:noWrap/>
            <w:vAlign w:val="bottom"/>
          </w:tcPr>
          <w:p w14:paraId="126997C7">
            <w:pPr>
              <w:jc w:val="right"/>
              <w:rPr>
                <w:rFonts w:cs="Arial"/>
                <w:b/>
                <w:bCs/>
                <w:i/>
                <w:iCs/>
                <w:color w:val="000000"/>
                <w:sz w:val="20"/>
                <w:szCs w:val="20"/>
                <w:lang w:val="en-GB"/>
              </w:rPr>
            </w:pPr>
            <w:r>
              <w:rPr>
                <w:rFonts w:cs="Arial"/>
                <w:b/>
                <w:bCs/>
                <w:i/>
                <w:iCs/>
                <w:color w:val="000000"/>
                <w:sz w:val="20"/>
                <w:szCs w:val="20"/>
                <w:lang w:val="en-GB"/>
              </w:rPr>
              <w:t>14.33%</w:t>
            </w:r>
          </w:p>
        </w:tc>
        <w:tc>
          <w:tcPr>
            <w:tcW w:w="624" w:type="pct"/>
            <w:tcBorders>
              <w:top w:val="nil"/>
              <w:left w:val="nil"/>
              <w:bottom w:val="single" w:color="auto" w:sz="4" w:space="0"/>
              <w:right w:val="single" w:color="auto" w:sz="4" w:space="0"/>
            </w:tcBorders>
            <w:noWrap/>
            <w:vAlign w:val="bottom"/>
          </w:tcPr>
          <w:p w14:paraId="77F06AA8">
            <w:pPr>
              <w:jc w:val="right"/>
              <w:rPr>
                <w:rFonts w:cs="Arial"/>
                <w:b/>
                <w:bCs/>
                <w:i/>
                <w:iCs/>
                <w:color w:val="000000"/>
                <w:sz w:val="20"/>
                <w:szCs w:val="20"/>
                <w:lang w:val="en-GB"/>
              </w:rPr>
            </w:pPr>
            <w:r>
              <w:rPr>
                <w:rFonts w:cs="Arial"/>
                <w:b/>
                <w:bCs/>
                <w:i/>
                <w:iCs/>
                <w:color w:val="000000"/>
                <w:sz w:val="20"/>
                <w:szCs w:val="20"/>
                <w:lang w:val="en-GB"/>
              </w:rPr>
              <w:t>7.03%</w:t>
            </w:r>
          </w:p>
        </w:tc>
      </w:tr>
      <w:tr w14:paraId="24A41536">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614B9244">
            <w:pPr>
              <w:jc w:val="left"/>
              <w:rPr>
                <w:rFonts w:cs="Arial"/>
                <w:color w:val="000000"/>
                <w:sz w:val="20"/>
                <w:szCs w:val="20"/>
                <w:lang w:val="en-GB"/>
              </w:rPr>
            </w:pPr>
            <w:r>
              <w:rPr>
                <w:rFonts w:cs="Arial"/>
                <w:color w:val="000000"/>
                <w:sz w:val="20"/>
                <w:szCs w:val="20"/>
                <w:lang w:val="en-GB"/>
              </w:rPr>
              <w:t>Net Profit</w:t>
            </w:r>
          </w:p>
        </w:tc>
        <w:tc>
          <w:tcPr>
            <w:tcW w:w="1024" w:type="pct"/>
            <w:tcBorders>
              <w:top w:val="nil"/>
              <w:left w:val="nil"/>
              <w:bottom w:val="single" w:color="auto" w:sz="4" w:space="0"/>
              <w:right w:val="single" w:color="auto" w:sz="4" w:space="0"/>
            </w:tcBorders>
            <w:noWrap/>
            <w:vAlign w:val="bottom"/>
          </w:tcPr>
          <w:p w14:paraId="2B3721F5">
            <w:pPr>
              <w:jc w:val="left"/>
              <w:rPr>
                <w:rFonts w:cs="Arial"/>
                <w:color w:val="000000"/>
                <w:sz w:val="20"/>
                <w:szCs w:val="20"/>
                <w:lang w:val="en-GB"/>
              </w:rPr>
            </w:pPr>
            <w:r>
              <w:rPr>
                <w:rFonts w:cs="Arial"/>
                <w:color w:val="000000"/>
                <w:sz w:val="20"/>
                <w:szCs w:val="20"/>
                <w:lang w:val="en-GB"/>
              </w:rPr>
              <w:t> </w:t>
            </w:r>
          </w:p>
        </w:tc>
        <w:tc>
          <w:tcPr>
            <w:tcW w:w="624" w:type="pct"/>
            <w:tcBorders>
              <w:top w:val="nil"/>
              <w:left w:val="nil"/>
              <w:bottom w:val="single" w:color="auto" w:sz="4" w:space="0"/>
              <w:right w:val="single" w:color="auto" w:sz="4" w:space="0"/>
            </w:tcBorders>
            <w:noWrap/>
            <w:vAlign w:val="bottom"/>
          </w:tcPr>
          <w:p w14:paraId="7D1E7304">
            <w:pPr>
              <w:jc w:val="right"/>
              <w:rPr>
                <w:rFonts w:cs="Arial"/>
                <w:color w:val="000000"/>
                <w:sz w:val="20"/>
                <w:szCs w:val="20"/>
                <w:lang w:val="en-GB"/>
              </w:rPr>
            </w:pPr>
            <w:r>
              <w:rPr>
                <w:rFonts w:cs="Arial"/>
                <w:color w:val="000000"/>
                <w:sz w:val="20"/>
                <w:szCs w:val="20"/>
                <w:lang w:val="en-GB"/>
              </w:rPr>
              <w:t>1,461</w:t>
            </w:r>
          </w:p>
        </w:tc>
        <w:tc>
          <w:tcPr>
            <w:tcW w:w="624" w:type="pct"/>
            <w:tcBorders>
              <w:top w:val="nil"/>
              <w:left w:val="nil"/>
              <w:bottom w:val="single" w:color="auto" w:sz="4" w:space="0"/>
              <w:right w:val="single" w:color="auto" w:sz="4" w:space="0"/>
            </w:tcBorders>
            <w:noWrap/>
            <w:vAlign w:val="bottom"/>
          </w:tcPr>
          <w:p w14:paraId="142F5771">
            <w:pPr>
              <w:jc w:val="right"/>
              <w:rPr>
                <w:rFonts w:cs="Arial"/>
                <w:color w:val="000000"/>
                <w:sz w:val="20"/>
                <w:szCs w:val="20"/>
                <w:lang w:val="en-GB"/>
              </w:rPr>
            </w:pPr>
            <w:r>
              <w:rPr>
                <w:rFonts w:cs="Arial"/>
                <w:color w:val="000000"/>
                <w:sz w:val="20"/>
                <w:szCs w:val="20"/>
                <w:lang w:val="en-GB"/>
              </w:rPr>
              <w:t>1,539</w:t>
            </w:r>
          </w:p>
        </w:tc>
        <w:tc>
          <w:tcPr>
            <w:tcW w:w="624" w:type="pct"/>
            <w:tcBorders>
              <w:top w:val="nil"/>
              <w:left w:val="nil"/>
              <w:bottom w:val="single" w:color="auto" w:sz="4" w:space="0"/>
              <w:right w:val="single" w:color="auto" w:sz="4" w:space="0"/>
            </w:tcBorders>
            <w:noWrap/>
            <w:vAlign w:val="bottom"/>
          </w:tcPr>
          <w:p w14:paraId="773A4E9B">
            <w:pPr>
              <w:jc w:val="right"/>
              <w:rPr>
                <w:rFonts w:cs="Arial"/>
                <w:color w:val="000000"/>
                <w:sz w:val="20"/>
                <w:szCs w:val="20"/>
                <w:lang w:val="en-GB"/>
              </w:rPr>
            </w:pPr>
            <w:r>
              <w:rPr>
                <w:rFonts w:cs="Arial"/>
                <w:color w:val="000000"/>
                <w:sz w:val="20"/>
                <w:szCs w:val="20"/>
                <w:lang w:val="en-GB"/>
              </w:rPr>
              <w:t>1,151</w:t>
            </w:r>
          </w:p>
        </w:tc>
        <w:tc>
          <w:tcPr>
            <w:tcW w:w="624" w:type="pct"/>
            <w:tcBorders>
              <w:top w:val="nil"/>
              <w:left w:val="nil"/>
              <w:bottom w:val="single" w:color="auto" w:sz="4" w:space="0"/>
              <w:right w:val="single" w:color="auto" w:sz="4" w:space="0"/>
            </w:tcBorders>
            <w:noWrap/>
            <w:vAlign w:val="bottom"/>
          </w:tcPr>
          <w:p w14:paraId="12E6983B">
            <w:pPr>
              <w:jc w:val="right"/>
              <w:rPr>
                <w:rFonts w:cs="Arial"/>
                <w:color w:val="000000"/>
                <w:sz w:val="20"/>
                <w:szCs w:val="20"/>
                <w:lang w:val="en-GB"/>
              </w:rPr>
            </w:pPr>
            <w:r>
              <w:rPr>
                <w:rFonts w:cs="Arial"/>
                <w:color w:val="000000"/>
                <w:sz w:val="20"/>
                <w:szCs w:val="20"/>
                <w:lang w:val="en-GB"/>
              </w:rPr>
              <w:t>1,257</w:t>
            </w:r>
          </w:p>
        </w:tc>
        <w:tc>
          <w:tcPr>
            <w:tcW w:w="624" w:type="pct"/>
            <w:tcBorders>
              <w:top w:val="nil"/>
              <w:left w:val="nil"/>
              <w:bottom w:val="single" w:color="auto" w:sz="4" w:space="0"/>
              <w:right w:val="single" w:color="auto" w:sz="4" w:space="0"/>
            </w:tcBorders>
            <w:noWrap/>
            <w:vAlign w:val="bottom"/>
          </w:tcPr>
          <w:p w14:paraId="336AD618">
            <w:pPr>
              <w:jc w:val="right"/>
              <w:rPr>
                <w:rFonts w:cs="Arial"/>
                <w:color w:val="000000"/>
                <w:sz w:val="20"/>
                <w:szCs w:val="20"/>
                <w:lang w:val="en-GB"/>
              </w:rPr>
            </w:pPr>
            <w:r>
              <w:rPr>
                <w:rFonts w:cs="Arial"/>
                <w:color w:val="000000"/>
                <w:sz w:val="20"/>
                <w:szCs w:val="20"/>
                <w:lang w:val="en-GB"/>
              </w:rPr>
              <w:t>407</w:t>
            </w:r>
          </w:p>
        </w:tc>
      </w:tr>
      <w:tr w14:paraId="78895226">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45CE7ED3">
            <w:pPr>
              <w:jc w:val="left"/>
              <w:rPr>
                <w:rFonts w:cs="Arial"/>
                <w:color w:val="000000"/>
                <w:sz w:val="20"/>
                <w:szCs w:val="20"/>
                <w:lang w:val="en-GB"/>
              </w:rPr>
            </w:pPr>
            <w:r>
              <w:rPr>
                <w:rFonts w:cs="Arial"/>
                <w:color w:val="000000"/>
                <w:sz w:val="20"/>
                <w:szCs w:val="20"/>
                <w:lang w:val="en-GB"/>
              </w:rPr>
              <w:t>Revenue</w:t>
            </w:r>
          </w:p>
        </w:tc>
        <w:tc>
          <w:tcPr>
            <w:tcW w:w="1024" w:type="pct"/>
            <w:tcBorders>
              <w:top w:val="nil"/>
              <w:left w:val="nil"/>
              <w:bottom w:val="single" w:color="auto" w:sz="4" w:space="0"/>
              <w:right w:val="single" w:color="auto" w:sz="4" w:space="0"/>
            </w:tcBorders>
            <w:noWrap/>
            <w:vAlign w:val="bottom"/>
          </w:tcPr>
          <w:p w14:paraId="1DE44610">
            <w:pPr>
              <w:jc w:val="left"/>
              <w:rPr>
                <w:rFonts w:cs="Arial"/>
                <w:color w:val="000000"/>
                <w:sz w:val="20"/>
                <w:szCs w:val="20"/>
                <w:lang w:val="en-GB"/>
              </w:rPr>
            </w:pPr>
            <w:r>
              <w:rPr>
                <w:rFonts w:cs="Arial"/>
                <w:color w:val="000000"/>
                <w:sz w:val="20"/>
                <w:szCs w:val="20"/>
                <w:lang w:val="en-GB"/>
              </w:rPr>
              <w:t> </w:t>
            </w:r>
          </w:p>
        </w:tc>
        <w:tc>
          <w:tcPr>
            <w:tcW w:w="624" w:type="pct"/>
            <w:tcBorders>
              <w:top w:val="nil"/>
              <w:left w:val="nil"/>
              <w:bottom w:val="single" w:color="auto" w:sz="4" w:space="0"/>
              <w:right w:val="single" w:color="auto" w:sz="4" w:space="0"/>
            </w:tcBorders>
            <w:noWrap/>
            <w:vAlign w:val="bottom"/>
          </w:tcPr>
          <w:p w14:paraId="59608C62">
            <w:pPr>
              <w:jc w:val="right"/>
              <w:rPr>
                <w:rFonts w:cs="Arial"/>
                <w:color w:val="000000"/>
                <w:sz w:val="20"/>
                <w:szCs w:val="20"/>
                <w:lang w:val="en-GB"/>
              </w:rPr>
            </w:pPr>
            <w:r>
              <w:rPr>
                <w:rFonts w:cs="Arial"/>
                <w:color w:val="000000"/>
                <w:sz w:val="20"/>
                <w:szCs w:val="20"/>
                <w:lang w:val="en-GB"/>
              </w:rPr>
              <w:t>12,039</w:t>
            </w:r>
          </w:p>
        </w:tc>
        <w:tc>
          <w:tcPr>
            <w:tcW w:w="624" w:type="pct"/>
            <w:tcBorders>
              <w:top w:val="nil"/>
              <w:left w:val="nil"/>
              <w:bottom w:val="single" w:color="auto" w:sz="4" w:space="0"/>
              <w:right w:val="single" w:color="auto" w:sz="4" w:space="0"/>
            </w:tcBorders>
            <w:noWrap/>
            <w:vAlign w:val="bottom"/>
          </w:tcPr>
          <w:p w14:paraId="67F66AC2">
            <w:pPr>
              <w:jc w:val="right"/>
              <w:rPr>
                <w:rFonts w:cs="Arial"/>
                <w:color w:val="000000"/>
                <w:sz w:val="20"/>
                <w:szCs w:val="20"/>
                <w:lang w:val="en-GB"/>
              </w:rPr>
            </w:pPr>
            <w:r>
              <w:rPr>
                <w:rFonts w:cs="Arial"/>
                <w:color w:val="000000"/>
                <w:sz w:val="20"/>
                <w:szCs w:val="20"/>
                <w:lang w:val="en-GB"/>
              </w:rPr>
              <w:t>11,174</w:t>
            </w:r>
          </w:p>
        </w:tc>
        <w:tc>
          <w:tcPr>
            <w:tcW w:w="624" w:type="pct"/>
            <w:tcBorders>
              <w:top w:val="nil"/>
              <w:left w:val="nil"/>
              <w:bottom w:val="single" w:color="auto" w:sz="4" w:space="0"/>
              <w:right w:val="single" w:color="auto" w:sz="4" w:space="0"/>
            </w:tcBorders>
            <w:noWrap/>
            <w:vAlign w:val="bottom"/>
          </w:tcPr>
          <w:p w14:paraId="736A888A">
            <w:pPr>
              <w:jc w:val="right"/>
              <w:rPr>
                <w:rFonts w:cs="Arial"/>
                <w:color w:val="000000"/>
                <w:sz w:val="20"/>
                <w:szCs w:val="20"/>
                <w:lang w:val="en-GB"/>
              </w:rPr>
            </w:pPr>
            <w:r>
              <w:rPr>
                <w:rFonts w:cs="Arial"/>
                <w:color w:val="000000"/>
                <w:sz w:val="20"/>
                <w:szCs w:val="20"/>
                <w:lang w:val="en-GB"/>
              </w:rPr>
              <w:t>10,235</w:t>
            </w:r>
          </w:p>
        </w:tc>
        <w:tc>
          <w:tcPr>
            <w:tcW w:w="624" w:type="pct"/>
            <w:tcBorders>
              <w:top w:val="nil"/>
              <w:left w:val="nil"/>
              <w:bottom w:val="single" w:color="auto" w:sz="4" w:space="0"/>
              <w:right w:val="single" w:color="auto" w:sz="4" w:space="0"/>
            </w:tcBorders>
            <w:noWrap/>
            <w:vAlign w:val="bottom"/>
          </w:tcPr>
          <w:p w14:paraId="5904FDD5">
            <w:pPr>
              <w:jc w:val="right"/>
              <w:rPr>
                <w:rFonts w:cs="Arial"/>
                <w:color w:val="000000"/>
                <w:sz w:val="20"/>
                <w:szCs w:val="20"/>
                <w:lang w:val="en-GB"/>
              </w:rPr>
            </w:pPr>
            <w:r>
              <w:rPr>
                <w:rFonts w:cs="Arial"/>
                <w:color w:val="000000"/>
                <w:sz w:val="20"/>
                <w:szCs w:val="20"/>
                <w:lang w:val="en-GB"/>
              </w:rPr>
              <w:t>8,773</w:t>
            </w:r>
          </w:p>
        </w:tc>
        <w:tc>
          <w:tcPr>
            <w:tcW w:w="624" w:type="pct"/>
            <w:tcBorders>
              <w:top w:val="nil"/>
              <w:left w:val="nil"/>
              <w:bottom w:val="single" w:color="auto" w:sz="4" w:space="0"/>
              <w:right w:val="single" w:color="auto" w:sz="4" w:space="0"/>
            </w:tcBorders>
            <w:noWrap/>
            <w:vAlign w:val="bottom"/>
          </w:tcPr>
          <w:p w14:paraId="2F8ABD34">
            <w:pPr>
              <w:jc w:val="right"/>
              <w:rPr>
                <w:rFonts w:cs="Arial"/>
                <w:color w:val="000000"/>
                <w:sz w:val="20"/>
                <w:szCs w:val="20"/>
                <w:lang w:val="en-GB"/>
              </w:rPr>
            </w:pPr>
            <w:r>
              <w:rPr>
                <w:rFonts w:cs="Arial"/>
                <w:color w:val="000000"/>
                <w:sz w:val="20"/>
                <w:szCs w:val="20"/>
                <w:lang w:val="en-GB"/>
              </w:rPr>
              <w:t>5,788</w:t>
            </w:r>
          </w:p>
        </w:tc>
      </w:tr>
      <w:tr w14:paraId="597B2541">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472168FA">
            <w:pPr>
              <w:jc w:val="left"/>
              <w:rPr>
                <w:rFonts w:cs="Arial"/>
                <w:b/>
                <w:bCs/>
                <w:i/>
                <w:iCs/>
                <w:color w:val="000000"/>
                <w:sz w:val="20"/>
                <w:szCs w:val="20"/>
                <w:lang w:val="en-GB"/>
              </w:rPr>
            </w:pPr>
            <w:r>
              <w:rPr>
                <w:rFonts w:cs="Arial"/>
                <w:b/>
                <w:bCs/>
                <w:i/>
                <w:iCs/>
                <w:color w:val="000000"/>
                <w:sz w:val="20"/>
                <w:szCs w:val="20"/>
                <w:lang w:val="en-GB"/>
              </w:rPr>
              <w:t>Return on Assets (ROA)</w:t>
            </w:r>
          </w:p>
        </w:tc>
        <w:tc>
          <w:tcPr>
            <w:tcW w:w="1024" w:type="pct"/>
            <w:tcBorders>
              <w:top w:val="nil"/>
              <w:left w:val="nil"/>
              <w:bottom w:val="single" w:color="auto" w:sz="4" w:space="0"/>
              <w:right w:val="single" w:color="auto" w:sz="4" w:space="0"/>
            </w:tcBorders>
            <w:noWrap/>
            <w:vAlign w:val="bottom"/>
          </w:tcPr>
          <w:p w14:paraId="67C50B52">
            <w:pPr>
              <w:jc w:val="left"/>
              <w:rPr>
                <w:rFonts w:cs="Arial"/>
                <w:b/>
                <w:bCs/>
                <w:i/>
                <w:iCs/>
                <w:color w:val="000000"/>
                <w:sz w:val="20"/>
                <w:szCs w:val="20"/>
                <w:lang w:val="en-GB"/>
              </w:rPr>
            </w:pPr>
            <w:r>
              <w:rPr>
                <w:rFonts w:cs="Arial"/>
                <w:b/>
                <w:bCs/>
                <w:i/>
                <w:iCs/>
                <w:color w:val="000000"/>
                <w:sz w:val="20"/>
                <w:szCs w:val="20"/>
                <w:lang w:val="en-GB"/>
              </w:rPr>
              <w:t>(Net Profit/Total Assets)*100</w:t>
            </w:r>
          </w:p>
        </w:tc>
        <w:tc>
          <w:tcPr>
            <w:tcW w:w="624" w:type="pct"/>
            <w:tcBorders>
              <w:top w:val="nil"/>
              <w:left w:val="nil"/>
              <w:bottom w:val="single" w:color="auto" w:sz="4" w:space="0"/>
              <w:right w:val="single" w:color="auto" w:sz="4" w:space="0"/>
            </w:tcBorders>
            <w:noWrap/>
            <w:vAlign w:val="bottom"/>
          </w:tcPr>
          <w:p w14:paraId="0D503417">
            <w:pPr>
              <w:jc w:val="right"/>
              <w:rPr>
                <w:rFonts w:cs="Arial"/>
                <w:b/>
                <w:bCs/>
                <w:i/>
                <w:iCs/>
                <w:color w:val="000000"/>
                <w:sz w:val="20"/>
                <w:szCs w:val="20"/>
                <w:lang w:val="en-GB"/>
              </w:rPr>
            </w:pPr>
            <w:r>
              <w:rPr>
                <w:rFonts w:cs="Arial"/>
                <w:b/>
                <w:bCs/>
                <w:i/>
                <w:iCs/>
                <w:color w:val="000000"/>
                <w:sz w:val="20"/>
                <w:szCs w:val="20"/>
                <w:lang w:val="en-GB"/>
              </w:rPr>
              <w:t>9%</w:t>
            </w:r>
          </w:p>
        </w:tc>
        <w:tc>
          <w:tcPr>
            <w:tcW w:w="624" w:type="pct"/>
            <w:tcBorders>
              <w:top w:val="nil"/>
              <w:left w:val="nil"/>
              <w:bottom w:val="single" w:color="auto" w:sz="4" w:space="0"/>
              <w:right w:val="single" w:color="auto" w:sz="4" w:space="0"/>
            </w:tcBorders>
            <w:noWrap/>
            <w:vAlign w:val="bottom"/>
          </w:tcPr>
          <w:p w14:paraId="58EB0E07">
            <w:pPr>
              <w:jc w:val="right"/>
              <w:rPr>
                <w:rFonts w:cs="Arial"/>
                <w:b/>
                <w:bCs/>
                <w:i/>
                <w:iCs/>
                <w:color w:val="000000"/>
                <w:sz w:val="20"/>
                <w:szCs w:val="20"/>
                <w:lang w:val="en-GB"/>
              </w:rPr>
            </w:pPr>
            <w:r>
              <w:rPr>
                <w:rFonts w:cs="Arial"/>
                <w:b/>
                <w:bCs/>
                <w:i/>
                <w:iCs/>
                <w:color w:val="000000"/>
                <w:sz w:val="20"/>
                <w:szCs w:val="20"/>
                <w:lang w:val="en-GB"/>
              </w:rPr>
              <w:t>9%</w:t>
            </w:r>
          </w:p>
        </w:tc>
        <w:tc>
          <w:tcPr>
            <w:tcW w:w="624" w:type="pct"/>
            <w:tcBorders>
              <w:top w:val="nil"/>
              <w:left w:val="nil"/>
              <w:bottom w:val="single" w:color="auto" w:sz="4" w:space="0"/>
              <w:right w:val="single" w:color="auto" w:sz="4" w:space="0"/>
            </w:tcBorders>
            <w:noWrap/>
            <w:vAlign w:val="bottom"/>
          </w:tcPr>
          <w:p w14:paraId="4C85FACF">
            <w:pPr>
              <w:jc w:val="right"/>
              <w:rPr>
                <w:rFonts w:cs="Arial"/>
                <w:b/>
                <w:bCs/>
                <w:i/>
                <w:iCs/>
                <w:color w:val="000000"/>
                <w:sz w:val="20"/>
                <w:szCs w:val="20"/>
                <w:lang w:val="en-GB"/>
              </w:rPr>
            </w:pPr>
            <w:r>
              <w:rPr>
                <w:rFonts w:cs="Arial"/>
                <w:b/>
                <w:bCs/>
                <w:i/>
                <w:iCs/>
                <w:color w:val="000000"/>
                <w:sz w:val="20"/>
                <w:szCs w:val="20"/>
                <w:lang w:val="en-GB"/>
              </w:rPr>
              <w:t>7%</w:t>
            </w:r>
          </w:p>
        </w:tc>
        <w:tc>
          <w:tcPr>
            <w:tcW w:w="624" w:type="pct"/>
            <w:tcBorders>
              <w:top w:val="nil"/>
              <w:left w:val="nil"/>
              <w:bottom w:val="single" w:color="auto" w:sz="4" w:space="0"/>
              <w:right w:val="single" w:color="auto" w:sz="4" w:space="0"/>
            </w:tcBorders>
            <w:noWrap/>
            <w:vAlign w:val="bottom"/>
          </w:tcPr>
          <w:p w14:paraId="4AF3AFFD">
            <w:pPr>
              <w:jc w:val="right"/>
              <w:rPr>
                <w:rFonts w:cs="Arial"/>
                <w:b/>
                <w:bCs/>
                <w:i/>
                <w:iCs/>
                <w:color w:val="000000"/>
                <w:sz w:val="20"/>
                <w:szCs w:val="20"/>
                <w:lang w:val="en-GB"/>
              </w:rPr>
            </w:pPr>
            <w:r>
              <w:rPr>
                <w:rFonts w:cs="Arial"/>
                <w:b/>
                <w:bCs/>
                <w:i/>
                <w:iCs/>
                <w:color w:val="000000"/>
                <w:sz w:val="20"/>
                <w:szCs w:val="20"/>
                <w:lang w:val="en-GB"/>
              </w:rPr>
              <w:t>8%</w:t>
            </w:r>
          </w:p>
        </w:tc>
        <w:tc>
          <w:tcPr>
            <w:tcW w:w="624" w:type="pct"/>
            <w:tcBorders>
              <w:top w:val="nil"/>
              <w:left w:val="nil"/>
              <w:bottom w:val="single" w:color="auto" w:sz="4" w:space="0"/>
              <w:right w:val="single" w:color="auto" w:sz="4" w:space="0"/>
            </w:tcBorders>
            <w:noWrap/>
            <w:vAlign w:val="bottom"/>
          </w:tcPr>
          <w:p w14:paraId="01B3601F">
            <w:pPr>
              <w:jc w:val="right"/>
              <w:rPr>
                <w:rFonts w:cs="Arial"/>
                <w:b/>
                <w:bCs/>
                <w:i/>
                <w:iCs/>
                <w:color w:val="000000"/>
                <w:sz w:val="20"/>
                <w:szCs w:val="20"/>
                <w:lang w:val="en-GB"/>
              </w:rPr>
            </w:pPr>
            <w:r>
              <w:rPr>
                <w:rFonts w:cs="Arial"/>
                <w:b/>
                <w:bCs/>
                <w:i/>
                <w:iCs/>
                <w:color w:val="000000"/>
                <w:sz w:val="20"/>
                <w:szCs w:val="20"/>
                <w:lang w:val="en-GB"/>
              </w:rPr>
              <w:t>3%</w:t>
            </w:r>
          </w:p>
        </w:tc>
      </w:tr>
      <w:tr w14:paraId="12ED612A">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64511DF5">
            <w:pPr>
              <w:jc w:val="left"/>
              <w:rPr>
                <w:rFonts w:cs="Arial"/>
                <w:color w:val="000000"/>
                <w:sz w:val="20"/>
                <w:szCs w:val="20"/>
                <w:lang w:val="en-GB"/>
              </w:rPr>
            </w:pPr>
            <w:r>
              <w:rPr>
                <w:rFonts w:cs="Arial"/>
                <w:color w:val="000000"/>
                <w:sz w:val="20"/>
                <w:szCs w:val="20"/>
                <w:lang w:val="en-GB"/>
              </w:rPr>
              <w:t>Net Income</w:t>
            </w:r>
          </w:p>
        </w:tc>
        <w:tc>
          <w:tcPr>
            <w:tcW w:w="1024" w:type="pct"/>
            <w:tcBorders>
              <w:top w:val="nil"/>
              <w:left w:val="nil"/>
              <w:bottom w:val="single" w:color="auto" w:sz="4" w:space="0"/>
              <w:right w:val="single" w:color="auto" w:sz="4" w:space="0"/>
            </w:tcBorders>
            <w:noWrap/>
            <w:vAlign w:val="bottom"/>
          </w:tcPr>
          <w:p w14:paraId="16F72DB4">
            <w:pPr>
              <w:jc w:val="left"/>
              <w:rPr>
                <w:rFonts w:cs="Arial"/>
                <w:color w:val="000000"/>
                <w:sz w:val="20"/>
                <w:szCs w:val="20"/>
                <w:lang w:val="en-GB"/>
              </w:rPr>
            </w:pPr>
            <w:r>
              <w:rPr>
                <w:rFonts w:cs="Arial"/>
                <w:color w:val="000000"/>
                <w:sz w:val="20"/>
                <w:szCs w:val="20"/>
                <w:lang w:val="en-GB"/>
              </w:rPr>
              <w:t> </w:t>
            </w:r>
          </w:p>
        </w:tc>
        <w:tc>
          <w:tcPr>
            <w:tcW w:w="624" w:type="pct"/>
            <w:tcBorders>
              <w:top w:val="nil"/>
              <w:left w:val="nil"/>
              <w:bottom w:val="single" w:color="auto" w:sz="4" w:space="0"/>
              <w:right w:val="single" w:color="auto" w:sz="4" w:space="0"/>
            </w:tcBorders>
            <w:noWrap/>
            <w:vAlign w:val="bottom"/>
          </w:tcPr>
          <w:p w14:paraId="23A102DF">
            <w:pPr>
              <w:jc w:val="right"/>
              <w:rPr>
                <w:rFonts w:cs="Arial"/>
                <w:color w:val="000000"/>
                <w:sz w:val="20"/>
                <w:szCs w:val="20"/>
                <w:lang w:val="en-GB"/>
              </w:rPr>
            </w:pPr>
            <w:r>
              <w:rPr>
                <w:rFonts w:cs="Arial"/>
                <w:color w:val="000000"/>
                <w:sz w:val="20"/>
                <w:szCs w:val="20"/>
                <w:lang w:val="en-GB"/>
              </w:rPr>
              <w:t>1,461</w:t>
            </w:r>
          </w:p>
        </w:tc>
        <w:tc>
          <w:tcPr>
            <w:tcW w:w="624" w:type="pct"/>
            <w:tcBorders>
              <w:top w:val="nil"/>
              <w:left w:val="nil"/>
              <w:bottom w:val="single" w:color="auto" w:sz="4" w:space="0"/>
              <w:right w:val="single" w:color="auto" w:sz="4" w:space="0"/>
            </w:tcBorders>
            <w:noWrap/>
            <w:vAlign w:val="bottom"/>
          </w:tcPr>
          <w:p w14:paraId="72F7EC7E">
            <w:pPr>
              <w:jc w:val="right"/>
              <w:rPr>
                <w:rFonts w:cs="Arial"/>
                <w:color w:val="000000"/>
                <w:sz w:val="20"/>
                <w:szCs w:val="20"/>
                <w:lang w:val="en-GB"/>
              </w:rPr>
            </w:pPr>
            <w:r>
              <w:rPr>
                <w:rFonts w:cs="Arial"/>
                <w:color w:val="000000"/>
                <w:sz w:val="20"/>
                <w:szCs w:val="20"/>
                <w:lang w:val="en-GB"/>
              </w:rPr>
              <w:t>1,539</w:t>
            </w:r>
          </w:p>
        </w:tc>
        <w:tc>
          <w:tcPr>
            <w:tcW w:w="624" w:type="pct"/>
            <w:tcBorders>
              <w:top w:val="nil"/>
              <w:left w:val="nil"/>
              <w:bottom w:val="single" w:color="auto" w:sz="4" w:space="0"/>
              <w:right w:val="single" w:color="auto" w:sz="4" w:space="0"/>
            </w:tcBorders>
            <w:noWrap/>
            <w:vAlign w:val="bottom"/>
          </w:tcPr>
          <w:p w14:paraId="2C38828E">
            <w:pPr>
              <w:jc w:val="right"/>
              <w:rPr>
                <w:rFonts w:cs="Arial"/>
                <w:color w:val="000000"/>
                <w:sz w:val="20"/>
                <w:szCs w:val="20"/>
                <w:lang w:val="en-GB"/>
              </w:rPr>
            </w:pPr>
            <w:r>
              <w:rPr>
                <w:rFonts w:cs="Arial"/>
                <w:color w:val="000000"/>
                <w:sz w:val="20"/>
                <w:szCs w:val="20"/>
                <w:lang w:val="en-GB"/>
              </w:rPr>
              <w:t>1,151</w:t>
            </w:r>
          </w:p>
        </w:tc>
        <w:tc>
          <w:tcPr>
            <w:tcW w:w="624" w:type="pct"/>
            <w:tcBorders>
              <w:top w:val="nil"/>
              <w:left w:val="nil"/>
              <w:bottom w:val="single" w:color="auto" w:sz="4" w:space="0"/>
              <w:right w:val="single" w:color="auto" w:sz="4" w:space="0"/>
            </w:tcBorders>
            <w:noWrap/>
            <w:vAlign w:val="bottom"/>
          </w:tcPr>
          <w:p w14:paraId="0EF540E7">
            <w:pPr>
              <w:jc w:val="right"/>
              <w:rPr>
                <w:rFonts w:cs="Arial"/>
                <w:color w:val="000000"/>
                <w:sz w:val="20"/>
                <w:szCs w:val="20"/>
                <w:lang w:val="en-GB"/>
              </w:rPr>
            </w:pPr>
            <w:r>
              <w:rPr>
                <w:rFonts w:cs="Arial"/>
                <w:color w:val="000000"/>
                <w:sz w:val="20"/>
                <w:szCs w:val="20"/>
                <w:lang w:val="en-GB"/>
              </w:rPr>
              <w:t>1,257</w:t>
            </w:r>
          </w:p>
        </w:tc>
        <w:tc>
          <w:tcPr>
            <w:tcW w:w="624" w:type="pct"/>
            <w:tcBorders>
              <w:top w:val="nil"/>
              <w:left w:val="nil"/>
              <w:bottom w:val="single" w:color="auto" w:sz="4" w:space="0"/>
              <w:right w:val="single" w:color="auto" w:sz="4" w:space="0"/>
            </w:tcBorders>
            <w:noWrap/>
            <w:vAlign w:val="bottom"/>
          </w:tcPr>
          <w:p w14:paraId="71C7A40C">
            <w:pPr>
              <w:jc w:val="right"/>
              <w:rPr>
                <w:rFonts w:cs="Arial"/>
                <w:color w:val="000000"/>
                <w:sz w:val="20"/>
                <w:szCs w:val="20"/>
                <w:lang w:val="en-GB"/>
              </w:rPr>
            </w:pPr>
            <w:r>
              <w:rPr>
                <w:rFonts w:cs="Arial"/>
                <w:color w:val="000000"/>
                <w:sz w:val="20"/>
                <w:szCs w:val="20"/>
                <w:lang w:val="en-GB"/>
              </w:rPr>
              <w:t>407</w:t>
            </w:r>
          </w:p>
        </w:tc>
      </w:tr>
      <w:tr w14:paraId="2ED4DA5E">
        <w:tblPrEx>
          <w:tblCellMar>
            <w:top w:w="0" w:type="dxa"/>
            <w:left w:w="108" w:type="dxa"/>
            <w:bottom w:w="0" w:type="dxa"/>
            <w:right w:w="108" w:type="dxa"/>
          </w:tblCellMar>
        </w:tblPrEx>
        <w:trPr>
          <w:trHeight w:val="315" w:hRule="atLeast"/>
          <w:jc w:val="center"/>
        </w:trPr>
        <w:tc>
          <w:tcPr>
            <w:tcW w:w="854" w:type="pct"/>
            <w:tcBorders>
              <w:top w:val="nil"/>
              <w:left w:val="single" w:color="auto" w:sz="4" w:space="0"/>
              <w:bottom w:val="single" w:color="auto" w:sz="4" w:space="0"/>
              <w:right w:val="single" w:color="auto" w:sz="4" w:space="0"/>
            </w:tcBorders>
            <w:noWrap/>
            <w:vAlign w:val="bottom"/>
          </w:tcPr>
          <w:p w14:paraId="37B54507">
            <w:pPr>
              <w:jc w:val="left"/>
              <w:rPr>
                <w:rFonts w:cs="Arial"/>
                <w:color w:val="000000"/>
                <w:sz w:val="20"/>
                <w:szCs w:val="20"/>
                <w:lang w:val="en-GB"/>
              </w:rPr>
            </w:pPr>
            <w:r>
              <w:rPr>
                <w:rFonts w:cs="Arial"/>
                <w:color w:val="000000"/>
                <w:sz w:val="20"/>
                <w:szCs w:val="20"/>
                <w:lang w:val="en-GB"/>
              </w:rPr>
              <w:t>Total Assets</w:t>
            </w:r>
          </w:p>
        </w:tc>
        <w:tc>
          <w:tcPr>
            <w:tcW w:w="1024" w:type="pct"/>
            <w:tcBorders>
              <w:top w:val="nil"/>
              <w:left w:val="nil"/>
              <w:bottom w:val="single" w:color="auto" w:sz="4" w:space="0"/>
              <w:right w:val="single" w:color="auto" w:sz="4" w:space="0"/>
            </w:tcBorders>
            <w:noWrap/>
            <w:vAlign w:val="bottom"/>
          </w:tcPr>
          <w:p w14:paraId="4025DCEF">
            <w:pPr>
              <w:jc w:val="left"/>
              <w:rPr>
                <w:rFonts w:cs="Arial"/>
                <w:color w:val="000000"/>
                <w:sz w:val="20"/>
                <w:szCs w:val="20"/>
                <w:lang w:val="en-GB"/>
              </w:rPr>
            </w:pPr>
            <w:r>
              <w:rPr>
                <w:rFonts w:cs="Arial"/>
                <w:color w:val="000000"/>
                <w:sz w:val="20"/>
                <w:szCs w:val="20"/>
                <w:lang w:val="en-GB"/>
              </w:rPr>
              <w:t> </w:t>
            </w:r>
          </w:p>
        </w:tc>
        <w:tc>
          <w:tcPr>
            <w:tcW w:w="624" w:type="pct"/>
            <w:tcBorders>
              <w:top w:val="nil"/>
              <w:left w:val="nil"/>
              <w:bottom w:val="single" w:color="auto" w:sz="4" w:space="0"/>
              <w:right w:val="single" w:color="auto" w:sz="4" w:space="0"/>
            </w:tcBorders>
            <w:noWrap/>
            <w:vAlign w:val="bottom"/>
          </w:tcPr>
          <w:p w14:paraId="079989EE">
            <w:pPr>
              <w:jc w:val="right"/>
              <w:rPr>
                <w:rFonts w:cs="Arial"/>
                <w:color w:val="000000"/>
                <w:sz w:val="20"/>
                <w:szCs w:val="20"/>
                <w:lang w:val="en-GB"/>
              </w:rPr>
            </w:pPr>
            <w:r>
              <w:rPr>
                <w:rFonts w:cs="Arial"/>
                <w:color w:val="000000"/>
                <w:sz w:val="20"/>
                <w:szCs w:val="20"/>
                <w:lang w:val="en-GB"/>
              </w:rPr>
              <w:t>16,774</w:t>
            </w:r>
          </w:p>
        </w:tc>
        <w:tc>
          <w:tcPr>
            <w:tcW w:w="624" w:type="pct"/>
            <w:tcBorders>
              <w:top w:val="nil"/>
              <w:left w:val="nil"/>
              <w:bottom w:val="single" w:color="auto" w:sz="4" w:space="0"/>
              <w:right w:val="single" w:color="auto" w:sz="4" w:space="0"/>
            </w:tcBorders>
            <w:noWrap/>
            <w:vAlign w:val="bottom"/>
          </w:tcPr>
          <w:p w14:paraId="284D1F6B">
            <w:pPr>
              <w:jc w:val="right"/>
              <w:rPr>
                <w:rFonts w:cs="Arial"/>
                <w:color w:val="000000"/>
                <w:sz w:val="20"/>
                <w:szCs w:val="20"/>
                <w:lang w:val="en-GB"/>
              </w:rPr>
            </w:pPr>
            <w:r>
              <w:rPr>
                <w:rFonts w:cs="Arial"/>
                <w:color w:val="000000"/>
                <w:sz w:val="20"/>
                <w:szCs w:val="20"/>
                <w:lang w:val="en-GB"/>
              </w:rPr>
              <w:t>16,522</w:t>
            </w:r>
          </w:p>
        </w:tc>
        <w:tc>
          <w:tcPr>
            <w:tcW w:w="624" w:type="pct"/>
            <w:tcBorders>
              <w:top w:val="nil"/>
              <w:left w:val="nil"/>
              <w:bottom w:val="single" w:color="auto" w:sz="4" w:space="0"/>
              <w:right w:val="single" w:color="auto" w:sz="4" w:space="0"/>
            </w:tcBorders>
            <w:noWrap/>
            <w:vAlign w:val="bottom"/>
          </w:tcPr>
          <w:p w14:paraId="31BB08F0">
            <w:pPr>
              <w:jc w:val="right"/>
              <w:rPr>
                <w:rFonts w:cs="Arial"/>
                <w:color w:val="000000"/>
                <w:sz w:val="20"/>
                <w:szCs w:val="20"/>
                <w:lang w:val="en-GB"/>
              </w:rPr>
            </w:pPr>
            <w:r>
              <w:rPr>
                <w:rFonts w:cs="Arial"/>
                <w:color w:val="000000"/>
                <w:sz w:val="20"/>
                <w:szCs w:val="20"/>
                <w:lang w:val="en-GB"/>
              </w:rPr>
              <w:t>15,401</w:t>
            </w:r>
          </w:p>
        </w:tc>
        <w:tc>
          <w:tcPr>
            <w:tcW w:w="624" w:type="pct"/>
            <w:tcBorders>
              <w:top w:val="nil"/>
              <w:left w:val="nil"/>
              <w:bottom w:val="single" w:color="auto" w:sz="4" w:space="0"/>
              <w:right w:val="single" w:color="auto" w:sz="4" w:space="0"/>
            </w:tcBorders>
            <w:noWrap/>
            <w:vAlign w:val="bottom"/>
          </w:tcPr>
          <w:p w14:paraId="6F52BA73">
            <w:pPr>
              <w:jc w:val="right"/>
              <w:rPr>
                <w:rFonts w:cs="Arial"/>
                <w:color w:val="000000"/>
                <w:sz w:val="20"/>
                <w:szCs w:val="20"/>
                <w:lang w:val="en-GB"/>
              </w:rPr>
            </w:pPr>
            <w:r>
              <w:rPr>
                <w:rFonts w:cs="Arial"/>
                <w:color w:val="000000"/>
                <w:sz w:val="20"/>
                <w:szCs w:val="20"/>
                <w:lang w:val="en-GB"/>
              </w:rPr>
              <w:t>15,512</w:t>
            </w:r>
          </w:p>
        </w:tc>
        <w:tc>
          <w:tcPr>
            <w:tcW w:w="624" w:type="pct"/>
            <w:tcBorders>
              <w:top w:val="nil"/>
              <w:left w:val="nil"/>
              <w:bottom w:val="single" w:color="auto" w:sz="4" w:space="0"/>
              <w:right w:val="single" w:color="auto" w:sz="4" w:space="0"/>
            </w:tcBorders>
            <w:noWrap/>
            <w:vAlign w:val="bottom"/>
          </w:tcPr>
          <w:p w14:paraId="53C7B0C2">
            <w:pPr>
              <w:jc w:val="right"/>
              <w:rPr>
                <w:rFonts w:cs="Arial"/>
                <w:color w:val="000000"/>
                <w:sz w:val="20"/>
                <w:szCs w:val="20"/>
                <w:lang w:val="en-GB"/>
              </w:rPr>
            </w:pPr>
            <w:r>
              <w:rPr>
                <w:rFonts w:cs="Arial"/>
                <w:color w:val="000000"/>
                <w:sz w:val="20"/>
                <w:szCs w:val="20"/>
                <w:lang w:val="en-GB"/>
              </w:rPr>
              <w:t>15,441</w:t>
            </w:r>
          </w:p>
        </w:tc>
      </w:tr>
    </w:tbl>
    <w:p w14:paraId="27A4ACA3">
      <w:pPr>
        <w:jc w:val="center"/>
        <w:rPr>
          <w:rFonts w:cs="Arial"/>
          <w:lang w:val="en-GB"/>
        </w:rPr>
      </w:pPr>
      <w:r>
        <w:rPr>
          <w:rFonts w:cs="Arial"/>
          <w:lang w:val="en-GB"/>
        </w:rPr>
        <w:t>(Source: Hilton Annual report)</w:t>
      </w:r>
    </w:p>
    <w:tbl>
      <w:tblPr>
        <w:tblStyle w:val="9"/>
        <w:tblW w:w="5000" w:type="pct"/>
        <w:jc w:val="center"/>
        <w:tblLayout w:type="autofit"/>
        <w:tblCellMar>
          <w:top w:w="0" w:type="dxa"/>
          <w:left w:w="108" w:type="dxa"/>
          <w:bottom w:w="0" w:type="dxa"/>
          <w:right w:w="108" w:type="dxa"/>
        </w:tblCellMar>
      </w:tblPr>
      <w:tblGrid>
        <w:gridCol w:w="1346"/>
        <w:gridCol w:w="3360"/>
        <w:gridCol w:w="974"/>
        <w:gridCol w:w="974"/>
        <w:gridCol w:w="974"/>
        <w:gridCol w:w="974"/>
        <w:gridCol w:w="974"/>
      </w:tblGrid>
      <w:tr w14:paraId="1896AEC4">
        <w:tblPrEx>
          <w:tblCellMar>
            <w:top w:w="0" w:type="dxa"/>
            <w:left w:w="108" w:type="dxa"/>
            <w:bottom w:w="0" w:type="dxa"/>
            <w:right w:w="108" w:type="dxa"/>
          </w:tblCellMar>
        </w:tblPrEx>
        <w:trPr>
          <w:trHeight w:val="315"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000000" w:fill="8EA9DB"/>
            <w:noWrap/>
            <w:vAlign w:val="bottom"/>
          </w:tcPr>
          <w:p w14:paraId="586AE9C2">
            <w:pPr>
              <w:jc w:val="center"/>
              <w:rPr>
                <w:rFonts w:cs="Arial"/>
                <w:b/>
                <w:bCs/>
                <w:color w:val="000000"/>
                <w:sz w:val="20"/>
                <w:szCs w:val="20"/>
                <w:lang w:val="en-GB"/>
              </w:rPr>
            </w:pPr>
            <w:r>
              <w:rPr>
                <w:rFonts w:cs="Arial"/>
                <w:b/>
                <w:bCs/>
                <w:color w:val="000000"/>
                <w:sz w:val="20"/>
                <w:szCs w:val="20"/>
                <w:lang w:val="en-GB"/>
              </w:rPr>
              <w:t>Liquidity Ratio Analysis</w:t>
            </w:r>
          </w:p>
        </w:tc>
      </w:tr>
      <w:tr w14:paraId="2A1E46EA">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67BB4F45">
            <w:pPr>
              <w:jc w:val="left"/>
              <w:rPr>
                <w:rFonts w:cs="Arial"/>
                <w:b/>
                <w:bCs/>
                <w:i/>
                <w:iCs/>
                <w:color w:val="000000"/>
                <w:sz w:val="20"/>
                <w:szCs w:val="20"/>
                <w:lang w:val="en-GB"/>
              </w:rPr>
            </w:pPr>
            <w:r>
              <w:rPr>
                <w:rFonts w:cs="Arial"/>
                <w:b/>
                <w:bCs/>
                <w:i/>
                <w:iCs/>
                <w:color w:val="000000"/>
                <w:sz w:val="20"/>
                <w:szCs w:val="20"/>
                <w:lang w:val="en-GB"/>
              </w:rPr>
              <w:t>Ratios</w:t>
            </w:r>
          </w:p>
        </w:tc>
        <w:tc>
          <w:tcPr>
            <w:tcW w:w="1722" w:type="pct"/>
            <w:tcBorders>
              <w:top w:val="nil"/>
              <w:left w:val="nil"/>
              <w:bottom w:val="single" w:color="auto" w:sz="4" w:space="0"/>
              <w:right w:val="single" w:color="auto" w:sz="4" w:space="0"/>
            </w:tcBorders>
            <w:noWrap/>
            <w:vAlign w:val="bottom"/>
          </w:tcPr>
          <w:p w14:paraId="17DD0181">
            <w:pPr>
              <w:jc w:val="left"/>
              <w:rPr>
                <w:rFonts w:cs="Arial"/>
                <w:b/>
                <w:bCs/>
                <w:i/>
                <w:iCs/>
                <w:color w:val="000000"/>
                <w:sz w:val="20"/>
                <w:szCs w:val="20"/>
                <w:lang w:val="en-GB"/>
              </w:rPr>
            </w:pPr>
            <w:r>
              <w:rPr>
                <w:rFonts w:cs="Arial"/>
                <w:b/>
                <w:bCs/>
                <w:i/>
                <w:iCs/>
                <w:color w:val="000000"/>
                <w:sz w:val="20"/>
                <w:szCs w:val="20"/>
                <w:lang w:val="en-GB"/>
              </w:rPr>
              <w:t>Formula</w:t>
            </w:r>
          </w:p>
        </w:tc>
        <w:tc>
          <w:tcPr>
            <w:tcW w:w="517" w:type="pct"/>
            <w:tcBorders>
              <w:top w:val="nil"/>
              <w:left w:val="nil"/>
              <w:bottom w:val="single" w:color="auto" w:sz="4" w:space="0"/>
              <w:right w:val="single" w:color="auto" w:sz="4" w:space="0"/>
            </w:tcBorders>
            <w:noWrap/>
            <w:vAlign w:val="bottom"/>
          </w:tcPr>
          <w:p w14:paraId="148F79DF">
            <w:pPr>
              <w:jc w:val="left"/>
              <w:rPr>
                <w:rFonts w:cs="Arial"/>
                <w:b/>
                <w:bCs/>
                <w:i/>
                <w:iCs/>
                <w:color w:val="000000"/>
                <w:sz w:val="20"/>
                <w:szCs w:val="20"/>
                <w:lang w:val="en-GB"/>
              </w:rPr>
            </w:pPr>
            <w:r>
              <w:rPr>
                <w:rFonts w:cs="Arial"/>
                <w:b/>
                <w:bCs/>
                <w:i/>
                <w:iCs/>
                <w:color w:val="000000"/>
                <w:sz w:val="20"/>
                <w:szCs w:val="20"/>
                <w:lang w:val="en-GB"/>
              </w:rPr>
              <w:t>2025 ($, millions)</w:t>
            </w:r>
          </w:p>
        </w:tc>
        <w:tc>
          <w:tcPr>
            <w:tcW w:w="516" w:type="pct"/>
            <w:tcBorders>
              <w:top w:val="nil"/>
              <w:left w:val="nil"/>
              <w:bottom w:val="single" w:color="auto" w:sz="4" w:space="0"/>
              <w:right w:val="single" w:color="auto" w:sz="4" w:space="0"/>
            </w:tcBorders>
            <w:noWrap/>
            <w:vAlign w:val="bottom"/>
          </w:tcPr>
          <w:p w14:paraId="5F4328D7">
            <w:pPr>
              <w:jc w:val="left"/>
              <w:rPr>
                <w:rFonts w:cs="Arial"/>
                <w:b/>
                <w:bCs/>
                <w:i/>
                <w:iCs/>
                <w:color w:val="000000"/>
                <w:sz w:val="20"/>
                <w:szCs w:val="20"/>
                <w:lang w:val="en-GB"/>
              </w:rPr>
            </w:pPr>
            <w:r>
              <w:rPr>
                <w:rFonts w:cs="Arial"/>
                <w:b/>
                <w:bCs/>
                <w:i/>
                <w:iCs/>
                <w:color w:val="000000"/>
                <w:sz w:val="20"/>
                <w:szCs w:val="20"/>
                <w:lang w:val="en-GB"/>
              </w:rPr>
              <w:t>2024 ($, millions)</w:t>
            </w:r>
          </w:p>
        </w:tc>
        <w:tc>
          <w:tcPr>
            <w:tcW w:w="516" w:type="pct"/>
            <w:tcBorders>
              <w:top w:val="nil"/>
              <w:left w:val="nil"/>
              <w:bottom w:val="single" w:color="auto" w:sz="4" w:space="0"/>
              <w:right w:val="single" w:color="auto" w:sz="4" w:space="0"/>
            </w:tcBorders>
            <w:noWrap/>
            <w:vAlign w:val="bottom"/>
          </w:tcPr>
          <w:p w14:paraId="2E82AF3A">
            <w:pPr>
              <w:jc w:val="left"/>
              <w:rPr>
                <w:rFonts w:cs="Arial"/>
                <w:b/>
                <w:bCs/>
                <w:i/>
                <w:iCs/>
                <w:color w:val="000000"/>
                <w:sz w:val="20"/>
                <w:szCs w:val="20"/>
                <w:lang w:val="en-GB"/>
              </w:rPr>
            </w:pPr>
            <w:r>
              <w:rPr>
                <w:rFonts w:cs="Arial"/>
                <w:b/>
                <w:bCs/>
                <w:i/>
                <w:iCs/>
                <w:color w:val="000000"/>
                <w:sz w:val="20"/>
                <w:szCs w:val="20"/>
                <w:lang w:val="en-GB"/>
              </w:rPr>
              <w:t>2023 ($, millions)</w:t>
            </w:r>
          </w:p>
        </w:tc>
        <w:tc>
          <w:tcPr>
            <w:tcW w:w="516" w:type="pct"/>
            <w:tcBorders>
              <w:top w:val="nil"/>
              <w:left w:val="nil"/>
              <w:bottom w:val="single" w:color="auto" w:sz="4" w:space="0"/>
              <w:right w:val="single" w:color="auto" w:sz="4" w:space="0"/>
            </w:tcBorders>
            <w:noWrap/>
            <w:vAlign w:val="bottom"/>
          </w:tcPr>
          <w:p w14:paraId="668905DB">
            <w:pPr>
              <w:jc w:val="left"/>
              <w:rPr>
                <w:rFonts w:cs="Arial"/>
                <w:b/>
                <w:bCs/>
                <w:i/>
                <w:iCs/>
                <w:color w:val="000000"/>
                <w:sz w:val="20"/>
                <w:szCs w:val="20"/>
                <w:lang w:val="en-GB"/>
              </w:rPr>
            </w:pPr>
            <w:r>
              <w:rPr>
                <w:rFonts w:cs="Arial"/>
                <w:b/>
                <w:bCs/>
                <w:i/>
                <w:iCs/>
                <w:color w:val="000000"/>
                <w:sz w:val="20"/>
                <w:szCs w:val="20"/>
                <w:lang w:val="en-GB"/>
              </w:rPr>
              <w:t>2022 ($, millions)</w:t>
            </w:r>
          </w:p>
        </w:tc>
        <w:tc>
          <w:tcPr>
            <w:tcW w:w="516" w:type="pct"/>
            <w:tcBorders>
              <w:top w:val="nil"/>
              <w:left w:val="nil"/>
              <w:bottom w:val="single" w:color="auto" w:sz="4" w:space="0"/>
              <w:right w:val="single" w:color="auto" w:sz="4" w:space="0"/>
            </w:tcBorders>
            <w:noWrap/>
            <w:vAlign w:val="bottom"/>
          </w:tcPr>
          <w:p w14:paraId="31B28ED5">
            <w:pPr>
              <w:jc w:val="left"/>
              <w:rPr>
                <w:rFonts w:cs="Arial"/>
                <w:b/>
                <w:bCs/>
                <w:i/>
                <w:iCs/>
                <w:color w:val="000000"/>
                <w:sz w:val="20"/>
                <w:szCs w:val="20"/>
                <w:lang w:val="en-GB"/>
              </w:rPr>
            </w:pPr>
            <w:r>
              <w:rPr>
                <w:rFonts w:cs="Arial"/>
                <w:b/>
                <w:bCs/>
                <w:i/>
                <w:iCs/>
                <w:color w:val="000000"/>
                <w:sz w:val="20"/>
                <w:szCs w:val="20"/>
                <w:lang w:val="en-GB"/>
              </w:rPr>
              <w:t>2021 ($, millions)</w:t>
            </w:r>
          </w:p>
        </w:tc>
      </w:tr>
      <w:tr w14:paraId="2A808953">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66934810">
            <w:pPr>
              <w:jc w:val="left"/>
              <w:rPr>
                <w:rFonts w:cs="Arial"/>
                <w:b/>
                <w:bCs/>
                <w:i/>
                <w:iCs/>
                <w:color w:val="000000"/>
                <w:sz w:val="20"/>
                <w:szCs w:val="20"/>
                <w:lang w:val="en-GB"/>
              </w:rPr>
            </w:pPr>
            <w:r>
              <w:rPr>
                <w:rFonts w:cs="Arial"/>
                <w:b/>
                <w:bCs/>
                <w:i/>
                <w:iCs/>
                <w:color w:val="000000"/>
                <w:sz w:val="20"/>
                <w:szCs w:val="20"/>
                <w:lang w:val="en-GB"/>
              </w:rPr>
              <w:t>Current Ratio</w:t>
            </w:r>
          </w:p>
        </w:tc>
        <w:tc>
          <w:tcPr>
            <w:tcW w:w="1722" w:type="pct"/>
            <w:tcBorders>
              <w:top w:val="nil"/>
              <w:left w:val="nil"/>
              <w:bottom w:val="single" w:color="auto" w:sz="4" w:space="0"/>
              <w:right w:val="single" w:color="auto" w:sz="4" w:space="0"/>
            </w:tcBorders>
            <w:noWrap/>
            <w:vAlign w:val="bottom"/>
          </w:tcPr>
          <w:p w14:paraId="3B406B79">
            <w:pPr>
              <w:jc w:val="left"/>
              <w:rPr>
                <w:rFonts w:cs="Arial"/>
                <w:b/>
                <w:bCs/>
                <w:i/>
                <w:iCs/>
                <w:color w:val="000000"/>
                <w:sz w:val="20"/>
                <w:szCs w:val="20"/>
                <w:lang w:val="en-GB"/>
              </w:rPr>
            </w:pPr>
            <w:r>
              <w:rPr>
                <w:rFonts w:cs="Arial"/>
                <w:b/>
                <w:bCs/>
                <w:i/>
                <w:iCs/>
                <w:color w:val="000000"/>
                <w:sz w:val="20"/>
                <w:szCs w:val="20"/>
                <w:lang w:val="en-GB"/>
              </w:rPr>
              <w:t>Current Assets/Current Labilities</w:t>
            </w:r>
          </w:p>
        </w:tc>
        <w:tc>
          <w:tcPr>
            <w:tcW w:w="517" w:type="pct"/>
            <w:tcBorders>
              <w:top w:val="nil"/>
              <w:left w:val="nil"/>
              <w:bottom w:val="single" w:color="auto" w:sz="4" w:space="0"/>
              <w:right w:val="single" w:color="auto" w:sz="4" w:space="0"/>
            </w:tcBorders>
            <w:noWrap/>
            <w:vAlign w:val="bottom"/>
          </w:tcPr>
          <w:p w14:paraId="3167DCBF">
            <w:pPr>
              <w:jc w:val="right"/>
              <w:rPr>
                <w:rFonts w:cs="Arial"/>
                <w:b/>
                <w:bCs/>
                <w:i/>
                <w:iCs/>
                <w:color w:val="000000"/>
                <w:sz w:val="20"/>
                <w:szCs w:val="20"/>
                <w:lang w:val="en-GB"/>
              </w:rPr>
            </w:pPr>
            <w:r>
              <w:rPr>
                <w:rFonts w:cs="Arial"/>
                <w:b/>
                <w:bCs/>
                <w:i/>
                <w:iCs/>
                <w:color w:val="000000"/>
                <w:sz w:val="20"/>
                <w:szCs w:val="20"/>
                <w:lang w:val="en-GB"/>
              </w:rPr>
              <w:t>0.66</w:t>
            </w:r>
          </w:p>
        </w:tc>
        <w:tc>
          <w:tcPr>
            <w:tcW w:w="516" w:type="pct"/>
            <w:tcBorders>
              <w:top w:val="nil"/>
              <w:left w:val="nil"/>
              <w:bottom w:val="single" w:color="auto" w:sz="4" w:space="0"/>
              <w:right w:val="single" w:color="auto" w:sz="4" w:space="0"/>
            </w:tcBorders>
            <w:noWrap/>
            <w:vAlign w:val="bottom"/>
          </w:tcPr>
          <w:p w14:paraId="788C526A">
            <w:pPr>
              <w:jc w:val="right"/>
              <w:rPr>
                <w:rFonts w:cs="Arial"/>
                <w:b/>
                <w:bCs/>
                <w:i/>
                <w:iCs/>
                <w:color w:val="000000"/>
                <w:sz w:val="20"/>
                <w:szCs w:val="20"/>
                <w:lang w:val="en-GB"/>
              </w:rPr>
            </w:pPr>
            <w:r>
              <w:rPr>
                <w:rFonts w:cs="Arial"/>
                <w:b/>
                <w:bCs/>
                <w:i/>
                <w:iCs/>
                <w:color w:val="000000"/>
                <w:sz w:val="20"/>
                <w:szCs w:val="20"/>
                <w:lang w:val="en-GB"/>
              </w:rPr>
              <w:t>0.70</w:t>
            </w:r>
          </w:p>
        </w:tc>
        <w:tc>
          <w:tcPr>
            <w:tcW w:w="516" w:type="pct"/>
            <w:tcBorders>
              <w:top w:val="nil"/>
              <w:left w:val="nil"/>
              <w:bottom w:val="single" w:color="auto" w:sz="4" w:space="0"/>
              <w:right w:val="single" w:color="auto" w:sz="4" w:space="0"/>
            </w:tcBorders>
            <w:noWrap/>
            <w:vAlign w:val="bottom"/>
          </w:tcPr>
          <w:p w14:paraId="3A42B434">
            <w:pPr>
              <w:jc w:val="right"/>
              <w:rPr>
                <w:rFonts w:cs="Arial"/>
                <w:b/>
                <w:bCs/>
                <w:i/>
                <w:iCs/>
                <w:color w:val="000000"/>
                <w:sz w:val="20"/>
                <w:szCs w:val="20"/>
                <w:lang w:val="en-GB"/>
              </w:rPr>
            </w:pPr>
            <w:r>
              <w:rPr>
                <w:rFonts w:cs="Arial"/>
                <w:b/>
                <w:bCs/>
                <w:i/>
                <w:iCs/>
                <w:color w:val="000000"/>
                <w:sz w:val="20"/>
                <w:szCs w:val="20"/>
                <w:lang w:val="en-GB"/>
              </w:rPr>
              <w:t>0.70</w:t>
            </w:r>
          </w:p>
        </w:tc>
        <w:tc>
          <w:tcPr>
            <w:tcW w:w="516" w:type="pct"/>
            <w:tcBorders>
              <w:top w:val="nil"/>
              <w:left w:val="nil"/>
              <w:bottom w:val="single" w:color="auto" w:sz="4" w:space="0"/>
              <w:right w:val="single" w:color="auto" w:sz="4" w:space="0"/>
            </w:tcBorders>
            <w:noWrap/>
            <w:vAlign w:val="bottom"/>
          </w:tcPr>
          <w:p w14:paraId="2C0806EF">
            <w:pPr>
              <w:jc w:val="right"/>
              <w:rPr>
                <w:rFonts w:cs="Arial"/>
                <w:b/>
                <w:bCs/>
                <w:i/>
                <w:iCs/>
                <w:color w:val="000000"/>
                <w:sz w:val="20"/>
                <w:szCs w:val="20"/>
                <w:lang w:val="en-GB"/>
              </w:rPr>
            </w:pPr>
            <w:r>
              <w:rPr>
                <w:rFonts w:cs="Arial"/>
                <w:b/>
                <w:bCs/>
                <w:i/>
                <w:iCs/>
                <w:color w:val="000000"/>
                <w:sz w:val="20"/>
                <w:szCs w:val="20"/>
                <w:lang w:val="en-GB"/>
              </w:rPr>
              <w:t>0.85</w:t>
            </w:r>
          </w:p>
        </w:tc>
        <w:tc>
          <w:tcPr>
            <w:tcW w:w="516" w:type="pct"/>
            <w:tcBorders>
              <w:top w:val="nil"/>
              <w:left w:val="nil"/>
              <w:bottom w:val="single" w:color="auto" w:sz="4" w:space="0"/>
              <w:right w:val="single" w:color="auto" w:sz="4" w:space="0"/>
            </w:tcBorders>
            <w:noWrap/>
            <w:vAlign w:val="bottom"/>
          </w:tcPr>
          <w:p w14:paraId="4AFEC2B5">
            <w:pPr>
              <w:jc w:val="right"/>
              <w:rPr>
                <w:rFonts w:cs="Arial"/>
                <w:b/>
                <w:bCs/>
                <w:i/>
                <w:iCs/>
                <w:color w:val="000000"/>
                <w:sz w:val="20"/>
                <w:szCs w:val="20"/>
                <w:lang w:val="en-GB"/>
              </w:rPr>
            </w:pPr>
            <w:r>
              <w:rPr>
                <w:rFonts w:cs="Arial"/>
                <w:b/>
                <w:bCs/>
                <w:i/>
                <w:iCs/>
                <w:color w:val="000000"/>
                <w:sz w:val="20"/>
                <w:szCs w:val="20"/>
                <w:lang w:val="en-GB"/>
              </w:rPr>
              <w:t>0.95</w:t>
            </w:r>
          </w:p>
        </w:tc>
      </w:tr>
      <w:tr w14:paraId="3EE280B0">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2020FA63">
            <w:pPr>
              <w:jc w:val="left"/>
              <w:rPr>
                <w:rFonts w:cs="Arial"/>
                <w:color w:val="000000"/>
                <w:sz w:val="20"/>
                <w:szCs w:val="20"/>
                <w:lang w:val="en-GB"/>
              </w:rPr>
            </w:pPr>
            <w:r>
              <w:rPr>
                <w:rFonts w:cs="Arial"/>
                <w:color w:val="000000"/>
                <w:sz w:val="20"/>
                <w:szCs w:val="20"/>
                <w:lang w:val="en-GB"/>
              </w:rPr>
              <w:t>Current Assets</w:t>
            </w:r>
          </w:p>
        </w:tc>
        <w:tc>
          <w:tcPr>
            <w:tcW w:w="1722" w:type="pct"/>
            <w:tcBorders>
              <w:top w:val="nil"/>
              <w:left w:val="nil"/>
              <w:bottom w:val="single" w:color="auto" w:sz="4" w:space="0"/>
              <w:right w:val="single" w:color="auto" w:sz="4" w:space="0"/>
            </w:tcBorders>
            <w:noWrap/>
            <w:vAlign w:val="bottom"/>
          </w:tcPr>
          <w:p w14:paraId="2C327B83">
            <w:pPr>
              <w:jc w:val="left"/>
              <w:rPr>
                <w:rFonts w:cs="Arial"/>
                <w:color w:val="000000"/>
                <w:sz w:val="20"/>
                <w:szCs w:val="20"/>
                <w:lang w:val="en-GB"/>
              </w:rPr>
            </w:pPr>
            <w:r>
              <w:rPr>
                <w:rFonts w:cs="Arial"/>
                <w:color w:val="000000"/>
                <w:sz w:val="20"/>
                <w:szCs w:val="20"/>
                <w:lang w:val="en-GB"/>
              </w:rPr>
              <w:t> </w:t>
            </w:r>
          </w:p>
        </w:tc>
        <w:tc>
          <w:tcPr>
            <w:tcW w:w="517" w:type="pct"/>
            <w:tcBorders>
              <w:top w:val="nil"/>
              <w:left w:val="nil"/>
              <w:bottom w:val="single" w:color="auto" w:sz="4" w:space="0"/>
              <w:right w:val="single" w:color="auto" w:sz="4" w:space="0"/>
            </w:tcBorders>
            <w:noWrap/>
            <w:vAlign w:val="bottom"/>
          </w:tcPr>
          <w:p w14:paraId="27B9185F">
            <w:pPr>
              <w:jc w:val="right"/>
              <w:rPr>
                <w:rFonts w:cs="Arial"/>
                <w:color w:val="000000"/>
                <w:sz w:val="20"/>
                <w:szCs w:val="20"/>
                <w:lang w:val="en-GB"/>
              </w:rPr>
            </w:pPr>
            <w:r>
              <w:rPr>
                <w:rFonts w:cs="Arial"/>
                <w:color w:val="000000"/>
                <w:sz w:val="20"/>
                <w:szCs w:val="20"/>
                <w:lang w:val="en-GB"/>
              </w:rPr>
              <w:t>2,996</w:t>
            </w:r>
          </w:p>
        </w:tc>
        <w:tc>
          <w:tcPr>
            <w:tcW w:w="516" w:type="pct"/>
            <w:tcBorders>
              <w:top w:val="nil"/>
              <w:left w:val="nil"/>
              <w:bottom w:val="single" w:color="auto" w:sz="4" w:space="0"/>
              <w:right w:val="single" w:color="auto" w:sz="4" w:space="0"/>
            </w:tcBorders>
            <w:noWrap/>
            <w:vAlign w:val="bottom"/>
          </w:tcPr>
          <w:p w14:paraId="02E8CECE">
            <w:pPr>
              <w:jc w:val="right"/>
              <w:rPr>
                <w:rFonts w:cs="Arial"/>
                <w:color w:val="000000"/>
                <w:sz w:val="20"/>
                <w:szCs w:val="20"/>
                <w:lang w:val="en-GB"/>
              </w:rPr>
            </w:pPr>
            <w:r>
              <w:rPr>
                <w:rFonts w:cs="Arial"/>
                <w:color w:val="000000"/>
                <w:sz w:val="20"/>
                <w:szCs w:val="20"/>
                <w:lang w:val="en-GB"/>
              </w:rPr>
              <w:t>3,272</w:t>
            </w:r>
          </w:p>
        </w:tc>
        <w:tc>
          <w:tcPr>
            <w:tcW w:w="516" w:type="pct"/>
            <w:tcBorders>
              <w:top w:val="nil"/>
              <w:left w:val="nil"/>
              <w:bottom w:val="single" w:color="auto" w:sz="4" w:space="0"/>
              <w:right w:val="single" w:color="auto" w:sz="4" w:space="0"/>
            </w:tcBorders>
            <w:noWrap/>
            <w:vAlign w:val="bottom"/>
          </w:tcPr>
          <w:p w14:paraId="38526398">
            <w:pPr>
              <w:jc w:val="right"/>
              <w:rPr>
                <w:rFonts w:cs="Arial"/>
                <w:color w:val="000000"/>
                <w:sz w:val="20"/>
                <w:szCs w:val="20"/>
                <w:lang w:val="en-GB"/>
              </w:rPr>
            </w:pPr>
            <w:r>
              <w:rPr>
                <w:rFonts w:cs="Arial"/>
                <w:color w:val="000000"/>
                <w:sz w:val="20"/>
                <w:szCs w:val="20"/>
                <w:lang w:val="en-GB"/>
              </w:rPr>
              <w:t>2,614</w:t>
            </w:r>
          </w:p>
        </w:tc>
        <w:tc>
          <w:tcPr>
            <w:tcW w:w="516" w:type="pct"/>
            <w:tcBorders>
              <w:top w:val="nil"/>
              <w:left w:val="nil"/>
              <w:bottom w:val="single" w:color="auto" w:sz="4" w:space="0"/>
              <w:right w:val="single" w:color="auto" w:sz="4" w:space="0"/>
            </w:tcBorders>
            <w:noWrap/>
            <w:vAlign w:val="bottom"/>
          </w:tcPr>
          <w:p w14:paraId="4BC37EE2">
            <w:pPr>
              <w:jc w:val="right"/>
              <w:rPr>
                <w:rFonts w:cs="Arial"/>
                <w:color w:val="000000"/>
                <w:sz w:val="20"/>
                <w:szCs w:val="20"/>
                <w:lang w:val="en-GB"/>
              </w:rPr>
            </w:pPr>
            <w:r>
              <w:rPr>
                <w:rFonts w:cs="Arial"/>
                <w:color w:val="000000"/>
                <w:sz w:val="20"/>
                <w:szCs w:val="20"/>
                <w:lang w:val="en-GB"/>
              </w:rPr>
              <w:t>2,870</w:t>
            </w:r>
          </w:p>
        </w:tc>
        <w:tc>
          <w:tcPr>
            <w:tcW w:w="516" w:type="pct"/>
            <w:tcBorders>
              <w:top w:val="nil"/>
              <w:left w:val="nil"/>
              <w:bottom w:val="single" w:color="auto" w:sz="4" w:space="0"/>
              <w:right w:val="single" w:color="auto" w:sz="4" w:space="0"/>
            </w:tcBorders>
            <w:noWrap/>
            <w:vAlign w:val="bottom"/>
          </w:tcPr>
          <w:p w14:paraId="25E78B94">
            <w:pPr>
              <w:jc w:val="right"/>
              <w:rPr>
                <w:rFonts w:cs="Arial"/>
                <w:color w:val="000000"/>
                <w:sz w:val="20"/>
                <w:szCs w:val="20"/>
                <w:lang w:val="en-GB"/>
              </w:rPr>
            </w:pPr>
            <w:r>
              <w:rPr>
                <w:rFonts w:cs="Arial"/>
                <w:color w:val="000000"/>
                <w:sz w:val="20"/>
                <w:szCs w:val="20"/>
                <w:lang w:val="en-GB"/>
              </w:rPr>
              <w:t>2,871</w:t>
            </w:r>
          </w:p>
        </w:tc>
      </w:tr>
      <w:tr w14:paraId="2852099F">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126FA433">
            <w:pPr>
              <w:jc w:val="left"/>
              <w:rPr>
                <w:rFonts w:cs="Arial"/>
                <w:color w:val="000000"/>
                <w:sz w:val="20"/>
                <w:szCs w:val="20"/>
                <w:lang w:val="en-GB"/>
              </w:rPr>
            </w:pPr>
            <w:r>
              <w:rPr>
                <w:rFonts w:cs="Arial"/>
                <w:color w:val="000000"/>
                <w:sz w:val="20"/>
                <w:szCs w:val="20"/>
                <w:lang w:val="en-GB"/>
              </w:rPr>
              <w:t>Current Labilities</w:t>
            </w:r>
          </w:p>
        </w:tc>
        <w:tc>
          <w:tcPr>
            <w:tcW w:w="1722" w:type="pct"/>
            <w:tcBorders>
              <w:top w:val="nil"/>
              <w:left w:val="nil"/>
              <w:bottom w:val="single" w:color="auto" w:sz="4" w:space="0"/>
              <w:right w:val="single" w:color="auto" w:sz="4" w:space="0"/>
            </w:tcBorders>
            <w:noWrap/>
            <w:vAlign w:val="bottom"/>
          </w:tcPr>
          <w:p w14:paraId="5FFAFE36">
            <w:pPr>
              <w:jc w:val="left"/>
              <w:rPr>
                <w:rFonts w:cs="Arial"/>
                <w:color w:val="000000"/>
                <w:sz w:val="20"/>
                <w:szCs w:val="20"/>
                <w:lang w:val="en-GB"/>
              </w:rPr>
            </w:pPr>
            <w:r>
              <w:rPr>
                <w:rFonts w:cs="Arial"/>
                <w:color w:val="000000"/>
                <w:sz w:val="20"/>
                <w:szCs w:val="20"/>
                <w:lang w:val="en-GB"/>
              </w:rPr>
              <w:t> </w:t>
            </w:r>
          </w:p>
        </w:tc>
        <w:tc>
          <w:tcPr>
            <w:tcW w:w="517" w:type="pct"/>
            <w:tcBorders>
              <w:top w:val="nil"/>
              <w:left w:val="nil"/>
              <w:bottom w:val="single" w:color="auto" w:sz="4" w:space="0"/>
              <w:right w:val="single" w:color="auto" w:sz="4" w:space="0"/>
            </w:tcBorders>
            <w:noWrap/>
            <w:vAlign w:val="bottom"/>
          </w:tcPr>
          <w:p w14:paraId="3AF7349C">
            <w:pPr>
              <w:jc w:val="right"/>
              <w:rPr>
                <w:rFonts w:cs="Arial"/>
                <w:color w:val="000000"/>
                <w:sz w:val="20"/>
                <w:szCs w:val="20"/>
                <w:lang w:val="en-GB"/>
              </w:rPr>
            </w:pPr>
            <w:r>
              <w:rPr>
                <w:rFonts w:cs="Arial"/>
                <w:color w:val="000000"/>
                <w:sz w:val="20"/>
                <w:szCs w:val="20"/>
                <w:lang w:val="en-GB"/>
              </w:rPr>
              <w:t>4,508</w:t>
            </w:r>
          </w:p>
        </w:tc>
        <w:tc>
          <w:tcPr>
            <w:tcW w:w="516" w:type="pct"/>
            <w:tcBorders>
              <w:top w:val="nil"/>
              <w:left w:val="nil"/>
              <w:bottom w:val="single" w:color="auto" w:sz="4" w:space="0"/>
              <w:right w:val="single" w:color="auto" w:sz="4" w:space="0"/>
            </w:tcBorders>
            <w:noWrap/>
            <w:vAlign w:val="bottom"/>
          </w:tcPr>
          <w:p w14:paraId="38AA1A17">
            <w:pPr>
              <w:jc w:val="right"/>
              <w:rPr>
                <w:rFonts w:cs="Arial"/>
                <w:color w:val="000000"/>
                <w:sz w:val="20"/>
                <w:szCs w:val="20"/>
                <w:lang w:val="en-GB"/>
              </w:rPr>
            </w:pPr>
            <w:r>
              <w:rPr>
                <w:rFonts w:cs="Arial"/>
                <w:color w:val="000000"/>
                <w:sz w:val="20"/>
                <w:szCs w:val="20"/>
                <w:lang w:val="en-GB"/>
              </w:rPr>
              <w:t>4,700</w:t>
            </w:r>
          </w:p>
        </w:tc>
        <w:tc>
          <w:tcPr>
            <w:tcW w:w="516" w:type="pct"/>
            <w:tcBorders>
              <w:top w:val="nil"/>
              <w:left w:val="nil"/>
              <w:bottom w:val="single" w:color="auto" w:sz="4" w:space="0"/>
              <w:right w:val="single" w:color="auto" w:sz="4" w:space="0"/>
            </w:tcBorders>
            <w:noWrap/>
            <w:vAlign w:val="bottom"/>
          </w:tcPr>
          <w:p w14:paraId="70B7C0E4">
            <w:pPr>
              <w:jc w:val="right"/>
              <w:rPr>
                <w:rFonts w:cs="Arial"/>
                <w:color w:val="000000"/>
                <w:sz w:val="20"/>
                <w:szCs w:val="20"/>
                <w:lang w:val="en-GB"/>
              </w:rPr>
            </w:pPr>
            <w:r>
              <w:rPr>
                <w:rFonts w:cs="Arial"/>
                <w:color w:val="000000"/>
                <w:sz w:val="20"/>
                <w:szCs w:val="20"/>
                <w:lang w:val="en-GB"/>
              </w:rPr>
              <w:t>3,722</w:t>
            </w:r>
          </w:p>
        </w:tc>
        <w:tc>
          <w:tcPr>
            <w:tcW w:w="516" w:type="pct"/>
            <w:tcBorders>
              <w:top w:val="nil"/>
              <w:left w:val="nil"/>
              <w:bottom w:val="single" w:color="auto" w:sz="4" w:space="0"/>
              <w:right w:val="single" w:color="auto" w:sz="4" w:space="0"/>
            </w:tcBorders>
            <w:noWrap/>
            <w:vAlign w:val="bottom"/>
          </w:tcPr>
          <w:p w14:paraId="546FD12E">
            <w:pPr>
              <w:jc w:val="right"/>
              <w:rPr>
                <w:rFonts w:cs="Arial"/>
                <w:color w:val="000000"/>
                <w:sz w:val="20"/>
                <w:szCs w:val="20"/>
                <w:lang w:val="en-GB"/>
              </w:rPr>
            </w:pPr>
            <w:r>
              <w:rPr>
                <w:rFonts w:cs="Arial"/>
                <w:color w:val="000000"/>
                <w:sz w:val="20"/>
                <w:szCs w:val="20"/>
                <w:lang w:val="en-GB"/>
              </w:rPr>
              <w:t>3,372</w:t>
            </w:r>
          </w:p>
        </w:tc>
        <w:tc>
          <w:tcPr>
            <w:tcW w:w="516" w:type="pct"/>
            <w:tcBorders>
              <w:top w:val="nil"/>
              <w:left w:val="nil"/>
              <w:bottom w:val="single" w:color="auto" w:sz="4" w:space="0"/>
              <w:right w:val="single" w:color="auto" w:sz="4" w:space="0"/>
            </w:tcBorders>
            <w:noWrap/>
            <w:vAlign w:val="bottom"/>
          </w:tcPr>
          <w:p w14:paraId="60B8B058">
            <w:pPr>
              <w:jc w:val="right"/>
              <w:rPr>
                <w:rFonts w:cs="Arial"/>
                <w:color w:val="000000"/>
                <w:sz w:val="20"/>
                <w:szCs w:val="20"/>
                <w:lang w:val="en-GB"/>
              </w:rPr>
            </w:pPr>
            <w:r>
              <w:rPr>
                <w:rFonts w:cs="Arial"/>
                <w:color w:val="000000"/>
                <w:sz w:val="20"/>
                <w:szCs w:val="20"/>
                <w:lang w:val="en-GB"/>
              </w:rPr>
              <w:t>3,019</w:t>
            </w:r>
          </w:p>
        </w:tc>
      </w:tr>
      <w:tr w14:paraId="79808F5A">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6E47D095">
            <w:pPr>
              <w:jc w:val="left"/>
              <w:rPr>
                <w:rFonts w:cs="Arial"/>
                <w:b/>
                <w:bCs/>
                <w:i/>
                <w:iCs/>
                <w:color w:val="000000"/>
                <w:sz w:val="20"/>
                <w:szCs w:val="20"/>
                <w:lang w:val="en-GB"/>
              </w:rPr>
            </w:pPr>
            <w:r>
              <w:rPr>
                <w:rFonts w:cs="Arial"/>
                <w:b/>
                <w:bCs/>
                <w:i/>
                <w:iCs/>
                <w:color w:val="000000"/>
                <w:sz w:val="20"/>
                <w:szCs w:val="20"/>
                <w:lang w:val="en-GB"/>
              </w:rPr>
              <w:t>Quick Ratio</w:t>
            </w:r>
          </w:p>
        </w:tc>
        <w:tc>
          <w:tcPr>
            <w:tcW w:w="1722" w:type="pct"/>
            <w:tcBorders>
              <w:top w:val="nil"/>
              <w:left w:val="nil"/>
              <w:bottom w:val="single" w:color="auto" w:sz="4" w:space="0"/>
              <w:right w:val="single" w:color="auto" w:sz="4" w:space="0"/>
            </w:tcBorders>
            <w:noWrap/>
            <w:vAlign w:val="bottom"/>
          </w:tcPr>
          <w:p w14:paraId="5419CA55">
            <w:pPr>
              <w:jc w:val="left"/>
              <w:rPr>
                <w:rFonts w:cs="Arial"/>
                <w:b/>
                <w:bCs/>
                <w:i/>
                <w:iCs/>
                <w:color w:val="000000"/>
                <w:sz w:val="20"/>
                <w:szCs w:val="20"/>
                <w:lang w:val="en-GB"/>
              </w:rPr>
            </w:pPr>
            <w:r>
              <w:rPr>
                <w:rFonts w:cs="Arial"/>
                <w:b/>
                <w:bCs/>
                <w:i/>
                <w:iCs/>
                <w:color w:val="000000"/>
                <w:sz w:val="20"/>
                <w:szCs w:val="20"/>
                <w:lang w:val="en-GB"/>
              </w:rPr>
              <w:t>(Cash and cash equivalents + Accounts Receivable)/ Current liabilities</w:t>
            </w:r>
          </w:p>
        </w:tc>
        <w:tc>
          <w:tcPr>
            <w:tcW w:w="517" w:type="pct"/>
            <w:tcBorders>
              <w:top w:val="nil"/>
              <w:left w:val="nil"/>
              <w:bottom w:val="single" w:color="auto" w:sz="4" w:space="0"/>
              <w:right w:val="single" w:color="auto" w:sz="4" w:space="0"/>
            </w:tcBorders>
            <w:noWrap/>
            <w:vAlign w:val="bottom"/>
          </w:tcPr>
          <w:p w14:paraId="7C73EF6C">
            <w:pPr>
              <w:jc w:val="right"/>
              <w:rPr>
                <w:rFonts w:cs="Arial"/>
                <w:b/>
                <w:bCs/>
                <w:i/>
                <w:iCs/>
                <w:color w:val="000000"/>
                <w:sz w:val="20"/>
                <w:szCs w:val="20"/>
                <w:lang w:val="en-GB"/>
              </w:rPr>
            </w:pPr>
            <w:r>
              <w:rPr>
                <w:rFonts w:cs="Arial"/>
                <w:b/>
                <w:bCs/>
                <w:i/>
                <w:iCs/>
                <w:color w:val="000000"/>
                <w:sz w:val="20"/>
                <w:szCs w:val="20"/>
                <w:lang w:val="en-GB"/>
              </w:rPr>
              <w:t>0.58</w:t>
            </w:r>
          </w:p>
        </w:tc>
        <w:tc>
          <w:tcPr>
            <w:tcW w:w="516" w:type="pct"/>
            <w:tcBorders>
              <w:top w:val="nil"/>
              <w:left w:val="nil"/>
              <w:bottom w:val="single" w:color="auto" w:sz="4" w:space="0"/>
              <w:right w:val="single" w:color="auto" w:sz="4" w:space="0"/>
            </w:tcBorders>
            <w:noWrap/>
            <w:vAlign w:val="bottom"/>
          </w:tcPr>
          <w:p w14:paraId="06B50C8E">
            <w:pPr>
              <w:jc w:val="right"/>
              <w:rPr>
                <w:rFonts w:cs="Arial"/>
                <w:b/>
                <w:bCs/>
                <w:i/>
                <w:iCs/>
                <w:color w:val="000000"/>
                <w:sz w:val="20"/>
                <w:szCs w:val="20"/>
                <w:lang w:val="en-GB"/>
              </w:rPr>
            </w:pPr>
            <w:r>
              <w:rPr>
                <w:rFonts w:cs="Arial"/>
                <w:b/>
                <w:bCs/>
                <w:i/>
                <w:iCs/>
                <w:color w:val="000000"/>
                <w:sz w:val="20"/>
                <w:szCs w:val="20"/>
                <w:lang w:val="en-GB"/>
              </w:rPr>
              <w:t>0.61</w:t>
            </w:r>
          </w:p>
        </w:tc>
        <w:tc>
          <w:tcPr>
            <w:tcW w:w="516" w:type="pct"/>
            <w:tcBorders>
              <w:top w:val="nil"/>
              <w:left w:val="nil"/>
              <w:bottom w:val="single" w:color="auto" w:sz="4" w:space="0"/>
              <w:right w:val="single" w:color="auto" w:sz="4" w:space="0"/>
            </w:tcBorders>
            <w:noWrap/>
            <w:vAlign w:val="bottom"/>
          </w:tcPr>
          <w:p w14:paraId="6AAF630C">
            <w:pPr>
              <w:jc w:val="right"/>
              <w:rPr>
                <w:rFonts w:cs="Arial"/>
                <w:b/>
                <w:bCs/>
                <w:i/>
                <w:iCs/>
                <w:color w:val="000000"/>
                <w:sz w:val="20"/>
                <w:szCs w:val="20"/>
                <w:lang w:val="en-GB"/>
              </w:rPr>
            </w:pPr>
            <w:r>
              <w:rPr>
                <w:rFonts w:cs="Arial"/>
                <w:b/>
                <w:bCs/>
                <w:i/>
                <w:iCs/>
                <w:color w:val="000000"/>
                <w:sz w:val="20"/>
                <w:szCs w:val="20"/>
                <w:lang w:val="en-GB"/>
              </w:rPr>
              <w:t>0.61</w:t>
            </w:r>
          </w:p>
        </w:tc>
        <w:tc>
          <w:tcPr>
            <w:tcW w:w="516" w:type="pct"/>
            <w:tcBorders>
              <w:top w:val="nil"/>
              <w:left w:val="nil"/>
              <w:bottom w:val="single" w:color="auto" w:sz="4" w:space="0"/>
              <w:right w:val="single" w:color="auto" w:sz="4" w:space="0"/>
            </w:tcBorders>
            <w:noWrap/>
            <w:vAlign w:val="bottom"/>
          </w:tcPr>
          <w:p w14:paraId="6577BDCA">
            <w:pPr>
              <w:jc w:val="right"/>
              <w:rPr>
                <w:rFonts w:cs="Arial"/>
                <w:b/>
                <w:bCs/>
                <w:i/>
                <w:iCs/>
                <w:color w:val="000000"/>
                <w:sz w:val="20"/>
                <w:szCs w:val="20"/>
                <w:lang w:val="en-GB"/>
              </w:rPr>
            </w:pPr>
            <w:r>
              <w:rPr>
                <w:rFonts w:cs="Arial"/>
                <w:b/>
                <w:bCs/>
                <w:i/>
                <w:iCs/>
                <w:color w:val="000000"/>
                <w:sz w:val="20"/>
                <w:szCs w:val="20"/>
                <w:lang w:val="en-GB"/>
              </w:rPr>
              <w:t>0.75</w:t>
            </w:r>
          </w:p>
        </w:tc>
        <w:tc>
          <w:tcPr>
            <w:tcW w:w="516" w:type="pct"/>
            <w:tcBorders>
              <w:top w:val="nil"/>
              <w:left w:val="nil"/>
              <w:bottom w:val="single" w:color="auto" w:sz="4" w:space="0"/>
              <w:right w:val="single" w:color="auto" w:sz="4" w:space="0"/>
            </w:tcBorders>
            <w:noWrap/>
            <w:vAlign w:val="bottom"/>
          </w:tcPr>
          <w:p w14:paraId="3DB8E6F1">
            <w:pPr>
              <w:jc w:val="right"/>
              <w:rPr>
                <w:rFonts w:cs="Arial"/>
                <w:b/>
                <w:bCs/>
                <w:i/>
                <w:iCs/>
                <w:color w:val="000000"/>
                <w:sz w:val="20"/>
                <w:szCs w:val="20"/>
                <w:lang w:val="en-GB"/>
              </w:rPr>
            </w:pPr>
            <w:r>
              <w:rPr>
                <w:rFonts w:cs="Arial"/>
                <w:b/>
                <w:bCs/>
                <w:i/>
                <w:iCs/>
                <w:color w:val="000000"/>
                <w:sz w:val="20"/>
                <w:szCs w:val="20"/>
                <w:lang w:val="en-GB"/>
              </w:rPr>
              <w:t>0.83</w:t>
            </w:r>
          </w:p>
        </w:tc>
      </w:tr>
      <w:tr w14:paraId="6AD37BDB">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54086DCC">
            <w:pPr>
              <w:jc w:val="left"/>
              <w:rPr>
                <w:rFonts w:cs="Arial"/>
                <w:color w:val="000000"/>
                <w:sz w:val="20"/>
                <w:szCs w:val="20"/>
                <w:lang w:val="en-GB"/>
              </w:rPr>
            </w:pPr>
            <w:r>
              <w:rPr>
                <w:rFonts w:cs="Arial"/>
                <w:color w:val="000000"/>
                <w:sz w:val="20"/>
                <w:szCs w:val="20"/>
                <w:lang w:val="en-GB"/>
              </w:rPr>
              <w:t xml:space="preserve">Cash and cash equivalents </w:t>
            </w:r>
          </w:p>
        </w:tc>
        <w:tc>
          <w:tcPr>
            <w:tcW w:w="1722" w:type="pct"/>
            <w:tcBorders>
              <w:top w:val="nil"/>
              <w:left w:val="nil"/>
              <w:bottom w:val="single" w:color="auto" w:sz="4" w:space="0"/>
              <w:right w:val="single" w:color="auto" w:sz="4" w:space="0"/>
            </w:tcBorders>
            <w:noWrap/>
            <w:vAlign w:val="bottom"/>
          </w:tcPr>
          <w:p w14:paraId="62691FEC">
            <w:pPr>
              <w:jc w:val="left"/>
              <w:rPr>
                <w:rFonts w:cs="Arial"/>
                <w:color w:val="000000"/>
                <w:sz w:val="20"/>
                <w:szCs w:val="20"/>
                <w:lang w:val="en-GB"/>
              </w:rPr>
            </w:pPr>
            <w:r>
              <w:rPr>
                <w:rFonts w:cs="Arial"/>
                <w:color w:val="000000"/>
                <w:sz w:val="20"/>
                <w:szCs w:val="20"/>
                <w:lang w:val="en-GB"/>
              </w:rPr>
              <w:t> </w:t>
            </w:r>
          </w:p>
        </w:tc>
        <w:tc>
          <w:tcPr>
            <w:tcW w:w="517" w:type="pct"/>
            <w:tcBorders>
              <w:top w:val="nil"/>
              <w:left w:val="nil"/>
              <w:bottom w:val="single" w:color="auto" w:sz="4" w:space="0"/>
              <w:right w:val="single" w:color="auto" w:sz="4" w:space="0"/>
            </w:tcBorders>
            <w:noWrap/>
            <w:vAlign w:val="bottom"/>
          </w:tcPr>
          <w:p w14:paraId="75FA8164">
            <w:pPr>
              <w:jc w:val="right"/>
              <w:rPr>
                <w:rFonts w:cs="Arial"/>
                <w:color w:val="000000"/>
                <w:sz w:val="20"/>
                <w:szCs w:val="20"/>
                <w:lang w:val="en-GB"/>
              </w:rPr>
            </w:pPr>
            <w:r>
              <w:rPr>
                <w:rFonts w:cs="Arial"/>
                <w:color w:val="000000"/>
                <w:sz w:val="20"/>
                <w:szCs w:val="20"/>
                <w:lang w:val="en-GB"/>
              </w:rPr>
              <w:t>918</w:t>
            </w:r>
          </w:p>
        </w:tc>
        <w:tc>
          <w:tcPr>
            <w:tcW w:w="516" w:type="pct"/>
            <w:tcBorders>
              <w:top w:val="nil"/>
              <w:left w:val="nil"/>
              <w:bottom w:val="single" w:color="auto" w:sz="4" w:space="0"/>
              <w:right w:val="single" w:color="auto" w:sz="4" w:space="0"/>
            </w:tcBorders>
            <w:noWrap/>
            <w:vAlign w:val="bottom"/>
          </w:tcPr>
          <w:p w14:paraId="2642BF4F">
            <w:pPr>
              <w:jc w:val="right"/>
              <w:rPr>
                <w:rFonts w:cs="Arial"/>
                <w:color w:val="000000"/>
                <w:sz w:val="20"/>
                <w:szCs w:val="20"/>
                <w:lang w:val="en-GB"/>
              </w:rPr>
            </w:pPr>
            <w:r>
              <w:rPr>
                <w:rFonts w:cs="Arial"/>
                <w:color w:val="000000"/>
                <w:sz w:val="20"/>
                <w:szCs w:val="20"/>
                <w:lang w:val="en-GB"/>
              </w:rPr>
              <w:t>1,301</w:t>
            </w:r>
          </w:p>
        </w:tc>
        <w:tc>
          <w:tcPr>
            <w:tcW w:w="516" w:type="pct"/>
            <w:tcBorders>
              <w:top w:val="nil"/>
              <w:left w:val="nil"/>
              <w:bottom w:val="single" w:color="auto" w:sz="4" w:space="0"/>
              <w:right w:val="single" w:color="auto" w:sz="4" w:space="0"/>
            </w:tcBorders>
            <w:noWrap/>
            <w:vAlign w:val="bottom"/>
          </w:tcPr>
          <w:p w14:paraId="69B1F56A">
            <w:pPr>
              <w:jc w:val="right"/>
              <w:rPr>
                <w:rFonts w:cs="Arial"/>
                <w:color w:val="000000"/>
                <w:sz w:val="20"/>
                <w:szCs w:val="20"/>
                <w:lang w:val="en-GB"/>
              </w:rPr>
            </w:pPr>
            <w:r>
              <w:rPr>
                <w:rFonts w:cs="Arial"/>
                <w:color w:val="000000"/>
                <w:sz w:val="20"/>
                <w:szCs w:val="20"/>
                <w:lang w:val="en-GB"/>
              </w:rPr>
              <w:t>800</w:t>
            </w:r>
          </w:p>
        </w:tc>
        <w:tc>
          <w:tcPr>
            <w:tcW w:w="516" w:type="pct"/>
            <w:tcBorders>
              <w:top w:val="nil"/>
              <w:left w:val="nil"/>
              <w:bottom w:val="single" w:color="auto" w:sz="4" w:space="0"/>
              <w:right w:val="single" w:color="auto" w:sz="4" w:space="0"/>
            </w:tcBorders>
            <w:noWrap/>
            <w:vAlign w:val="bottom"/>
          </w:tcPr>
          <w:p w14:paraId="6B20DACB">
            <w:pPr>
              <w:jc w:val="right"/>
              <w:rPr>
                <w:rFonts w:cs="Arial"/>
                <w:color w:val="000000"/>
                <w:sz w:val="20"/>
                <w:szCs w:val="20"/>
                <w:lang w:val="en-GB"/>
              </w:rPr>
            </w:pPr>
            <w:r>
              <w:rPr>
                <w:rFonts w:cs="Arial"/>
                <w:color w:val="000000"/>
                <w:sz w:val="20"/>
                <w:szCs w:val="20"/>
                <w:lang w:val="en-GB"/>
              </w:rPr>
              <w:t>1,209</w:t>
            </w:r>
          </w:p>
        </w:tc>
        <w:tc>
          <w:tcPr>
            <w:tcW w:w="516" w:type="pct"/>
            <w:tcBorders>
              <w:top w:val="nil"/>
              <w:left w:val="nil"/>
              <w:bottom w:val="single" w:color="auto" w:sz="4" w:space="0"/>
              <w:right w:val="single" w:color="auto" w:sz="4" w:space="0"/>
            </w:tcBorders>
            <w:noWrap/>
            <w:vAlign w:val="bottom"/>
          </w:tcPr>
          <w:p w14:paraId="66767E2D">
            <w:pPr>
              <w:jc w:val="right"/>
              <w:rPr>
                <w:rFonts w:cs="Arial"/>
                <w:color w:val="000000"/>
                <w:sz w:val="20"/>
                <w:szCs w:val="20"/>
                <w:lang w:val="en-GB"/>
              </w:rPr>
            </w:pPr>
            <w:r>
              <w:rPr>
                <w:rFonts w:cs="Arial"/>
                <w:color w:val="000000"/>
                <w:sz w:val="20"/>
                <w:szCs w:val="20"/>
                <w:lang w:val="en-GB"/>
              </w:rPr>
              <w:t>1,427</w:t>
            </w:r>
          </w:p>
        </w:tc>
      </w:tr>
      <w:tr w14:paraId="28FE7903">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4E4375E5">
            <w:pPr>
              <w:jc w:val="left"/>
              <w:rPr>
                <w:rFonts w:cs="Arial"/>
                <w:color w:val="000000"/>
                <w:sz w:val="20"/>
                <w:szCs w:val="20"/>
                <w:lang w:val="en-GB"/>
              </w:rPr>
            </w:pPr>
            <w:r>
              <w:rPr>
                <w:rFonts w:cs="Arial"/>
                <w:color w:val="000000"/>
                <w:sz w:val="20"/>
                <w:szCs w:val="20"/>
                <w:lang w:val="en-GB"/>
              </w:rPr>
              <w:t xml:space="preserve">Accounts Receivable </w:t>
            </w:r>
          </w:p>
        </w:tc>
        <w:tc>
          <w:tcPr>
            <w:tcW w:w="1722" w:type="pct"/>
            <w:tcBorders>
              <w:top w:val="nil"/>
              <w:left w:val="nil"/>
              <w:bottom w:val="single" w:color="auto" w:sz="4" w:space="0"/>
              <w:right w:val="single" w:color="auto" w:sz="4" w:space="0"/>
            </w:tcBorders>
            <w:noWrap/>
            <w:vAlign w:val="bottom"/>
          </w:tcPr>
          <w:p w14:paraId="0D0EBD6B">
            <w:pPr>
              <w:jc w:val="left"/>
              <w:rPr>
                <w:rFonts w:cs="Arial"/>
                <w:color w:val="000000"/>
                <w:sz w:val="20"/>
                <w:szCs w:val="20"/>
                <w:lang w:val="en-GB"/>
              </w:rPr>
            </w:pPr>
            <w:r>
              <w:rPr>
                <w:rFonts w:cs="Arial"/>
                <w:color w:val="000000"/>
                <w:sz w:val="20"/>
                <w:szCs w:val="20"/>
                <w:lang w:val="en-GB"/>
              </w:rPr>
              <w:t> </w:t>
            </w:r>
          </w:p>
        </w:tc>
        <w:tc>
          <w:tcPr>
            <w:tcW w:w="517" w:type="pct"/>
            <w:tcBorders>
              <w:top w:val="nil"/>
              <w:left w:val="nil"/>
              <w:bottom w:val="single" w:color="auto" w:sz="4" w:space="0"/>
              <w:right w:val="single" w:color="auto" w:sz="4" w:space="0"/>
            </w:tcBorders>
            <w:noWrap/>
            <w:vAlign w:val="bottom"/>
          </w:tcPr>
          <w:p w14:paraId="09856294">
            <w:pPr>
              <w:jc w:val="right"/>
              <w:rPr>
                <w:rFonts w:cs="Arial"/>
                <w:color w:val="000000"/>
                <w:sz w:val="20"/>
                <w:szCs w:val="20"/>
                <w:lang w:val="en-GB"/>
              </w:rPr>
            </w:pPr>
            <w:r>
              <w:rPr>
                <w:rFonts w:cs="Arial"/>
                <w:color w:val="000000"/>
                <w:sz w:val="20"/>
                <w:szCs w:val="20"/>
                <w:lang w:val="en-GB"/>
              </w:rPr>
              <w:t>1,690</w:t>
            </w:r>
          </w:p>
        </w:tc>
        <w:tc>
          <w:tcPr>
            <w:tcW w:w="516" w:type="pct"/>
            <w:tcBorders>
              <w:top w:val="nil"/>
              <w:left w:val="nil"/>
              <w:bottom w:val="single" w:color="auto" w:sz="4" w:space="0"/>
              <w:right w:val="single" w:color="auto" w:sz="4" w:space="0"/>
            </w:tcBorders>
            <w:noWrap/>
            <w:vAlign w:val="bottom"/>
          </w:tcPr>
          <w:p w14:paraId="5D237DCA">
            <w:pPr>
              <w:jc w:val="right"/>
              <w:rPr>
                <w:rFonts w:cs="Arial"/>
                <w:color w:val="000000"/>
                <w:sz w:val="20"/>
                <w:szCs w:val="20"/>
                <w:lang w:val="en-GB"/>
              </w:rPr>
            </w:pPr>
            <w:r>
              <w:rPr>
                <w:rFonts w:cs="Arial"/>
                <w:color w:val="000000"/>
                <w:sz w:val="20"/>
                <w:szCs w:val="20"/>
                <w:lang w:val="en-GB"/>
              </w:rPr>
              <w:t>1,583</w:t>
            </w:r>
          </w:p>
        </w:tc>
        <w:tc>
          <w:tcPr>
            <w:tcW w:w="516" w:type="pct"/>
            <w:tcBorders>
              <w:top w:val="nil"/>
              <w:left w:val="nil"/>
              <w:bottom w:val="single" w:color="auto" w:sz="4" w:space="0"/>
              <w:right w:val="single" w:color="auto" w:sz="4" w:space="0"/>
            </w:tcBorders>
            <w:noWrap/>
            <w:vAlign w:val="bottom"/>
          </w:tcPr>
          <w:p w14:paraId="359D86CD">
            <w:pPr>
              <w:jc w:val="right"/>
              <w:rPr>
                <w:rFonts w:cs="Arial"/>
                <w:color w:val="000000"/>
                <w:sz w:val="20"/>
                <w:szCs w:val="20"/>
                <w:lang w:val="en-GB"/>
              </w:rPr>
            </w:pPr>
            <w:r>
              <w:rPr>
                <w:rFonts w:cs="Arial"/>
                <w:color w:val="000000"/>
                <w:sz w:val="20"/>
                <w:szCs w:val="20"/>
                <w:lang w:val="en-GB"/>
              </w:rPr>
              <w:t>1,487</w:t>
            </w:r>
          </w:p>
        </w:tc>
        <w:tc>
          <w:tcPr>
            <w:tcW w:w="516" w:type="pct"/>
            <w:tcBorders>
              <w:top w:val="nil"/>
              <w:left w:val="nil"/>
              <w:bottom w:val="single" w:color="auto" w:sz="4" w:space="0"/>
              <w:right w:val="single" w:color="auto" w:sz="4" w:space="0"/>
            </w:tcBorders>
            <w:noWrap/>
            <w:vAlign w:val="bottom"/>
          </w:tcPr>
          <w:p w14:paraId="774926D5">
            <w:pPr>
              <w:jc w:val="right"/>
              <w:rPr>
                <w:rFonts w:cs="Arial"/>
                <w:color w:val="000000"/>
                <w:sz w:val="20"/>
                <w:szCs w:val="20"/>
                <w:lang w:val="en-GB"/>
              </w:rPr>
            </w:pPr>
            <w:r>
              <w:rPr>
                <w:rFonts w:cs="Arial"/>
                <w:color w:val="000000"/>
                <w:sz w:val="20"/>
                <w:szCs w:val="20"/>
                <w:lang w:val="en-GB"/>
              </w:rPr>
              <w:t>1,327</w:t>
            </w:r>
          </w:p>
        </w:tc>
        <w:tc>
          <w:tcPr>
            <w:tcW w:w="516" w:type="pct"/>
            <w:tcBorders>
              <w:top w:val="nil"/>
              <w:left w:val="nil"/>
              <w:bottom w:val="single" w:color="auto" w:sz="4" w:space="0"/>
              <w:right w:val="single" w:color="auto" w:sz="4" w:space="0"/>
            </w:tcBorders>
            <w:noWrap/>
            <w:vAlign w:val="bottom"/>
          </w:tcPr>
          <w:p w14:paraId="4C63BAB4">
            <w:pPr>
              <w:jc w:val="right"/>
              <w:rPr>
                <w:rFonts w:cs="Arial"/>
                <w:color w:val="000000"/>
                <w:sz w:val="20"/>
                <w:szCs w:val="20"/>
                <w:lang w:val="en-GB"/>
              </w:rPr>
            </w:pPr>
            <w:r>
              <w:rPr>
                <w:rFonts w:cs="Arial"/>
                <w:color w:val="000000"/>
                <w:sz w:val="20"/>
                <w:szCs w:val="20"/>
                <w:lang w:val="en-GB"/>
              </w:rPr>
              <w:t>1,068</w:t>
            </w:r>
          </w:p>
        </w:tc>
      </w:tr>
      <w:tr w14:paraId="550E815C">
        <w:tblPrEx>
          <w:tblCellMar>
            <w:top w:w="0" w:type="dxa"/>
            <w:left w:w="108" w:type="dxa"/>
            <w:bottom w:w="0" w:type="dxa"/>
            <w:right w:w="108" w:type="dxa"/>
          </w:tblCellMar>
        </w:tblPrEx>
        <w:trPr>
          <w:trHeight w:val="315" w:hRule="atLeast"/>
          <w:jc w:val="center"/>
        </w:trPr>
        <w:tc>
          <w:tcPr>
            <w:tcW w:w="697" w:type="pct"/>
            <w:tcBorders>
              <w:top w:val="nil"/>
              <w:left w:val="single" w:color="auto" w:sz="4" w:space="0"/>
              <w:bottom w:val="single" w:color="auto" w:sz="4" w:space="0"/>
              <w:right w:val="single" w:color="auto" w:sz="4" w:space="0"/>
            </w:tcBorders>
            <w:noWrap/>
            <w:vAlign w:val="bottom"/>
          </w:tcPr>
          <w:p w14:paraId="457537F7">
            <w:pPr>
              <w:jc w:val="left"/>
              <w:rPr>
                <w:rFonts w:cs="Arial"/>
                <w:color w:val="000000"/>
                <w:sz w:val="20"/>
                <w:szCs w:val="20"/>
                <w:lang w:val="en-GB"/>
              </w:rPr>
            </w:pPr>
            <w:r>
              <w:rPr>
                <w:rFonts w:cs="Arial"/>
                <w:color w:val="000000"/>
                <w:sz w:val="20"/>
                <w:szCs w:val="20"/>
                <w:lang w:val="en-GB"/>
              </w:rPr>
              <w:t>Current Liabilities</w:t>
            </w:r>
          </w:p>
        </w:tc>
        <w:tc>
          <w:tcPr>
            <w:tcW w:w="1722" w:type="pct"/>
            <w:tcBorders>
              <w:top w:val="nil"/>
              <w:left w:val="nil"/>
              <w:bottom w:val="single" w:color="auto" w:sz="4" w:space="0"/>
              <w:right w:val="single" w:color="auto" w:sz="4" w:space="0"/>
            </w:tcBorders>
            <w:noWrap/>
            <w:vAlign w:val="bottom"/>
          </w:tcPr>
          <w:p w14:paraId="3CF0CA55">
            <w:pPr>
              <w:jc w:val="left"/>
              <w:rPr>
                <w:rFonts w:cs="Arial"/>
                <w:color w:val="000000"/>
                <w:sz w:val="20"/>
                <w:szCs w:val="20"/>
                <w:lang w:val="en-GB"/>
              </w:rPr>
            </w:pPr>
            <w:r>
              <w:rPr>
                <w:rFonts w:cs="Arial"/>
                <w:color w:val="000000"/>
                <w:sz w:val="20"/>
                <w:szCs w:val="20"/>
                <w:lang w:val="en-GB"/>
              </w:rPr>
              <w:t> </w:t>
            </w:r>
          </w:p>
        </w:tc>
        <w:tc>
          <w:tcPr>
            <w:tcW w:w="517" w:type="pct"/>
            <w:tcBorders>
              <w:top w:val="nil"/>
              <w:left w:val="nil"/>
              <w:bottom w:val="single" w:color="auto" w:sz="4" w:space="0"/>
              <w:right w:val="single" w:color="auto" w:sz="4" w:space="0"/>
            </w:tcBorders>
            <w:noWrap/>
            <w:vAlign w:val="bottom"/>
          </w:tcPr>
          <w:p w14:paraId="7C8F0348">
            <w:pPr>
              <w:jc w:val="right"/>
              <w:rPr>
                <w:rFonts w:cs="Arial"/>
                <w:color w:val="000000"/>
                <w:sz w:val="20"/>
                <w:szCs w:val="20"/>
                <w:lang w:val="en-GB"/>
              </w:rPr>
            </w:pPr>
            <w:r>
              <w:rPr>
                <w:rFonts w:cs="Arial"/>
                <w:color w:val="000000"/>
                <w:sz w:val="20"/>
                <w:szCs w:val="20"/>
                <w:lang w:val="en-GB"/>
              </w:rPr>
              <w:t>4,508</w:t>
            </w:r>
          </w:p>
        </w:tc>
        <w:tc>
          <w:tcPr>
            <w:tcW w:w="516" w:type="pct"/>
            <w:tcBorders>
              <w:top w:val="nil"/>
              <w:left w:val="nil"/>
              <w:bottom w:val="single" w:color="auto" w:sz="4" w:space="0"/>
              <w:right w:val="single" w:color="auto" w:sz="4" w:space="0"/>
            </w:tcBorders>
            <w:noWrap/>
            <w:vAlign w:val="bottom"/>
          </w:tcPr>
          <w:p w14:paraId="157DCA49">
            <w:pPr>
              <w:jc w:val="right"/>
              <w:rPr>
                <w:rFonts w:cs="Arial"/>
                <w:color w:val="000000"/>
                <w:sz w:val="20"/>
                <w:szCs w:val="20"/>
                <w:lang w:val="en-GB"/>
              </w:rPr>
            </w:pPr>
            <w:r>
              <w:rPr>
                <w:rFonts w:cs="Arial"/>
                <w:color w:val="000000"/>
                <w:sz w:val="20"/>
                <w:szCs w:val="20"/>
                <w:lang w:val="en-GB"/>
              </w:rPr>
              <w:t>4,700</w:t>
            </w:r>
          </w:p>
        </w:tc>
        <w:tc>
          <w:tcPr>
            <w:tcW w:w="516" w:type="pct"/>
            <w:tcBorders>
              <w:top w:val="nil"/>
              <w:left w:val="nil"/>
              <w:bottom w:val="single" w:color="auto" w:sz="4" w:space="0"/>
              <w:right w:val="single" w:color="auto" w:sz="4" w:space="0"/>
            </w:tcBorders>
            <w:noWrap/>
            <w:vAlign w:val="bottom"/>
          </w:tcPr>
          <w:p w14:paraId="15C60001">
            <w:pPr>
              <w:jc w:val="right"/>
              <w:rPr>
                <w:rFonts w:cs="Arial"/>
                <w:color w:val="000000"/>
                <w:sz w:val="20"/>
                <w:szCs w:val="20"/>
                <w:lang w:val="en-GB"/>
              </w:rPr>
            </w:pPr>
            <w:r>
              <w:rPr>
                <w:rFonts w:cs="Arial"/>
                <w:color w:val="000000"/>
                <w:sz w:val="20"/>
                <w:szCs w:val="20"/>
                <w:lang w:val="en-GB"/>
              </w:rPr>
              <w:t>3,722</w:t>
            </w:r>
          </w:p>
        </w:tc>
        <w:tc>
          <w:tcPr>
            <w:tcW w:w="516" w:type="pct"/>
            <w:tcBorders>
              <w:top w:val="nil"/>
              <w:left w:val="nil"/>
              <w:bottom w:val="single" w:color="auto" w:sz="4" w:space="0"/>
              <w:right w:val="single" w:color="auto" w:sz="4" w:space="0"/>
            </w:tcBorders>
            <w:noWrap/>
            <w:vAlign w:val="bottom"/>
          </w:tcPr>
          <w:p w14:paraId="67FAE3A7">
            <w:pPr>
              <w:jc w:val="right"/>
              <w:rPr>
                <w:rFonts w:cs="Arial"/>
                <w:color w:val="000000"/>
                <w:sz w:val="20"/>
                <w:szCs w:val="20"/>
                <w:lang w:val="en-GB"/>
              </w:rPr>
            </w:pPr>
            <w:r>
              <w:rPr>
                <w:rFonts w:cs="Arial"/>
                <w:color w:val="000000"/>
                <w:sz w:val="20"/>
                <w:szCs w:val="20"/>
                <w:lang w:val="en-GB"/>
              </w:rPr>
              <w:t>3,372</w:t>
            </w:r>
          </w:p>
        </w:tc>
        <w:tc>
          <w:tcPr>
            <w:tcW w:w="516" w:type="pct"/>
            <w:tcBorders>
              <w:top w:val="nil"/>
              <w:left w:val="nil"/>
              <w:bottom w:val="single" w:color="auto" w:sz="4" w:space="0"/>
              <w:right w:val="single" w:color="auto" w:sz="4" w:space="0"/>
            </w:tcBorders>
            <w:noWrap/>
            <w:vAlign w:val="bottom"/>
          </w:tcPr>
          <w:p w14:paraId="1EFC6DD7">
            <w:pPr>
              <w:jc w:val="right"/>
              <w:rPr>
                <w:rFonts w:cs="Arial"/>
                <w:color w:val="000000"/>
                <w:sz w:val="20"/>
                <w:szCs w:val="20"/>
                <w:lang w:val="en-GB"/>
              </w:rPr>
            </w:pPr>
            <w:r>
              <w:rPr>
                <w:rFonts w:cs="Arial"/>
                <w:color w:val="000000"/>
                <w:sz w:val="20"/>
                <w:szCs w:val="20"/>
                <w:lang w:val="en-GB"/>
              </w:rPr>
              <w:t>3,019</w:t>
            </w:r>
          </w:p>
        </w:tc>
      </w:tr>
    </w:tbl>
    <w:p w14:paraId="1D73E5EC">
      <w:pPr>
        <w:jc w:val="center"/>
        <w:rPr>
          <w:rFonts w:cs="Arial"/>
          <w:lang w:val="en-GB"/>
        </w:rPr>
      </w:pPr>
      <w:r>
        <w:rPr>
          <w:rFonts w:cs="Arial"/>
          <w:lang w:val="en-GB"/>
        </w:rPr>
        <w:t>(Source: Hilton Annual report)</w:t>
      </w:r>
    </w:p>
    <w:tbl>
      <w:tblPr>
        <w:tblStyle w:val="9"/>
        <w:tblW w:w="5000" w:type="pct"/>
        <w:jc w:val="center"/>
        <w:tblLayout w:type="autofit"/>
        <w:tblCellMar>
          <w:top w:w="0" w:type="dxa"/>
          <w:left w:w="108" w:type="dxa"/>
          <w:bottom w:w="0" w:type="dxa"/>
          <w:right w:w="108" w:type="dxa"/>
        </w:tblCellMar>
      </w:tblPr>
      <w:tblGrid>
        <w:gridCol w:w="2084"/>
        <w:gridCol w:w="2072"/>
        <w:gridCol w:w="1084"/>
        <w:gridCol w:w="1084"/>
        <w:gridCol w:w="1084"/>
        <w:gridCol w:w="1084"/>
        <w:gridCol w:w="1084"/>
      </w:tblGrid>
      <w:tr w14:paraId="4E8931A7">
        <w:tblPrEx>
          <w:tblCellMar>
            <w:top w:w="0" w:type="dxa"/>
            <w:left w:w="108" w:type="dxa"/>
            <w:bottom w:w="0" w:type="dxa"/>
            <w:right w:w="108" w:type="dxa"/>
          </w:tblCellMar>
        </w:tblPrEx>
        <w:trPr>
          <w:trHeight w:val="270"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000000" w:fill="8EA9DB"/>
            <w:noWrap/>
            <w:vAlign w:val="bottom"/>
          </w:tcPr>
          <w:p w14:paraId="3B873F03">
            <w:pPr>
              <w:jc w:val="center"/>
              <w:rPr>
                <w:rFonts w:cs="Arial"/>
                <w:b/>
                <w:bCs/>
                <w:color w:val="000000"/>
                <w:sz w:val="20"/>
                <w:szCs w:val="20"/>
                <w:lang w:val="en-GB"/>
              </w:rPr>
            </w:pPr>
            <w:r>
              <w:rPr>
                <w:rFonts w:cs="Arial"/>
                <w:b/>
                <w:bCs/>
                <w:color w:val="000000"/>
                <w:sz w:val="20"/>
                <w:szCs w:val="20"/>
                <w:lang w:val="en-GB"/>
              </w:rPr>
              <w:t>Efficiency Ratio Analysis</w:t>
            </w:r>
          </w:p>
        </w:tc>
      </w:tr>
      <w:tr w14:paraId="79799333">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0042AC2A">
            <w:pPr>
              <w:jc w:val="left"/>
              <w:rPr>
                <w:rFonts w:cs="Arial"/>
                <w:b/>
                <w:bCs/>
                <w:i/>
                <w:iCs/>
                <w:color w:val="000000"/>
                <w:sz w:val="20"/>
                <w:szCs w:val="20"/>
                <w:lang w:val="en-GB"/>
              </w:rPr>
            </w:pPr>
            <w:r>
              <w:rPr>
                <w:rFonts w:cs="Arial"/>
                <w:b/>
                <w:bCs/>
                <w:i/>
                <w:iCs/>
                <w:color w:val="000000"/>
                <w:sz w:val="20"/>
                <w:szCs w:val="20"/>
                <w:lang w:val="en-GB"/>
              </w:rPr>
              <w:t>Ratios</w:t>
            </w:r>
          </w:p>
        </w:tc>
        <w:tc>
          <w:tcPr>
            <w:tcW w:w="1066" w:type="pct"/>
            <w:tcBorders>
              <w:top w:val="nil"/>
              <w:left w:val="nil"/>
              <w:bottom w:val="single" w:color="auto" w:sz="4" w:space="0"/>
              <w:right w:val="single" w:color="auto" w:sz="4" w:space="0"/>
            </w:tcBorders>
            <w:noWrap/>
            <w:vAlign w:val="bottom"/>
          </w:tcPr>
          <w:p w14:paraId="18D3683B">
            <w:pPr>
              <w:jc w:val="left"/>
              <w:rPr>
                <w:rFonts w:cs="Arial"/>
                <w:b/>
                <w:bCs/>
                <w:i/>
                <w:iCs/>
                <w:color w:val="000000"/>
                <w:sz w:val="20"/>
                <w:szCs w:val="20"/>
                <w:lang w:val="en-GB"/>
              </w:rPr>
            </w:pPr>
            <w:r>
              <w:rPr>
                <w:rFonts w:cs="Arial"/>
                <w:b/>
                <w:bCs/>
                <w:i/>
                <w:iCs/>
                <w:color w:val="000000"/>
                <w:sz w:val="20"/>
                <w:szCs w:val="20"/>
                <w:lang w:val="en-GB"/>
              </w:rPr>
              <w:t>Formula</w:t>
            </w:r>
          </w:p>
        </w:tc>
        <w:tc>
          <w:tcPr>
            <w:tcW w:w="574" w:type="pct"/>
            <w:tcBorders>
              <w:top w:val="nil"/>
              <w:left w:val="nil"/>
              <w:bottom w:val="single" w:color="auto" w:sz="4" w:space="0"/>
              <w:right w:val="single" w:color="auto" w:sz="4" w:space="0"/>
            </w:tcBorders>
            <w:noWrap/>
            <w:vAlign w:val="bottom"/>
          </w:tcPr>
          <w:p w14:paraId="01524FEB">
            <w:pPr>
              <w:jc w:val="left"/>
              <w:rPr>
                <w:rFonts w:cs="Arial"/>
                <w:b/>
                <w:bCs/>
                <w:i/>
                <w:iCs/>
                <w:color w:val="000000"/>
                <w:sz w:val="20"/>
                <w:szCs w:val="20"/>
                <w:lang w:val="en-GB"/>
              </w:rPr>
            </w:pPr>
            <w:r>
              <w:rPr>
                <w:rFonts w:cs="Arial"/>
                <w:b/>
                <w:bCs/>
                <w:i/>
                <w:iCs/>
                <w:color w:val="000000"/>
                <w:sz w:val="20"/>
                <w:szCs w:val="20"/>
                <w:lang w:val="en-GB"/>
              </w:rPr>
              <w:t>2025 ($, millions)</w:t>
            </w:r>
          </w:p>
        </w:tc>
        <w:tc>
          <w:tcPr>
            <w:tcW w:w="574" w:type="pct"/>
            <w:tcBorders>
              <w:top w:val="nil"/>
              <w:left w:val="nil"/>
              <w:bottom w:val="single" w:color="auto" w:sz="4" w:space="0"/>
              <w:right w:val="single" w:color="auto" w:sz="4" w:space="0"/>
            </w:tcBorders>
            <w:noWrap/>
            <w:vAlign w:val="bottom"/>
          </w:tcPr>
          <w:p w14:paraId="4DD099DB">
            <w:pPr>
              <w:jc w:val="left"/>
              <w:rPr>
                <w:rFonts w:cs="Arial"/>
                <w:b/>
                <w:bCs/>
                <w:i/>
                <w:iCs/>
                <w:color w:val="000000"/>
                <w:sz w:val="20"/>
                <w:szCs w:val="20"/>
                <w:lang w:val="en-GB"/>
              </w:rPr>
            </w:pPr>
            <w:r>
              <w:rPr>
                <w:rFonts w:cs="Arial"/>
                <w:b/>
                <w:bCs/>
                <w:i/>
                <w:iCs/>
                <w:color w:val="000000"/>
                <w:sz w:val="20"/>
                <w:szCs w:val="20"/>
                <w:lang w:val="en-GB"/>
              </w:rPr>
              <w:t>2024 ($, millions)</w:t>
            </w:r>
          </w:p>
        </w:tc>
        <w:tc>
          <w:tcPr>
            <w:tcW w:w="574" w:type="pct"/>
            <w:tcBorders>
              <w:top w:val="nil"/>
              <w:left w:val="nil"/>
              <w:bottom w:val="single" w:color="auto" w:sz="4" w:space="0"/>
              <w:right w:val="single" w:color="auto" w:sz="4" w:space="0"/>
            </w:tcBorders>
            <w:noWrap/>
            <w:vAlign w:val="bottom"/>
          </w:tcPr>
          <w:p w14:paraId="56AB4E64">
            <w:pPr>
              <w:jc w:val="left"/>
              <w:rPr>
                <w:rFonts w:cs="Arial"/>
                <w:b/>
                <w:bCs/>
                <w:i/>
                <w:iCs/>
                <w:color w:val="000000"/>
                <w:sz w:val="20"/>
                <w:szCs w:val="20"/>
                <w:lang w:val="en-GB"/>
              </w:rPr>
            </w:pPr>
            <w:r>
              <w:rPr>
                <w:rFonts w:cs="Arial"/>
                <w:b/>
                <w:bCs/>
                <w:i/>
                <w:iCs/>
                <w:color w:val="000000"/>
                <w:sz w:val="20"/>
                <w:szCs w:val="20"/>
                <w:lang w:val="en-GB"/>
              </w:rPr>
              <w:t>2023 ($, millions)</w:t>
            </w:r>
          </w:p>
        </w:tc>
        <w:tc>
          <w:tcPr>
            <w:tcW w:w="574" w:type="pct"/>
            <w:tcBorders>
              <w:top w:val="nil"/>
              <w:left w:val="nil"/>
              <w:bottom w:val="single" w:color="auto" w:sz="4" w:space="0"/>
              <w:right w:val="single" w:color="auto" w:sz="4" w:space="0"/>
            </w:tcBorders>
            <w:noWrap/>
            <w:vAlign w:val="bottom"/>
          </w:tcPr>
          <w:p w14:paraId="04EB3610">
            <w:pPr>
              <w:jc w:val="left"/>
              <w:rPr>
                <w:rFonts w:cs="Arial"/>
                <w:b/>
                <w:bCs/>
                <w:i/>
                <w:iCs/>
                <w:color w:val="000000"/>
                <w:sz w:val="20"/>
                <w:szCs w:val="20"/>
                <w:lang w:val="en-GB"/>
              </w:rPr>
            </w:pPr>
            <w:r>
              <w:rPr>
                <w:rFonts w:cs="Arial"/>
                <w:b/>
                <w:bCs/>
                <w:i/>
                <w:iCs/>
                <w:color w:val="000000"/>
                <w:sz w:val="20"/>
                <w:szCs w:val="20"/>
                <w:lang w:val="en-GB"/>
              </w:rPr>
              <w:t>2022 ($, millions)</w:t>
            </w:r>
          </w:p>
        </w:tc>
        <w:tc>
          <w:tcPr>
            <w:tcW w:w="574" w:type="pct"/>
            <w:tcBorders>
              <w:top w:val="nil"/>
              <w:left w:val="nil"/>
              <w:bottom w:val="single" w:color="auto" w:sz="4" w:space="0"/>
              <w:right w:val="single" w:color="auto" w:sz="4" w:space="0"/>
            </w:tcBorders>
            <w:noWrap/>
            <w:vAlign w:val="bottom"/>
          </w:tcPr>
          <w:p w14:paraId="4E85AE39">
            <w:pPr>
              <w:jc w:val="left"/>
              <w:rPr>
                <w:rFonts w:cs="Arial"/>
                <w:b/>
                <w:bCs/>
                <w:i/>
                <w:iCs/>
                <w:color w:val="000000"/>
                <w:sz w:val="20"/>
                <w:szCs w:val="20"/>
                <w:lang w:val="en-GB"/>
              </w:rPr>
            </w:pPr>
            <w:r>
              <w:rPr>
                <w:rFonts w:cs="Arial"/>
                <w:b/>
                <w:bCs/>
                <w:i/>
                <w:iCs/>
                <w:color w:val="000000"/>
                <w:sz w:val="20"/>
                <w:szCs w:val="20"/>
                <w:lang w:val="en-GB"/>
              </w:rPr>
              <w:t>2021 ($, millions)</w:t>
            </w:r>
          </w:p>
        </w:tc>
      </w:tr>
      <w:tr w14:paraId="490729C9">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48110B34">
            <w:pPr>
              <w:jc w:val="left"/>
              <w:rPr>
                <w:rFonts w:cs="Arial"/>
                <w:b/>
                <w:bCs/>
                <w:i/>
                <w:iCs/>
                <w:color w:val="000000"/>
                <w:sz w:val="20"/>
                <w:szCs w:val="20"/>
                <w:lang w:val="en-GB"/>
              </w:rPr>
            </w:pPr>
            <w:r>
              <w:rPr>
                <w:rFonts w:cs="Arial"/>
                <w:b/>
                <w:bCs/>
                <w:i/>
                <w:iCs/>
                <w:color w:val="000000"/>
                <w:sz w:val="20"/>
                <w:szCs w:val="20"/>
                <w:lang w:val="en-GB"/>
              </w:rPr>
              <w:t>Total Asset Turnover</w:t>
            </w:r>
          </w:p>
        </w:tc>
        <w:tc>
          <w:tcPr>
            <w:tcW w:w="1066" w:type="pct"/>
            <w:tcBorders>
              <w:top w:val="nil"/>
              <w:left w:val="nil"/>
              <w:bottom w:val="single" w:color="auto" w:sz="4" w:space="0"/>
              <w:right w:val="single" w:color="auto" w:sz="4" w:space="0"/>
            </w:tcBorders>
            <w:noWrap/>
            <w:vAlign w:val="bottom"/>
          </w:tcPr>
          <w:p w14:paraId="50E7B783">
            <w:pPr>
              <w:jc w:val="left"/>
              <w:rPr>
                <w:rFonts w:cs="Arial"/>
                <w:b/>
                <w:bCs/>
                <w:i/>
                <w:iCs/>
                <w:color w:val="000000"/>
                <w:sz w:val="20"/>
                <w:szCs w:val="20"/>
                <w:lang w:val="en-GB"/>
              </w:rPr>
            </w:pPr>
            <w:r>
              <w:rPr>
                <w:rFonts w:cs="Arial"/>
                <w:b/>
                <w:bCs/>
                <w:i/>
                <w:iCs/>
                <w:color w:val="000000"/>
                <w:sz w:val="20"/>
                <w:szCs w:val="20"/>
                <w:lang w:val="en-GB"/>
              </w:rPr>
              <w:t>Net Sales/Total Assets</w:t>
            </w:r>
          </w:p>
        </w:tc>
        <w:tc>
          <w:tcPr>
            <w:tcW w:w="574" w:type="pct"/>
            <w:tcBorders>
              <w:top w:val="nil"/>
              <w:left w:val="nil"/>
              <w:bottom w:val="single" w:color="auto" w:sz="4" w:space="0"/>
              <w:right w:val="single" w:color="auto" w:sz="4" w:space="0"/>
            </w:tcBorders>
            <w:noWrap/>
            <w:vAlign w:val="bottom"/>
          </w:tcPr>
          <w:p w14:paraId="6477EC76">
            <w:pPr>
              <w:jc w:val="right"/>
              <w:rPr>
                <w:rFonts w:cs="Arial"/>
                <w:b/>
                <w:bCs/>
                <w:i/>
                <w:iCs/>
                <w:color w:val="000000"/>
                <w:sz w:val="20"/>
                <w:szCs w:val="20"/>
                <w:lang w:val="en-GB"/>
              </w:rPr>
            </w:pPr>
            <w:r>
              <w:rPr>
                <w:rFonts w:cs="Arial"/>
                <w:b/>
                <w:bCs/>
                <w:i/>
                <w:iCs/>
                <w:color w:val="000000"/>
                <w:sz w:val="20"/>
                <w:szCs w:val="20"/>
                <w:lang w:val="en-GB"/>
              </w:rPr>
              <w:t>0.72</w:t>
            </w:r>
          </w:p>
        </w:tc>
        <w:tc>
          <w:tcPr>
            <w:tcW w:w="574" w:type="pct"/>
            <w:tcBorders>
              <w:top w:val="nil"/>
              <w:left w:val="nil"/>
              <w:bottom w:val="single" w:color="auto" w:sz="4" w:space="0"/>
              <w:right w:val="single" w:color="auto" w:sz="4" w:space="0"/>
            </w:tcBorders>
            <w:noWrap/>
            <w:vAlign w:val="bottom"/>
          </w:tcPr>
          <w:p w14:paraId="67B75CD5">
            <w:pPr>
              <w:jc w:val="right"/>
              <w:rPr>
                <w:rFonts w:cs="Arial"/>
                <w:b/>
                <w:bCs/>
                <w:i/>
                <w:iCs/>
                <w:color w:val="000000"/>
                <w:sz w:val="20"/>
                <w:szCs w:val="20"/>
                <w:lang w:val="en-GB"/>
              </w:rPr>
            </w:pPr>
            <w:r>
              <w:rPr>
                <w:rFonts w:cs="Arial"/>
                <w:b/>
                <w:bCs/>
                <w:i/>
                <w:iCs/>
                <w:color w:val="000000"/>
                <w:sz w:val="20"/>
                <w:szCs w:val="20"/>
                <w:lang w:val="en-GB"/>
              </w:rPr>
              <w:t>0.68</w:t>
            </w:r>
          </w:p>
        </w:tc>
        <w:tc>
          <w:tcPr>
            <w:tcW w:w="574" w:type="pct"/>
            <w:tcBorders>
              <w:top w:val="nil"/>
              <w:left w:val="nil"/>
              <w:bottom w:val="single" w:color="auto" w:sz="4" w:space="0"/>
              <w:right w:val="single" w:color="auto" w:sz="4" w:space="0"/>
            </w:tcBorders>
            <w:noWrap/>
            <w:vAlign w:val="bottom"/>
          </w:tcPr>
          <w:p w14:paraId="00713BC9">
            <w:pPr>
              <w:jc w:val="right"/>
              <w:rPr>
                <w:rFonts w:cs="Arial"/>
                <w:b/>
                <w:bCs/>
                <w:i/>
                <w:iCs/>
                <w:color w:val="000000"/>
                <w:sz w:val="20"/>
                <w:szCs w:val="20"/>
                <w:lang w:val="en-GB"/>
              </w:rPr>
            </w:pPr>
            <w:r>
              <w:rPr>
                <w:rFonts w:cs="Arial"/>
                <w:b/>
                <w:bCs/>
                <w:i/>
                <w:iCs/>
                <w:color w:val="000000"/>
                <w:sz w:val="20"/>
                <w:szCs w:val="20"/>
                <w:lang w:val="en-GB"/>
              </w:rPr>
              <w:t>0.66</w:t>
            </w:r>
          </w:p>
        </w:tc>
        <w:tc>
          <w:tcPr>
            <w:tcW w:w="574" w:type="pct"/>
            <w:tcBorders>
              <w:top w:val="nil"/>
              <w:left w:val="nil"/>
              <w:bottom w:val="single" w:color="auto" w:sz="4" w:space="0"/>
              <w:right w:val="single" w:color="auto" w:sz="4" w:space="0"/>
            </w:tcBorders>
            <w:noWrap/>
            <w:vAlign w:val="bottom"/>
          </w:tcPr>
          <w:p w14:paraId="130F50C9">
            <w:pPr>
              <w:jc w:val="right"/>
              <w:rPr>
                <w:rFonts w:cs="Arial"/>
                <w:b/>
                <w:bCs/>
                <w:i/>
                <w:iCs/>
                <w:color w:val="000000"/>
                <w:sz w:val="20"/>
                <w:szCs w:val="20"/>
                <w:lang w:val="en-GB"/>
              </w:rPr>
            </w:pPr>
            <w:r>
              <w:rPr>
                <w:rFonts w:cs="Arial"/>
                <w:b/>
                <w:bCs/>
                <w:i/>
                <w:iCs/>
                <w:color w:val="000000"/>
                <w:sz w:val="20"/>
                <w:szCs w:val="20"/>
                <w:lang w:val="en-GB"/>
              </w:rPr>
              <w:t>0.57</w:t>
            </w:r>
          </w:p>
        </w:tc>
        <w:tc>
          <w:tcPr>
            <w:tcW w:w="574" w:type="pct"/>
            <w:tcBorders>
              <w:top w:val="nil"/>
              <w:left w:val="nil"/>
              <w:bottom w:val="single" w:color="auto" w:sz="4" w:space="0"/>
              <w:right w:val="single" w:color="auto" w:sz="4" w:space="0"/>
            </w:tcBorders>
            <w:noWrap/>
            <w:vAlign w:val="bottom"/>
          </w:tcPr>
          <w:p w14:paraId="4D9ADC6D">
            <w:pPr>
              <w:jc w:val="right"/>
              <w:rPr>
                <w:rFonts w:cs="Arial"/>
                <w:b/>
                <w:bCs/>
                <w:i/>
                <w:iCs/>
                <w:color w:val="000000"/>
                <w:sz w:val="20"/>
                <w:szCs w:val="20"/>
                <w:lang w:val="en-GB"/>
              </w:rPr>
            </w:pPr>
            <w:r>
              <w:rPr>
                <w:rFonts w:cs="Arial"/>
                <w:b/>
                <w:bCs/>
                <w:i/>
                <w:iCs/>
                <w:color w:val="000000"/>
                <w:sz w:val="20"/>
                <w:szCs w:val="20"/>
                <w:lang w:val="en-GB"/>
              </w:rPr>
              <w:t>0.37</w:t>
            </w:r>
          </w:p>
        </w:tc>
      </w:tr>
      <w:tr w14:paraId="13A2227B">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32DAE0A2">
            <w:pPr>
              <w:jc w:val="left"/>
              <w:rPr>
                <w:rFonts w:cs="Arial"/>
                <w:color w:val="000000"/>
                <w:sz w:val="20"/>
                <w:szCs w:val="20"/>
                <w:lang w:val="en-GB"/>
              </w:rPr>
            </w:pPr>
            <w:r>
              <w:rPr>
                <w:rFonts w:cs="Arial"/>
                <w:color w:val="000000"/>
                <w:sz w:val="20"/>
                <w:szCs w:val="20"/>
                <w:lang w:val="en-GB"/>
              </w:rPr>
              <w:t>Net Sales</w:t>
            </w:r>
          </w:p>
        </w:tc>
        <w:tc>
          <w:tcPr>
            <w:tcW w:w="1066" w:type="pct"/>
            <w:tcBorders>
              <w:top w:val="nil"/>
              <w:left w:val="nil"/>
              <w:bottom w:val="single" w:color="auto" w:sz="4" w:space="0"/>
              <w:right w:val="single" w:color="auto" w:sz="4" w:space="0"/>
            </w:tcBorders>
            <w:noWrap/>
            <w:vAlign w:val="bottom"/>
          </w:tcPr>
          <w:p w14:paraId="11E86DD0">
            <w:pPr>
              <w:jc w:val="left"/>
              <w:rPr>
                <w:rFonts w:cs="Arial"/>
                <w:color w:val="000000"/>
                <w:sz w:val="20"/>
                <w:szCs w:val="20"/>
                <w:lang w:val="en-GB"/>
              </w:rPr>
            </w:pPr>
            <w:r>
              <w:rPr>
                <w:rFonts w:cs="Arial"/>
                <w:color w:val="000000"/>
                <w:sz w:val="20"/>
                <w:szCs w:val="20"/>
                <w:lang w:val="en-GB"/>
              </w:rPr>
              <w:t> </w:t>
            </w:r>
          </w:p>
        </w:tc>
        <w:tc>
          <w:tcPr>
            <w:tcW w:w="574" w:type="pct"/>
            <w:tcBorders>
              <w:top w:val="nil"/>
              <w:left w:val="nil"/>
              <w:bottom w:val="single" w:color="auto" w:sz="4" w:space="0"/>
              <w:right w:val="single" w:color="auto" w:sz="4" w:space="0"/>
            </w:tcBorders>
            <w:noWrap/>
            <w:vAlign w:val="bottom"/>
          </w:tcPr>
          <w:p w14:paraId="1CC97891">
            <w:pPr>
              <w:jc w:val="right"/>
              <w:rPr>
                <w:rFonts w:cs="Arial"/>
                <w:color w:val="000000"/>
                <w:sz w:val="20"/>
                <w:szCs w:val="20"/>
                <w:lang w:val="en-GB"/>
              </w:rPr>
            </w:pPr>
            <w:r>
              <w:rPr>
                <w:rFonts w:cs="Arial"/>
                <w:color w:val="000000"/>
                <w:sz w:val="20"/>
                <w:szCs w:val="20"/>
                <w:lang w:val="en-GB"/>
              </w:rPr>
              <w:t>12,039</w:t>
            </w:r>
          </w:p>
        </w:tc>
        <w:tc>
          <w:tcPr>
            <w:tcW w:w="574" w:type="pct"/>
            <w:tcBorders>
              <w:top w:val="nil"/>
              <w:left w:val="nil"/>
              <w:bottom w:val="single" w:color="auto" w:sz="4" w:space="0"/>
              <w:right w:val="single" w:color="auto" w:sz="4" w:space="0"/>
            </w:tcBorders>
            <w:noWrap/>
            <w:vAlign w:val="bottom"/>
          </w:tcPr>
          <w:p w14:paraId="78230865">
            <w:pPr>
              <w:jc w:val="right"/>
              <w:rPr>
                <w:rFonts w:cs="Arial"/>
                <w:color w:val="000000"/>
                <w:sz w:val="20"/>
                <w:szCs w:val="20"/>
                <w:lang w:val="en-GB"/>
              </w:rPr>
            </w:pPr>
            <w:r>
              <w:rPr>
                <w:rFonts w:cs="Arial"/>
                <w:color w:val="000000"/>
                <w:sz w:val="20"/>
                <w:szCs w:val="20"/>
                <w:lang w:val="en-GB"/>
              </w:rPr>
              <w:t>11,174</w:t>
            </w:r>
          </w:p>
        </w:tc>
        <w:tc>
          <w:tcPr>
            <w:tcW w:w="574" w:type="pct"/>
            <w:tcBorders>
              <w:top w:val="nil"/>
              <w:left w:val="nil"/>
              <w:bottom w:val="single" w:color="auto" w:sz="4" w:space="0"/>
              <w:right w:val="single" w:color="auto" w:sz="4" w:space="0"/>
            </w:tcBorders>
            <w:noWrap/>
            <w:vAlign w:val="bottom"/>
          </w:tcPr>
          <w:p w14:paraId="730613F5">
            <w:pPr>
              <w:jc w:val="right"/>
              <w:rPr>
                <w:rFonts w:cs="Arial"/>
                <w:color w:val="000000"/>
                <w:sz w:val="20"/>
                <w:szCs w:val="20"/>
                <w:lang w:val="en-GB"/>
              </w:rPr>
            </w:pPr>
            <w:r>
              <w:rPr>
                <w:rFonts w:cs="Arial"/>
                <w:color w:val="000000"/>
                <w:sz w:val="20"/>
                <w:szCs w:val="20"/>
                <w:lang w:val="en-GB"/>
              </w:rPr>
              <w:t>10,235</w:t>
            </w:r>
          </w:p>
        </w:tc>
        <w:tc>
          <w:tcPr>
            <w:tcW w:w="574" w:type="pct"/>
            <w:tcBorders>
              <w:top w:val="nil"/>
              <w:left w:val="nil"/>
              <w:bottom w:val="single" w:color="auto" w:sz="4" w:space="0"/>
              <w:right w:val="single" w:color="auto" w:sz="4" w:space="0"/>
            </w:tcBorders>
            <w:noWrap/>
            <w:vAlign w:val="bottom"/>
          </w:tcPr>
          <w:p w14:paraId="4B389537">
            <w:pPr>
              <w:jc w:val="right"/>
              <w:rPr>
                <w:rFonts w:cs="Arial"/>
                <w:color w:val="000000"/>
                <w:sz w:val="20"/>
                <w:szCs w:val="20"/>
                <w:lang w:val="en-GB"/>
              </w:rPr>
            </w:pPr>
            <w:r>
              <w:rPr>
                <w:rFonts w:cs="Arial"/>
                <w:color w:val="000000"/>
                <w:sz w:val="20"/>
                <w:szCs w:val="20"/>
                <w:lang w:val="en-GB"/>
              </w:rPr>
              <w:t>8,773</w:t>
            </w:r>
          </w:p>
        </w:tc>
        <w:tc>
          <w:tcPr>
            <w:tcW w:w="574" w:type="pct"/>
            <w:tcBorders>
              <w:top w:val="nil"/>
              <w:left w:val="nil"/>
              <w:bottom w:val="single" w:color="auto" w:sz="4" w:space="0"/>
              <w:right w:val="single" w:color="auto" w:sz="4" w:space="0"/>
            </w:tcBorders>
            <w:noWrap/>
            <w:vAlign w:val="bottom"/>
          </w:tcPr>
          <w:p w14:paraId="54C13885">
            <w:pPr>
              <w:jc w:val="right"/>
              <w:rPr>
                <w:rFonts w:cs="Arial"/>
                <w:color w:val="000000"/>
                <w:sz w:val="20"/>
                <w:szCs w:val="20"/>
                <w:lang w:val="en-GB"/>
              </w:rPr>
            </w:pPr>
            <w:r>
              <w:rPr>
                <w:rFonts w:cs="Arial"/>
                <w:color w:val="000000"/>
                <w:sz w:val="20"/>
                <w:szCs w:val="20"/>
                <w:lang w:val="en-GB"/>
              </w:rPr>
              <w:t>5,788</w:t>
            </w:r>
          </w:p>
        </w:tc>
      </w:tr>
      <w:tr w14:paraId="0B4A9151">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4E118C32">
            <w:pPr>
              <w:jc w:val="left"/>
              <w:rPr>
                <w:rFonts w:cs="Arial"/>
                <w:color w:val="000000"/>
                <w:sz w:val="20"/>
                <w:szCs w:val="20"/>
                <w:lang w:val="en-GB"/>
              </w:rPr>
            </w:pPr>
            <w:r>
              <w:rPr>
                <w:rFonts w:cs="Arial"/>
                <w:color w:val="000000"/>
                <w:sz w:val="20"/>
                <w:szCs w:val="20"/>
                <w:lang w:val="en-GB"/>
              </w:rPr>
              <w:t>Total Assets</w:t>
            </w:r>
          </w:p>
        </w:tc>
        <w:tc>
          <w:tcPr>
            <w:tcW w:w="1066" w:type="pct"/>
            <w:tcBorders>
              <w:top w:val="nil"/>
              <w:left w:val="nil"/>
              <w:bottom w:val="single" w:color="auto" w:sz="4" w:space="0"/>
              <w:right w:val="single" w:color="auto" w:sz="4" w:space="0"/>
            </w:tcBorders>
            <w:noWrap/>
            <w:vAlign w:val="bottom"/>
          </w:tcPr>
          <w:p w14:paraId="123C26E5">
            <w:pPr>
              <w:jc w:val="left"/>
              <w:rPr>
                <w:rFonts w:cs="Arial"/>
                <w:color w:val="000000"/>
                <w:sz w:val="20"/>
                <w:szCs w:val="20"/>
                <w:lang w:val="en-GB"/>
              </w:rPr>
            </w:pPr>
            <w:r>
              <w:rPr>
                <w:rFonts w:cs="Arial"/>
                <w:color w:val="000000"/>
                <w:sz w:val="20"/>
                <w:szCs w:val="20"/>
                <w:lang w:val="en-GB"/>
              </w:rPr>
              <w:t> </w:t>
            </w:r>
          </w:p>
        </w:tc>
        <w:tc>
          <w:tcPr>
            <w:tcW w:w="574" w:type="pct"/>
            <w:tcBorders>
              <w:top w:val="nil"/>
              <w:left w:val="nil"/>
              <w:bottom w:val="single" w:color="auto" w:sz="4" w:space="0"/>
              <w:right w:val="single" w:color="auto" w:sz="4" w:space="0"/>
            </w:tcBorders>
            <w:noWrap/>
            <w:vAlign w:val="bottom"/>
          </w:tcPr>
          <w:p w14:paraId="28ACD2AB">
            <w:pPr>
              <w:jc w:val="right"/>
              <w:rPr>
                <w:rFonts w:cs="Arial"/>
                <w:color w:val="000000"/>
                <w:sz w:val="20"/>
                <w:szCs w:val="20"/>
                <w:lang w:val="en-GB"/>
              </w:rPr>
            </w:pPr>
            <w:r>
              <w:rPr>
                <w:rFonts w:cs="Arial"/>
                <w:color w:val="000000"/>
                <w:sz w:val="20"/>
                <w:szCs w:val="20"/>
                <w:lang w:val="en-GB"/>
              </w:rPr>
              <w:t>16,774</w:t>
            </w:r>
          </w:p>
        </w:tc>
        <w:tc>
          <w:tcPr>
            <w:tcW w:w="574" w:type="pct"/>
            <w:tcBorders>
              <w:top w:val="nil"/>
              <w:left w:val="nil"/>
              <w:bottom w:val="single" w:color="auto" w:sz="4" w:space="0"/>
              <w:right w:val="single" w:color="auto" w:sz="4" w:space="0"/>
            </w:tcBorders>
            <w:noWrap/>
            <w:vAlign w:val="bottom"/>
          </w:tcPr>
          <w:p w14:paraId="091ABBCC">
            <w:pPr>
              <w:jc w:val="right"/>
              <w:rPr>
                <w:rFonts w:cs="Arial"/>
                <w:color w:val="000000"/>
                <w:sz w:val="20"/>
                <w:szCs w:val="20"/>
                <w:lang w:val="en-GB"/>
              </w:rPr>
            </w:pPr>
            <w:r>
              <w:rPr>
                <w:rFonts w:cs="Arial"/>
                <w:color w:val="000000"/>
                <w:sz w:val="20"/>
                <w:szCs w:val="20"/>
                <w:lang w:val="en-GB"/>
              </w:rPr>
              <w:t>16,522</w:t>
            </w:r>
          </w:p>
        </w:tc>
        <w:tc>
          <w:tcPr>
            <w:tcW w:w="574" w:type="pct"/>
            <w:tcBorders>
              <w:top w:val="nil"/>
              <w:left w:val="nil"/>
              <w:bottom w:val="single" w:color="auto" w:sz="4" w:space="0"/>
              <w:right w:val="single" w:color="auto" w:sz="4" w:space="0"/>
            </w:tcBorders>
            <w:noWrap/>
            <w:vAlign w:val="bottom"/>
          </w:tcPr>
          <w:p w14:paraId="61A33422">
            <w:pPr>
              <w:jc w:val="right"/>
              <w:rPr>
                <w:rFonts w:cs="Arial"/>
                <w:color w:val="000000"/>
                <w:sz w:val="20"/>
                <w:szCs w:val="20"/>
                <w:lang w:val="en-GB"/>
              </w:rPr>
            </w:pPr>
            <w:r>
              <w:rPr>
                <w:rFonts w:cs="Arial"/>
                <w:color w:val="000000"/>
                <w:sz w:val="20"/>
                <w:szCs w:val="20"/>
                <w:lang w:val="en-GB"/>
              </w:rPr>
              <w:t>15,401</w:t>
            </w:r>
          </w:p>
        </w:tc>
        <w:tc>
          <w:tcPr>
            <w:tcW w:w="574" w:type="pct"/>
            <w:tcBorders>
              <w:top w:val="nil"/>
              <w:left w:val="nil"/>
              <w:bottom w:val="single" w:color="auto" w:sz="4" w:space="0"/>
              <w:right w:val="single" w:color="auto" w:sz="4" w:space="0"/>
            </w:tcBorders>
            <w:noWrap/>
            <w:vAlign w:val="bottom"/>
          </w:tcPr>
          <w:p w14:paraId="4D13F0F1">
            <w:pPr>
              <w:jc w:val="right"/>
              <w:rPr>
                <w:rFonts w:cs="Arial"/>
                <w:color w:val="000000"/>
                <w:sz w:val="20"/>
                <w:szCs w:val="20"/>
                <w:lang w:val="en-GB"/>
              </w:rPr>
            </w:pPr>
            <w:r>
              <w:rPr>
                <w:rFonts w:cs="Arial"/>
                <w:color w:val="000000"/>
                <w:sz w:val="20"/>
                <w:szCs w:val="20"/>
                <w:lang w:val="en-GB"/>
              </w:rPr>
              <w:t>15,512</w:t>
            </w:r>
          </w:p>
        </w:tc>
        <w:tc>
          <w:tcPr>
            <w:tcW w:w="574" w:type="pct"/>
            <w:tcBorders>
              <w:top w:val="nil"/>
              <w:left w:val="nil"/>
              <w:bottom w:val="single" w:color="auto" w:sz="4" w:space="0"/>
              <w:right w:val="single" w:color="auto" w:sz="4" w:space="0"/>
            </w:tcBorders>
            <w:noWrap/>
            <w:vAlign w:val="bottom"/>
          </w:tcPr>
          <w:p w14:paraId="110F194E">
            <w:pPr>
              <w:jc w:val="right"/>
              <w:rPr>
                <w:rFonts w:cs="Arial"/>
                <w:color w:val="000000"/>
                <w:sz w:val="20"/>
                <w:szCs w:val="20"/>
                <w:lang w:val="en-GB"/>
              </w:rPr>
            </w:pPr>
            <w:r>
              <w:rPr>
                <w:rFonts w:cs="Arial"/>
                <w:color w:val="000000"/>
                <w:sz w:val="20"/>
                <w:szCs w:val="20"/>
                <w:lang w:val="en-GB"/>
              </w:rPr>
              <w:t>15,441</w:t>
            </w:r>
          </w:p>
        </w:tc>
      </w:tr>
      <w:tr w14:paraId="2CC9C721">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46B58AF2">
            <w:pPr>
              <w:jc w:val="left"/>
              <w:rPr>
                <w:rFonts w:cs="Arial"/>
                <w:b/>
                <w:bCs/>
                <w:i/>
                <w:iCs/>
                <w:color w:val="000000"/>
                <w:sz w:val="20"/>
                <w:szCs w:val="20"/>
                <w:lang w:val="en-GB"/>
              </w:rPr>
            </w:pPr>
            <w:r>
              <w:rPr>
                <w:rFonts w:cs="Arial"/>
                <w:b/>
                <w:bCs/>
                <w:i/>
                <w:iCs/>
                <w:color w:val="000000"/>
                <w:sz w:val="20"/>
                <w:szCs w:val="20"/>
                <w:lang w:val="en-GB"/>
              </w:rPr>
              <w:t>Accounts Receivable Turnover Days</w:t>
            </w:r>
          </w:p>
        </w:tc>
        <w:tc>
          <w:tcPr>
            <w:tcW w:w="1066" w:type="pct"/>
            <w:tcBorders>
              <w:top w:val="nil"/>
              <w:left w:val="nil"/>
              <w:bottom w:val="single" w:color="auto" w:sz="4" w:space="0"/>
              <w:right w:val="single" w:color="auto" w:sz="4" w:space="0"/>
            </w:tcBorders>
            <w:noWrap/>
            <w:vAlign w:val="bottom"/>
          </w:tcPr>
          <w:p w14:paraId="3DA03A6F">
            <w:pPr>
              <w:jc w:val="left"/>
              <w:rPr>
                <w:rFonts w:cs="Arial"/>
                <w:b/>
                <w:bCs/>
                <w:i/>
                <w:iCs/>
                <w:color w:val="000000"/>
                <w:sz w:val="20"/>
                <w:szCs w:val="20"/>
                <w:lang w:val="en-GB"/>
              </w:rPr>
            </w:pPr>
            <w:r>
              <w:rPr>
                <w:rFonts w:cs="Arial"/>
                <w:b/>
                <w:bCs/>
                <w:i/>
                <w:iCs/>
                <w:color w:val="000000"/>
                <w:sz w:val="20"/>
                <w:szCs w:val="20"/>
                <w:lang w:val="en-GB"/>
              </w:rPr>
              <w:t>(Accounts Receivable/Revenue)*365</w:t>
            </w:r>
          </w:p>
        </w:tc>
        <w:tc>
          <w:tcPr>
            <w:tcW w:w="574" w:type="pct"/>
            <w:tcBorders>
              <w:top w:val="nil"/>
              <w:left w:val="nil"/>
              <w:bottom w:val="single" w:color="auto" w:sz="4" w:space="0"/>
              <w:right w:val="single" w:color="auto" w:sz="4" w:space="0"/>
            </w:tcBorders>
            <w:noWrap/>
            <w:vAlign w:val="bottom"/>
          </w:tcPr>
          <w:p w14:paraId="46EE89F8">
            <w:pPr>
              <w:jc w:val="right"/>
              <w:rPr>
                <w:rFonts w:cs="Arial"/>
                <w:b/>
                <w:bCs/>
                <w:i/>
                <w:iCs/>
                <w:color w:val="000000"/>
                <w:sz w:val="20"/>
                <w:szCs w:val="20"/>
                <w:lang w:val="en-GB"/>
              </w:rPr>
            </w:pPr>
            <w:r>
              <w:rPr>
                <w:rFonts w:cs="Arial"/>
                <w:b/>
                <w:bCs/>
                <w:i/>
                <w:iCs/>
                <w:color w:val="000000"/>
                <w:sz w:val="20"/>
                <w:szCs w:val="20"/>
                <w:lang w:val="en-GB"/>
              </w:rPr>
              <w:t>51.24</w:t>
            </w:r>
          </w:p>
        </w:tc>
        <w:tc>
          <w:tcPr>
            <w:tcW w:w="574" w:type="pct"/>
            <w:tcBorders>
              <w:top w:val="nil"/>
              <w:left w:val="nil"/>
              <w:bottom w:val="single" w:color="auto" w:sz="4" w:space="0"/>
              <w:right w:val="single" w:color="auto" w:sz="4" w:space="0"/>
            </w:tcBorders>
            <w:noWrap/>
            <w:vAlign w:val="bottom"/>
          </w:tcPr>
          <w:p w14:paraId="482FBA2C">
            <w:pPr>
              <w:jc w:val="right"/>
              <w:rPr>
                <w:rFonts w:cs="Arial"/>
                <w:b/>
                <w:bCs/>
                <w:i/>
                <w:iCs/>
                <w:color w:val="000000"/>
                <w:sz w:val="20"/>
                <w:szCs w:val="20"/>
                <w:lang w:val="en-GB"/>
              </w:rPr>
            </w:pPr>
            <w:r>
              <w:rPr>
                <w:rFonts w:cs="Arial"/>
                <w:b/>
                <w:bCs/>
                <w:i/>
                <w:iCs/>
                <w:color w:val="000000"/>
                <w:sz w:val="20"/>
                <w:szCs w:val="20"/>
                <w:lang w:val="en-GB"/>
              </w:rPr>
              <w:t>51.71</w:t>
            </w:r>
          </w:p>
        </w:tc>
        <w:tc>
          <w:tcPr>
            <w:tcW w:w="574" w:type="pct"/>
            <w:tcBorders>
              <w:top w:val="nil"/>
              <w:left w:val="nil"/>
              <w:bottom w:val="single" w:color="auto" w:sz="4" w:space="0"/>
              <w:right w:val="single" w:color="auto" w:sz="4" w:space="0"/>
            </w:tcBorders>
            <w:noWrap/>
            <w:vAlign w:val="bottom"/>
          </w:tcPr>
          <w:p w14:paraId="6A0603F9">
            <w:pPr>
              <w:jc w:val="right"/>
              <w:rPr>
                <w:rFonts w:cs="Arial"/>
                <w:b/>
                <w:bCs/>
                <w:i/>
                <w:iCs/>
                <w:color w:val="000000"/>
                <w:sz w:val="20"/>
                <w:szCs w:val="20"/>
                <w:lang w:val="en-GB"/>
              </w:rPr>
            </w:pPr>
            <w:r>
              <w:rPr>
                <w:rFonts w:cs="Arial"/>
                <w:b/>
                <w:bCs/>
                <w:i/>
                <w:iCs/>
                <w:color w:val="000000"/>
                <w:sz w:val="20"/>
                <w:szCs w:val="20"/>
                <w:lang w:val="en-GB"/>
              </w:rPr>
              <w:t>53.03</w:t>
            </w:r>
          </w:p>
        </w:tc>
        <w:tc>
          <w:tcPr>
            <w:tcW w:w="574" w:type="pct"/>
            <w:tcBorders>
              <w:top w:val="nil"/>
              <w:left w:val="nil"/>
              <w:bottom w:val="single" w:color="auto" w:sz="4" w:space="0"/>
              <w:right w:val="single" w:color="auto" w:sz="4" w:space="0"/>
            </w:tcBorders>
            <w:noWrap/>
            <w:vAlign w:val="bottom"/>
          </w:tcPr>
          <w:p w14:paraId="03D34712">
            <w:pPr>
              <w:jc w:val="right"/>
              <w:rPr>
                <w:rFonts w:cs="Arial"/>
                <w:b/>
                <w:bCs/>
                <w:i/>
                <w:iCs/>
                <w:color w:val="000000"/>
                <w:sz w:val="20"/>
                <w:szCs w:val="20"/>
                <w:lang w:val="en-GB"/>
              </w:rPr>
            </w:pPr>
            <w:r>
              <w:rPr>
                <w:rFonts w:cs="Arial"/>
                <w:b/>
                <w:bCs/>
                <w:i/>
                <w:iCs/>
                <w:color w:val="000000"/>
                <w:sz w:val="20"/>
                <w:szCs w:val="20"/>
                <w:lang w:val="en-GB"/>
              </w:rPr>
              <w:t>55.21</w:t>
            </w:r>
          </w:p>
        </w:tc>
        <w:tc>
          <w:tcPr>
            <w:tcW w:w="574" w:type="pct"/>
            <w:tcBorders>
              <w:top w:val="nil"/>
              <w:left w:val="nil"/>
              <w:bottom w:val="single" w:color="auto" w:sz="4" w:space="0"/>
              <w:right w:val="single" w:color="auto" w:sz="4" w:space="0"/>
            </w:tcBorders>
            <w:noWrap/>
            <w:vAlign w:val="bottom"/>
          </w:tcPr>
          <w:p w14:paraId="5B5A2852">
            <w:pPr>
              <w:jc w:val="right"/>
              <w:rPr>
                <w:rFonts w:cs="Arial"/>
                <w:b/>
                <w:bCs/>
                <w:i/>
                <w:iCs/>
                <w:color w:val="000000"/>
                <w:sz w:val="20"/>
                <w:szCs w:val="20"/>
                <w:lang w:val="en-GB"/>
              </w:rPr>
            </w:pPr>
            <w:r>
              <w:rPr>
                <w:rFonts w:cs="Arial"/>
                <w:b/>
                <w:bCs/>
                <w:i/>
                <w:iCs/>
                <w:color w:val="000000"/>
                <w:sz w:val="20"/>
                <w:szCs w:val="20"/>
                <w:lang w:val="en-GB"/>
              </w:rPr>
              <w:t>67.35</w:t>
            </w:r>
          </w:p>
        </w:tc>
      </w:tr>
      <w:tr w14:paraId="0DA5677E">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53E901B2">
            <w:pPr>
              <w:jc w:val="left"/>
              <w:rPr>
                <w:rFonts w:cs="Arial"/>
                <w:color w:val="000000"/>
                <w:sz w:val="20"/>
                <w:szCs w:val="20"/>
                <w:lang w:val="en-GB"/>
              </w:rPr>
            </w:pPr>
            <w:r>
              <w:rPr>
                <w:rFonts w:cs="Arial"/>
                <w:color w:val="000000"/>
                <w:sz w:val="20"/>
                <w:szCs w:val="20"/>
                <w:lang w:val="en-GB"/>
              </w:rPr>
              <w:t>Accounts Receivable</w:t>
            </w:r>
          </w:p>
        </w:tc>
        <w:tc>
          <w:tcPr>
            <w:tcW w:w="1066" w:type="pct"/>
            <w:tcBorders>
              <w:top w:val="nil"/>
              <w:left w:val="nil"/>
              <w:bottom w:val="single" w:color="auto" w:sz="4" w:space="0"/>
              <w:right w:val="single" w:color="auto" w:sz="4" w:space="0"/>
            </w:tcBorders>
            <w:noWrap/>
            <w:vAlign w:val="bottom"/>
          </w:tcPr>
          <w:p w14:paraId="2CF2F929">
            <w:pPr>
              <w:jc w:val="left"/>
              <w:rPr>
                <w:rFonts w:cs="Arial"/>
                <w:color w:val="000000"/>
                <w:sz w:val="20"/>
                <w:szCs w:val="20"/>
                <w:lang w:val="en-GB"/>
              </w:rPr>
            </w:pPr>
            <w:r>
              <w:rPr>
                <w:rFonts w:cs="Arial"/>
                <w:color w:val="000000"/>
                <w:sz w:val="20"/>
                <w:szCs w:val="20"/>
                <w:lang w:val="en-GB"/>
              </w:rPr>
              <w:t> </w:t>
            </w:r>
          </w:p>
        </w:tc>
        <w:tc>
          <w:tcPr>
            <w:tcW w:w="574" w:type="pct"/>
            <w:tcBorders>
              <w:top w:val="nil"/>
              <w:left w:val="nil"/>
              <w:bottom w:val="single" w:color="auto" w:sz="4" w:space="0"/>
              <w:right w:val="single" w:color="auto" w:sz="4" w:space="0"/>
            </w:tcBorders>
            <w:noWrap/>
            <w:vAlign w:val="bottom"/>
          </w:tcPr>
          <w:p w14:paraId="004D582A">
            <w:pPr>
              <w:jc w:val="right"/>
              <w:rPr>
                <w:rFonts w:cs="Arial"/>
                <w:color w:val="000000"/>
                <w:sz w:val="20"/>
                <w:szCs w:val="20"/>
                <w:lang w:val="en-GB"/>
              </w:rPr>
            </w:pPr>
            <w:r>
              <w:rPr>
                <w:rFonts w:cs="Arial"/>
                <w:color w:val="000000"/>
                <w:sz w:val="20"/>
                <w:szCs w:val="20"/>
                <w:lang w:val="en-GB"/>
              </w:rPr>
              <w:t>1,690</w:t>
            </w:r>
          </w:p>
        </w:tc>
        <w:tc>
          <w:tcPr>
            <w:tcW w:w="574" w:type="pct"/>
            <w:tcBorders>
              <w:top w:val="nil"/>
              <w:left w:val="nil"/>
              <w:bottom w:val="single" w:color="auto" w:sz="4" w:space="0"/>
              <w:right w:val="single" w:color="auto" w:sz="4" w:space="0"/>
            </w:tcBorders>
            <w:noWrap/>
            <w:vAlign w:val="bottom"/>
          </w:tcPr>
          <w:p w14:paraId="323BF490">
            <w:pPr>
              <w:jc w:val="right"/>
              <w:rPr>
                <w:rFonts w:cs="Arial"/>
                <w:color w:val="000000"/>
                <w:sz w:val="20"/>
                <w:szCs w:val="20"/>
                <w:lang w:val="en-GB"/>
              </w:rPr>
            </w:pPr>
            <w:r>
              <w:rPr>
                <w:rFonts w:cs="Arial"/>
                <w:color w:val="000000"/>
                <w:sz w:val="20"/>
                <w:szCs w:val="20"/>
                <w:lang w:val="en-GB"/>
              </w:rPr>
              <w:t>1,583</w:t>
            </w:r>
          </w:p>
        </w:tc>
        <w:tc>
          <w:tcPr>
            <w:tcW w:w="574" w:type="pct"/>
            <w:tcBorders>
              <w:top w:val="nil"/>
              <w:left w:val="nil"/>
              <w:bottom w:val="single" w:color="auto" w:sz="4" w:space="0"/>
              <w:right w:val="single" w:color="auto" w:sz="4" w:space="0"/>
            </w:tcBorders>
            <w:noWrap/>
            <w:vAlign w:val="bottom"/>
          </w:tcPr>
          <w:p w14:paraId="4121FFB9">
            <w:pPr>
              <w:jc w:val="right"/>
              <w:rPr>
                <w:rFonts w:cs="Arial"/>
                <w:color w:val="000000"/>
                <w:sz w:val="20"/>
                <w:szCs w:val="20"/>
                <w:lang w:val="en-GB"/>
              </w:rPr>
            </w:pPr>
            <w:r>
              <w:rPr>
                <w:rFonts w:cs="Arial"/>
                <w:color w:val="000000"/>
                <w:sz w:val="20"/>
                <w:szCs w:val="20"/>
                <w:lang w:val="en-GB"/>
              </w:rPr>
              <w:t>1,487</w:t>
            </w:r>
          </w:p>
        </w:tc>
        <w:tc>
          <w:tcPr>
            <w:tcW w:w="574" w:type="pct"/>
            <w:tcBorders>
              <w:top w:val="nil"/>
              <w:left w:val="nil"/>
              <w:bottom w:val="single" w:color="auto" w:sz="4" w:space="0"/>
              <w:right w:val="single" w:color="auto" w:sz="4" w:space="0"/>
            </w:tcBorders>
            <w:noWrap/>
            <w:vAlign w:val="bottom"/>
          </w:tcPr>
          <w:p w14:paraId="505C220A">
            <w:pPr>
              <w:jc w:val="right"/>
              <w:rPr>
                <w:rFonts w:cs="Arial"/>
                <w:color w:val="000000"/>
                <w:sz w:val="20"/>
                <w:szCs w:val="20"/>
                <w:lang w:val="en-GB"/>
              </w:rPr>
            </w:pPr>
            <w:r>
              <w:rPr>
                <w:rFonts w:cs="Arial"/>
                <w:color w:val="000000"/>
                <w:sz w:val="20"/>
                <w:szCs w:val="20"/>
                <w:lang w:val="en-GB"/>
              </w:rPr>
              <w:t>1,327</w:t>
            </w:r>
          </w:p>
        </w:tc>
        <w:tc>
          <w:tcPr>
            <w:tcW w:w="574" w:type="pct"/>
            <w:tcBorders>
              <w:top w:val="nil"/>
              <w:left w:val="nil"/>
              <w:bottom w:val="single" w:color="auto" w:sz="4" w:space="0"/>
              <w:right w:val="single" w:color="auto" w:sz="4" w:space="0"/>
            </w:tcBorders>
            <w:noWrap/>
            <w:vAlign w:val="bottom"/>
          </w:tcPr>
          <w:p w14:paraId="7992BE8F">
            <w:pPr>
              <w:jc w:val="right"/>
              <w:rPr>
                <w:rFonts w:cs="Arial"/>
                <w:color w:val="000000"/>
                <w:sz w:val="20"/>
                <w:szCs w:val="20"/>
                <w:lang w:val="en-GB"/>
              </w:rPr>
            </w:pPr>
            <w:r>
              <w:rPr>
                <w:rFonts w:cs="Arial"/>
                <w:color w:val="000000"/>
                <w:sz w:val="20"/>
                <w:szCs w:val="20"/>
                <w:lang w:val="en-GB"/>
              </w:rPr>
              <w:t>1,068</w:t>
            </w:r>
          </w:p>
        </w:tc>
      </w:tr>
      <w:tr w14:paraId="38745EF7">
        <w:tblPrEx>
          <w:tblCellMar>
            <w:top w:w="0" w:type="dxa"/>
            <w:left w:w="108" w:type="dxa"/>
            <w:bottom w:w="0" w:type="dxa"/>
            <w:right w:w="108" w:type="dxa"/>
          </w:tblCellMar>
        </w:tblPrEx>
        <w:trPr>
          <w:trHeight w:val="315" w:hRule="atLeast"/>
          <w:jc w:val="center"/>
        </w:trPr>
        <w:tc>
          <w:tcPr>
            <w:tcW w:w="1063" w:type="pct"/>
            <w:tcBorders>
              <w:top w:val="nil"/>
              <w:left w:val="single" w:color="auto" w:sz="4" w:space="0"/>
              <w:bottom w:val="single" w:color="auto" w:sz="4" w:space="0"/>
              <w:right w:val="single" w:color="auto" w:sz="4" w:space="0"/>
            </w:tcBorders>
            <w:noWrap/>
            <w:vAlign w:val="bottom"/>
          </w:tcPr>
          <w:p w14:paraId="1D8003D9">
            <w:pPr>
              <w:jc w:val="left"/>
              <w:rPr>
                <w:rFonts w:cs="Arial"/>
                <w:color w:val="000000"/>
                <w:sz w:val="20"/>
                <w:szCs w:val="20"/>
                <w:lang w:val="en-GB"/>
              </w:rPr>
            </w:pPr>
            <w:r>
              <w:rPr>
                <w:rFonts w:cs="Arial"/>
                <w:color w:val="000000"/>
                <w:sz w:val="20"/>
                <w:szCs w:val="20"/>
                <w:lang w:val="en-GB"/>
              </w:rPr>
              <w:t>Revenue</w:t>
            </w:r>
          </w:p>
        </w:tc>
        <w:tc>
          <w:tcPr>
            <w:tcW w:w="1066" w:type="pct"/>
            <w:tcBorders>
              <w:top w:val="nil"/>
              <w:left w:val="nil"/>
              <w:bottom w:val="single" w:color="auto" w:sz="4" w:space="0"/>
              <w:right w:val="single" w:color="auto" w:sz="4" w:space="0"/>
            </w:tcBorders>
            <w:noWrap/>
            <w:vAlign w:val="bottom"/>
          </w:tcPr>
          <w:p w14:paraId="532062B7">
            <w:pPr>
              <w:jc w:val="left"/>
              <w:rPr>
                <w:rFonts w:cs="Arial"/>
                <w:color w:val="000000"/>
                <w:sz w:val="20"/>
                <w:szCs w:val="20"/>
                <w:lang w:val="en-GB"/>
              </w:rPr>
            </w:pPr>
            <w:r>
              <w:rPr>
                <w:rFonts w:cs="Arial"/>
                <w:color w:val="000000"/>
                <w:sz w:val="20"/>
                <w:szCs w:val="20"/>
                <w:lang w:val="en-GB"/>
              </w:rPr>
              <w:t> </w:t>
            </w:r>
          </w:p>
        </w:tc>
        <w:tc>
          <w:tcPr>
            <w:tcW w:w="574" w:type="pct"/>
            <w:tcBorders>
              <w:top w:val="nil"/>
              <w:left w:val="nil"/>
              <w:bottom w:val="single" w:color="auto" w:sz="4" w:space="0"/>
              <w:right w:val="single" w:color="auto" w:sz="4" w:space="0"/>
            </w:tcBorders>
            <w:noWrap/>
            <w:vAlign w:val="bottom"/>
          </w:tcPr>
          <w:p w14:paraId="1C77D9E1">
            <w:pPr>
              <w:jc w:val="right"/>
              <w:rPr>
                <w:rFonts w:cs="Arial"/>
                <w:color w:val="000000"/>
                <w:sz w:val="20"/>
                <w:szCs w:val="20"/>
                <w:lang w:val="en-GB"/>
              </w:rPr>
            </w:pPr>
            <w:r>
              <w:rPr>
                <w:rFonts w:cs="Arial"/>
                <w:color w:val="000000"/>
                <w:sz w:val="20"/>
                <w:szCs w:val="20"/>
                <w:lang w:val="en-GB"/>
              </w:rPr>
              <w:t>12,039</w:t>
            </w:r>
          </w:p>
        </w:tc>
        <w:tc>
          <w:tcPr>
            <w:tcW w:w="574" w:type="pct"/>
            <w:tcBorders>
              <w:top w:val="nil"/>
              <w:left w:val="nil"/>
              <w:bottom w:val="single" w:color="auto" w:sz="4" w:space="0"/>
              <w:right w:val="single" w:color="auto" w:sz="4" w:space="0"/>
            </w:tcBorders>
            <w:noWrap/>
            <w:vAlign w:val="bottom"/>
          </w:tcPr>
          <w:p w14:paraId="3CEE4695">
            <w:pPr>
              <w:jc w:val="right"/>
              <w:rPr>
                <w:rFonts w:cs="Arial"/>
                <w:color w:val="000000"/>
                <w:sz w:val="20"/>
                <w:szCs w:val="20"/>
                <w:lang w:val="en-GB"/>
              </w:rPr>
            </w:pPr>
            <w:r>
              <w:rPr>
                <w:rFonts w:cs="Arial"/>
                <w:color w:val="000000"/>
                <w:sz w:val="20"/>
                <w:szCs w:val="20"/>
                <w:lang w:val="en-GB"/>
              </w:rPr>
              <w:t>11,174</w:t>
            </w:r>
          </w:p>
        </w:tc>
        <w:tc>
          <w:tcPr>
            <w:tcW w:w="574" w:type="pct"/>
            <w:tcBorders>
              <w:top w:val="nil"/>
              <w:left w:val="nil"/>
              <w:bottom w:val="single" w:color="auto" w:sz="4" w:space="0"/>
              <w:right w:val="single" w:color="auto" w:sz="4" w:space="0"/>
            </w:tcBorders>
            <w:noWrap/>
            <w:vAlign w:val="bottom"/>
          </w:tcPr>
          <w:p w14:paraId="1C16A4AA">
            <w:pPr>
              <w:jc w:val="right"/>
              <w:rPr>
                <w:rFonts w:cs="Arial"/>
                <w:color w:val="000000"/>
                <w:sz w:val="20"/>
                <w:szCs w:val="20"/>
                <w:lang w:val="en-GB"/>
              </w:rPr>
            </w:pPr>
            <w:r>
              <w:rPr>
                <w:rFonts w:cs="Arial"/>
                <w:color w:val="000000"/>
                <w:sz w:val="20"/>
                <w:szCs w:val="20"/>
                <w:lang w:val="en-GB"/>
              </w:rPr>
              <w:t>10,235</w:t>
            </w:r>
          </w:p>
        </w:tc>
        <w:tc>
          <w:tcPr>
            <w:tcW w:w="574" w:type="pct"/>
            <w:tcBorders>
              <w:top w:val="nil"/>
              <w:left w:val="nil"/>
              <w:bottom w:val="single" w:color="auto" w:sz="4" w:space="0"/>
              <w:right w:val="single" w:color="auto" w:sz="4" w:space="0"/>
            </w:tcBorders>
            <w:noWrap/>
            <w:vAlign w:val="bottom"/>
          </w:tcPr>
          <w:p w14:paraId="2BB7BBC4">
            <w:pPr>
              <w:jc w:val="right"/>
              <w:rPr>
                <w:rFonts w:cs="Arial"/>
                <w:color w:val="000000"/>
                <w:sz w:val="20"/>
                <w:szCs w:val="20"/>
                <w:lang w:val="en-GB"/>
              </w:rPr>
            </w:pPr>
            <w:r>
              <w:rPr>
                <w:rFonts w:cs="Arial"/>
                <w:color w:val="000000"/>
                <w:sz w:val="20"/>
                <w:szCs w:val="20"/>
                <w:lang w:val="en-GB"/>
              </w:rPr>
              <w:t>8,773</w:t>
            </w:r>
          </w:p>
        </w:tc>
        <w:tc>
          <w:tcPr>
            <w:tcW w:w="574" w:type="pct"/>
            <w:tcBorders>
              <w:top w:val="nil"/>
              <w:left w:val="nil"/>
              <w:bottom w:val="single" w:color="auto" w:sz="4" w:space="0"/>
              <w:right w:val="single" w:color="auto" w:sz="4" w:space="0"/>
            </w:tcBorders>
            <w:noWrap/>
            <w:vAlign w:val="bottom"/>
          </w:tcPr>
          <w:p w14:paraId="42AB15E9">
            <w:pPr>
              <w:jc w:val="right"/>
              <w:rPr>
                <w:rFonts w:cs="Arial"/>
                <w:color w:val="000000"/>
                <w:sz w:val="20"/>
                <w:szCs w:val="20"/>
                <w:lang w:val="en-GB"/>
              </w:rPr>
            </w:pPr>
            <w:r>
              <w:rPr>
                <w:rFonts w:cs="Arial"/>
                <w:color w:val="000000"/>
                <w:sz w:val="20"/>
                <w:szCs w:val="20"/>
                <w:lang w:val="en-GB"/>
              </w:rPr>
              <w:t>5,788</w:t>
            </w:r>
          </w:p>
        </w:tc>
      </w:tr>
    </w:tbl>
    <w:p w14:paraId="20A2527A">
      <w:pPr>
        <w:jc w:val="center"/>
        <w:rPr>
          <w:rFonts w:cs="Arial"/>
          <w:lang w:val="en-GB"/>
        </w:rPr>
      </w:pPr>
      <w:r>
        <w:rPr>
          <w:rFonts w:cs="Arial"/>
          <w:lang w:val="en-GB"/>
        </w:rPr>
        <w:t>(Source: Hilton Annual report)</w:t>
      </w:r>
    </w:p>
    <w:tbl>
      <w:tblPr>
        <w:tblStyle w:val="9"/>
        <w:tblW w:w="5000" w:type="pct"/>
        <w:jc w:val="center"/>
        <w:tblLayout w:type="autofit"/>
        <w:tblCellMar>
          <w:top w:w="0" w:type="dxa"/>
          <w:left w:w="108" w:type="dxa"/>
          <w:bottom w:w="0" w:type="dxa"/>
          <w:right w:w="108" w:type="dxa"/>
        </w:tblCellMar>
      </w:tblPr>
      <w:tblGrid>
        <w:gridCol w:w="1567"/>
        <w:gridCol w:w="2457"/>
        <w:gridCol w:w="1110"/>
        <w:gridCol w:w="1110"/>
        <w:gridCol w:w="1110"/>
        <w:gridCol w:w="1111"/>
        <w:gridCol w:w="1111"/>
      </w:tblGrid>
      <w:tr w14:paraId="04478413">
        <w:tblPrEx>
          <w:tblCellMar>
            <w:top w:w="0" w:type="dxa"/>
            <w:left w:w="108" w:type="dxa"/>
            <w:bottom w:w="0" w:type="dxa"/>
            <w:right w:w="108" w:type="dxa"/>
          </w:tblCellMar>
        </w:tblPrEx>
        <w:trPr>
          <w:trHeight w:val="255"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000000" w:fill="8EA9DB"/>
            <w:noWrap/>
            <w:vAlign w:val="bottom"/>
          </w:tcPr>
          <w:p w14:paraId="718B339A">
            <w:pPr>
              <w:jc w:val="center"/>
              <w:rPr>
                <w:rFonts w:cs="Arial"/>
                <w:b/>
                <w:bCs/>
                <w:color w:val="000000"/>
                <w:sz w:val="20"/>
                <w:szCs w:val="20"/>
                <w:lang w:val="en-GB"/>
              </w:rPr>
            </w:pPr>
            <w:r>
              <w:rPr>
                <w:rFonts w:cs="Arial"/>
                <w:b/>
                <w:bCs/>
                <w:color w:val="000000"/>
                <w:sz w:val="20"/>
                <w:szCs w:val="20"/>
                <w:lang w:val="en-GB"/>
              </w:rPr>
              <w:t>Gearing Ratio Analysis</w:t>
            </w:r>
          </w:p>
        </w:tc>
      </w:tr>
      <w:tr w14:paraId="7DC5E446">
        <w:tblPrEx>
          <w:tblCellMar>
            <w:top w:w="0" w:type="dxa"/>
            <w:left w:w="108" w:type="dxa"/>
            <w:bottom w:w="0" w:type="dxa"/>
            <w:right w:w="108" w:type="dxa"/>
          </w:tblCellMar>
        </w:tblPrEx>
        <w:trPr>
          <w:trHeight w:val="270" w:hRule="atLeast"/>
          <w:jc w:val="center"/>
        </w:trPr>
        <w:tc>
          <w:tcPr>
            <w:tcW w:w="856" w:type="pct"/>
            <w:tcBorders>
              <w:top w:val="nil"/>
              <w:left w:val="single" w:color="auto" w:sz="4" w:space="0"/>
              <w:bottom w:val="single" w:color="auto" w:sz="4" w:space="0"/>
              <w:right w:val="single" w:color="auto" w:sz="4" w:space="0"/>
            </w:tcBorders>
            <w:noWrap/>
            <w:vAlign w:val="bottom"/>
          </w:tcPr>
          <w:p w14:paraId="46A27A62">
            <w:pPr>
              <w:jc w:val="left"/>
              <w:rPr>
                <w:rFonts w:cs="Arial"/>
                <w:b/>
                <w:bCs/>
                <w:i/>
                <w:iCs/>
                <w:color w:val="000000"/>
                <w:sz w:val="20"/>
                <w:szCs w:val="20"/>
                <w:lang w:val="en-GB"/>
              </w:rPr>
            </w:pPr>
            <w:r>
              <w:rPr>
                <w:rFonts w:cs="Arial"/>
                <w:b/>
                <w:bCs/>
                <w:i/>
                <w:iCs/>
                <w:color w:val="000000"/>
                <w:sz w:val="20"/>
                <w:szCs w:val="20"/>
                <w:lang w:val="en-GB"/>
              </w:rPr>
              <w:t>Ratios</w:t>
            </w:r>
          </w:p>
        </w:tc>
        <w:tc>
          <w:tcPr>
            <w:tcW w:w="1259" w:type="pct"/>
            <w:tcBorders>
              <w:top w:val="nil"/>
              <w:left w:val="nil"/>
              <w:bottom w:val="single" w:color="auto" w:sz="4" w:space="0"/>
              <w:right w:val="single" w:color="auto" w:sz="4" w:space="0"/>
            </w:tcBorders>
            <w:noWrap/>
            <w:vAlign w:val="bottom"/>
          </w:tcPr>
          <w:p w14:paraId="623DE541">
            <w:pPr>
              <w:jc w:val="left"/>
              <w:rPr>
                <w:rFonts w:cs="Arial"/>
                <w:b/>
                <w:bCs/>
                <w:i/>
                <w:iCs/>
                <w:color w:val="000000"/>
                <w:sz w:val="20"/>
                <w:szCs w:val="20"/>
                <w:lang w:val="en-GB"/>
              </w:rPr>
            </w:pPr>
            <w:r>
              <w:rPr>
                <w:rFonts w:cs="Arial"/>
                <w:b/>
                <w:bCs/>
                <w:i/>
                <w:iCs/>
                <w:color w:val="000000"/>
                <w:sz w:val="20"/>
                <w:szCs w:val="20"/>
                <w:lang w:val="en-GB"/>
              </w:rPr>
              <w:t>Formula</w:t>
            </w:r>
          </w:p>
        </w:tc>
        <w:tc>
          <w:tcPr>
            <w:tcW w:w="577" w:type="pct"/>
            <w:tcBorders>
              <w:top w:val="nil"/>
              <w:left w:val="nil"/>
              <w:bottom w:val="single" w:color="auto" w:sz="4" w:space="0"/>
              <w:right w:val="single" w:color="auto" w:sz="4" w:space="0"/>
            </w:tcBorders>
            <w:noWrap/>
            <w:vAlign w:val="bottom"/>
          </w:tcPr>
          <w:p w14:paraId="7B90DEC7">
            <w:pPr>
              <w:jc w:val="left"/>
              <w:rPr>
                <w:rFonts w:cs="Arial"/>
                <w:b/>
                <w:bCs/>
                <w:i/>
                <w:iCs/>
                <w:color w:val="000000"/>
                <w:sz w:val="20"/>
                <w:szCs w:val="20"/>
                <w:lang w:val="en-GB"/>
              </w:rPr>
            </w:pPr>
            <w:r>
              <w:rPr>
                <w:rFonts w:cs="Arial"/>
                <w:b/>
                <w:bCs/>
                <w:i/>
                <w:iCs/>
                <w:color w:val="000000"/>
                <w:sz w:val="20"/>
                <w:szCs w:val="20"/>
                <w:lang w:val="en-GB"/>
              </w:rPr>
              <w:t>2025 ($, millions)</w:t>
            </w:r>
          </w:p>
        </w:tc>
        <w:tc>
          <w:tcPr>
            <w:tcW w:w="577" w:type="pct"/>
            <w:tcBorders>
              <w:top w:val="nil"/>
              <w:left w:val="nil"/>
              <w:bottom w:val="single" w:color="auto" w:sz="4" w:space="0"/>
              <w:right w:val="single" w:color="auto" w:sz="4" w:space="0"/>
            </w:tcBorders>
            <w:noWrap/>
            <w:vAlign w:val="bottom"/>
          </w:tcPr>
          <w:p w14:paraId="7FBF7545">
            <w:pPr>
              <w:jc w:val="left"/>
              <w:rPr>
                <w:rFonts w:cs="Arial"/>
                <w:b/>
                <w:bCs/>
                <w:i/>
                <w:iCs/>
                <w:color w:val="000000"/>
                <w:sz w:val="20"/>
                <w:szCs w:val="20"/>
                <w:lang w:val="en-GB"/>
              </w:rPr>
            </w:pPr>
            <w:r>
              <w:rPr>
                <w:rFonts w:cs="Arial"/>
                <w:b/>
                <w:bCs/>
                <w:i/>
                <w:iCs/>
                <w:color w:val="000000"/>
                <w:sz w:val="20"/>
                <w:szCs w:val="20"/>
                <w:lang w:val="en-GB"/>
              </w:rPr>
              <w:t>2024 ($, millions)</w:t>
            </w:r>
          </w:p>
        </w:tc>
        <w:tc>
          <w:tcPr>
            <w:tcW w:w="577" w:type="pct"/>
            <w:tcBorders>
              <w:top w:val="nil"/>
              <w:left w:val="nil"/>
              <w:bottom w:val="single" w:color="auto" w:sz="4" w:space="0"/>
              <w:right w:val="single" w:color="auto" w:sz="4" w:space="0"/>
            </w:tcBorders>
            <w:noWrap/>
            <w:vAlign w:val="bottom"/>
          </w:tcPr>
          <w:p w14:paraId="6F02D75E">
            <w:pPr>
              <w:jc w:val="left"/>
              <w:rPr>
                <w:rFonts w:cs="Arial"/>
                <w:b/>
                <w:bCs/>
                <w:i/>
                <w:iCs/>
                <w:color w:val="000000"/>
                <w:sz w:val="20"/>
                <w:szCs w:val="20"/>
                <w:lang w:val="en-GB"/>
              </w:rPr>
            </w:pPr>
            <w:r>
              <w:rPr>
                <w:rFonts w:cs="Arial"/>
                <w:b/>
                <w:bCs/>
                <w:i/>
                <w:iCs/>
                <w:color w:val="000000"/>
                <w:sz w:val="20"/>
                <w:szCs w:val="20"/>
                <w:lang w:val="en-GB"/>
              </w:rPr>
              <w:t>2023 ($, millions)</w:t>
            </w:r>
          </w:p>
        </w:tc>
        <w:tc>
          <w:tcPr>
            <w:tcW w:w="577" w:type="pct"/>
            <w:tcBorders>
              <w:top w:val="nil"/>
              <w:left w:val="nil"/>
              <w:bottom w:val="single" w:color="auto" w:sz="4" w:space="0"/>
              <w:right w:val="single" w:color="auto" w:sz="4" w:space="0"/>
            </w:tcBorders>
            <w:noWrap/>
            <w:vAlign w:val="bottom"/>
          </w:tcPr>
          <w:p w14:paraId="5B0D225D">
            <w:pPr>
              <w:jc w:val="left"/>
              <w:rPr>
                <w:rFonts w:cs="Arial"/>
                <w:b/>
                <w:bCs/>
                <w:i/>
                <w:iCs/>
                <w:color w:val="000000"/>
                <w:sz w:val="20"/>
                <w:szCs w:val="20"/>
                <w:lang w:val="en-GB"/>
              </w:rPr>
            </w:pPr>
            <w:r>
              <w:rPr>
                <w:rFonts w:cs="Arial"/>
                <w:b/>
                <w:bCs/>
                <w:i/>
                <w:iCs/>
                <w:color w:val="000000"/>
                <w:sz w:val="20"/>
                <w:szCs w:val="20"/>
                <w:lang w:val="en-GB"/>
              </w:rPr>
              <w:t>2022 ($, millions)</w:t>
            </w:r>
          </w:p>
        </w:tc>
        <w:tc>
          <w:tcPr>
            <w:tcW w:w="577" w:type="pct"/>
            <w:tcBorders>
              <w:top w:val="nil"/>
              <w:left w:val="nil"/>
              <w:bottom w:val="single" w:color="auto" w:sz="4" w:space="0"/>
              <w:right w:val="single" w:color="auto" w:sz="4" w:space="0"/>
            </w:tcBorders>
            <w:noWrap/>
            <w:vAlign w:val="bottom"/>
          </w:tcPr>
          <w:p w14:paraId="21EC354F">
            <w:pPr>
              <w:jc w:val="left"/>
              <w:rPr>
                <w:rFonts w:cs="Arial"/>
                <w:b/>
                <w:bCs/>
                <w:i/>
                <w:iCs/>
                <w:color w:val="000000"/>
                <w:sz w:val="20"/>
                <w:szCs w:val="20"/>
                <w:lang w:val="en-GB"/>
              </w:rPr>
            </w:pPr>
            <w:r>
              <w:rPr>
                <w:rFonts w:cs="Arial"/>
                <w:b/>
                <w:bCs/>
                <w:i/>
                <w:iCs/>
                <w:color w:val="000000"/>
                <w:sz w:val="20"/>
                <w:szCs w:val="20"/>
                <w:lang w:val="en-GB"/>
              </w:rPr>
              <w:t>2021 ($, millions)</w:t>
            </w:r>
          </w:p>
        </w:tc>
      </w:tr>
      <w:tr w14:paraId="5D27FA27">
        <w:tblPrEx>
          <w:tblCellMar>
            <w:top w:w="0" w:type="dxa"/>
            <w:left w:w="108" w:type="dxa"/>
            <w:bottom w:w="0" w:type="dxa"/>
            <w:right w:w="108" w:type="dxa"/>
          </w:tblCellMar>
        </w:tblPrEx>
        <w:trPr>
          <w:trHeight w:val="315" w:hRule="atLeast"/>
          <w:jc w:val="center"/>
        </w:trPr>
        <w:tc>
          <w:tcPr>
            <w:tcW w:w="856" w:type="pct"/>
            <w:tcBorders>
              <w:top w:val="nil"/>
              <w:left w:val="single" w:color="auto" w:sz="4" w:space="0"/>
              <w:bottom w:val="single" w:color="auto" w:sz="4" w:space="0"/>
              <w:right w:val="single" w:color="auto" w:sz="4" w:space="0"/>
            </w:tcBorders>
            <w:noWrap/>
            <w:vAlign w:val="bottom"/>
          </w:tcPr>
          <w:p w14:paraId="2BD343B2">
            <w:pPr>
              <w:jc w:val="left"/>
              <w:rPr>
                <w:rFonts w:cs="Arial"/>
                <w:b/>
                <w:bCs/>
                <w:i/>
                <w:iCs/>
                <w:color w:val="000000"/>
                <w:sz w:val="20"/>
                <w:szCs w:val="20"/>
                <w:lang w:val="en-GB"/>
              </w:rPr>
            </w:pPr>
            <w:r>
              <w:rPr>
                <w:rFonts w:cs="Arial"/>
                <w:b/>
                <w:bCs/>
                <w:i/>
                <w:iCs/>
                <w:color w:val="000000"/>
                <w:sz w:val="20"/>
                <w:szCs w:val="20"/>
                <w:lang w:val="en-GB"/>
              </w:rPr>
              <w:t>Debt-to-Equity</w:t>
            </w:r>
          </w:p>
        </w:tc>
        <w:tc>
          <w:tcPr>
            <w:tcW w:w="1259" w:type="pct"/>
            <w:tcBorders>
              <w:top w:val="nil"/>
              <w:left w:val="nil"/>
              <w:bottom w:val="single" w:color="auto" w:sz="4" w:space="0"/>
              <w:right w:val="single" w:color="auto" w:sz="4" w:space="0"/>
            </w:tcBorders>
            <w:noWrap/>
            <w:vAlign w:val="bottom"/>
          </w:tcPr>
          <w:p w14:paraId="62D8DDA7">
            <w:pPr>
              <w:jc w:val="left"/>
              <w:rPr>
                <w:rFonts w:cs="Arial"/>
                <w:b/>
                <w:bCs/>
                <w:i/>
                <w:iCs/>
                <w:color w:val="000000"/>
                <w:sz w:val="20"/>
                <w:szCs w:val="20"/>
                <w:lang w:val="en-GB"/>
              </w:rPr>
            </w:pPr>
            <w:r>
              <w:rPr>
                <w:rFonts w:cs="Arial"/>
                <w:b/>
                <w:bCs/>
                <w:i/>
                <w:iCs/>
                <w:color w:val="000000"/>
                <w:sz w:val="20"/>
                <w:szCs w:val="20"/>
                <w:lang w:val="en-GB"/>
              </w:rPr>
              <w:t>Total Liabilities/Total Shareholders' Equity</w:t>
            </w:r>
          </w:p>
        </w:tc>
        <w:tc>
          <w:tcPr>
            <w:tcW w:w="577" w:type="pct"/>
            <w:tcBorders>
              <w:top w:val="nil"/>
              <w:left w:val="nil"/>
              <w:bottom w:val="single" w:color="auto" w:sz="4" w:space="0"/>
              <w:right w:val="single" w:color="auto" w:sz="4" w:space="0"/>
            </w:tcBorders>
            <w:noWrap/>
            <w:vAlign w:val="bottom"/>
          </w:tcPr>
          <w:p w14:paraId="34BC2F47">
            <w:pPr>
              <w:jc w:val="right"/>
              <w:rPr>
                <w:rFonts w:cs="Arial"/>
                <w:b/>
                <w:bCs/>
                <w:i/>
                <w:iCs/>
                <w:color w:val="000000"/>
                <w:sz w:val="20"/>
                <w:szCs w:val="20"/>
                <w:lang w:val="en-GB"/>
              </w:rPr>
            </w:pPr>
            <w:r>
              <w:rPr>
                <w:rFonts w:cs="Arial"/>
                <w:b/>
                <w:bCs/>
                <w:i/>
                <w:iCs/>
                <w:color w:val="000000"/>
                <w:sz w:val="20"/>
                <w:szCs w:val="20"/>
                <w:lang w:val="en-GB"/>
              </w:rPr>
              <w:t>-4.11</w:t>
            </w:r>
          </w:p>
        </w:tc>
        <w:tc>
          <w:tcPr>
            <w:tcW w:w="577" w:type="pct"/>
            <w:tcBorders>
              <w:top w:val="nil"/>
              <w:left w:val="nil"/>
              <w:bottom w:val="single" w:color="auto" w:sz="4" w:space="0"/>
              <w:right w:val="single" w:color="auto" w:sz="4" w:space="0"/>
            </w:tcBorders>
            <w:noWrap/>
            <w:vAlign w:val="bottom"/>
          </w:tcPr>
          <w:p w14:paraId="326E87F1">
            <w:pPr>
              <w:jc w:val="right"/>
              <w:rPr>
                <w:rFonts w:cs="Arial"/>
                <w:b/>
                <w:bCs/>
                <w:i/>
                <w:iCs/>
                <w:color w:val="000000"/>
                <w:sz w:val="20"/>
                <w:szCs w:val="20"/>
                <w:lang w:val="en-GB"/>
              </w:rPr>
            </w:pPr>
            <w:r>
              <w:rPr>
                <w:rFonts w:cs="Arial"/>
                <w:b/>
                <w:bCs/>
                <w:i/>
                <w:iCs/>
                <w:color w:val="000000"/>
                <w:sz w:val="20"/>
                <w:szCs w:val="20"/>
                <w:lang w:val="en-GB"/>
              </w:rPr>
              <w:t>-5.42</w:t>
            </w:r>
          </w:p>
        </w:tc>
        <w:tc>
          <w:tcPr>
            <w:tcW w:w="577" w:type="pct"/>
            <w:tcBorders>
              <w:top w:val="nil"/>
              <w:left w:val="nil"/>
              <w:bottom w:val="single" w:color="auto" w:sz="4" w:space="0"/>
              <w:right w:val="single" w:color="auto" w:sz="4" w:space="0"/>
            </w:tcBorders>
            <w:noWrap/>
            <w:vAlign w:val="bottom"/>
          </w:tcPr>
          <w:p w14:paraId="5561F786">
            <w:pPr>
              <w:jc w:val="right"/>
              <w:rPr>
                <w:rFonts w:cs="Arial"/>
                <w:b/>
                <w:bCs/>
                <w:i/>
                <w:iCs/>
                <w:color w:val="000000"/>
                <w:sz w:val="20"/>
                <w:szCs w:val="20"/>
                <w:lang w:val="en-GB"/>
              </w:rPr>
            </w:pPr>
            <w:r>
              <w:rPr>
                <w:rFonts w:cs="Arial"/>
                <w:b/>
                <w:bCs/>
                <w:i/>
                <w:iCs/>
                <w:color w:val="000000"/>
                <w:sz w:val="20"/>
                <w:szCs w:val="20"/>
                <w:lang w:val="en-GB"/>
              </w:rPr>
              <w:t>-7.52</w:t>
            </w:r>
          </w:p>
        </w:tc>
        <w:tc>
          <w:tcPr>
            <w:tcW w:w="577" w:type="pct"/>
            <w:tcBorders>
              <w:top w:val="nil"/>
              <w:left w:val="nil"/>
              <w:bottom w:val="single" w:color="auto" w:sz="4" w:space="0"/>
              <w:right w:val="single" w:color="auto" w:sz="4" w:space="0"/>
            </w:tcBorders>
            <w:noWrap/>
            <w:vAlign w:val="bottom"/>
          </w:tcPr>
          <w:p w14:paraId="2A61BAC1">
            <w:pPr>
              <w:jc w:val="right"/>
              <w:rPr>
                <w:rFonts w:cs="Arial"/>
                <w:b/>
                <w:bCs/>
                <w:i/>
                <w:iCs/>
                <w:color w:val="000000"/>
                <w:sz w:val="20"/>
                <w:szCs w:val="20"/>
                <w:lang w:val="en-GB"/>
              </w:rPr>
            </w:pPr>
            <w:r>
              <w:rPr>
                <w:rFonts w:cs="Arial"/>
                <w:b/>
                <w:bCs/>
                <w:i/>
                <w:iCs/>
                <w:color w:val="000000"/>
                <w:sz w:val="20"/>
                <w:szCs w:val="20"/>
                <w:lang w:val="en-GB"/>
              </w:rPr>
              <w:t>-15.07</w:t>
            </w:r>
          </w:p>
        </w:tc>
        <w:tc>
          <w:tcPr>
            <w:tcW w:w="577" w:type="pct"/>
            <w:tcBorders>
              <w:top w:val="nil"/>
              <w:left w:val="nil"/>
              <w:bottom w:val="single" w:color="auto" w:sz="4" w:space="0"/>
              <w:right w:val="single" w:color="auto" w:sz="4" w:space="0"/>
            </w:tcBorders>
            <w:noWrap/>
            <w:vAlign w:val="bottom"/>
          </w:tcPr>
          <w:p w14:paraId="0246473F">
            <w:pPr>
              <w:jc w:val="right"/>
              <w:rPr>
                <w:rFonts w:cs="Arial"/>
                <w:b/>
                <w:bCs/>
                <w:i/>
                <w:iCs/>
                <w:color w:val="000000"/>
                <w:sz w:val="20"/>
                <w:szCs w:val="20"/>
                <w:lang w:val="en-GB"/>
              </w:rPr>
            </w:pPr>
            <w:r>
              <w:rPr>
                <w:rFonts w:cs="Arial"/>
                <w:b/>
                <w:bCs/>
                <w:i/>
                <w:iCs/>
                <w:color w:val="000000"/>
                <w:sz w:val="20"/>
                <w:szCs w:val="20"/>
                <w:lang w:val="en-GB"/>
              </w:rPr>
              <w:t>-19.81</w:t>
            </w:r>
          </w:p>
        </w:tc>
      </w:tr>
      <w:tr w14:paraId="7E977837">
        <w:tblPrEx>
          <w:tblCellMar>
            <w:top w:w="0" w:type="dxa"/>
            <w:left w:w="108" w:type="dxa"/>
            <w:bottom w:w="0" w:type="dxa"/>
            <w:right w:w="108" w:type="dxa"/>
          </w:tblCellMar>
        </w:tblPrEx>
        <w:trPr>
          <w:trHeight w:val="315" w:hRule="atLeast"/>
          <w:jc w:val="center"/>
        </w:trPr>
        <w:tc>
          <w:tcPr>
            <w:tcW w:w="856" w:type="pct"/>
            <w:tcBorders>
              <w:top w:val="nil"/>
              <w:left w:val="single" w:color="auto" w:sz="4" w:space="0"/>
              <w:bottom w:val="single" w:color="auto" w:sz="4" w:space="0"/>
              <w:right w:val="single" w:color="auto" w:sz="4" w:space="0"/>
            </w:tcBorders>
            <w:noWrap/>
            <w:vAlign w:val="bottom"/>
          </w:tcPr>
          <w:p w14:paraId="61B481D6">
            <w:pPr>
              <w:jc w:val="left"/>
              <w:rPr>
                <w:rFonts w:cs="Arial"/>
                <w:color w:val="000000"/>
                <w:sz w:val="20"/>
                <w:szCs w:val="20"/>
                <w:lang w:val="en-GB"/>
              </w:rPr>
            </w:pPr>
            <w:r>
              <w:rPr>
                <w:rFonts w:cs="Arial"/>
                <w:color w:val="000000"/>
                <w:sz w:val="20"/>
                <w:szCs w:val="20"/>
                <w:lang w:val="en-GB"/>
              </w:rPr>
              <w:t>Total Liabilities (Total Debt)</w:t>
            </w:r>
          </w:p>
        </w:tc>
        <w:tc>
          <w:tcPr>
            <w:tcW w:w="1259" w:type="pct"/>
            <w:tcBorders>
              <w:top w:val="nil"/>
              <w:left w:val="nil"/>
              <w:bottom w:val="single" w:color="auto" w:sz="4" w:space="0"/>
              <w:right w:val="single" w:color="auto" w:sz="4" w:space="0"/>
            </w:tcBorders>
            <w:noWrap/>
            <w:vAlign w:val="bottom"/>
          </w:tcPr>
          <w:p w14:paraId="64E5CD26">
            <w:pPr>
              <w:jc w:val="left"/>
              <w:rPr>
                <w:rFonts w:cs="Arial"/>
                <w:color w:val="000000"/>
                <w:sz w:val="20"/>
                <w:szCs w:val="20"/>
                <w:lang w:val="en-GB"/>
              </w:rPr>
            </w:pPr>
            <w:r>
              <w:rPr>
                <w:rFonts w:cs="Arial"/>
                <w:color w:val="000000"/>
                <w:sz w:val="20"/>
                <w:szCs w:val="20"/>
                <w:lang w:val="en-GB"/>
              </w:rPr>
              <w:t> </w:t>
            </w:r>
          </w:p>
        </w:tc>
        <w:tc>
          <w:tcPr>
            <w:tcW w:w="577" w:type="pct"/>
            <w:tcBorders>
              <w:top w:val="nil"/>
              <w:left w:val="nil"/>
              <w:bottom w:val="single" w:color="auto" w:sz="4" w:space="0"/>
              <w:right w:val="single" w:color="auto" w:sz="4" w:space="0"/>
            </w:tcBorders>
            <w:noWrap/>
            <w:vAlign w:val="bottom"/>
          </w:tcPr>
          <w:p w14:paraId="5EFC25E9">
            <w:pPr>
              <w:jc w:val="right"/>
              <w:rPr>
                <w:rFonts w:cs="Arial"/>
                <w:color w:val="000000"/>
                <w:sz w:val="20"/>
                <w:szCs w:val="20"/>
                <w:lang w:val="en-GB"/>
              </w:rPr>
            </w:pPr>
            <w:r>
              <w:rPr>
                <w:rFonts w:cs="Arial"/>
                <w:color w:val="000000"/>
                <w:sz w:val="20"/>
                <w:szCs w:val="20"/>
                <w:lang w:val="en-GB"/>
              </w:rPr>
              <w:t>22,120</w:t>
            </w:r>
          </w:p>
        </w:tc>
        <w:tc>
          <w:tcPr>
            <w:tcW w:w="577" w:type="pct"/>
            <w:tcBorders>
              <w:top w:val="nil"/>
              <w:left w:val="nil"/>
              <w:bottom w:val="single" w:color="auto" w:sz="4" w:space="0"/>
              <w:right w:val="single" w:color="auto" w:sz="4" w:space="0"/>
            </w:tcBorders>
            <w:noWrap/>
            <w:vAlign w:val="bottom"/>
          </w:tcPr>
          <w:p w14:paraId="0A474632">
            <w:pPr>
              <w:jc w:val="right"/>
              <w:rPr>
                <w:rFonts w:cs="Arial"/>
                <w:color w:val="000000"/>
                <w:sz w:val="20"/>
                <w:szCs w:val="20"/>
                <w:lang w:val="en-GB"/>
              </w:rPr>
            </w:pPr>
            <w:r>
              <w:rPr>
                <w:rFonts w:cs="Arial"/>
                <w:color w:val="000000"/>
                <w:sz w:val="20"/>
                <w:szCs w:val="20"/>
                <w:lang w:val="en-GB"/>
              </w:rPr>
              <w:t>20,211</w:t>
            </w:r>
          </w:p>
        </w:tc>
        <w:tc>
          <w:tcPr>
            <w:tcW w:w="577" w:type="pct"/>
            <w:tcBorders>
              <w:top w:val="nil"/>
              <w:left w:val="nil"/>
              <w:bottom w:val="single" w:color="auto" w:sz="4" w:space="0"/>
              <w:right w:val="single" w:color="auto" w:sz="4" w:space="0"/>
            </w:tcBorders>
            <w:noWrap/>
            <w:vAlign w:val="bottom"/>
          </w:tcPr>
          <w:p w14:paraId="6B5CAAE0">
            <w:pPr>
              <w:jc w:val="right"/>
              <w:rPr>
                <w:rFonts w:cs="Arial"/>
                <w:color w:val="000000"/>
                <w:sz w:val="20"/>
                <w:szCs w:val="20"/>
                <w:lang w:val="en-GB"/>
              </w:rPr>
            </w:pPr>
            <w:r>
              <w:rPr>
                <w:rFonts w:cs="Arial"/>
                <w:color w:val="000000"/>
                <w:sz w:val="20"/>
                <w:szCs w:val="20"/>
                <w:lang w:val="en-GB"/>
              </w:rPr>
              <w:t>17,748</w:t>
            </w:r>
          </w:p>
        </w:tc>
        <w:tc>
          <w:tcPr>
            <w:tcW w:w="577" w:type="pct"/>
            <w:tcBorders>
              <w:top w:val="nil"/>
              <w:left w:val="nil"/>
              <w:bottom w:val="single" w:color="auto" w:sz="4" w:space="0"/>
              <w:right w:val="single" w:color="auto" w:sz="4" w:space="0"/>
            </w:tcBorders>
            <w:noWrap/>
            <w:vAlign w:val="bottom"/>
          </w:tcPr>
          <w:p w14:paraId="5D1454DA">
            <w:pPr>
              <w:jc w:val="right"/>
              <w:rPr>
                <w:rFonts w:cs="Arial"/>
                <w:color w:val="000000"/>
                <w:sz w:val="20"/>
                <w:szCs w:val="20"/>
                <w:lang w:val="en-GB"/>
              </w:rPr>
            </w:pPr>
            <w:r>
              <w:rPr>
                <w:rFonts w:cs="Arial"/>
                <w:color w:val="000000"/>
                <w:sz w:val="20"/>
                <w:szCs w:val="20"/>
                <w:lang w:val="en-GB"/>
              </w:rPr>
              <w:t>16,610</w:t>
            </w:r>
          </w:p>
        </w:tc>
        <w:tc>
          <w:tcPr>
            <w:tcW w:w="577" w:type="pct"/>
            <w:tcBorders>
              <w:top w:val="nil"/>
              <w:left w:val="nil"/>
              <w:bottom w:val="single" w:color="auto" w:sz="4" w:space="0"/>
              <w:right w:val="single" w:color="auto" w:sz="4" w:space="0"/>
            </w:tcBorders>
            <w:noWrap/>
            <w:vAlign w:val="bottom"/>
          </w:tcPr>
          <w:p w14:paraId="7008043C">
            <w:pPr>
              <w:jc w:val="right"/>
              <w:rPr>
                <w:rFonts w:cs="Arial"/>
                <w:color w:val="000000"/>
                <w:sz w:val="20"/>
                <w:szCs w:val="20"/>
                <w:lang w:val="en-GB"/>
              </w:rPr>
            </w:pPr>
            <w:r>
              <w:rPr>
                <w:rFonts w:cs="Arial"/>
                <w:color w:val="000000"/>
                <w:sz w:val="20"/>
                <w:szCs w:val="20"/>
                <w:lang w:val="en-GB"/>
              </w:rPr>
              <w:t>16,260</w:t>
            </w:r>
          </w:p>
        </w:tc>
      </w:tr>
      <w:tr w14:paraId="6CCC11A4">
        <w:tblPrEx>
          <w:tblCellMar>
            <w:top w:w="0" w:type="dxa"/>
            <w:left w:w="108" w:type="dxa"/>
            <w:bottom w:w="0" w:type="dxa"/>
            <w:right w:w="108" w:type="dxa"/>
          </w:tblCellMar>
        </w:tblPrEx>
        <w:trPr>
          <w:trHeight w:val="315" w:hRule="atLeast"/>
          <w:jc w:val="center"/>
        </w:trPr>
        <w:tc>
          <w:tcPr>
            <w:tcW w:w="856" w:type="pct"/>
            <w:tcBorders>
              <w:top w:val="nil"/>
              <w:left w:val="single" w:color="auto" w:sz="4" w:space="0"/>
              <w:bottom w:val="single" w:color="auto" w:sz="4" w:space="0"/>
              <w:right w:val="single" w:color="auto" w:sz="4" w:space="0"/>
            </w:tcBorders>
            <w:noWrap/>
            <w:vAlign w:val="bottom"/>
          </w:tcPr>
          <w:p w14:paraId="13EBD117">
            <w:pPr>
              <w:jc w:val="left"/>
              <w:rPr>
                <w:rFonts w:cs="Arial"/>
                <w:color w:val="000000"/>
                <w:sz w:val="20"/>
                <w:szCs w:val="20"/>
                <w:lang w:val="en-GB"/>
              </w:rPr>
            </w:pPr>
            <w:r>
              <w:rPr>
                <w:rFonts w:cs="Arial"/>
                <w:color w:val="000000"/>
                <w:sz w:val="20"/>
                <w:szCs w:val="20"/>
                <w:lang w:val="en-GB"/>
              </w:rPr>
              <w:t>Total Shareholders' Equity</w:t>
            </w:r>
          </w:p>
        </w:tc>
        <w:tc>
          <w:tcPr>
            <w:tcW w:w="1259" w:type="pct"/>
            <w:tcBorders>
              <w:top w:val="nil"/>
              <w:left w:val="nil"/>
              <w:bottom w:val="single" w:color="auto" w:sz="4" w:space="0"/>
              <w:right w:val="single" w:color="auto" w:sz="4" w:space="0"/>
            </w:tcBorders>
            <w:noWrap/>
            <w:vAlign w:val="bottom"/>
          </w:tcPr>
          <w:p w14:paraId="58C1239D">
            <w:pPr>
              <w:jc w:val="left"/>
              <w:rPr>
                <w:rFonts w:cs="Arial"/>
                <w:color w:val="000000"/>
                <w:sz w:val="20"/>
                <w:szCs w:val="20"/>
                <w:lang w:val="en-GB"/>
              </w:rPr>
            </w:pPr>
            <w:r>
              <w:rPr>
                <w:rFonts w:cs="Arial"/>
                <w:color w:val="000000"/>
                <w:sz w:val="20"/>
                <w:szCs w:val="20"/>
                <w:lang w:val="en-GB"/>
              </w:rPr>
              <w:t> </w:t>
            </w:r>
          </w:p>
        </w:tc>
        <w:tc>
          <w:tcPr>
            <w:tcW w:w="577" w:type="pct"/>
            <w:tcBorders>
              <w:top w:val="nil"/>
              <w:left w:val="nil"/>
              <w:bottom w:val="single" w:color="auto" w:sz="4" w:space="0"/>
              <w:right w:val="single" w:color="auto" w:sz="4" w:space="0"/>
            </w:tcBorders>
            <w:noWrap/>
            <w:vAlign w:val="bottom"/>
          </w:tcPr>
          <w:p w14:paraId="04802A16">
            <w:pPr>
              <w:jc w:val="right"/>
              <w:rPr>
                <w:rFonts w:cs="Arial"/>
                <w:color w:val="000000"/>
                <w:sz w:val="20"/>
                <w:szCs w:val="20"/>
                <w:lang w:val="en-GB"/>
              </w:rPr>
            </w:pPr>
            <w:r>
              <w:rPr>
                <w:rFonts w:cs="Arial"/>
                <w:color w:val="000000"/>
                <w:sz w:val="20"/>
                <w:szCs w:val="20"/>
                <w:lang w:val="en-GB"/>
              </w:rPr>
              <w:t>-5,388</w:t>
            </w:r>
          </w:p>
        </w:tc>
        <w:tc>
          <w:tcPr>
            <w:tcW w:w="577" w:type="pct"/>
            <w:tcBorders>
              <w:top w:val="nil"/>
              <w:left w:val="nil"/>
              <w:bottom w:val="single" w:color="auto" w:sz="4" w:space="0"/>
              <w:right w:val="single" w:color="auto" w:sz="4" w:space="0"/>
            </w:tcBorders>
            <w:noWrap/>
            <w:vAlign w:val="bottom"/>
          </w:tcPr>
          <w:p w14:paraId="43DB3E9F">
            <w:pPr>
              <w:jc w:val="right"/>
              <w:rPr>
                <w:rFonts w:cs="Arial"/>
                <w:color w:val="000000"/>
                <w:sz w:val="20"/>
                <w:szCs w:val="20"/>
                <w:lang w:val="en-GB"/>
              </w:rPr>
            </w:pPr>
            <w:r>
              <w:rPr>
                <w:rFonts w:cs="Arial"/>
                <w:color w:val="000000"/>
                <w:sz w:val="20"/>
                <w:szCs w:val="20"/>
                <w:lang w:val="en-GB"/>
              </w:rPr>
              <w:t>-3,727</w:t>
            </w:r>
          </w:p>
        </w:tc>
        <w:tc>
          <w:tcPr>
            <w:tcW w:w="577" w:type="pct"/>
            <w:tcBorders>
              <w:top w:val="nil"/>
              <w:left w:val="nil"/>
              <w:bottom w:val="single" w:color="auto" w:sz="4" w:space="0"/>
              <w:right w:val="single" w:color="auto" w:sz="4" w:space="0"/>
            </w:tcBorders>
            <w:noWrap/>
            <w:vAlign w:val="bottom"/>
          </w:tcPr>
          <w:p w14:paraId="4CFE2F2E">
            <w:pPr>
              <w:jc w:val="right"/>
              <w:rPr>
                <w:rFonts w:cs="Arial"/>
                <w:color w:val="000000"/>
                <w:sz w:val="20"/>
                <w:szCs w:val="20"/>
                <w:lang w:val="en-GB"/>
              </w:rPr>
            </w:pPr>
            <w:r>
              <w:rPr>
                <w:rFonts w:cs="Arial"/>
                <w:color w:val="000000"/>
                <w:sz w:val="20"/>
                <w:szCs w:val="20"/>
                <w:lang w:val="en-GB"/>
              </w:rPr>
              <w:t>-2,360</w:t>
            </w:r>
          </w:p>
        </w:tc>
        <w:tc>
          <w:tcPr>
            <w:tcW w:w="577" w:type="pct"/>
            <w:tcBorders>
              <w:top w:val="nil"/>
              <w:left w:val="nil"/>
              <w:bottom w:val="single" w:color="auto" w:sz="4" w:space="0"/>
              <w:right w:val="single" w:color="auto" w:sz="4" w:space="0"/>
            </w:tcBorders>
            <w:noWrap/>
            <w:vAlign w:val="bottom"/>
          </w:tcPr>
          <w:p w14:paraId="4E64D43F">
            <w:pPr>
              <w:jc w:val="right"/>
              <w:rPr>
                <w:rFonts w:cs="Arial"/>
                <w:color w:val="000000"/>
                <w:sz w:val="20"/>
                <w:szCs w:val="20"/>
                <w:lang w:val="en-GB"/>
              </w:rPr>
            </w:pPr>
            <w:r>
              <w:rPr>
                <w:rFonts w:cs="Arial"/>
                <w:color w:val="000000"/>
                <w:sz w:val="20"/>
                <w:szCs w:val="20"/>
                <w:lang w:val="en-GB"/>
              </w:rPr>
              <w:t>-1,102</w:t>
            </w:r>
          </w:p>
        </w:tc>
        <w:tc>
          <w:tcPr>
            <w:tcW w:w="577" w:type="pct"/>
            <w:tcBorders>
              <w:top w:val="nil"/>
              <w:left w:val="nil"/>
              <w:bottom w:val="single" w:color="auto" w:sz="4" w:space="0"/>
              <w:right w:val="single" w:color="auto" w:sz="4" w:space="0"/>
            </w:tcBorders>
            <w:noWrap/>
            <w:vAlign w:val="bottom"/>
          </w:tcPr>
          <w:p w14:paraId="0D2F5B3E">
            <w:pPr>
              <w:jc w:val="right"/>
              <w:rPr>
                <w:rFonts w:cs="Arial"/>
                <w:color w:val="000000"/>
                <w:sz w:val="20"/>
                <w:szCs w:val="20"/>
                <w:lang w:val="en-GB"/>
              </w:rPr>
            </w:pPr>
            <w:r>
              <w:rPr>
                <w:rFonts w:cs="Arial"/>
                <w:color w:val="000000"/>
                <w:sz w:val="20"/>
                <w:szCs w:val="20"/>
                <w:lang w:val="en-GB"/>
              </w:rPr>
              <w:t>-821</w:t>
            </w:r>
          </w:p>
        </w:tc>
      </w:tr>
      <w:tr w14:paraId="393CDBCC">
        <w:tblPrEx>
          <w:tblCellMar>
            <w:top w:w="0" w:type="dxa"/>
            <w:left w:w="108" w:type="dxa"/>
            <w:bottom w:w="0" w:type="dxa"/>
            <w:right w:w="108" w:type="dxa"/>
          </w:tblCellMar>
        </w:tblPrEx>
        <w:trPr>
          <w:trHeight w:val="315" w:hRule="atLeast"/>
          <w:jc w:val="center"/>
        </w:trPr>
        <w:tc>
          <w:tcPr>
            <w:tcW w:w="856" w:type="pct"/>
            <w:tcBorders>
              <w:top w:val="nil"/>
              <w:left w:val="single" w:color="auto" w:sz="4" w:space="0"/>
              <w:bottom w:val="single" w:color="auto" w:sz="4" w:space="0"/>
              <w:right w:val="single" w:color="auto" w:sz="4" w:space="0"/>
            </w:tcBorders>
            <w:noWrap/>
            <w:vAlign w:val="bottom"/>
          </w:tcPr>
          <w:p w14:paraId="6BCDC2A7">
            <w:pPr>
              <w:jc w:val="left"/>
              <w:rPr>
                <w:rFonts w:cs="Arial"/>
                <w:b/>
                <w:bCs/>
                <w:i/>
                <w:iCs/>
                <w:color w:val="000000"/>
                <w:sz w:val="20"/>
                <w:szCs w:val="20"/>
                <w:lang w:val="en-GB"/>
              </w:rPr>
            </w:pPr>
            <w:r>
              <w:rPr>
                <w:rFonts w:cs="Arial"/>
                <w:b/>
                <w:bCs/>
                <w:i/>
                <w:iCs/>
                <w:color w:val="000000"/>
                <w:sz w:val="20"/>
                <w:szCs w:val="20"/>
                <w:lang w:val="en-GB"/>
              </w:rPr>
              <w:t>Debt-to-Capital Ratio</w:t>
            </w:r>
          </w:p>
        </w:tc>
        <w:tc>
          <w:tcPr>
            <w:tcW w:w="1259" w:type="pct"/>
            <w:tcBorders>
              <w:top w:val="nil"/>
              <w:left w:val="nil"/>
              <w:bottom w:val="single" w:color="auto" w:sz="4" w:space="0"/>
              <w:right w:val="single" w:color="auto" w:sz="4" w:space="0"/>
            </w:tcBorders>
            <w:noWrap/>
            <w:vAlign w:val="bottom"/>
          </w:tcPr>
          <w:p w14:paraId="4FB16718">
            <w:pPr>
              <w:jc w:val="left"/>
              <w:rPr>
                <w:rFonts w:cs="Arial"/>
                <w:b/>
                <w:bCs/>
                <w:i/>
                <w:iCs/>
                <w:color w:val="000000"/>
                <w:sz w:val="20"/>
                <w:szCs w:val="20"/>
                <w:lang w:val="en-GB"/>
              </w:rPr>
            </w:pPr>
            <w:r>
              <w:rPr>
                <w:rFonts w:cs="Arial"/>
                <w:b/>
                <w:bCs/>
                <w:i/>
                <w:iCs/>
                <w:color w:val="000000"/>
                <w:sz w:val="20"/>
                <w:szCs w:val="20"/>
                <w:lang w:val="en-GB"/>
              </w:rPr>
              <w:t>Total Debt / (Total Debt + Total Equity)</w:t>
            </w:r>
          </w:p>
        </w:tc>
        <w:tc>
          <w:tcPr>
            <w:tcW w:w="577" w:type="pct"/>
            <w:tcBorders>
              <w:top w:val="nil"/>
              <w:left w:val="nil"/>
              <w:bottom w:val="single" w:color="auto" w:sz="4" w:space="0"/>
              <w:right w:val="single" w:color="auto" w:sz="4" w:space="0"/>
            </w:tcBorders>
            <w:noWrap/>
            <w:vAlign w:val="bottom"/>
          </w:tcPr>
          <w:p w14:paraId="63CCE93F">
            <w:pPr>
              <w:jc w:val="right"/>
              <w:rPr>
                <w:rFonts w:cs="Arial"/>
                <w:b/>
                <w:bCs/>
                <w:i/>
                <w:iCs/>
                <w:color w:val="000000"/>
                <w:sz w:val="20"/>
                <w:szCs w:val="20"/>
                <w:lang w:val="en-GB"/>
              </w:rPr>
            </w:pPr>
            <w:r>
              <w:rPr>
                <w:rFonts w:cs="Arial"/>
                <w:b/>
                <w:bCs/>
                <w:i/>
                <w:iCs/>
                <w:color w:val="000000"/>
                <w:sz w:val="20"/>
                <w:szCs w:val="20"/>
                <w:lang w:val="en-GB"/>
              </w:rPr>
              <w:t>1.32</w:t>
            </w:r>
          </w:p>
        </w:tc>
        <w:tc>
          <w:tcPr>
            <w:tcW w:w="577" w:type="pct"/>
            <w:tcBorders>
              <w:top w:val="nil"/>
              <w:left w:val="nil"/>
              <w:bottom w:val="single" w:color="auto" w:sz="4" w:space="0"/>
              <w:right w:val="single" w:color="auto" w:sz="4" w:space="0"/>
            </w:tcBorders>
            <w:noWrap/>
            <w:vAlign w:val="bottom"/>
          </w:tcPr>
          <w:p w14:paraId="471CF472">
            <w:pPr>
              <w:jc w:val="right"/>
              <w:rPr>
                <w:rFonts w:cs="Arial"/>
                <w:b/>
                <w:bCs/>
                <w:i/>
                <w:iCs/>
                <w:color w:val="000000"/>
                <w:sz w:val="20"/>
                <w:szCs w:val="20"/>
                <w:lang w:val="en-GB"/>
              </w:rPr>
            </w:pPr>
            <w:r>
              <w:rPr>
                <w:rFonts w:cs="Arial"/>
                <w:b/>
                <w:bCs/>
                <w:i/>
                <w:iCs/>
                <w:color w:val="000000"/>
                <w:sz w:val="20"/>
                <w:szCs w:val="20"/>
                <w:lang w:val="en-GB"/>
              </w:rPr>
              <w:t>1.22</w:t>
            </w:r>
          </w:p>
        </w:tc>
        <w:tc>
          <w:tcPr>
            <w:tcW w:w="577" w:type="pct"/>
            <w:tcBorders>
              <w:top w:val="nil"/>
              <w:left w:val="nil"/>
              <w:bottom w:val="single" w:color="auto" w:sz="4" w:space="0"/>
              <w:right w:val="single" w:color="auto" w:sz="4" w:space="0"/>
            </w:tcBorders>
            <w:noWrap/>
            <w:vAlign w:val="bottom"/>
          </w:tcPr>
          <w:p w14:paraId="3CDA9C18">
            <w:pPr>
              <w:jc w:val="right"/>
              <w:rPr>
                <w:rFonts w:cs="Arial"/>
                <w:b/>
                <w:bCs/>
                <w:i/>
                <w:iCs/>
                <w:color w:val="000000"/>
                <w:sz w:val="20"/>
                <w:szCs w:val="20"/>
                <w:lang w:val="en-GB"/>
              </w:rPr>
            </w:pPr>
            <w:r>
              <w:rPr>
                <w:rFonts w:cs="Arial"/>
                <w:b/>
                <w:bCs/>
                <w:i/>
                <w:iCs/>
                <w:color w:val="000000"/>
                <w:sz w:val="20"/>
                <w:szCs w:val="20"/>
                <w:lang w:val="en-GB"/>
              </w:rPr>
              <w:t>1.15</w:t>
            </w:r>
          </w:p>
        </w:tc>
        <w:tc>
          <w:tcPr>
            <w:tcW w:w="577" w:type="pct"/>
            <w:tcBorders>
              <w:top w:val="nil"/>
              <w:left w:val="nil"/>
              <w:bottom w:val="single" w:color="auto" w:sz="4" w:space="0"/>
              <w:right w:val="single" w:color="auto" w:sz="4" w:space="0"/>
            </w:tcBorders>
            <w:noWrap/>
            <w:vAlign w:val="bottom"/>
          </w:tcPr>
          <w:p w14:paraId="29A32707">
            <w:pPr>
              <w:jc w:val="right"/>
              <w:rPr>
                <w:rFonts w:cs="Arial"/>
                <w:b/>
                <w:bCs/>
                <w:i/>
                <w:iCs/>
                <w:color w:val="000000"/>
                <w:sz w:val="20"/>
                <w:szCs w:val="20"/>
                <w:lang w:val="en-GB"/>
              </w:rPr>
            </w:pPr>
            <w:r>
              <w:rPr>
                <w:rFonts w:cs="Arial"/>
                <w:b/>
                <w:bCs/>
                <w:i/>
                <w:iCs/>
                <w:color w:val="000000"/>
                <w:sz w:val="20"/>
                <w:szCs w:val="20"/>
                <w:lang w:val="en-GB"/>
              </w:rPr>
              <w:t>1.07</w:t>
            </w:r>
          </w:p>
        </w:tc>
        <w:tc>
          <w:tcPr>
            <w:tcW w:w="577" w:type="pct"/>
            <w:tcBorders>
              <w:top w:val="nil"/>
              <w:left w:val="nil"/>
              <w:bottom w:val="single" w:color="auto" w:sz="4" w:space="0"/>
              <w:right w:val="single" w:color="auto" w:sz="4" w:space="0"/>
            </w:tcBorders>
            <w:noWrap/>
            <w:vAlign w:val="bottom"/>
          </w:tcPr>
          <w:p w14:paraId="731CF701">
            <w:pPr>
              <w:jc w:val="right"/>
              <w:rPr>
                <w:rFonts w:cs="Arial"/>
                <w:b/>
                <w:bCs/>
                <w:i/>
                <w:iCs/>
                <w:color w:val="000000"/>
                <w:sz w:val="20"/>
                <w:szCs w:val="20"/>
                <w:lang w:val="en-GB"/>
              </w:rPr>
            </w:pPr>
            <w:r>
              <w:rPr>
                <w:rFonts w:cs="Arial"/>
                <w:b/>
                <w:bCs/>
                <w:i/>
                <w:iCs/>
                <w:color w:val="000000"/>
                <w:sz w:val="20"/>
                <w:szCs w:val="20"/>
                <w:lang w:val="en-GB"/>
              </w:rPr>
              <w:t>1.05</w:t>
            </w:r>
          </w:p>
        </w:tc>
      </w:tr>
      <w:tr w14:paraId="075123BD">
        <w:tblPrEx>
          <w:tblCellMar>
            <w:top w:w="0" w:type="dxa"/>
            <w:left w:w="108" w:type="dxa"/>
            <w:bottom w:w="0" w:type="dxa"/>
            <w:right w:w="108" w:type="dxa"/>
          </w:tblCellMar>
        </w:tblPrEx>
        <w:trPr>
          <w:trHeight w:val="315" w:hRule="atLeast"/>
          <w:jc w:val="center"/>
        </w:trPr>
        <w:tc>
          <w:tcPr>
            <w:tcW w:w="856" w:type="pct"/>
            <w:tcBorders>
              <w:top w:val="nil"/>
              <w:left w:val="single" w:color="auto" w:sz="4" w:space="0"/>
              <w:bottom w:val="single" w:color="auto" w:sz="4" w:space="0"/>
              <w:right w:val="single" w:color="auto" w:sz="4" w:space="0"/>
            </w:tcBorders>
            <w:noWrap/>
            <w:vAlign w:val="bottom"/>
          </w:tcPr>
          <w:p w14:paraId="6EC8F374">
            <w:pPr>
              <w:jc w:val="left"/>
              <w:rPr>
                <w:rFonts w:cs="Arial"/>
                <w:color w:val="000000"/>
                <w:sz w:val="20"/>
                <w:szCs w:val="20"/>
                <w:lang w:val="en-GB"/>
              </w:rPr>
            </w:pPr>
            <w:r>
              <w:rPr>
                <w:rFonts w:cs="Arial"/>
                <w:color w:val="000000"/>
                <w:sz w:val="20"/>
                <w:szCs w:val="20"/>
                <w:lang w:val="en-GB"/>
              </w:rPr>
              <w:t>Total Liabilities (Total Debt)</w:t>
            </w:r>
          </w:p>
        </w:tc>
        <w:tc>
          <w:tcPr>
            <w:tcW w:w="1259" w:type="pct"/>
            <w:tcBorders>
              <w:top w:val="nil"/>
              <w:left w:val="nil"/>
              <w:bottom w:val="single" w:color="auto" w:sz="4" w:space="0"/>
              <w:right w:val="single" w:color="auto" w:sz="4" w:space="0"/>
            </w:tcBorders>
            <w:noWrap/>
            <w:vAlign w:val="bottom"/>
          </w:tcPr>
          <w:p w14:paraId="2E309AE2">
            <w:pPr>
              <w:jc w:val="left"/>
              <w:rPr>
                <w:rFonts w:cs="Arial"/>
                <w:color w:val="000000"/>
                <w:sz w:val="20"/>
                <w:szCs w:val="20"/>
                <w:lang w:val="en-GB"/>
              </w:rPr>
            </w:pPr>
            <w:r>
              <w:rPr>
                <w:rFonts w:cs="Arial"/>
                <w:color w:val="000000"/>
                <w:sz w:val="20"/>
                <w:szCs w:val="20"/>
                <w:lang w:val="en-GB"/>
              </w:rPr>
              <w:t> </w:t>
            </w:r>
          </w:p>
        </w:tc>
        <w:tc>
          <w:tcPr>
            <w:tcW w:w="577" w:type="pct"/>
            <w:tcBorders>
              <w:top w:val="nil"/>
              <w:left w:val="nil"/>
              <w:bottom w:val="single" w:color="auto" w:sz="4" w:space="0"/>
              <w:right w:val="single" w:color="auto" w:sz="4" w:space="0"/>
            </w:tcBorders>
            <w:noWrap/>
            <w:vAlign w:val="bottom"/>
          </w:tcPr>
          <w:p w14:paraId="19B29FC1">
            <w:pPr>
              <w:jc w:val="right"/>
              <w:rPr>
                <w:rFonts w:cs="Arial"/>
                <w:color w:val="000000"/>
                <w:sz w:val="20"/>
                <w:szCs w:val="20"/>
                <w:lang w:val="en-GB"/>
              </w:rPr>
            </w:pPr>
            <w:r>
              <w:rPr>
                <w:rFonts w:cs="Arial"/>
                <w:color w:val="000000"/>
                <w:sz w:val="20"/>
                <w:szCs w:val="20"/>
                <w:lang w:val="en-GB"/>
              </w:rPr>
              <w:t>22,120</w:t>
            </w:r>
          </w:p>
        </w:tc>
        <w:tc>
          <w:tcPr>
            <w:tcW w:w="577" w:type="pct"/>
            <w:tcBorders>
              <w:top w:val="nil"/>
              <w:left w:val="nil"/>
              <w:bottom w:val="single" w:color="auto" w:sz="4" w:space="0"/>
              <w:right w:val="single" w:color="auto" w:sz="4" w:space="0"/>
            </w:tcBorders>
            <w:noWrap/>
            <w:vAlign w:val="bottom"/>
          </w:tcPr>
          <w:p w14:paraId="74A765CF">
            <w:pPr>
              <w:jc w:val="right"/>
              <w:rPr>
                <w:rFonts w:cs="Arial"/>
                <w:color w:val="000000"/>
                <w:sz w:val="20"/>
                <w:szCs w:val="20"/>
                <w:lang w:val="en-GB"/>
              </w:rPr>
            </w:pPr>
            <w:r>
              <w:rPr>
                <w:rFonts w:cs="Arial"/>
                <w:color w:val="000000"/>
                <w:sz w:val="20"/>
                <w:szCs w:val="20"/>
                <w:lang w:val="en-GB"/>
              </w:rPr>
              <w:t>20,211</w:t>
            </w:r>
          </w:p>
        </w:tc>
        <w:tc>
          <w:tcPr>
            <w:tcW w:w="577" w:type="pct"/>
            <w:tcBorders>
              <w:top w:val="nil"/>
              <w:left w:val="nil"/>
              <w:bottom w:val="single" w:color="auto" w:sz="4" w:space="0"/>
              <w:right w:val="single" w:color="auto" w:sz="4" w:space="0"/>
            </w:tcBorders>
            <w:noWrap/>
            <w:vAlign w:val="bottom"/>
          </w:tcPr>
          <w:p w14:paraId="54F9A6F7">
            <w:pPr>
              <w:jc w:val="right"/>
              <w:rPr>
                <w:rFonts w:cs="Arial"/>
                <w:color w:val="000000"/>
                <w:sz w:val="20"/>
                <w:szCs w:val="20"/>
                <w:lang w:val="en-GB"/>
              </w:rPr>
            </w:pPr>
            <w:r>
              <w:rPr>
                <w:rFonts w:cs="Arial"/>
                <w:color w:val="000000"/>
                <w:sz w:val="20"/>
                <w:szCs w:val="20"/>
                <w:lang w:val="en-GB"/>
              </w:rPr>
              <w:t>17,748</w:t>
            </w:r>
          </w:p>
        </w:tc>
        <w:tc>
          <w:tcPr>
            <w:tcW w:w="577" w:type="pct"/>
            <w:tcBorders>
              <w:top w:val="nil"/>
              <w:left w:val="nil"/>
              <w:bottom w:val="single" w:color="auto" w:sz="4" w:space="0"/>
              <w:right w:val="single" w:color="auto" w:sz="4" w:space="0"/>
            </w:tcBorders>
            <w:noWrap/>
            <w:vAlign w:val="bottom"/>
          </w:tcPr>
          <w:p w14:paraId="088739CF">
            <w:pPr>
              <w:jc w:val="right"/>
              <w:rPr>
                <w:rFonts w:cs="Arial"/>
                <w:color w:val="000000"/>
                <w:sz w:val="20"/>
                <w:szCs w:val="20"/>
                <w:lang w:val="en-GB"/>
              </w:rPr>
            </w:pPr>
            <w:r>
              <w:rPr>
                <w:rFonts w:cs="Arial"/>
                <w:color w:val="000000"/>
                <w:sz w:val="20"/>
                <w:szCs w:val="20"/>
                <w:lang w:val="en-GB"/>
              </w:rPr>
              <w:t>16,610</w:t>
            </w:r>
          </w:p>
        </w:tc>
        <w:tc>
          <w:tcPr>
            <w:tcW w:w="577" w:type="pct"/>
            <w:tcBorders>
              <w:top w:val="nil"/>
              <w:left w:val="nil"/>
              <w:bottom w:val="single" w:color="auto" w:sz="4" w:space="0"/>
              <w:right w:val="single" w:color="auto" w:sz="4" w:space="0"/>
            </w:tcBorders>
            <w:noWrap/>
            <w:vAlign w:val="bottom"/>
          </w:tcPr>
          <w:p w14:paraId="46C17924">
            <w:pPr>
              <w:jc w:val="right"/>
              <w:rPr>
                <w:rFonts w:cs="Arial"/>
                <w:color w:val="000000"/>
                <w:sz w:val="20"/>
                <w:szCs w:val="20"/>
                <w:lang w:val="en-GB"/>
              </w:rPr>
            </w:pPr>
            <w:r>
              <w:rPr>
                <w:rFonts w:cs="Arial"/>
                <w:color w:val="000000"/>
                <w:sz w:val="20"/>
                <w:szCs w:val="20"/>
                <w:lang w:val="en-GB"/>
              </w:rPr>
              <w:t>16,260</w:t>
            </w:r>
          </w:p>
        </w:tc>
      </w:tr>
      <w:tr w14:paraId="02881F18">
        <w:tblPrEx>
          <w:tblCellMar>
            <w:top w:w="0" w:type="dxa"/>
            <w:left w:w="108" w:type="dxa"/>
            <w:bottom w:w="0" w:type="dxa"/>
            <w:right w:w="108" w:type="dxa"/>
          </w:tblCellMar>
        </w:tblPrEx>
        <w:trPr>
          <w:trHeight w:val="315" w:hRule="atLeast"/>
          <w:jc w:val="center"/>
        </w:trPr>
        <w:tc>
          <w:tcPr>
            <w:tcW w:w="856" w:type="pct"/>
            <w:tcBorders>
              <w:top w:val="nil"/>
              <w:left w:val="single" w:color="auto" w:sz="4" w:space="0"/>
              <w:bottom w:val="single" w:color="auto" w:sz="4" w:space="0"/>
              <w:right w:val="single" w:color="auto" w:sz="4" w:space="0"/>
            </w:tcBorders>
            <w:noWrap/>
            <w:vAlign w:val="bottom"/>
          </w:tcPr>
          <w:p w14:paraId="4ED4ABFA">
            <w:pPr>
              <w:jc w:val="left"/>
              <w:rPr>
                <w:rFonts w:cs="Arial"/>
                <w:color w:val="000000"/>
                <w:sz w:val="20"/>
                <w:szCs w:val="20"/>
                <w:lang w:val="en-GB"/>
              </w:rPr>
            </w:pPr>
            <w:r>
              <w:rPr>
                <w:rFonts w:cs="Arial"/>
                <w:color w:val="000000"/>
                <w:sz w:val="20"/>
                <w:szCs w:val="20"/>
                <w:lang w:val="en-GB"/>
              </w:rPr>
              <w:t>Total Equity</w:t>
            </w:r>
          </w:p>
        </w:tc>
        <w:tc>
          <w:tcPr>
            <w:tcW w:w="1259" w:type="pct"/>
            <w:tcBorders>
              <w:top w:val="nil"/>
              <w:left w:val="nil"/>
              <w:bottom w:val="single" w:color="auto" w:sz="4" w:space="0"/>
              <w:right w:val="single" w:color="auto" w:sz="4" w:space="0"/>
            </w:tcBorders>
            <w:noWrap/>
            <w:vAlign w:val="bottom"/>
          </w:tcPr>
          <w:p w14:paraId="4FD67700">
            <w:pPr>
              <w:jc w:val="left"/>
              <w:rPr>
                <w:rFonts w:cs="Arial"/>
                <w:color w:val="000000"/>
                <w:sz w:val="20"/>
                <w:szCs w:val="20"/>
                <w:lang w:val="en-GB"/>
              </w:rPr>
            </w:pPr>
            <w:r>
              <w:rPr>
                <w:rFonts w:cs="Arial"/>
                <w:color w:val="000000"/>
                <w:sz w:val="20"/>
                <w:szCs w:val="20"/>
                <w:lang w:val="en-GB"/>
              </w:rPr>
              <w:t> </w:t>
            </w:r>
          </w:p>
        </w:tc>
        <w:tc>
          <w:tcPr>
            <w:tcW w:w="577" w:type="pct"/>
            <w:tcBorders>
              <w:top w:val="nil"/>
              <w:left w:val="nil"/>
              <w:bottom w:val="single" w:color="auto" w:sz="4" w:space="0"/>
              <w:right w:val="single" w:color="auto" w:sz="4" w:space="0"/>
            </w:tcBorders>
            <w:noWrap/>
            <w:vAlign w:val="bottom"/>
          </w:tcPr>
          <w:p w14:paraId="71A02B64">
            <w:pPr>
              <w:jc w:val="right"/>
              <w:rPr>
                <w:rFonts w:cs="Arial"/>
                <w:color w:val="000000"/>
                <w:sz w:val="20"/>
                <w:szCs w:val="20"/>
                <w:lang w:val="en-GB"/>
              </w:rPr>
            </w:pPr>
            <w:r>
              <w:rPr>
                <w:rFonts w:cs="Arial"/>
                <w:color w:val="000000"/>
                <w:sz w:val="20"/>
                <w:szCs w:val="20"/>
                <w:lang w:val="en-GB"/>
              </w:rPr>
              <w:t>-5,359</w:t>
            </w:r>
          </w:p>
        </w:tc>
        <w:tc>
          <w:tcPr>
            <w:tcW w:w="577" w:type="pct"/>
            <w:tcBorders>
              <w:top w:val="nil"/>
              <w:left w:val="nil"/>
              <w:bottom w:val="single" w:color="auto" w:sz="4" w:space="0"/>
              <w:right w:val="single" w:color="auto" w:sz="4" w:space="0"/>
            </w:tcBorders>
            <w:noWrap/>
            <w:vAlign w:val="bottom"/>
          </w:tcPr>
          <w:p w14:paraId="28AD86DA">
            <w:pPr>
              <w:jc w:val="right"/>
              <w:rPr>
                <w:rFonts w:cs="Arial"/>
                <w:color w:val="000000"/>
                <w:sz w:val="20"/>
                <w:szCs w:val="20"/>
                <w:lang w:val="en-GB"/>
              </w:rPr>
            </w:pPr>
            <w:r>
              <w:rPr>
                <w:rFonts w:cs="Arial"/>
                <w:color w:val="000000"/>
                <w:sz w:val="20"/>
                <w:szCs w:val="20"/>
                <w:lang w:val="en-GB"/>
              </w:rPr>
              <w:t>-3,706</w:t>
            </w:r>
          </w:p>
        </w:tc>
        <w:tc>
          <w:tcPr>
            <w:tcW w:w="577" w:type="pct"/>
            <w:tcBorders>
              <w:top w:val="nil"/>
              <w:left w:val="nil"/>
              <w:bottom w:val="single" w:color="auto" w:sz="4" w:space="0"/>
              <w:right w:val="single" w:color="auto" w:sz="4" w:space="0"/>
            </w:tcBorders>
            <w:noWrap/>
            <w:vAlign w:val="bottom"/>
          </w:tcPr>
          <w:p w14:paraId="241B25D9">
            <w:pPr>
              <w:jc w:val="right"/>
              <w:rPr>
                <w:rFonts w:cs="Arial"/>
                <w:color w:val="000000"/>
                <w:sz w:val="20"/>
                <w:szCs w:val="20"/>
                <w:lang w:val="en-GB"/>
              </w:rPr>
            </w:pPr>
            <w:r>
              <w:rPr>
                <w:rFonts w:cs="Arial"/>
                <w:color w:val="000000"/>
                <w:sz w:val="20"/>
                <w:szCs w:val="20"/>
                <w:lang w:val="en-GB"/>
              </w:rPr>
              <w:t>-2,347</w:t>
            </w:r>
          </w:p>
        </w:tc>
        <w:tc>
          <w:tcPr>
            <w:tcW w:w="577" w:type="pct"/>
            <w:tcBorders>
              <w:top w:val="nil"/>
              <w:left w:val="nil"/>
              <w:bottom w:val="single" w:color="auto" w:sz="4" w:space="0"/>
              <w:right w:val="single" w:color="auto" w:sz="4" w:space="0"/>
            </w:tcBorders>
            <w:noWrap/>
            <w:vAlign w:val="bottom"/>
          </w:tcPr>
          <w:p w14:paraId="4087C8B4">
            <w:pPr>
              <w:jc w:val="right"/>
              <w:rPr>
                <w:rFonts w:cs="Arial"/>
                <w:color w:val="000000"/>
                <w:sz w:val="20"/>
                <w:szCs w:val="20"/>
                <w:lang w:val="en-GB"/>
              </w:rPr>
            </w:pPr>
            <w:r>
              <w:rPr>
                <w:rFonts w:cs="Arial"/>
                <w:color w:val="000000"/>
                <w:sz w:val="20"/>
                <w:szCs w:val="20"/>
                <w:lang w:val="en-GB"/>
              </w:rPr>
              <w:t>-1,098</w:t>
            </w:r>
          </w:p>
        </w:tc>
        <w:tc>
          <w:tcPr>
            <w:tcW w:w="577" w:type="pct"/>
            <w:tcBorders>
              <w:top w:val="nil"/>
              <w:left w:val="nil"/>
              <w:bottom w:val="single" w:color="auto" w:sz="4" w:space="0"/>
              <w:right w:val="single" w:color="auto" w:sz="4" w:space="0"/>
            </w:tcBorders>
            <w:noWrap/>
            <w:vAlign w:val="bottom"/>
          </w:tcPr>
          <w:p w14:paraId="342B772F">
            <w:pPr>
              <w:jc w:val="right"/>
              <w:rPr>
                <w:rFonts w:cs="Arial"/>
                <w:color w:val="000000"/>
                <w:sz w:val="20"/>
                <w:szCs w:val="20"/>
                <w:lang w:val="en-GB"/>
              </w:rPr>
            </w:pPr>
            <w:r>
              <w:rPr>
                <w:rFonts w:cs="Arial"/>
                <w:color w:val="000000"/>
                <w:sz w:val="20"/>
                <w:szCs w:val="20"/>
                <w:lang w:val="en-GB"/>
              </w:rPr>
              <w:t>-819</w:t>
            </w:r>
          </w:p>
        </w:tc>
      </w:tr>
    </w:tbl>
    <w:p w14:paraId="770463EA">
      <w:pPr>
        <w:jc w:val="center"/>
        <w:rPr>
          <w:rFonts w:cs="Arial"/>
          <w:lang w:val="en-GB"/>
        </w:rPr>
      </w:pPr>
      <w:r>
        <w:rPr>
          <w:rFonts w:cs="Arial"/>
          <w:lang w:val="en-GB"/>
        </w:rPr>
        <w:t>(Source: Hilton Annual report)</w:t>
      </w:r>
    </w:p>
    <w:tbl>
      <w:tblPr>
        <w:tblStyle w:val="9"/>
        <w:tblW w:w="5000" w:type="pct"/>
        <w:jc w:val="center"/>
        <w:tblLayout w:type="autofit"/>
        <w:tblCellMar>
          <w:top w:w="0" w:type="dxa"/>
          <w:left w:w="108" w:type="dxa"/>
          <w:bottom w:w="0" w:type="dxa"/>
          <w:right w:w="108" w:type="dxa"/>
        </w:tblCellMar>
      </w:tblPr>
      <w:tblGrid>
        <w:gridCol w:w="1804"/>
        <w:gridCol w:w="2011"/>
        <w:gridCol w:w="1152"/>
        <w:gridCol w:w="1152"/>
        <w:gridCol w:w="1152"/>
        <w:gridCol w:w="1152"/>
        <w:gridCol w:w="1153"/>
      </w:tblGrid>
      <w:tr w14:paraId="47BC3035">
        <w:tblPrEx>
          <w:tblCellMar>
            <w:top w:w="0" w:type="dxa"/>
            <w:left w:w="108" w:type="dxa"/>
            <w:bottom w:w="0" w:type="dxa"/>
            <w:right w:w="108" w:type="dxa"/>
          </w:tblCellMar>
        </w:tblPrEx>
        <w:trPr>
          <w:trHeight w:val="255"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000000" w:fill="8EA9DB"/>
            <w:noWrap/>
            <w:vAlign w:val="bottom"/>
          </w:tcPr>
          <w:p w14:paraId="742843C1">
            <w:pPr>
              <w:jc w:val="center"/>
              <w:rPr>
                <w:rFonts w:cs="Arial"/>
                <w:b/>
                <w:bCs/>
                <w:color w:val="000000"/>
                <w:sz w:val="20"/>
                <w:szCs w:val="20"/>
                <w:lang w:val="en-GB"/>
              </w:rPr>
            </w:pPr>
            <w:r>
              <w:rPr>
                <w:rFonts w:cs="Arial"/>
                <w:b/>
                <w:bCs/>
                <w:color w:val="000000"/>
                <w:sz w:val="20"/>
                <w:szCs w:val="20"/>
                <w:lang w:val="en-GB"/>
              </w:rPr>
              <w:t>Investment Ratio Analysis</w:t>
            </w:r>
          </w:p>
        </w:tc>
      </w:tr>
      <w:tr w14:paraId="57955822">
        <w:tblPrEx>
          <w:tblCellMar>
            <w:top w:w="0" w:type="dxa"/>
            <w:left w:w="108" w:type="dxa"/>
            <w:bottom w:w="0" w:type="dxa"/>
            <w:right w:w="108" w:type="dxa"/>
          </w:tblCellMar>
        </w:tblPrEx>
        <w:trPr>
          <w:trHeight w:val="270" w:hRule="atLeast"/>
          <w:jc w:val="center"/>
        </w:trPr>
        <w:tc>
          <w:tcPr>
            <w:tcW w:w="949" w:type="pct"/>
            <w:tcBorders>
              <w:top w:val="nil"/>
              <w:left w:val="single" w:color="auto" w:sz="4" w:space="0"/>
              <w:bottom w:val="single" w:color="auto" w:sz="4" w:space="0"/>
              <w:right w:val="single" w:color="auto" w:sz="4" w:space="0"/>
            </w:tcBorders>
            <w:noWrap/>
            <w:vAlign w:val="bottom"/>
          </w:tcPr>
          <w:p w14:paraId="19924D14">
            <w:pPr>
              <w:jc w:val="left"/>
              <w:rPr>
                <w:rFonts w:cs="Arial"/>
                <w:b/>
                <w:bCs/>
                <w:i/>
                <w:iCs/>
                <w:color w:val="000000"/>
                <w:sz w:val="20"/>
                <w:szCs w:val="20"/>
                <w:lang w:val="en-GB"/>
              </w:rPr>
            </w:pPr>
            <w:r>
              <w:rPr>
                <w:rFonts w:cs="Arial"/>
                <w:b/>
                <w:bCs/>
                <w:i/>
                <w:iCs/>
                <w:color w:val="000000"/>
                <w:sz w:val="20"/>
                <w:szCs w:val="20"/>
                <w:lang w:val="en-GB"/>
              </w:rPr>
              <w:t>Ratios</w:t>
            </w:r>
          </w:p>
        </w:tc>
        <w:tc>
          <w:tcPr>
            <w:tcW w:w="1033" w:type="pct"/>
            <w:tcBorders>
              <w:top w:val="nil"/>
              <w:left w:val="nil"/>
              <w:bottom w:val="single" w:color="auto" w:sz="4" w:space="0"/>
              <w:right w:val="single" w:color="auto" w:sz="4" w:space="0"/>
            </w:tcBorders>
            <w:noWrap/>
            <w:vAlign w:val="bottom"/>
          </w:tcPr>
          <w:p w14:paraId="1CA3BA5B">
            <w:pPr>
              <w:jc w:val="left"/>
              <w:rPr>
                <w:rFonts w:cs="Arial"/>
                <w:b/>
                <w:bCs/>
                <w:i/>
                <w:iCs/>
                <w:color w:val="000000"/>
                <w:sz w:val="20"/>
                <w:szCs w:val="20"/>
                <w:lang w:val="en-GB"/>
              </w:rPr>
            </w:pPr>
            <w:r>
              <w:rPr>
                <w:rFonts w:cs="Arial"/>
                <w:b/>
                <w:bCs/>
                <w:i/>
                <w:iCs/>
                <w:color w:val="000000"/>
                <w:sz w:val="20"/>
                <w:szCs w:val="20"/>
                <w:lang w:val="en-GB"/>
              </w:rPr>
              <w:t>Formula</w:t>
            </w:r>
          </w:p>
        </w:tc>
        <w:tc>
          <w:tcPr>
            <w:tcW w:w="604" w:type="pct"/>
            <w:tcBorders>
              <w:top w:val="nil"/>
              <w:left w:val="nil"/>
              <w:bottom w:val="single" w:color="auto" w:sz="4" w:space="0"/>
              <w:right w:val="single" w:color="auto" w:sz="4" w:space="0"/>
            </w:tcBorders>
            <w:noWrap/>
            <w:vAlign w:val="bottom"/>
          </w:tcPr>
          <w:p w14:paraId="5030F07A">
            <w:pPr>
              <w:jc w:val="left"/>
              <w:rPr>
                <w:rFonts w:cs="Arial"/>
                <w:b/>
                <w:bCs/>
                <w:i/>
                <w:iCs/>
                <w:color w:val="000000"/>
                <w:sz w:val="20"/>
                <w:szCs w:val="20"/>
                <w:lang w:val="en-GB"/>
              </w:rPr>
            </w:pPr>
            <w:r>
              <w:rPr>
                <w:rFonts w:cs="Arial"/>
                <w:b/>
                <w:bCs/>
                <w:i/>
                <w:iCs/>
                <w:color w:val="000000"/>
                <w:sz w:val="20"/>
                <w:szCs w:val="20"/>
                <w:lang w:val="en-GB"/>
              </w:rPr>
              <w:t>2025 ($, millions)</w:t>
            </w:r>
          </w:p>
        </w:tc>
        <w:tc>
          <w:tcPr>
            <w:tcW w:w="604" w:type="pct"/>
            <w:tcBorders>
              <w:top w:val="nil"/>
              <w:left w:val="nil"/>
              <w:bottom w:val="single" w:color="auto" w:sz="4" w:space="0"/>
              <w:right w:val="single" w:color="auto" w:sz="4" w:space="0"/>
            </w:tcBorders>
            <w:noWrap/>
            <w:vAlign w:val="bottom"/>
          </w:tcPr>
          <w:p w14:paraId="008653BD">
            <w:pPr>
              <w:jc w:val="left"/>
              <w:rPr>
                <w:rFonts w:cs="Arial"/>
                <w:b/>
                <w:bCs/>
                <w:i/>
                <w:iCs/>
                <w:color w:val="000000"/>
                <w:sz w:val="20"/>
                <w:szCs w:val="20"/>
                <w:lang w:val="en-GB"/>
              </w:rPr>
            </w:pPr>
            <w:r>
              <w:rPr>
                <w:rFonts w:cs="Arial"/>
                <w:b/>
                <w:bCs/>
                <w:i/>
                <w:iCs/>
                <w:color w:val="000000"/>
                <w:sz w:val="20"/>
                <w:szCs w:val="20"/>
                <w:lang w:val="en-GB"/>
              </w:rPr>
              <w:t>2024 ($, millions)</w:t>
            </w:r>
          </w:p>
        </w:tc>
        <w:tc>
          <w:tcPr>
            <w:tcW w:w="604" w:type="pct"/>
            <w:tcBorders>
              <w:top w:val="nil"/>
              <w:left w:val="nil"/>
              <w:bottom w:val="single" w:color="auto" w:sz="4" w:space="0"/>
              <w:right w:val="single" w:color="auto" w:sz="4" w:space="0"/>
            </w:tcBorders>
            <w:noWrap/>
            <w:vAlign w:val="bottom"/>
          </w:tcPr>
          <w:p w14:paraId="3C471DDA">
            <w:pPr>
              <w:jc w:val="left"/>
              <w:rPr>
                <w:rFonts w:cs="Arial"/>
                <w:b/>
                <w:bCs/>
                <w:i/>
                <w:iCs/>
                <w:color w:val="000000"/>
                <w:sz w:val="20"/>
                <w:szCs w:val="20"/>
                <w:lang w:val="en-GB"/>
              </w:rPr>
            </w:pPr>
            <w:r>
              <w:rPr>
                <w:rFonts w:cs="Arial"/>
                <w:b/>
                <w:bCs/>
                <w:i/>
                <w:iCs/>
                <w:color w:val="000000"/>
                <w:sz w:val="20"/>
                <w:szCs w:val="20"/>
                <w:lang w:val="en-GB"/>
              </w:rPr>
              <w:t>2023 ($, millions)</w:t>
            </w:r>
          </w:p>
        </w:tc>
        <w:tc>
          <w:tcPr>
            <w:tcW w:w="604" w:type="pct"/>
            <w:tcBorders>
              <w:top w:val="nil"/>
              <w:left w:val="nil"/>
              <w:bottom w:val="single" w:color="auto" w:sz="4" w:space="0"/>
              <w:right w:val="single" w:color="auto" w:sz="4" w:space="0"/>
            </w:tcBorders>
            <w:noWrap/>
            <w:vAlign w:val="bottom"/>
          </w:tcPr>
          <w:p w14:paraId="0F5103C6">
            <w:pPr>
              <w:jc w:val="left"/>
              <w:rPr>
                <w:rFonts w:cs="Arial"/>
                <w:b/>
                <w:bCs/>
                <w:i/>
                <w:iCs/>
                <w:color w:val="000000"/>
                <w:sz w:val="20"/>
                <w:szCs w:val="20"/>
                <w:lang w:val="en-GB"/>
              </w:rPr>
            </w:pPr>
            <w:r>
              <w:rPr>
                <w:rFonts w:cs="Arial"/>
                <w:b/>
                <w:bCs/>
                <w:i/>
                <w:iCs/>
                <w:color w:val="000000"/>
                <w:sz w:val="20"/>
                <w:szCs w:val="20"/>
                <w:lang w:val="en-GB"/>
              </w:rPr>
              <w:t>2022 ($, millions)</w:t>
            </w:r>
          </w:p>
        </w:tc>
        <w:tc>
          <w:tcPr>
            <w:tcW w:w="604" w:type="pct"/>
            <w:tcBorders>
              <w:top w:val="nil"/>
              <w:left w:val="nil"/>
              <w:bottom w:val="single" w:color="auto" w:sz="4" w:space="0"/>
              <w:right w:val="single" w:color="auto" w:sz="4" w:space="0"/>
            </w:tcBorders>
            <w:noWrap/>
            <w:vAlign w:val="bottom"/>
          </w:tcPr>
          <w:p w14:paraId="320A7E20">
            <w:pPr>
              <w:jc w:val="left"/>
              <w:rPr>
                <w:rFonts w:cs="Arial"/>
                <w:b/>
                <w:bCs/>
                <w:i/>
                <w:iCs/>
                <w:color w:val="000000"/>
                <w:sz w:val="20"/>
                <w:szCs w:val="20"/>
                <w:lang w:val="en-GB"/>
              </w:rPr>
            </w:pPr>
            <w:r>
              <w:rPr>
                <w:rFonts w:cs="Arial"/>
                <w:b/>
                <w:bCs/>
                <w:i/>
                <w:iCs/>
                <w:color w:val="000000"/>
                <w:sz w:val="20"/>
                <w:szCs w:val="20"/>
                <w:lang w:val="en-GB"/>
              </w:rPr>
              <w:t>2021 ($, millions)</w:t>
            </w:r>
          </w:p>
        </w:tc>
      </w:tr>
      <w:tr w14:paraId="4D720A4B">
        <w:tblPrEx>
          <w:tblCellMar>
            <w:top w:w="0" w:type="dxa"/>
            <w:left w:w="108" w:type="dxa"/>
            <w:bottom w:w="0" w:type="dxa"/>
            <w:right w:w="108" w:type="dxa"/>
          </w:tblCellMar>
        </w:tblPrEx>
        <w:trPr>
          <w:trHeight w:val="270" w:hRule="atLeast"/>
          <w:jc w:val="center"/>
        </w:trPr>
        <w:tc>
          <w:tcPr>
            <w:tcW w:w="949" w:type="pct"/>
            <w:tcBorders>
              <w:top w:val="nil"/>
              <w:left w:val="single" w:color="auto" w:sz="4" w:space="0"/>
              <w:bottom w:val="single" w:color="auto" w:sz="4" w:space="0"/>
              <w:right w:val="single" w:color="auto" w:sz="4" w:space="0"/>
            </w:tcBorders>
            <w:noWrap/>
            <w:vAlign w:val="bottom"/>
          </w:tcPr>
          <w:p w14:paraId="1762E745">
            <w:pPr>
              <w:jc w:val="left"/>
              <w:rPr>
                <w:rFonts w:cs="Arial"/>
                <w:b/>
                <w:bCs/>
                <w:i/>
                <w:iCs/>
                <w:color w:val="000000"/>
                <w:sz w:val="20"/>
                <w:szCs w:val="20"/>
                <w:lang w:val="en-GB"/>
              </w:rPr>
            </w:pPr>
            <w:r>
              <w:rPr>
                <w:rFonts w:cs="Arial"/>
                <w:b/>
                <w:bCs/>
                <w:i/>
                <w:iCs/>
                <w:color w:val="000000"/>
                <w:sz w:val="20"/>
                <w:szCs w:val="20"/>
                <w:lang w:val="en-GB"/>
              </w:rPr>
              <w:t>Earnings per share (Basic)</w:t>
            </w:r>
          </w:p>
        </w:tc>
        <w:tc>
          <w:tcPr>
            <w:tcW w:w="1033" w:type="pct"/>
            <w:tcBorders>
              <w:top w:val="nil"/>
              <w:left w:val="nil"/>
              <w:bottom w:val="single" w:color="auto" w:sz="4" w:space="0"/>
              <w:right w:val="single" w:color="auto" w:sz="4" w:space="0"/>
            </w:tcBorders>
            <w:noWrap/>
            <w:vAlign w:val="bottom"/>
          </w:tcPr>
          <w:p w14:paraId="484F1084">
            <w:pPr>
              <w:jc w:val="left"/>
              <w:rPr>
                <w:rFonts w:cs="Arial"/>
                <w:b/>
                <w:bCs/>
                <w:i/>
                <w:iCs/>
                <w:color w:val="000000"/>
                <w:sz w:val="20"/>
                <w:szCs w:val="20"/>
                <w:lang w:val="en-GB"/>
              </w:rPr>
            </w:pPr>
            <w:r>
              <w:rPr>
                <w:rFonts w:cs="Arial"/>
                <w:b/>
                <w:bCs/>
                <w:i/>
                <w:iCs/>
                <w:color w:val="000000"/>
                <w:sz w:val="20"/>
                <w:szCs w:val="20"/>
                <w:lang w:val="en-GB"/>
              </w:rPr>
              <w:t> </w:t>
            </w:r>
          </w:p>
        </w:tc>
        <w:tc>
          <w:tcPr>
            <w:tcW w:w="604" w:type="pct"/>
            <w:tcBorders>
              <w:top w:val="nil"/>
              <w:left w:val="nil"/>
              <w:bottom w:val="single" w:color="auto" w:sz="4" w:space="0"/>
              <w:right w:val="single" w:color="auto" w:sz="4" w:space="0"/>
            </w:tcBorders>
            <w:noWrap/>
            <w:vAlign w:val="bottom"/>
          </w:tcPr>
          <w:p w14:paraId="1C39789D">
            <w:pPr>
              <w:jc w:val="right"/>
              <w:rPr>
                <w:rFonts w:cs="Arial"/>
                <w:color w:val="000000"/>
                <w:sz w:val="20"/>
                <w:szCs w:val="20"/>
                <w:lang w:val="en-GB"/>
              </w:rPr>
            </w:pPr>
            <w:r>
              <w:rPr>
                <w:rFonts w:cs="Arial"/>
                <w:color w:val="000000"/>
                <w:sz w:val="20"/>
                <w:szCs w:val="20"/>
                <w:lang w:val="en-GB"/>
              </w:rPr>
              <w:t>6.12</w:t>
            </w:r>
          </w:p>
        </w:tc>
        <w:tc>
          <w:tcPr>
            <w:tcW w:w="604" w:type="pct"/>
            <w:tcBorders>
              <w:top w:val="nil"/>
              <w:left w:val="nil"/>
              <w:bottom w:val="single" w:color="auto" w:sz="4" w:space="0"/>
              <w:right w:val="single" w:color="auto" w:sz="4" w:space="0"/>
            </w:tcBorders>
            <w:noWrap/>
            <w:vAlign w:val="bottom"/>
          </w:tcPr>
          <w:p w14:paraId="63D4DEA6">
            <w:pPr>
              <w:jc w:val="right"/>
              <w:rPr>
                <w:rFonts w:cs="Arial"/>
                <w:color w:val="000000"/>
                <w:sz w:val="20"/>
                <w:szCs w:val="20"/>
                <w:lang w:val="en-GB"/>
              </w:rPr>
            </w:pPr>
            <w:r>
              <w:rPr>
                <w:rFonts w:cs="Arial"/>
                <w:color w:val="000000"/>
                <w:sz w:val="20"/>
                <w:szCs w:val="20"/>
                <w:lang w:val="en-GB"/>
              </w:rPr>
              <w:t>6.14</w:t>
            </w:r>
          </w:p>
        </w:tc>
        <w:tc>
          <w:tcPr>
            <w:tcW w:w="604" w:type="pct"/>
            <w:tcBorders>
              <w:top w:val="nil"/>
              <w:left w:val="nil"/>
              <w:bottom w:val="single" w:color="auto" w:sz="4" w:space="0"/>
              <w:right w:val="single" w:color="auto" w:sz="4" w:space="0"/>
            </w:tcBorders>
            <w:noWrap/>
            <w:vAlign w:val="bottom"/>
          </w:tcPr>
          <w:p w14:paraId="786E684F">
            <w:pPr>
              <w:jc w:val="right"/>
              <w:rPr>
                <w:rFonts w:cs="Arial"/>
                <w:color w:val="000000"/>
                <w:sz w:val="20"/>
                <w:szCs w:val="20"/>
                <w:lang w:val="en-GB"/>
              </w:rPr>
            </w:pPr>
            <w:r>
              <w:rPr>
                <w:rFonts w:cs="Arial"/>
                <w:color w:val="000000"/>
                <w:sz w:val="20"/>
                <w:szCs w:val="20"/>
                <w:lang w:val="en-GB"/>
              </w:rPr>
              <w:t>4.33</w:t>
            </w:r>
          </w:p>
        </w:tc>
        <w:tc>
          <w:tcPr>
            <w:tcW w:w="604" w:type="pct"/>
            <w:tcBorders>
              <w:top w:val="nil"/>
              <w:left w:val="nil"/>
              <w:bottom w:val="single" w:color="auto" w:sz="4" w:space="0"/>
              <w:right w:val="single" w:color="auto" w:sz="4" w:space="0"/>
            </w:tcBorders>
            <w:noWrap/>
            <w:vAlign w:val="bottom"/>
          </w:tcPr>
          <w:p w14:paraId="3EA48F04">
            <w:pPr>
              <w:jc w:val="right"/>
              <w:rPr>
                <w:rFonts w:cs="Arial"/>
                <w:color w:val="000000"/>
                <w:sz w:val="20"/>
                <w:szCs w:val="20"/>
                <w:lang w:val="en-GB"/>
              </w:rPr>
            </w:pPr>
            <w:r>
              <w:rPr>
                <w:rFonts w:cs="Arial"/>
                <w:color w:val="000000"/>
                <w:sz w:val="20"/>
                <w:szCs w:val="20"/>
                <w:lang w:val="en-GB"/>
              </w:rPr>
              <w:t>4.53</w:t>
            </w:r>
          </w:p>
        </w:tc>
        <w:tc>
          <w:tcPr>
            <w:tcW w:w="604" w:type="pct"/>
            <w:tcBorders>
              <w:top w:val="nil"/>
              <w:left w:val="nil"/>
              <w:bottom w:val="single" w:color="auto" w:sz="4" w:space="0"/>
              <w:right w:val="single" w:color="auto" w:sz="4" w:space="0"/>
            </w:tcBorders>
            <w:noWrap/>
            <w:vAlign w:val="bottom"/>
          </w:tcPr>
          <w:p w14:paraId="4A0F7115">
            <w:pPr>
              <w:jc w:val="right"/>
              <w:rPr>
                <w:rFonts w:cs="Arial"/>
                <w:color w:val="000000"/>
                <w:sz w:val="20"/>
                <w:szCs w:val="20"/>
                <w:lang w:val="en-GB"/>
              </w:rPr>
            </w:pPr>
            <w:r>
              <w:rPr>
                <w:rFonts w:cs="Arial"/>
                <w:color w:val="000000"/>
                <w:sz w:val="20"/>
                <w:szCs w:val="20"/>
                <w:lang w:val="en-GB"/>
              </w:rPr>
              <w:t>1.46</w:t>
            </w:r>
          </w:p>
        </w:tc>
      </w:tr>
      <w:tr w14:paraId="0268FB68">
        <w:tblPrEx>
          <w:tblCellMar>
            <w:top w:w="0" w:type="dxa"/>
            <w:left w:w="108" w:type="dxa"/>
            <w:bottom w:w="0" w:type="dxa"/>
            <w:right w:w="108" w:type="dxa"/>
          </w:tblCellMar>
        </w:tblPrEx>
        <w:trPr>
          <w:trHeight w:val="270" w:hRule="atLeast"/>
          <w:jc w:val="center"/>
        </w:trPr>
        <w:tc>
          <w:tcPr>
            <w:tcW w:w="949" w:type="pct"/>
            <w:tcBorders>
              <w:top w:val="nil"/>
              <w:left w:val="single" w:color="auto" w:sz="4" w:space="0"/>
              <w:bottom w:val="single" w:color="auto" w:sz="4" w:space="0"/>
              <w:right w:val="single" w:color="auto" w:sz="4" w:space="0"/>
            </w:tcBorders>
            <w:noWrap/>
            <w:vAlign w:val="bottom"/>
          </w:tcPr>
          <w:p w14:paraId="2B01CD05">
            <w:pPr>
              <w:jc w:val="left"/>
              <w:rPr>
                <w:rFonts w:cs="Arial"/>
                <w:b/>
                <w:bCs/>
                <w:i/>
                <w:iCs/>
                <w:color w:val="000000"/>
                <w:sz w:val="20"/>
                <w:szCs w:val="20"/>
                <w:lang w:val="en-GB"/>
              </w:rPr>
            </w:pPr>
            <w:r>
              <w:rPr>
                <w:rFonts w:cs="Arial"/>
                <w:b/>
                <w:bCs/>
                <w:i/>
                <w:iCs/>
                <w:color w:val="000000"/>
                <w:sz w:val="20"/>
                <w:szCs w:val="20"/>
                <w:lang w:val="en-GB"/>
              </w:rPr>
              <w:t>Price-to-Earnings (P/E) Ratio</w:t>
            </w:r>
          </w:p>
        </w:tc>
        <w:tc>
          <w:tcPr>
            <w:tcW w:w="1033" w:type="pct"/>
            <w:tcBorders>
              <w:top w:val="nil"/>
              <w:left w:val="nil"/>
              <w:bottom w:val="single" w:color="auto" w:sz="4" w:space="0"/>
              <w:right w:val="single" w:color="auto" w:sz="4" w:space="0"/>
            </w:tcBorders>
            <w:noWrap/>
            <w:vAlign w:val="bottom"/>
          </w:tcPr>
          <w:p w14:paraId="7F22F043">
            <w:pPr>
              <w:jc w:val="left"/>
              <w:rPr>
                <w:rFonts w:cs="Arial"/>
                <w:b/>
                <w:bCs/>
                <w:i/>
                <w:iCs/>
                <w:color w:val="000000"/>
                <w:sz w:val="20"/>
                <w:szCs w:val="20"/>
                <w:lang w:val="en-GB"/>
              </w:rPr>
            </w:pPr>
            <w:r>
              <w:rPr>
                <w:rFonts w:cs="Arial"/>
                <w:b/>
                <w:bCs/>
                <w:i/>
                <w:iCs/>
                <w:color w:val="000000"/>
                <w:sz w:val="20"/>
                <w:szCs w:val="20"/>
                <w:lang w:val="en-GB"/>
              </w:rPr>
              <w:t>(Share price/Earnings per share)</w:t>
            </w:r>
          </w:p>
        </w:tc>
        <w:tc>
          <w:tcPr>
            <w:tcW w:w="604" w:type="pct"/>
            <w:tcBorders>
              <w:top w:val="nil"/>
              <w:left w:val="nil"/>
              <w:bottom w:val="single" w:color="auto" w:sz="4" w:space="0"/>
              <w:right w:val="single" w:color="auto" w:sz="4" w:space="0"/>
            </w:tcBorders>
            <w:noWrap/>
            <w:vAlign w:val="bottom"/>
          </w:tcPr>
          <w:p w14:paraId="7A68240F">
            <w:pPr>
              <w:jc w:val="right"/>
              <w:rPr>
                <w:rFonts w:cs="Arial"/>
                <w:b/>
                <w:bCs/>
                <w:i/>
                <w:iCs/>
                <w:color w:val="000000"/>
                <w:sz w:val="20"/>
                <w:szCs w:val="20"/>
                <w:lang w:val="en-GB"/>
              </w:rPr>
            </w:pPr>
            <w:r>
              <w:rPr>
                <w:rFonts w:cs="Arial"/>
                <w:b/>
                <w:bCs/>
                <w:i/>
                <w:iCs/>
                <w:color w:val="000000"/>
                <w:sz w:val="20"/>
                <w:szCs w:val="20"/>
                <w:lang w:val="en-GB"/>
              </w:rPr>
              <w:t>46.89</w:t>
            </w:r>
          </w:p>
        </w:tc>
        <w:tc>
          <w:tcPr>
            <w:tcW w:w="604" w:type="pct"/>
            <w:tcBorders>
              <w:top w:val="nil"/>
              <w:left w:val="nil"/>
              <w:bottom w:val="single" w:color="auto" w:sz="4" w:space="0"/>
              <w:right w:val="single" w:color="auto" w:sz="4" w:space="0"/>
            </w:tcBorders>
            <w:noWrap/>
            <w:vAlign w:val="bottom"/>
          </w:tcPr>
          <w:p w14:paraId="083C5F0B">
            <w:pPr>
              <w:jc w:val="right"/>
              <w:rPr>
                <w:rFonts w:cs="Arial"/>
                <w:b/>
                <w:bCs/>
                <w:i/>
                <w:iCs/>
                <w:color w:val="000000"/>
                <w:sz w:val="20"/>
                <w:szCs w:val="20"/>
                <w:lang w:val="en-GB"/>
              </w:rPr>
            </w:pPr>
            <w:r>
              <w:rPr>
                <w:rFonts w:cs="Arial"/>
                <w:b/>
                <w:bCs/>
                <w:i/>
                <w:iCs/>
                <w:color w:val="000000"/>
                <w:sz w:val="20"/>
                <w:szCs w:val="20"/>
                <w:lang w:val="en-GB"/>
              </w:rPr>
              <w:t>40.13</w:t>
            </w:r>
          </w:p>
        </w:tc>
        <w:tc>
          <w:tcPr>
            <w:tcW w:w="604" w:type="pct"/>
            <w:tcBorders>
              <w:top w:val="nil"/>
              <w:left w:val="nil"/>
              <w:bottom w:val="single" w:color="auto" w:sz="4" w:space="0"/>
              <w:right w:val="single" w:color="auto" w:sz="4" w:space="0"/>
            </w:tcBorders>
            <w:noWrap/>
            <w:vAlign w:val="bottom"/>
          </w:tcPr>
          <w:p w14:paraId="0F16EBC3">
            <w:pPr>
              <w:jc w:val="right"/>
              <w:rPr>
                <w:rFonts w:cs="Arial"/>
                <w:b/>
                <w:bCs/>
                <w:i/>
                <w:iCs/>
                <w:color w:val="000000"/>
                <w:sz w:val="20"/>
                <w:szCs w:val="20"/>
                <w:lang w:val="en-GB"/>
              </w:rPr>
            </w:pPr>
            <w:r>
              <w:rPr>
                <w:rFonts w:cs="Arial"/>
                <w:b/>
                <w:bCs/>
                <w:i/>
                <w:iCs/>
                <w:color w:val="000000"/>
                <w:sz w:val="20"/>
                <w:szCs w:val="20"/>
                <w:lang w:val="en-GB"/>
              </w:rPr>
              <w:t>41.80</w:t>
            </w:r>
          </w:p>
        </w:tc>
        <w:tc>
          <w:tcPr>
            <w:tcW w:w="604" w:type="pct"/>
            <w:tcBorders>
              <w:top w:val="nil"/>
              <w:left w:val="nil"/>
              <w:bottom w:val="single" w:color="auto" w:sz="4" w:space="0"/>
              <w:right w:val="single" w:color="auto" w:sz="4" w:space="0"/>
            </w:tcBorders>
            <w:noWrap/>
            <w:vAlign w:val="bottom"/>
          </w:tcPr>
          <w:p w14:paraId="7D5F453E">
            <w:pPr>
              <w:jc w:val="right"/>
              <w:rPr>
                <w:rFonts w:cs="Arial"/>
                <w:b/>
                <w:bCs/>
                <w:i/>
                <w:iCs/>
                <w:color w:val="000000"/>
                <w:sz w:val="20"/>
                <w:szCs w:val="20"/>
                <w:lang w:val="en-GB"/>
              </w:rPr>
            </w:pPr>
            <w:r>
              <w:rPr>
                <w:rFonts w:cs="Arial"/>
                <w:b/>
                <w:bCs/>
                <w:i/>
                <w:iCs/>
                <w:color w:val="000000"/>
                <w:sz w:val="20"/>
                <w:szCs w:val="20"/>
                <w:lang w:val="en-GB"/>
              </w:rPr>
              <w:t>27.62</w:t>
            </w:r>
          </w:p>
        </w:tc>
        <w:tc>
          <w:tcPr>
            <w:tcW w:w="604" w:type="pct"/>
            <w:tcBorders>
              <w:top w:val="nil"/>
              <w:left w:val="nil"/>
              <w:bottom w:val="single" w:color="auto" w:sz="4" w:space="0"/>
              <w:right w:val="single" w:color="auto" w:sz="4" w:space="0"/>
            </w:tcBorders>
            <w:noWrap/>
            <w:vAlign w:val="bottom"/>
          </w:tcPr>
          <w:p w14:paraId="4AF05E93">
            <w:pPr>
              <w:jc w:val="right"/>
              <w:rPr>
                <w:rFonts w:cs="Arial"/>
                <w:b/>
                <w:bCs/>
                <w:i/>
                <w:iCs/>
                <w:color w:val="000000"/>
                <w:sz w:val="20"/>
                <w:szCs w:val="20"/>
                <w:lang w:val="en-GB"/>
              </w:rPr>
            </w:pPr>
            <w:r>
              <w:rPr>
                <w:rFonts w:cs="Arial"/>
                <w:b/>
                <w:bCs/>
                <w:i/>
                <w:iCs/>
                <w:color w:val="000000"/>
                <w:sz w:val="20"/>
                <w:szCs w:val="20"/>
                <w:lang w:val="en-GB"/>
              </w:rPr>
              <w:t>105.42</w:t>
            </w:r>
          </w:p>
        </w:tc>
      </w:tr>
      <w:tr w14:paraId="6014CA60">
        <w:tblPrEx>
          <w:tblCellMar>
            <w:top w:w="0" w:type="dxa"/>
            <w:left w:w="108" w:type="dxa"/>
            <w:bottom w:w="0" w:type="dxa"/>
            <w:right w:w="108" w:type="dxa"/>
          </w:tblCellMar>
        </w:tblPrEx>
        <w:trPr>
          <w:trHeight w:val="255" w:hRule="atLeast"/>
          <w:jc w:val="center"/>
        </w:trPr>
        <w:tc>
          <w:tcPr>
            <w:tcW w:w="949" w:type="pct"/>
            <w:tcBorders>
              <w:top w:val="nil"/>
              <w:left w:val="single" w:color="auto" w:sz="4" w:space="0"/>
              <w:bottom w:val="single" w:color="auto" w:sz="4" w:space="0"/>
              <w:right w:val="single" w:color="auto" w:sz="4" w:space="0"/>
            </w:tcBorders>
            <w:noWrap/>
            <w:vAlign w:val="bottom"/>
          </w:tcPr>
          <w:p w14:paraId="10817BA2">
            <w:pPr>
              <w:jc w:val="left"/>
              <w:rPr>
                <w:rFonts w:cs="Arial"/>
                <w:color w:val="000000"/>
                <w:sz w:val="20"/>
                <w:szCs w:val="20"/>
                <w:lang w:val="en-GB"/>
              </w:rPr>
            </w:pPr>
            <w:r>
              <w:rPr>
                <w:rFonts w:cs="Arial"/>
                <w:color w:val="000000"/>
                <w:sz w:val="20"/>
                <w:szCs w:val="20"/>
                <w:lang w:val="en-GB"/>
              </w:rPr>
              <w:t>Share price</w:t>
            </w:r>
          </w:p>
        </w:tc>
        <w:tc>
          <w:tcPr>
            <w:tcW w:w="1033" w:type="pct"/>
            <w:tcBorders>
              <w:top w:val="nil"/>
              <w:left w:val="nil"/>
              <w:bottom w:val="single" w:color="auto" w:sz="4" w:space="0"/>
              <w:right w:val="single" w:color="auto" w:sz="4" w:space="0"/>
            </w:tcBorders>
            <w:noWrap/>
            <w:vAlign w:val="bottom"/>
          </w:tcPr>
          <w:p w14:paraId="5270A7D5">
            <w:pPr>
              <w:jc w:val="left"/>
              <w:rPr>
                <w:rFonts w:cs="Arial"/>
                <w:color w:val="000000"/>
                <w:sz w:val="20"/>
                <w:szCs w:val="20"/>
                <w:lang w:val="en-GB"/>
              </w:rPr>
            </w:pPr>
            <w:r>
              <w:rPr>
                <w:rFonts w:cs="Arial"/>
                <w:color w:val="000000"/>
                <w:sz w:val="20"/>
                <w:szCs w:val="20"/>
                <w:lang w:val="en-GB"/>
              </w:rPr>
              <w:t> </w:t>
            </w:r>
          </w:p>
        </w:tc>
        <w:tc>
          <w:tcPr>
            <w:tcW w:w="604" w:type="pct"/>
            <w:tcBorders>
              <w:top w:val="nil"/>
              <w:left w:val="nil"/>
              <w:bottom w:val="single" w:color="auto" w:sz="4" w:space="0"/>
              <w:right w:val="single" w:color="auto" w:sz="4" w:space="0"/>
            </w:tcBorders>
            <w:noWrap/>
            <w:vAlign w:val="bottom"/>
          </w:tcPr>
          <w:p w14:paraId="46E366C7">
            <w:pPr>
              <w:jc w:val="right"/>
              <w:rPr>
                <w:rFonts w:cs="Arial"/>
                <w:color w:val="000000"/>
                <w:sz w:val="20"/>
                <w:szCs w:val="20"/>
                <w:lang w:val="en-GB"/>
              </w:rPr>
            </w:pPr>
            <w:r>
              <w:rPr>
                <w:rFonts w:cs="Arial"/>
                <w:color w:val="000000"/>
                <w:sz w:val="20"/>
                <w:szCs w:val="20"/>
                <w:lang w:val="en-GB"/>
              </w:rPr>
              <w:t>286.98</w:t>
            </w:r>
          </w:p>
        </w:tc>
        <w:tc>
          <w:tcPr>
            <w:tcW w:w="604" w:type="pct"/>
            <w:tcBorders>
              <w:top w:val="nil"/>
              <w:left w:val="nil"/>
              <w:bottom w:val="single" w:color="auto" w:sz="4" w:space="0"/>
              <w:right w:val="single" w:color="auto" w:sz="4" w:space="0"/>
            </w:tcBorders>
            <w:noWrap/>
            <w:vAlign w:val="bottom"/>
          </w:tcPr>
          <w:p w14:paraId="1CEAB650">
            <w:pPr>
              <w:jc w:val="right"/>
              <w:rPr>
                <w:rFonts w:cs="Arial"/>
                <w:color w:val="000000"/>
                <w:sz w:val="20"/>
                <w:szCs w:val="20"/>
                <w:lang w:val="en-GB"/>
              </w:rPr>
            </w:pPr>
            <w:r>
              <w:rPr>
                <w:rFonts w:cs="Arial"/>
                <w:color w:val="000000"/>
                <w:sz w:val="20"/>
                <w:szCs w:val="20"/>
                <w:lang w:val="en-GB"/>
              </w:rPr>
              <w:t>246.37</w:t>
            </w:r>
          </w:p>
        </w:tc>
        <w:tc>
          <w:tcPr>
            <w:tcW w:w="604" w:type="pct"/>
            <w:tcBorders>
              <w:top w:val="nil"/>
              <w:left w:val="nil"/>
              <w:bottom w:val="single" w:color="auto" w:sz="4" w:space="0"/>
              <w:right w:val="single" w:color="auto" w:sz="4" w:space="0"/>
            </w:tcBorders>
            <w:noWrap/>
            <w:vAlign w:val="bottom"/>
          </w:tcPr>
          <w:p w14:paraId="7360E29E">
            <w:pPr>
              <w:jc w:val="right"/>
              <w:rPr>
                <w:rFonts w:cs="Arial"/>
                <w:color w:val="000000"/>
                <w:sz w:val="20"/>
                <w:szCs w:val="20"/>
                <w:lang w:val="en-GB"/>
              </w:rPr>
            </w:pPr>
            <w:r>
              <w:rPr>
                <w:rFonts w:cs="Arial"/>
                <w:color w:val="000000"/>
                <w:sz w:val="20"/>
                <w:szCs w:val="20"/>
                <w:lang w:val="en-GB"/>
              </w:rPr>
              <w:t>181</w:t>
            </w:r>
          </w:p>
        </w:tc>
        <w:tc>
          <w:tcPr>
            <w:tcW w:w="604" w:type="pct"/>
            <w:tcBorders>
              <w:top w:val="nil"/>
              <w:left w:val="nil"/>
              <w:bottom w:val="single" w:color="auto" w:sz="4" w:space="0"/>
              <w:right w:val="single" w:color="auto" w:sz="4" w:space="0"/>
            </w:tcBorders>
            <w:noWrap/>
            <w:vAlign w:val="bottom"/>
          </w:tcPr>
          <w:p w14:paraId="66E2B325">
            <w:pPr>
              <w:jc w:val="right"/>
              <w:rPr>
                <w:rFonts w:cs="Arial"/>
                <w:color w:val="000000"/>
                <w:sz w:val="20"/>
                <w:szCs w:val="20"/>
                <w:lang w:val="en-GB"/>
              </w:rPr>
            </w:pPr>
            <w:r>
              <w:rPr>
                <w:rFonts w:cs="Arial"/>
                <w:color w:val="000000"/>
                <w:sz w:val="20"/>
                <w:szCs w:val="20"/>
                <w:lang w:val="en-GB"/>
              </w:rPr>
              <w:t>125.1</w:t>
            </w:r>
          </w:p>
        </w:tc>
        <w:tc>
          <w:tcPr>
            <w:tcW w:w="604" w:type="pct"/>
            <w:tcBorders>
              <w:top w:val="nil"/>
              <w:left w:val="nil"/>
              <w:bottom w:val="single" w:color="auto" w:sz="4" w:space="0"/>
              <w:right w:val="single" w:color="auto" w:sz="4" w:space="0"/>
            </w:tcBorders>
            <w:noWrap/>
            <w:vAlign w:val="bottom"/>
          </w:tcPr>
          <w:p w14:paraId="21FF7413">
            <w:pPr>
              <w:jc w:val="right"/>
              <w:rPr>
                <w:rFonts w:cs="Arial"/>
                <w:color w:val="000000"/>
                <w:sz w:val="20"/>
                <w:szCs w:val="20"/>
                <w:lang w:val="en-GB"/>
              </w:rPr>
            </w:pPr>
            <w:r>
              <w:rPr>
                <w:rFonts w:cs="Arial"/>
                <w:color w:val="000000"/>
                <w:sz w:val="20"/>
                <w:szCs w:val="20"/>
                <w:lang w:val="en-GB"/>
              </w:rPr>
              <w:t>153.91</w:t>
            </w:r>
          </w:p>
        </w:tc>
      </w:tr>
      <w:tr w14:paraId="5B083386">
        <w:tblPrEx>
          <w:tblCellMar>
            <w:top w:w="0" w:type="dxa"/>
            <w:left w:w="108" w:type="dxa"/>
            <w:bottom w:w="0" w:type="dxa"/>
            <w:right w:w="108" w:type="dxa"/>
          </w:tblCellMar>
        </w:tblPrEx>
        <w:trPr>
          <w:trHeight w:val="270" w:hRule="atLeast"/>
          <w:jc w:val="center"/>
        </w:trPr>
        <w:tc>
          <w:tcPr>
            <w:tcW w:w="949" w:type="pct"/>
            <w:tcBorders>
              <w:top w:val="nil"/>
              <w:left w:val="single" w:color="auto" w:sz="4" w:space="0"/>
              <w:bottom w:val="single" w:color="auto" w:sz="4" w:space="0"/>
              <w:right w:val="single" w:color="auto" w:sz="4" w:space="0"/>
            </w:tcBorders>
            <w:noWrap/>
            <w:vAlign w:val="bottom"/>
          </w:tcPr>
          <w:p w14:paraId="18A4BE09">
            <w:pPr>
              <w:jc w:val="left"/>
              <w:rPr>
                <w:rFonts w:cs="Arial"/>
                <w:color w:val="000000"/>
                <w:sz w:val="20"/>
                <w:szCs w:val="20"/>
                <w:lang w:val="en-GB"/>
              </w:rPr>
            </w:pPr>
            <w:r>
              <w:rPr>
                <w:rFonts w:cs="Arial"/>
                <w:color w:val="000000"/>
                <w:sz w:val="20"/>
                <w:szCs w:val="20"/>
                <w:lang w:val="en-GB"/>
              </w:rPr>
              <w:t>Earnings per share (Basic)</w:t>
            </w:r>
          </w:p>
        </w:tc>
        <w:tc>
          <w:tcPr>
            <w:tcW w:w="1033" w:type="pct"/>
            <w:tcBorders>
              <w:top w:val="nil"/>
              <w:left w:val="nil"/>
              <w:bottom w:val="single" w:color="auto" w:sz="4" w:space="0"/>
              <w:right w:val="single" w:color="auto" w:sz="4" w:space="0"/>
            </w:tcBorders>
            <w:noWrap/>
            <w:vAlign w:val="bottom"/>
          </w:tcPr>
          <w:p w14:paraId="031B2E19">
            <w:pPr>
              <w:jc w:val="left"/>
              <w:rPr>
                <w:rFonts w:cs="Arial"/>
                <w:color w:val="000000"/>
                <w:sz w:val="20"/>
                <w:szCs w:val="20"/>
                <w:lang w:val="en-GB"/>
              </w:rPr>
            </w:pPr>
            <w:r>
              <w:rPr>
                <w:rFonts w:cs="Arial"/>
                <w:color w:val="000000"/>
                <w:sz w:val="20"/>
                <w:szCs w:val="20"/>
                <w:lang w:val="en-GB"/>
              </w:rPr>
              <w:t> </w:t>
            </w:r>
          </w:p>
        </w:tc>
        <w:tc>
          <w:tcPr>
            <w:tcW w:w="604" w:type="pct"/>
            <w:tcBorders>
              <w:top w:val="nil"/>
              <w:left w:val="nil"/>
              <w:bottom w:val="single" w:color="auto" w:sz="4" w:space="0"/>
              <w:right w:val="single" w:color="auto" w:sz="4" w:space="0"/>
            </w:tcBorders>
            <w:noWrap/>
            <w:vAlign w:val="bottom"/>
          </w:tcPr>
          <w:p w14:paraId="44C42BDB">
            <w:pPr>
              <w:jc w:val="right"/>
              <w:rPr>
                <w:rFonts w:cs="Arial"/>
                <w:color w:val="000000"/>
                <w:sz w:val="20"/>
                <w:szCs w:val="20"/>
                <w:lang w:val="en-GB"/>
              </w:rPr>
            </w:pPr>
            <w:r>
              <w:rPr>
                <w:rFonts w:cs="Arial"/>
                <w:color w:val="000000"/>
                <w:sz w:val="20"/>
                <w:szCs w:val="20"/>
                <w:lang w:val="en-GB"/>
              </w:rPr>
              <w:t>6.12</w:t>
            </w:r>
          </w:p>
        </w:tc>
        <w:tc>
          <w:tcPr>
            <w:tcW w:w="604" w:type="pct"/>
            <w:tcBorders>
              <w:top w:val="nil"/>
              <w:left w:val="nil"/>
              <w:bottom w:val="single" w:color="auto" w:sz="4" w:space="0"/>
              <w:right w:val="single" w:color="auto" w:sz="4" w:space="0"/>
            </w:tcBorders>
            <w:noWrap/>
            <w:vAlign w:val="bottom"/>
          </w:tcPr>
          <w:p w14:paraId="34D341EF">
            <w:pPr>
              <w:jc w:val="right"/>
              <w:rPr>
                <w:rFonts w:cs="Arial"/>
                <w:color w:val="000000"/>
                <w:sz w:val="20"/>
                <w:szCs w:val="20"/>
                <w:lang w:val="en-GB"/>
              </w:rPr>
            </w:pPr>
            <w:r>
              <w:rPr>
                <w:rFonts w:cs="Arial"/>
                <w:color w:val="000000"/>
                <w:sz w:val="20"/>
                <w:szCs w:val="20"/>
                <w:lang w:val="en-GB"/>
              </w:rPr>
              <w:t>6.14</w:t>
            </w:r>
          </w:p>
        </w:tc>
        <w:tc>
          <w:tcPr>
            <w:tcW w:w="604" w:type="pct"/>
            <w:tcBorders>
              <w:top w:val="nil"/>
              <w:left w:val="nil"/>
              <w:bottom w:val="single" w:color="auto" w:sz="4" w:space="0"/>
              <w:right w:val="single" w:color="auto" w:sz="4" w:space="0"/>
            </w:tcBorders>
            <w:noWrap/>
            <w:vAlign w:val="bottom"/>
          </w:tcPr>
          <w:p w14:paraId="27954258">
            <w:pPr>
              <w:jc w:val="right"/>
              <w:rPr>
                <w:rFonts w:cs="Arial"/>
                <w:color w:val="000000"/>
                <w:sz w:val="20"/>
                <w:szCs w:val="20"/>
                <w:lang w:val="en-GB"/>
              </w:rPr>
            </w:pPr>
            <w:r>
              <w:rPr>
                <w:rFonts w:cs="Arial"/>
                <w:color w:val="000000"/>
                <w:sz w:val="20"/>
                <w:szCs w:val="20"/>
                <w:lang w:val="en-GB"/>
              </w:rPr>
              <w:t>4.33</w:t>
            </w:r>
          </w:p>
        </w:tc>
        <w:tc>
          <w:tcPr>
            <w:tcW w:w="604" w:type="pct"/>
            <w:tcBorders>
              <w:top w:val="nil"/>
              <w:left w:val="nil"/>
              <w:bottom w:val="single" w:color="auto" w:sz="4" w:space="0"/>
              <w:right w:val="single" w:color="auto" w:sz="4" w:space="0"/>
            </w:tcBorders>
            <w:noWrap/>
            <w:vAlign w:val="bottom"/>
          </w:tcPr>
          <w:p w14:paraId="241EFF9D">
            <w:pPr>
              <w:jc w:val="right"/>
              <w:rPr>
                <w:rFonts w:cs="Arial"/>
                <w:color w:val="000000"/>
                <w:sz w:val="20"/>
                <w:szCs w:val="20"/>
                <w:lang w:val="en-GB"/>
              </w:rPr>
            </w:pPr>
            <w:r>
              <w:rPr>
                <w:rFonts w:cs="Arial"/>
                <w:color w:val="000000"/>
                <w:sz w:val="20"/>
                <w:szCs w:val="20"/>
                <w:lang w:val="en-GB"/>
              </w:rPr>
              <w:t>4.53</w:t>
            </w:r>
          </w:p>
        </w:tc>
        <w:tc>
          <w:tcPr>
            <w:tcW w:w="604" w:type="pct"/>
            <w:tcBorders>
              <w:top w:val="nil"/>
              <w:left w:val="nil"/>
              <w:bottom w:val="single" w:color="auto" w:sz="4" w:space="0"/>
              <w:right w:val="single" w:color="auto" w:sz="4" w:space="0"/>
            </w:tcBorders>
            <w:noWrap/>
            <w:vAlign w:val="bottom"/>
          </w:tcPr>
          <w:p w14:paraId="5440F51D">
            <w:pPr>
              <w:jc w:val="right"/>
              <w:rPr>
                <w:rFonts w:cs="Arial"/>
                <w:color w:val="000000"/>
                <w:sz w:val="20"/>
                <w:szCs w:val="20"/>
                <w:lang w:val="en-GB"/>
              </w:rPr>
            </w:pPr>
            <w:r>
              <w:rPr>
                <w:rFonts w:cs="Arial"/>
                <w:color w:val="000000"/>
                <w:sz w:val="20"/>
                <w:szCs w:val="20"/>
                <w:lang w:val="en-GB"/>
              </w:rPr>
              <w:t>1.46</w:t>
            </w:r>
          </w:p>
        </w:tc>
      </w:tr>
    </w:tbl>
    <w:p w14:paraId="1316B9FA">
      <w:pPr>
        <w:jc w:val="center"/>
        <w:rPr>
          <w:rFonts w:cs="Arial"/>
          <w:lang w:val="en-GB"/>
        </w:rPr>
      </w:pPr>
      <w:r>
        <w:rPr>
          <w:rFonts w:cs="Arial"/>
          <w:lang w:val="en-GB"/>
        </w:rPr>
        <w:t>(Source: Hilton Annual report)</w:t>
      </w:r>
    </w:p>
    <w:tbl>
      <w:tblPr>
        <w:tblStyle w:val="9"/>
        <w:tblW w:w="5000" w:type="pct"/>
        <w:jc w:val="center"/>
        <w:tblLayout w:type="autofit"/>
        <w:tblCellMar>
          <w:top w:w="0" w:type="dxa"/>
          <w:left w:w="108" w:type="dxa"/>
          <w:bottom w:w="0" w:type="dxa"/>
          <w:right w:w="108" w:type="dxa"/>
        </w:tblCellMar>
      </w:tblPr>
      <w:tblGrid>
        <w:gridCol w:w="1650"/>
        <w:gridCol w:w="2324"/>
        <w:gridCol w:w="1120"/>
        <w:gridCol w:w="1120"/>
        <w:gridCol w:w="1120"/>
        <w:gridCol w:w="1121"/>
        <w:gridCol w:w="1121"/>
      </w:tblGrid>
      <w:tr w14:paraId="44527004">
        <w:tblPrEx>
          <w:tblCellMar>
            <w:top w:w="0" w:type="dxa"/>
            <w:left w:w="108" w:type="dxa"/>
            <w:bottom w:w="0" w:type="dxa"/>
            <w:right w:w="108" w:type="dxa"/>
          </w:tblCellMar>
        </w:tblPrEx>
        <w:trPr>
          <w:trHeight w:val="255"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000000" w:fill="8EA9DB"/>
            <w:noWrap/>
            <w:vAlign w:val="bottom"/>
          </w:tcPr>
          <w:p w14:paraId="0EA7541C">
            <w:pPr>
              <w:jc w:val="center"/>
              <w:rPr>
                <w:rFonts w:cs="Arial"/>
                <w:b/>
                <w:bCs/>
                <w:color w:val="000000"/>
                <w:sz w:val="20"/>
                <w:szCs w:val="20"/>
                <w:lang w:val="en-GB"/>
              </w:rPr>
            </w:pPr>
            <w:r>
              <w:rPr>
                <w:rFonts w:cs="Arial"/>
                <w:b/>
                <w:bCs/>
                <w:color w:val="000000"/>
                <w:sz w:val="20"/>
                <w:szCs w:val="20"/>
                <w:lang w:val="en-GB"/>
              </w:rPr>
              <w:t xml:space="preserve">Cash flow </w:t>
            </w:r>
          </w:p>
        </w:tc>
      </w:tr>
      <w:tr w14:paraId="0D85E247">
        <w:tblPrEx>
          <w:tblCellMar>
            <w:top w:w="0" w:type="dxa"/>
            <w:left w:w="108" w:type="dxa"/>
            <w:bottom w:w="0" w:type="dxa"/>
            <w:right w:w="108" w:type="dxa"/>
          </w:tblCellMar>
        </w:tblPrEx>
        <w:trPr>
          <w:trHeight w:val="270" w:hRule="atLeast"/>
          <w:jc w:val="center"/>
        </w:trPr>
        <w:tc>
          <w:tcPr>
            <w:tcW w:w="869" w:type="pct"/>
            <w:tcBorders>
              <w:top w:val="nil"/>
              <w:left w:val="single" w:color="auto" w:sz="4" w:space="0"/>
              <w:bottom w:val="single" w:color="auto" w:sz="4" w:space="0"/>
              <w:right w:val="single" w:color="auto" w:sz="4" w:space="0"/>
            </w:tcBorders>
            <w:noWrap/>
            <w:vAlign w:val="bottom"/>
          </w:tcPr>
          <w:p w14:paraId="29A02BFC">
            <w:pPr>
              <w:jc w:val="left"/>
              <w:rPr>
                <w:rFonts w:cs="Arial"/>
                <w:b/>
                <w:bCs/>
                <w:i/>
                <w:iCs/>
                <w:color w:val="000000"/>
                <w:sz w:val="20"/>
                <w:szCs w:val="20"/>
                <w:lang w:val="en-GB"/>
              </w:rPr>
            </w:pPr>
            <w:r>
              <w:rPr>
                <w:rFonts w:cs="Arial"/>
                <w:b/>
                <w:bCs/>
                <w:i/>
                <w:iCs/>
                <w:color w:val="000000"/>
                <w:sz w:val="20"/>
                <w:szCs w:val="20"/>
                <w:lang w:val="en-GB"/>
              </w:rPr>
              <w:t>Ratios</w:t>
            </w:r>
          </w:p>
        </w:tc>
        <w:tc>
          <w:tcPr>
            <w:tcW w:w="1204" w:type="pct"/>
            <w:tcBorders>
              <w:top w:val="nil"/>
              <w:left w:val="nil"/>
              <w:bottom w:val="single" w:color="auto" w:sz="4" w:space="0"/>
              <w:right w:val="single" w:color="auto" w:sz="4" w:space="0"/>
            </w:tcBorders>
            <w:noWrap/>
            <w:vAlign w:val="bottom"/>
          </w:tcPr>
          <w:p w14:paraId="00C436EC">
            <w:pPr>
              <w:jc w:val="left"/>
              <w:rPr>
                <w:rFonts w:cs="Arial"/>
                <w:b/>
                <w:bCs/>
                <w:i/>
                <w:iCs/>
                <w:color w:val="000000"/>
                <w:sz w:val="20"/>
                <w:szCs w:val="20"/>
                <w:lang w:val="en-GB"/>
              </w:rPr>
            </w:pPr>
            <w:r>
              <w:rPr>
                <w:rFonts w:cs="Arial"/>
                <w:b/>
                <w:bCs/>
                <w:i/>
                <w:iCs/>
                <w:color w:val="000000"/>
                <w:sz w:val="20"/>
                <w:szCs w:val="20"/>
                <w:lang w:val="en-GB"/>
              </w:rPr>
              <w:t>Formula</w:t>
            </w:r>
          </w:p>
        </w:tc>
        <w:tc>
          <w:tcPr>
            <w:tcW w:w="585" w:type="pct"/>
            <w:tcBorders>
              <w:top w:val="nil"/>
              <w:left w:val="nil"/>
              <w:bottom w:val="single" w:color="auto" w:sz="4" w:space="0"/>
              <w:right w:val="single" w:color="auto" w:sz="4" w:space="0"/>
            </w:tcBorders>
            <w:noWrap/>
            <w:vAlign w:val="bottom"/>
          </w:tcPr>
          <w:p w14:paraId="027B9D15">
            <w:pPr>
              <w:jc w:val="left"/>
              <w:rPr>
                <w:rFonts w:cs="Arial"/>
                <w:b/>
                <w:bCs/>
                <w:i/>
                <w:iCs/>
                <w:color w:val="000000"/>
                <w:sz w:val="20"/>
                <w:szCs w:val="20"/>
                <w:lang w:val="en-GB"/>
              </w:rPr>
            </w:pPr>
            <w:r>
              <w:rPr>
                <w:rFonts w:cs="Arial"/>
                <w:b/>
                <w:bCs/>
                <w:i/>
                <w:iCs/>
                <w:color w:val="000000"/>
                <w:sz w:val="20"/>
                <w:szCs w:val="20"/>
                <w:lang w:val="en-GB"/>
              </w:rPr>
              <w:t>2025 ($, millions)</w:t>
            </w:r>
          </w:p>
        </w:tc>
        <w:tc>
          <w:tcPr>
            <w:tcW w:w="586" w:type="pct"/>
            <w:tcBorders>
              <w:top w:val="nil"/>
              <w:left w:val="nil"/>
              <w:bottom w:val="single" w:color="auto" w:sz="4" w:space="0"/>
              <w:right w:val="single" w:color="auto" w:sz="4" w:space="0"/>
            </w:tcBorders>
            <w:noWrap/>
            <w:vAlign w:val="bottom"/>
          </w:tcPr>
          <w:p w14:paraId="5B45DB96">
            <w:pPr>
              <w:jc w:val="left"/>
              <w:rPr>
                <w:rFonts w:cs="Arial"/>
                <w:b/>
                <w:bCs/>
                <w:i/>
                <w:iCs/>
                <w:color w:val="000000"/>
                <w:sz w:val="20"/>
                <w:szCs w:val="20"/>
                <w:lang w:val="en-GB"/>
              </w:rPr>
            </w:pPr>
            <w:r>
              <w:rPr>
                <w:rFonts w:cs="Arial"/>
                <w:b/>
                <w:bCs/>
                <w:i/>
                <w:iCs/>
                <w:color w:val="000000"/>
                <w:sz w:val="20"/>
                <w:szCs w:val="20"/>
                <w:lang w:val="en-GB"/>
              </w:rPr>
              <w:t>2024 ($, millions)</w:t>
            </w:r>
          </w:p>
        </w:tc>
        <w:tc>
          <w:tcPr>
            <w:tcW w:w="586" w:type="pct"/>
            <w:tcBorders>
              <w:top w:val="nil"/>
              <w:left w:val="nil"/>
              <w:bottom w:val="single" w:color="auto" w:sz="4" w:space="0"/>
              <w:right w:val="single" w:color="auto" w:sz="4" w:space="0"/>
            </w:tcBorders>
            <w:noWrap/>
            <w:vAlign w:val="bottom"/>
          </w:tcPr>
          <w:p w14:paraId="2205EE3C">
            <w:pPr>
              <w:jc w:val="left"/>
              <w:rPr>
                <w:rFonts w:cs="Arial"/>
                <w:b/>
                <w:bCs/>
                <w:i/>
                <w:iCs/>
                <w:color w:val="000000"/>
                <w:sz w:val="20"/>
                <w:szCs w:val="20"/>
                <w:lang w:val="en-GB"/>
              </w:rPr>
            </w:pPr>
            <w:r>
              <w:rPr>
                <w:rFonts w:cs="Arial"/>
                <w:b/>
                <w:bCs/>
                <w:i/>
                <w:iCs/>
                <w:color w:val="000000"/>
                <w:sz w:val="20"/>
                <w:szCs w:val="20"/>
                <w:lang w:val="en-GB"/>
              </w:rPr>
              <w:t>2023 ($, millions)</w:t>
            </w:r>
          </w:p>
        </w:tc>
        <w:tc>
          <w:tcPr>
            <w:tcW w:w="586" w:type="pct"/>
            <w:tcBorders>
              <w:top w:val="nil"/>
              <w:left w:val="nil"/>
              <w:bottom w:val="single" w:color="auto" w:sz="4" w:space="0"/>
              <w:right w:val="single" w:color="auto" w:sz="4" w:space="0"/>
            </w:tcBorders>
            <w:noWrap/>
            <w:vAlign w:val="bottom"/>
          </w:tcPr>
          <w:p w14:paraId="58912BC4">
            <w:pPr>
              <w:jc w:val="left"/>
              <w:rPr>
                <w:rFonts w:cs="Arial"/>
                <w:b/>
                <w:bCs/>
                <w:i/>
                <w:iCs/>
                <w:color w:val="000000"/>
                <w:sz w:val="20"/>
                <w:szCs w:val="20"/>
                <w:lang w:val="en-GB"/>
              </w:rPr>
            </w:pPr>
            <w:r>
              <w:rPr>
                <w:rFonts w:cs="Arial"/>
                <w:b/>
                <w:bCs/>
                <w:i/>
                <w:iCs/>
                <w:color w:val="000000"/>
                <w:sz w:val="20"/>
                <w:szCs w:val="20"/>
                <w:lang w:val="en-GB"/>
              </w:rPr>
              <w:t>2022 ($, millions)</w:t>
            </w:r>
          </w:p>
        </w:tc>
        <w:tc>
          <w:tcPr>
            <w:tcW w:w="586" w:type="pct"/>
            <w:tcBorders>
              <w:top w:val="nil"/>
              <w:left w:val="nil"/>
              <w:bottom w:val="single" w:color="auto" w:sz="4" w:space="0"/>
              <w:right w:val="single" w:color="auto" w:sz="4" w:space="0"/>
            </w:tcBorders>
            <w:noWrap/>
            <w:vAlign w:val="bottom"/>
          </w:tcPr>
          <w:p w14:paraId="5448F257">
            <w:pPr>
              <w:jc w:val="left"/>
              <w:rPr>
                <w:rFonts w:cs="Arial"/>
                <w:b/>
                <w:bCs/>
                <w:i/>
                <w:iCs/>
                <w:color w:val="000000"/>
                <w:sz w:val="20"/>
                <w:szCs w:val="20"/>
                <w:lang w:val="en-GB"/>
              </w:rPr>
            </w:pPr>
            <w:r>
              <w:rPr>
                <w:rFonts w:cs="Arial"/>
                <w:b/>
                <w:bCs/>
                <w:i/>
                <w:iCs/>
                <w:color w:val="000000"/>
                <w:sz w:val="20"/>
                <w:szCs w:val="20"/>
                <w:lang w:val="en-GB"/>
              </w:rPr>
              <w:t>2021 ($, millions)</w:t>
            </w:r>
          </w:p>
        </w:tc>
      </w:tr>
      <w:tr w14:paraId="114E63A8">
        <w:tblPrEx>
          <w:tblCellMar>
            <w:top w:w="0" w:type="dxa"/>
            <w:left w:w="108" w:type="dxa"/>
            <w:bottom w:w="0" w:type="dxa"/>
            <w:right w:w="108" w:type="dxa"/>
          </w:tblCellMar>
        </w:tblPrEx>
        <w:trPr>
          <w:trHeight w:val="270" w:hRule="atLeast"/>
          <w:jc w:val="center"/>
        </w:trPr>
        <w:tc>
          <w:tcPr>
            <w:tcW w:w="869" w:type="pct"/>
            <w:tcBorders>
              <w:top w:val="nil"/>
              <w:left w:val="single" w:color="auto" w:sz="4" w:space="0"/>
              <w:bottom w:val="single" w:color="auto" w:sz="4" w:space="0"/>
              <w:right w:val="single" w:color="auto" w:sz="4" w:space="0"/>
            </w:tcBorders>
            <w:noWrap/>
            <w:vAlign w:val="bottom"/>
          </w:tcPr>
          <w:p w14:paraId="64467C22">
            <w:pPr>
              <w:jc w:val="left"/>
              <w:rPr>
                <w:rFonts w:cs="Arial"/>
                <w:b/>
                <w:bCs/>
                <w:i/>
                <w:iCs/>
                <w:color w:val="000000"/>
                <w:sz w:val="20"/>
                <w:szCs w:val="20"/>
                <w:lang w:val="en-GB"/>
              </w:rPr>
            </w:pPr>
            <w:r>
              <w:rPr>
                <w:rFonts w:cs="Arial"/>
                <w:b/>
                <w:bCs/>
                <w:i/>
                <w:iCs/>
                <w:color w:val="000000"/>
                <w:sz w:val="20"/>
                <w:szCs w:val="20"/>
                <w:lang w:val="en-GB"/>
              </w:rPr>
              <w:t>Cash Flow Coverage Ratio</w:t>
            </w:r>
          </w:p>
        </w:tc>
        <w:tc>
          <w:tcPr>
            <w:tcW w:w="1204" w:type="pct"/>
            <w:tcBorders>
              <w:top w:val="nil"/>
              <w:left w:val="nil"/>
              <w:bottom w:val="single" w:color="auto" w:sz="4" w:space="0"/>
              <w:right w:val="single" w:color="auto" w:sz="4" w:space="0"/>
            </w:tcBorders>
            <w:noWrap/>
            <w:vAlign w:val="bottom"/>
          </w:tcPr>
          <w:p w14:paraId="7F1502FC">
            <w:pPr>
              <w:jc w:val="left"/>
              <w:rPr>
                <w:rFonts w:cs="Arial"/>
                <w:b/>
                <w:bCs/>
                <w:i/>
                <w:iCs/>
                <w:color w:val="000000"/>
                <w:sz w:val="20"/>
                <w:szCs w:val="20"/>
                <w:lang w:val="en-GB"/>
              </w:rPr>
            </w:pPr>
            <w:r>
              <w:rPr>
                <w:rFonts w:cs="Arial"/>
                <w:b/>
                <w:bCs/>
                <w:i/>
                <w:iCs/>
                <w:color w:val="000000"/>
                <w:sz w:val="20"/>
                <w:szCs w:val="20"/>
                <w:lang w:val="en-GB"/>
              </w:rPr>
              <w:t>Operating Cash Flow/Total Debt</w:t>
            </w:r>
          </w:p>
        </w:tc>
        <w:tc>
          <w:tcPr>
            <w:tcW w:w="585" w:type="pct"/>
            <w:tcBorders>
              <w:top w:val="nil"/>
              <w:left w:val="nil"/>
              <w:bottom w:val="single" w:color="auto" w:sz="4" w:space="0"/>
              <w:right w:val="single" w:color="auto" w:sz="4" w:space="0"/>
            </w:tcBorders>
            <w:noWrap/>
            <w:vAlign w:val="bottom"/>
          </w:tcPr>
          <w:p w14:paraId="64206732">
            <w:pPr>
              <w:jc w:val="right"/>
              <w:rPr>
                <w:rFonts w:cs="Arial"/>
                <w:b/>
                <w:bCs/>
                <w:i/>
                <w:iCs/>
                <w:color w:val="000000"/>
                <w:sz w:val="20"/>
                <w:szCs w:val="20"/>
                <w:lang w:val="en-GB"/>
              </w:rPr>
            </w:pPr>
            <w:r>
              <w:rPr>
                <w:rFonts w:cs="Arial"/>
                <w:b/>
                <w:bCs/>
                <w:i/>
                <w:iCs/>
                <w:color w:val="000000"/>
                <w:sz w:val="20"/>
                <w:szCs w:val="20"/>
                <w:lang w:val="en-GB"/>
              </w:rPr>
              <w:t>0.10</w:t>
            </w:r>
          </w:p>
        </w:tc>
        <w:tc>
          <w:tcPr>
            <w:tcW w:w="586" w:type="pct"/>
            <w:tcBorders>
              <w:top w:val="nil"/>
              <w:left w:val="nil"/>
              <w:bottom w:val="single" w:color="auto" w:sz="4" w:space="0"/>
              <w:right w:val="single" w:color="auto" w:sz="4" w:space="0"/>
            </w:tcBorders>
            <w:noWrap/>
            <w:vAlign w:val="bottom"/>
          </w:tcPr>
          <w:p w14:paraId="4A23C780">
            <w:pPr>
              <w:jc w:val="right"/>
              <w:rPr>
                <w:rFonts w:cs="Arial"/>
                <w:b/>
                <w:bCs/>
                <w:i/>
                <w:iCs/>
                <w:color w:val="000000"/>
                <w:sz w:val="20"/>
                <w:szCs w:val="20"/>
                <w:lang w:val="en-GB"/>
              </w:rPr>
            </w:pPr>
            <w:r>
              <w:rPr>
                <w:rFonts w:cs="Arial"/>
                <w:b/>
                <w:bCs/>
                <w:i/>
                <w:iCs/>
                <w:color w:val="000000"/>
                <w:sz w:val="20"/>
                <w:szCs w:val="20"/>
                <w:lang w:val="en-GB"/>
              </w:rPr>
              <w:t>0.10</w:t>
            </w:r>
          </w:p>
        </w:tc>
        <w:tc>
          <w:tcPr>
            <w:tcW w:w="586" w:type="pct"/>
            <w:tcBorders>
              <w:top w:val="nil"/>
              <w:left w:val="nil"/>
              <w:bottom w:val="single" w:color="auto" w:sz="4" w:space="0"/>
              <w:right w:val="single" w:color="auto" w:sz="4" w:space="0"/>
            </w:tcBorders>
            <w:noWrap/>
            <w:vAlign w:val="bottom"/>
          </w:tcPr>
          <w:p w14:paraId="59A94746">
            <w:pPr>
              <w:jc w:val="right"/>
              <w:rPr>
                <w:rFonts w:cs="Arial"/>
                <w:b/>
                <w:bCs/>
                <w:i/>
                <w:iCs/>
                <w:color w:val="000000"/>
                <w:sz w:val="20"/>
                <w:szCs w:val="20"/>
                <w:lang w:val="en-GB"/>
              </w:rPr>
            </w:pPr>
            <w:r>
              <w:rPr>
                <w:rFonts w:cs="Arial"/>
                <w:b/>
                <w:bCs/>
                <w:i/>
                <w:iCs/>
                <w:color w:val="000000"/>
                <w:sz w:val="20"/>
                <w:szCs w:val="20"/>
                <w:lang w:val="en-GB"/>
              </w:rPr>
              <w:t>0.11</w:t>
            </w:r>
          </w:p>
        </w:tc>
        <w:tc>
          <w:tcPr>
            <w:tcW w:w="586" w:type="pct"/>
            <w:tcBorders>
              <w:top w:val="nil"/>
              <w:left w:val="nil"/>
              <w:bottom w:val="single" w:color="auto" w:sz="4" w:space="0"/>
              <w:right w:val="single" w:color="auto" w:sz="4" w:space="0"/>
            </w:tcBorders>
            <w:noWrap/>
            <w:vAlign w:val="bottom"/>
          </w:tcPr>
          <w:p w14:paraId="4E203719">
            <w:pPr>
              <w:jc w:val="right"/>
              <w:rPr>
                <w:rFonts w:cs="Arial"/>
                <w:b/>
                <w:bCs/>
                <w:i/>
                <w:iCs/>
                <w:color w:val="000000"/>
                <w:sz w:val="20"/>
                <w:szCs w:val="20"/>
                <w:lang w:val="en-GB"/>
              </w:rPr>
            </w:pPr>
            <w:r>
              <w:rPr>
                <w:rFonts w:cs="Arial"/>
                <w:b/>
                <w:bCs/>
                <w:i/>
                <w:iCs/>
                <w:color w:val="000000"/>
                <w:sz w:val="20"/>
                <w:szCs w:val="20"/>
                <w:lang w:val="en-GB"/>
              </w:rPr>
              <w:t>0.10</w:t>
            </w:r>
          </w:p>
        </w:tc>
        <w:tc>
          <w:tcPr>
            <w:tcW w:w="586" w:type="pct"/>
            <w:tcBorders>
              <w:top w:val="nil"/>
              <w:left w:val="nil"/>
              <w:bottom w:val="single" w:color="auto" w:sz="4" w:space="0"/>
              <w:right w:val="single" w:color="auto" w:sz="4" w:space="0"/>
            </w:tcBorders>
            <w:noWrap/>
            <w:vAlign w:val="bottom"/>
          </w:tcPr>
          <w:p w14:paraId="44EE9EC9">
            <w:pPr>
              <w:jc w:val="right"/>
              <w:rPr>
                <w:rFonts w:cs="Arial"/>
                <w:b/>
                <w:bCs/>
                <w:i/>
                <w:iCs/>
                <w:color w:val="000000"/>
                <w:sz w:val="20"/>
                <w:szCs w:val="20"/>
                <w:lang w:val="en-GB"/>
              </w:rPr>
            </w:pPr>
            <w:r>
              <w:rPr>
                <w:rFonts w:cs="Arial"/>
                <w:b/>
                <w:bCs/>
                <w:i/>
                <w:iCs/>
                <w:color w:val="000000"/>
                <w:sz w:val="20"/>
                <w:szCs w:val="20"/>
                <w:lang w:val="en-GB"/>
              </w:rPr>
              <w:t>0.01</w:t>
            </w:r>
          </w:p>
        </w:tc>
      </w:tr>
      <w:tr w14:paraId="26137FD9">
        <w:tblPrEx>
          <w:tblCellMar>
            <w:top w:w="0" w:type="dxa"/>
            <w:left w:w="108" w:type="dxa"/>
            <w:bottom w:w="0" w:type="dxa"/>
            <w:right w:w="108" w:type="dxa"/>
          </w:tblCellMar>
        </w:tblPrEx>
        <w:trPr>
          <w:trHeight w:val="270" w:hRule="atLeast"/>
          <w:jc w:val="center"/>
        </w:trPr>
        <w:tc>
          <w:tcPr>
            <w:tcW w:w="869" w:type="pct"/>
            <w:tcBorders>
              <w:top w:val="nil"/>
              <w:left w:val="single" w:color="auto" w:sz="4" w:space="0"/>
              <w:bottom w:val="single" w:color="auto" w:sz="4" w:space="0"/>
              <w:right w:val="single" w:color="auto" w:sz="4" w:space="0"/>
            </w:tcBorders>
            <w:noWrap/>
            <w:vAlign w:val="bottom"/>
          </w:tcPr>
          <w:p w14:paraId="0751E752">
            <w:pPr>
              <w:jc w:val="left"/>
              <w:rPr>
                <w:rFonts w:cs="Arial"/>
                <w:color w:val="000000"/>
                <w:sz w:val="20"/>
                <w:szCs w:val="20"/>
                <w:lang w:val="en-GB"/>
              </w:rPr>
            </w:pPr>
            <w:r>
              <w:rPr>
                <w:rFonts w:cs="Arial"/>
                <w:color w:val="000000"/>
                <w:sz w:val="20"/>
                <w:szCs w:val="20"/>
                <w:lang w:val="en-GB"/>
              </w:rPr>
              <w:t>Operating Cash Flow</w:t>
            </w:r>
          </w:p>
        </w:tc>
        <w:tc>
          <w:tcPr>
            <w:tcW w:w="1204" w:type="pct"/>
            <w:tcBorders>
              <w:top w:val="nil"/>
              <w:left w:val="nil"/>
              <w:bottom w:val="single" w:color="auto" w:sz="4" w:space="0"/>
              <w:right w:val="single" w:color="auto" w:sz="4" w:space="0"/>
            </w:tcBorders>
            <w:noWrap/>
            <w:vAlign w:val="bottom"/>
          </w:tcPr>
          <w:p w14:paraId="6C23EC9C">
            <w:pPr>
              <w:jc w:val="left"/>
              <w:rPr>
                <w:rFonts w:cs="Arial"/>
                <w:color w:val="000000"/>
                <w:sz w:val="20"/>
                <w:szCs w:val="20"/>
                <w:lang w:val="en-GB"/>
              </w:rPr>
            </w:pPr>
            <w:r>
              <w:rPr>
                <w:rFonts w:cs="Arial"/>
                <w:color w:val="000000"/>
                <w:sz w:val="20"/>
                <w:szCs w:val="20"/>
                <w:lang w:val="en-GB"/>
              </w:rPr>
              <w:t> </w:t>
            </w:r>
          </w:p>
        </w:tc>
        <w:tc>
          <w:tcPr>
            <w:tcW w:w="585" w:type="pct"/>
            <w:tcBorders>
              <w:top w:val="nil"/>
              <w:left w:val="nil"/>
              <w:bottom w:val="single" w:color="auto" w:sz="4" w:space="0"/>
              <w:right w:val="single" w:color="auto" w:sz="4" w:space="0"/>
            </w:tcBorders>
            <w:noWrap/>
            <w:vAlign w:val="bottom"/>
          </w:tcPr>
          <w:p w14:paraId="393902E0">
            <w:pPr>
              <w:jc w:val="right"/>
              <w:rPr>
                <w:rFonts w:cs="Arial"/>
                <w:color w:val="000000"/>
                <w:sz w:val="20"/>
                <w:szCs w:val="20"/>
                <w:lang w:val="en-GB"/>
              </w:rPr>
            </w:pPr>
            <w:r>
              <w:rPr>
                <w:rFonts w:cs="Arial"/>
                <w:color w:val="000000"/>
                <w:sz w:val="20"/>
                <w:szCs w:val="20"/>
                <w:lang w:val="en-GB"/>
              </w:rPr>
              <w:t>2,129</w:t>
            </w:r>
          </w:p>
        </w:tc>
        <w:tc>
          <w:tcPr>
            <w:tcW w:w="586" w:type="pct"/>
            <w:tcBorders>
              <w:top w:val="nil"/>
              <w:left w:val="nil"/>
              <w:bottom w:val="single" w:color="auto" w:sz="4" w:space="0"/>
              <w:right w:val="single" w:color="auto" w:sz="4" w:space="0"/>
            </w:tcBorders>
            <w:noWrap/>
            <w:vAlign w:val="bottom"/>
          </w:tcPr>
          <w:p w14:paraId="5B301BEC">
            <w:pPr>
              <w:jc w:val="right"/>
              <w:rPr>
                <w:rFonts w:cs="Arial"/>
                <w:color w:val="000000"/>
                <w:sz w:val="20"/>
                <w:szCs w:val="20"/>
                <w:lang w:val="en-GB"/>
              </w:rPr>
            </w:pPr>
            <w:r>
              <w:rPr>
                <w:rFonts w:cs="Arial"/>
                <w:color w:val="000000"/>
                <w:sz w:val="20"/>
                <w:szCs w:val="20"/>
                <w:lang w:val="en-GB"/>
              </w:rPr>
              <w:t>2,013</w:t>
            </w:r>
          </w:p>
        </w:tc>
        <w:tc>
          <w:tcPr>
            <w:tcW w:w="586" w:type="pct"/>
            <w:tcBorders>
              <w:top w:val="nil"/>
              <w:left w:val="nil"/>
              <w:bottom w:val="single" w:color="auto" w:sz="4" w:space="0"/>
              <w:right w:val="single" w:color="auto" w:sz="4" w:space="0"/>
            </w:tcBorders>
            <w:noWrap/>
            <w:vAlign w:val="bottom"/>
          </w:tcPr>
          <w:p w14:paraId="5FAC10B0">
            <w:pPr>
              <w:jc w:val="right"/>
              <w:rPr>
                <w:rFonts w:cs="Arial"/>
                <w:color w:val="000000"/>
                <w:sz w:val="20"/>
                <w:szCs w:val="20"/>
                <w:lang w:val="en-GB"/>
              </w:rPr>
            </w:pPr>
            <w:r>
              <w:rPr>
                <w:rFonts w:cs="Arial"/>
                <w:color w:val="000000"/>
                <w:sz w:val="20"/>
                <w:szCs w:val="20"/>
                <w:lang w:val="en-GB"/>
              </w:rPr>
              <w:t>1,946</w:t>
            </w:r>
          </w:p>
        </w:tc>
        <w:tc>
          <w:tcPr>
            <w:tcW w:w="586" w:type="pct"/>
            <w:tcBorders>
              <w:top w:val="nil"/>
              <w:left w:val="nil"/>
              <w:bottom w:val="single" w:color="auto" w:sz="4" w:space="0"/>
              <w:right w:val="single" w:color="auto" w:sz="4" w:space="0"/>
            </w:tcBorders>
            <w:noWrap/>
            <w:vAlign w:val="bottom"/>
          </w:tcPr>
          <w:p w14:paraId="6709159D">
            <w:pPr>
              <w:jc w:val="right"/>
              <w:rPr>
                <w:rFonts w:cs="Arial"/>
                <w:color w:val="000000"/>
                <w:sz w:val="20"/>
                <w:szCs w:val="20"/>
                <w:lang w:val="en-GB"/>
              </w:rPr>
            </w:pPr>
            <w:r>
              <w:rPr>
                <w:rFonts w:cs="Arial"/>
                <w:color w:val="000000"/>
                <w:sz w:val="20"/>
                <w:szCs w:val="20"/>
                <w:lang w:val="en-GB"/>
              </w:rPr>
              <w:t>1,681</w:t>
            </w:r>
          </w:p>
        </w:tc>
        <w:tc>
          <w:tcPr>
            <w:tcW w:w="586" w:type="pct"/>
            <w:tcBorders>
              <w:top w:val="nil"/>
              <w:left w:val="nil"/>
              <w:bottom w:val="single" w:color="auto" w:sz="4" w:space="0"/>
              <w:right w:val="single" w:color="auto" w:sz="4" w:space="0"/>
            </w:tcBorders>
            <w:noWrap/>
            <w:vAlign w:val="bottom"/>
          </w:tcPr>
          <w:p w14:paraId="628F1488">
            <w:pPr>
              <w:jc w:val="right"/>
              <w:rPr>
                <w:rFonts w:cs="Arial"/>
                <w:color w:val="000000"/>
                <w:sz w:val="20"/>
                <w:szCs w:val="20"/>
                <w:lang w:val="en-GB"/>
              </w:rPr>
            </w:pPr>
            <w:r>
              <w:rPr>
                <w:rFonts w:cs="Arial"/>
                <w:color w:val="000000"/>
                <w:sz w:val="20"/>
                <w:szCs w:val="20"/>
                <w:lang w:val="en-GB"/>
              </w:rPr>
              <w:t>109</w:t>
            </w:r>
          </w:p>
        </w:tc>
      </w:tr>
      <w:tr w14:paraId="7479216D">
        <w:tblPrEx>
          <w:tblCellMar>
            <w:top w:w="0" w:type="dxa"/>
            <w:left w:w="108" w:type="dxa"/>
            <w:bottom w:w="0" w:type="dxa"/>
            <w:right w:w="108" w:type="dxa"/>
          </w:tblCellMar>
        </w:tblPrEx>
        <w:trPr>
          <w:trHeight w:val="255" w:hRule="atLeast"/>
          <w:jc w:val="center"/>
        </w:trPr>
        <w:tc>
          <w:tcPr>
            <w:tcW w:w="869" w:type="pct"/>
            <w:tcBorders>
              <w:top w:val="nil"/>
              <w:left w:val="single" w:color="auto" w:sz="4" w:space="0"/>
              <w:bottom w:val="single" w:color="auto" w:sz="4" w:space="0"/>
              <w:right w:val="single" w:color="auto" w:sz="4" w:space="0"/>
            </w:tcBorders>
            <w:noWrap/>
            <w:vAlign w:val="bottom"/>
          </w:tcPr>
          <w:p w14:paraId="551C6486">
            <w:pPr>
              <w:jc w:val="left"/>
              <w:rPr>
                <w:rFonts w:cs="Arial"/>
                <w:color w:val="000000"/>
                <w:sz w:val="20"/>
                <w:szCs w:val="20"/>
                <w:lang w:val="en-GB"/>
              </w:rPr>
            </w:pPr>
            <w:r>
              <w:rPr>
                <w:rFonts w:cs="Arial"/>
                <w:color w:val="000000"/>
                <w:sz w:val="20"/>
                <w:szCs w:val="20"/>
                <w:lang w:val="en-GB"/>
              </w:rPr>
              <w:t>Total Liabilities (Total Debt)</w:t>
            </w:r>
          </w:p>
        </w:tc>
        <w:tc>
          <w:tcPr>
            <w:tcW w:w="1204" w:type="pct"/>
            <w:tcBorders>
              <w:top w:val="nil"/>
              <w:left w:val="nil"/>
              <w:bottom w:val="single" w:color="auto" w:sz="4" w:space="0"/>
              <w:right w:val="single" w:color="auto" w:sz="4" w:space="0"/>
            </w:tcBorders>
            <w:noWrap/>
            <w:vAlign w:val="bottom"/>
          </w:tcPr>
          <w:p w14:paraId="3D494777">
            <w:pPr>
              <w:jc w:val="left"/>
              <w:rPr>
                <w:rFonts w:cs="Arial"/>
                <w:color w:val="000000"/>
                <w:sz w:val="20"/>
                <w:szCs w:val="20"/>
                <w:lang w:val="en-GB"/>
              </w:rPr>
            </w:pPr>
            <w:r>
              <w:rPr>
                <w:rFonts w:cs="Arial"/>
                <w:color w:val="000000"/>
                <w:sz w:val="20"/>
                <w:szCs w:val="20"/>
                <w:lang w:val="en-GB"/>
              </w:rPr>
              <w:t> </w:t>
            </w:r>
          </w:p>
        </w:tc>
        <w:tc>
          <w:tcPr>
            <w:tcW w:w="585" w:type="pct"/>
            <w:tcBorders>
              <w:top w:val="nil"/>
              <w:left w:val="nil"/>
              <w:bottom w:val="single" w:color="auto" w:sz="4" w:space="0"/>
              <w:right w:val="single" w:color="auto" w:sz="4" w:space="0"/>
            </w:tcBorders>
            <w:noWrap/>
            <w:vAlign w:val="bottom"/>
          </w:tcPr>
          <w:p w14:paraId="3F477174">
            <w:pPr>
              <w:jc w:val="right"/>
              <w:rPr>
                <w:rFonts w:cs="Arial"/>
                <w:color w:val="000000"/>
                <w:sz w:val="20"/>
                <w:szCs w:val="20"/>
                <w:lang w:val="en-GB"/>
              </w:rPr>
            </w:pPr>
            <w:r>
              <w:rPr>
                <w:rFonts w:cs="Arial"/>
                <w:color w:val="000000"/>
                <w:sz w:val="20"/>
                <w:szCs w:val="20"/>
                <w:lang w:val="en-GB"/>
              </w:rPr>
              <w:t>22,120</w:t>
            </w:r>
          </w:p>
        </w:tc>
        <w:tc>
          <w:tcPr>
            <w:tcW w:w="586" w:type="pct"/>
            <w:tcBorders>
              <w:top w:val="nil"/>
              <w:left w:val="nil"/>
              <w:bottom w:val="single" w:color="auto" w:sz="4" w:space="0"/>
              <w:right w:val="single" w:color="auto" w:sz="4" w:space="0"/>
            </w:tcBorders>
            <w:noWrap/>
            <w:vAlign w:val="bottom"/>
          </w:tcPr>
          <w:p w14:paraId="32D84516">
            <w:pPr>
              <w:jc w:val="right"/>
              <w:rPr>
                <w:rFonts w:cs="Arial"/>
                <w:color w:val="000000"/>
                <w:sz w:val="20"/>
                <w:szCs w:val="20"/>
                <w:lang w:val="en-GB"/>
              </w:rPr>
            </w:pPr>
            <w:r>
              <w:rPr>
                <w:rFonts w:cs="Arial"/>
                <w:color w:val="000000"/>
                <w:sz w:val="20"/>
                <w:szCs w:val="20"/>
                <w:lang w:val="en-GB"/>
              </w:rPr>
              <w:t>20,211</w:t>
            </w:r>
          </w:p>
        </w:tc>
        <w:tc>
          <w:tcPr>
            <w:tcW w:w="586" w:type="pct"/>
            <w:tcBorders>
              <w:top w:val="nil"/>
              <w:left w:val="nil"/>
              <w:bottom w:val="single" w:color="auto" w:sz="4" w:space="0"/>
              <w:right w:val="single" w:color="auto" w:sz="4" w:space="0"/>
            </w:tcBorders>
            <w:noWrap/>
            <w:vAlign w:val="bottom"/>
          </w:tcPr>
          <w:p w14:paraId="2DDF1D95">
            <w:pPr>
              <w:jc w:val="right"/>
              <w:rPr>
                <w:rFonts w:cs="Arial"/>
                <w:color w:val="000000"/>
                <w:sz w:val="20"/>
                <w:szCs w:val="20"/>
                <w:lang w:val="en-GB"/>
              </w:rPr>
            </w:pPr>
            <w:r>
              <w:rPr>
                <w:rFonts w:cs="Arial"/>
                <w:color w:val="000000"/>
                <w:sz w:val="20"/>
                <w:szCs w:val="20"/>
                <w:lang w:val="en-GB"/>
              </w:rPr>
              <w:t>17,748</w:t>
            </w:r>
          </w:p>
        </w:tc>
        <w:tc>
          <w:tcPr>
            <w:tcW w:w="586" w:type="pct"/>
            <w:tcBorders>
              <w:top w:val="nil"/>
              <w:left w:val="nil"/>
              <w:bottom w:val="single" w:color="auto" w:sz="4" w:space="0"/>
              <w:right w:val="single" w:color="auto" w:sz="4" w:space="0"/>
            </w:tcBorders>
            <w:noWrap/>
            <w:vAlign w:val="bottom"/>
          </w:tcPr>
          <w:p w14:paraId="637EA6A2">
            <w:pPr>
              <w:jc w:val="right"/>
              <w:rPr>
                <w:rFonts w:cs="Arial"/>
                <w:color w:val="000000"/>
                <w:sz w:val="20"/>
                <w:szCs w:val="20"/>
                <w:lang w:val="en-GB"/>
              </w:rPr>
            </w:pPr>
            <w:r>
              <w:rPr>
                <w:rFonts w:cs="Arial"/>
                <w:color w:val="000000"/>
                <w:sz w:val="20"/>
                <w:szCs w:val="20"/>
                <w:lang w:val="en-GB"/>
              </w:rPr>
              <w:t>16,610</w:t>
            </w:r>
          </w:p>
        </w:tc>
        <w:tc>
          <w:tcPr>
            <w:tcW w:w="586" w:type="pct"/>
            <w:tcBorders>
              <w:top w:val="nil"/>
              <w:left w:val="nil"/>
              <w:bottom w:val="single" w:color="auto" w:sz="4" w:space="0"/>
              <w:right w:val="single" w:color="auto" w:sz="4" w:space="0"/>
            </w:tcBorders>
            <w:noWrap/>
            <w:vAlign w:val="bottom"/>
          </w:tcPr>
          <w:p w14:paraId="0CCB75F6">
            <w:pPr>
              <w:jc w:val="right"/>
              <w:rPr>
                <w:rFonts w:cs="Arial"/>
                <w:color w:val="000000"/>
                <w:sz w:val="20"/>
                <w:szCs w:val="20"/>
                <w:lang w:val="en-GB"/>
              </w:rPr>
            </w:pPr>
            <w:r>
              <w:rPr>
                <w:rFonts w:cs="Arial"/>
                <w:color w:val="000000"/>
                <w:sz w:val="20"/>
                <w:szCs w:val="20"/>
                <w:lang w:val="en-GB"/>
              </w:rPr>
              <w:t>16,260</w:t>
            </w:r>
          </w:p>
        </w:tc>
      </w:tr>
      <w:tr w14:paraId="72FC5365">
        <w:tblPrEx>
          <w:tblCellMar>
            <w:top w:w="0" w:type="dxa"/>
            <w:left w:w="108" w:type="dxa"/>
            <w:bottom w:w="0" w:type="dxa"/>
            <w:right w:w="108" w:type="dxa"/>
          </w:tblCellMar>
        </w:tblPrEx>
        <w:trPr>
          <w:trHeight w:val="270" w:hRule="atLeast"/>
          <w:jc w:val="center"/>
        </w:trPr>
        <w:tc>
          <w:tcPr>
            <w:tcW w:w="869" w:type="pct"/>
            <w:tcBorders>
              <w:top w:val="nil"/>
              <w:left w:val="single" w:color="auto" w:sz="4" w:space="0"/>
              <w:bottom w:val="single" w:color="auto" w:sz="4" w:space="0"/>
              <w:right w:val="single" w:color="auto" w:sz="4" w:space="0"/>
            </w:tcBorders>
            <w:noWrap/>
            <w:vAlign w:val="bottom"/>
          </w:tcPr>
          <w:p w14:paraId="6604423D">
            <w:pPr>
              <w:jc w:val="left"/>
              <w:rPr>
                <w:rFonts w:cs="Arial"/>
                <w:b/>
                <w:bCs/>
                <w:i/>
                <w:iCs/>
                <w:color w:val="000000"/>
                <w:sz w:val="20"/>
                <w:szCs w:val="20"/>
                <w:lang w:val="en-GB"/>
              </w:rPr>
            </w:pPr>
            <w:r>
              <w:rPr>
                <w:rFonts w:cs="Arial"/>
                <w:b/>
                <w:bCs/>
                <w:i/>
                <w:iCs/>
                <w:color w:val="000000"/>
                <w:sz w:val="20"/>
                <w:szCs w:val="20"/>
                <w:lang w:val="en-GB"/>
              </w:rPr>
              <w:t>Operating Cash Flow Ratio</w:t>
            </w:r>
          </w:p>
        </w:tc>
        <w:tc>
          <w:tcPr>
            <w:tcW w:w="1204" w:type="pct"/>
            <w:tcBorders>
              <w:top w:val="nil"/>
              <w:left w:val="nil"/>
              <w:bottom w:val="single" w:color="auto" w:sz="4" w:space="0"/>
              <w:right w:val="single" w:color="auto" w:sz="4" w:space="0"/>
            </w:tcBorders>
            <w:noWrap/>
            <w:vAlign w:val="bottom"/>
          </w:tcPr>
          <w:p w14:paraId="4C6E10E0">
            <w:pPr>
              <w:jc w:val="left"/>
              <w:rPr>
                <w:rFonts w:cs="Arial"/>
                <w:b/>
                <w:bCs/>
                <w:i/>
                <w:iCs/>
                <w:color w:val="000000"/>
                <w:sz w:val="20"/>
                <w:szCs w:val="20"/>
                <w:lang w:val="en-GB"/>
              </w:rPr>
            </w:pPr>
            <w:r>
              <w:rPr>
                <w:rFonts w:cs="Arial"/>
                <w:b/>
                <w:bCs/>
                <w:i/>
                <w:iCs/>
                <w:color w:val="000000"/>
                <w:sz w:val="20"/>
                <w:szCs w:val="20"/>
                <w:lang w:val="en-GB"/>
              </w:rPr>
              <w:t>Operating Cash Flow/Current Liabilities</w:t>
            </w:r>
          </w:p>
        </w:tc>
        <w:tc>
          <w:tcPr>
            <w:tcW w:w="585" w:type="pct"/>
            <w:tcBorders>
              <w:top w:val="nil"/>
              <w:left w:val="nil"/>
              <w:bottom w:val="single" w:color="auto" w:sz="4" w:space="0"/>
              <w:right w:val="single" w:color="auto" w:sz="4" w:space="0"/>
            </w:tcBorders>
            <w:noWrap/>
            <w:vAlign w:val="bottom"/>
          </w:tcPr>
          <w:p w14:paraId="358A3EBD">
            <w:pPr>
              <w:jc w:val="right"/>
              <w:rPr>
                <w:rFonts w:cs="Arial"/>
                <w:b/>
                <w:bCs/>
                <w:i/>
                <w:iCs/>
                <w:color w:val="000000"/>
                <w:sz w:val="20"/>
                <w:szCs w:val="20"/>
                <w:lang w:val="en-GB"/>
              </w:rPr>
            </w:pPr>
            <w:r>
              <w:rPr>
                <w:rFonts w:cs="Arial"/>
                <w:b/>
                <w:bCs/>
                <w:i/>
                <w:iCs/>
                <w:color w:val="000000"/>
                <w:sz w:val="20"/>
                <w:szCs w:val="20"/>
                <w:lang w:val="en-GB"/>
              </w:rPr>
              <w:t>0.47</w:t>
            </w:r>
          </w:p>
        </w:tc>
        <w:tc>
          <w:tcPr>
            <w:tcW w:w="586" w:type="pct"/>
            <w:tcBorders>
              <w:top w:val="nil"/>
              <w:left w:val="nil"/>
              <w:bottom w:val="single" w:color="auto" w:sz="4" w:space="0"/>
              <w:right w:val="single" w:color="auto" w:sz="4" w:space="0"/>
            </w:tcBorders>
            <w:noWrap/>
            <w:vAlign w:val="bottom"/>
          </w:tcPr>
          <w:p w14:paraId="13959894">
            <w:pPr>
              <w:jc w:val="right"/>
              <w:rPr>
                <w:rFonts w:cs="Arial"/>
                <w:b/>
                <w:bCs/>
                <w:i/>
                <w:iCs/>
                <w:color w:val="000000"/>
                <w:sz w:val="20"/>
                <w:szCs w:val="20"/>
                <w:lang w:val="en-GB"/>
              </w:rPr>
            </w:pPr>
            <w:r>
              <w:rPr>
                <w:rFonts w:cs="Arial"/>
                <w:b/>
                <w:bCs/>
                <w:i/>
                <w:iCs/>
                <w:color w:val="000000"/>
                <w:sz w:val="20"/>
                <w:szCs w:val="20"/>
                <w:lang w:val="en-GB"/>
              </w:rPr>
              <w:t>0.43</w:t>
            </w:r>
          </w:p>
        </w:tc>
        <w:tc>
          <w:tcPr>
            <w:tcW w:w="586" w:type="pct"/>
            <w:tcBorders>
              <w:top w:val="nil"/>
              <w:left w:val="nil"/>
              <w:bottom w:val="single" w:color="auto" w:sz="4" w:space="0"/>
              <w:right w:val="single" w:color="auto" w:sz="4" w:space="0"/>
            </w:tcBorders>
            <w:noWrap/>
            <w:vAlign w:val="bottom"/>
          </w:tcPr>
          <w:p w14:paraId="6D0B16EB">
            <w:pPr>
              <w:jc w:val="right"/>
              <w:rPr>
                <w:rFonts w:cs="Arial"/>
                <w:b/>
                <w:bCs/>
                <w:i/>
                <w:iCs/>
                <w:color w:val="000000"/>
                <w:sz w:val="20"/>
                <w:szCs w:val="20"/>
                <w:lang w:val="en-GB"/>
              </w:rPr>
            </w:pPr>
            <w:r>
              <w:rPr>
                <w:rFonts w:cs="Arial"/>
                <w:b/>
                <w:bCs/>
                <w:i/>
                <w:iCs/>
                <w:color w:val="000000"/>
                <w:sz w:val="20"/>
                <w:szCs w:val="20"/>
                <w:lang w:val="en-GB"/>
              </w:rPr>
              <w:t>0.52</w:t>
            </w:r>
          </w:p>
        </w:tc>
        <w:tc>
          <w:tcPr>
            <w:tcW w:w="586" w:type="pct"/>
            <w:tcBorders>
              <w:top w:val="nil"/>
              <w:left w:val="nil"/>
              <w:bottom w:val="single" w:color="auto" w:sz="4" w:space="0"/>
              <w:right w:val="single" w:color="auto" w:sz="4" w:space="0"/>
            </w:tcBorders>
            <w:noWrap/>
            <w:vAlign w:val="bottom"/>
          </w:tcPr>
          <w:p w14:paraId="5D7B1534">
            <w:pPr>
              <w:jc w:val="right"/>
              <w:rPr>
                <w:rFonts w:cs="Arial"/>
                <w:b/>
                <w:bCs/>
                <w:i/>
                <w:iCs/>
                <w:color w:val="000000"/>
                <w:sz w:val="20"/>
                <w:szCs w:val="20"/>
                <w:lang w:val="en-GB"/>
              </w:rPr>
            </w:pPr>
            <w:r>
              <w:rPr>
                <w:rFonts w:cs="Arial"/>
                <w:b/>
                <w:bCs/>
                <w:i/>
                <w:iCs/>
                <w:color w:val="000000"/>
                <w:sz w:val="20"/>
                <w:szCs w:val="20"/>
                <w:lang w:val="en-GB"/>
              </w:rPr>
              <w:t>0.50</w:t>
            </w:r>
          </w:p>
        </w:tc>
        <w:tc>
          <w:tcPr>
            <w:tcW w:w="586" w:type="pct"/>
            <w:tcBorders>
              <w:top w:val="nil"/>
              <w:left w:val="nil"/>
              <w:bottom w:val="single" w:color="auto" w:sz="4" w:space="0"/>
              <w:right w:val="single" w:color="auto" w:sz="4" w:space="0"/>
            </w:tcBorders>
            <w:noWrap/>
            <w:vAlign w:val="bottom"/>
          </w:tcPr>
          <w:p w14:paraId="55E95204">
            <w:pPr>
              <w:jc w:val="right"/>
              <w:rPr>
                <w:rFonts w:cs="Arial"/>
                <w:b/>
                <w:bCs/>
                <w:i/>
                <w:iCs/>
                <w:color w:val="000000"/>
                <w:sz w:val="20"/>
                <w:szCs w:val="20"/>
                <w:lang w:val="en-GB"/>
              </w:rPr>
            </w:pPr>
            <w:r>
              <w:rPr>
                <w:rFonts w:cs="Arial"/>
                <w:b/>
                <w:bCs/>
                <w:i/>
                <w:iCs/>
                <w:color w:val="000000"/>
                <w:sz w:val="20"/>
                <w:szCs w:val="20"/>
                <w:lang w:val="en-GB"/>
              </w:rPr>
              <w:t>0.04</w:t>
            </w:r>
          </w:p>
        </w:tc>
      </w:tr>
      <w:tr w14:paraId="07E57750">
        <w:tblPrEx>
          <w:tblCellMar>
            <w:top w:w="0" w:type="dxa"/>
            <w:left w:w="108" w:type="dxa"/>
            <w:bottom w:w="0" w:type="dxa"/>
            <w:right w:w="108" w:type="dxa"/>
          </w:tblCellMar>
        </w:tblPrEx>
        <w:trPr>
          <w:trHeight w:val="255" w:hRule="atLeast"/>
          <w:jc w:val="center"/>
        </w:trPr>
        <w:tc>
          <w:tcPr>
            <w:tcW w:w="869" w:type="pct"/>
            <w:tcBorders>
              <w:top w:val="nil"/>
              <w:left w:val="single" w:color="auto" w:sz="4" w:space="0"/>
              <w:bottom w:val="single" w:color="auto" w:sz="4" w:space="0"/>
              <w:right w:val="single" w:color="auto" w:sz="4" w:space="0"/>
            </w:tcBorders>
            <w:noWrap/>
            <w:vAlign w:val="bottom"/>
          </w:tcPr>
          <w:p w14:paraId="551831C4">
            <w:pPr>
              <w:jc w:val="left"/>
              <w:rPr>
                <w:rFonts w:cs="Arial"/>
                <w:color w:val="000000"/>
                <w:sz w:val="20"/>
                <w:szCs w:val="20"/>
                <w:lang w:val="en-GB"/>
              </w:rPr>
            </w:pPr>
            <w:r>
              <w:rPr>
                <w:rFonts w:cs="Arial"/>
                <w:color w:val="000000"/>
                <w:sz w:val="20"/>
                <w:szCs w:val="20"/>
                <w:lang w:val="en-GB"/>
              </w:rPr>
              <w:t>Operating Cash Flow</w:t>
            </w:r>
          </w:p>
        </w:tc>
        <w:tc>
          <w:tcPr>
            <w:tcW w:w="1204" w:type="pct"/>
            <w:tcBorders>
              <w:top w:val="nil"/>
              <w:left w:val="nil"/>
              <w:bottom w:val="single" w:color="auto" w:sz="4" w:space="0"/>
              <w:right w:val="single" w:color="auto" w:sz="4" w:space="0"/>
            </w:tcBorders>
            <w:noWrap/>
            <w:vAlign w:val="bottom"/>
          </w:tcPr>
          <w:p w14:paraId="1C3A1195">
            <w:pPr>
              <w:jc w:val="left"/>
              <w:rPr>
                <w:rFonts w:cs="Arial"/>
                <w:color w:val="000000"/>
                <w:sz w:val="20"/>
                <w:szCs w:val="20"/>
                <w:lang w:val="en-GB"/>
              </w:rPr>
            </w:pPr>
            <w:r>
              <w:rPr>
                <w:rFonts w:cs="Arial"/>
                <w:color w:val="000000"/>
                <w:sz w:val="20"/>
                <w:szCs w:val="20"/>
                <w:lang w:val="en-GB"/>
              </w:rPr>
              <w:t> </w:t>
            </w:r>
          </w:p>
        </w:tc>
        <w:tc>
          <w:tcPr>
            <w:tcW w:w="585" w:type="pct"/>
            <w:tcBorders>
              <w:top w:val="nil"/>
              <w:left w:val="nil"/>
              <w:bottom w:val="single" w:color="auto" w:sz="4" w:space="0"/>
              <w:right w:val="single" w:color="auto" w:sz="4" w:space="0"/>
            </w:tcBorders>
            <w:noWrap/>
            <w:vAlign w:val="bottom"/>
          </w:tcPr>
          <w:p w14:paraId="7AC151C0">
            <w:pPr>
              <w:jc w:val="right"/>
              <w:rPr>
                <w:rFonts w:cs="Arial"/>
                <w:color w:val="000000"/>
                <w:sz w:val="20"/>
                <w:szCs w:val="20"/>
                <w:lang w:val="en-GB"/>
              </w:rPr>
            </w:pPr>
            <w:r>
              <w:rPr>
                <w:rFonts w:cs="Arial"/>
                <w:color w:val="000000"/>
                <w:sz w:val="20"/>
                <w:szCs w:val="20"/>
                <w:lang w:val="en-GB"/>
              </w:rPr>
              <w:t>2,129</w:t>
            </w:r>
          </w:p>
        </w:tc>
        <w:tc>
          <w:tcPr>
            <w:tcW w:w="586" w:type="pct"/>
            <w:tcBorders>
              <w:top w:val="nil"/>
              <w:left w:val="nil"/>
              <w:bottom w:val="single" w:color="auto" w:sz="4" w:space="0"/>
              <w:right w:val="single" w:color="auto" w:sz="4" w:space="0"/>
            </w:tcBorders>
            <w:noWrap/>
            <w:vAlign w:val="bottom"/>
          </w:tcPr>
          <w:p w14:paraId="656A1DAC">
            <w:pPr>
              <w:jc w:val="right"/>
              <w:rPr>
                <w:rFonts w:cs="Arial"/>
                <w:color w:val="000000"/>
                <w:sz w:val="20"/>
                <w:szCs w:val="20"/>
                <w:lang w:val="en-GB"/>
              </w:rPr>
            </w:pPr>
            <w:r>
              <w:rPr>
                <w:rFonts w:cs="Arial"/>
                <w:color w:val="000000"/>
                <w:sz w:val="20"/>
                <w:szCs w:val="20"/>
                <w:lang w:val="en-GB"/>
              </w:rPr>
              <w:t>2,013</w:t>
            </w:r>
          </w:p>
        </w:tc>
        <w:tc>
          <w:tcPr>
            <w:tcW w:w="586" w:type="pct"/>
            <w:tcBorders>
              <w:top w:val="nil"/>
              <w:left w:val="nil"/>
              <w:bottom w:val="single" w:color="auto" w:sz="4" w:space="0"/>
              <w:right w:val="single" w:color="auto" w:sz="4" w:space="0"/>
            </w:tcBorders>
            <w:noWrap/>
            <w:vAlign w:val="bottom"/>
          </w:tcPr>
          <w:p w14:paraId="3301311E">
            <w:pPr>
              <w:jc w:val="right"/>
              <w:rPr>
                <w:rFonts w:cs="Arial"/>
                <w:color w:val="000000"/>
                <w:sz w:val="20"/>
                <w:szCs w:val="20"/>
                <w:lang w:val="en-GB"/>
              </w:rPr>
            </w:pPr>
            <w:r>
              <w:rPr>
                <w:rFonts w:cs="Arial"/>
                <w:color w:val="000000"/>
                <w:sz w:val="20"/>
                <w:szCs w:val="20"/>
                <w:lang w:val="en-GB"/>
              </w:rPr>
              <w:t>1,946</w:t>
            </w:r>
          </w:p>
        </w:tc>
        <w:tc>
          <w:tcPr>
            <w:tcW w:w="586" w:type="pct"/>
            <w:tcBorders>
              <w:top w:val="nil"/>
              <w:left w:val="nil"/>
              <w:bottom w:val="single" w:color="auto" w:sz="4" w:space="0"/>
              <w:right w:val="single" w:color="auto" w:sz="4" w:space="0"/>
            </w:tcBorders>
            <w:noWrap/>
            <w:vAlign w:val="bottom"/>
          </w:tcPr>
          <w:p w14:paraId="4FC61960">
            <w:pPr>
              <w:jc w:val="right"/>
              <w:rPr>
                <w:rFonts w:cs="Arial"/>
                <w:color w:val="000000"/>
                <w:sz w:val="20"/>
                <w:szCs w:val="20"/>
                <w:lang w:val="en-GB"/>
              </w:rPr>
            </w:pPr>
            <w:r>
              <w:rPr>
                <w:rFonts w:cs="Arial"/>
                <w:color w:val="000000"/>
                <w:sz w:val="20"/>
                <w:szCs w:val="20"/>
                <w:lang w:val="en-GB"/>
              </w:rPr>
              <w:t>1,681</w:t>
            </w:r>
          </w:p>
        </w:tc>
        <w:tc>
          <w:tcPr>
            <w:tcW w:w="586" w:type="pct"/>
            <w:tcBorders>
              <w:top w:val="nil"/>
              <w:left w:val="nil"/>
              <w:bottom w:val="single" w:color="auto" w:sz="4" w:space="0"/>
              <w:right w:val="single" w:color="auto" w:sz="4" w:space="0"/>
            </w:tcBorders>
            <w:noWrap/>
            <w:vAlign w:val="bottom"/>
          </w:tcPr>
          <w:p w14:paraId="7DC84AAB">
            <w:pPr>
              <w:jc w:val="right"/>
              <w:rPr>
                <w:rFonts w:cs="Arial"/>
                <w:color w:val="000000"/>
                <w:sz w:val="20"/>
                <w:szCs w:val="20"/>
                <w:lang w:val="en-GB"/>
              </w:rPr>
            </w:pPr>
            <w:r>
              <w:rPr>
                <w:rFonts w:cs="Arial"/>
                <w:color w:val="000000"/>
                <w:sz w:val="20"/>
                <w:szCs w:val="20"/>
                <w:lang w:val="en-GB"/>
              </w:rPr>
              <w:t>109</w:t>
            </w:r>
          </w:p>
        </w:tc>
      </w:tr>
      <w:tr w14:paraId="5E5EFC97">
        <w:tblPrEx>
          <w:tblCellMar>
            <w:top w:w="0" w:type="dxa"/>
            <w:left w:w="108" w:type="dxa"/>
            <w:bottom w:w="0" w:type="dxa"/>
            <w:right w:w="108" w:type="dxa"/>
          </w:tblCellMar>
        </w:tblPrEx>
        <w:trPr>
          <w:trHeight w:val="255" w:hRule="atLeast"/>
          <w:jc w:val="center"/>
        </w:trPr>
        <w:tc>
          <w:tcPr>
            <w:tcW w:w="869" w:type="pct"/>
            <w:tcBorders>
              <w:top w:val="nil"/>
              <w:left w:val="single" w:color="auto" w:sz="4" w:space="0"/>
              <w:bottom w:val="single" w:color="auto" w:sz="4" w:space="0"/>
              <w:right w:val="single" w:color="auto" w:sz="4" w:space="0"/>
            </w:tcBorders>
            <w:noWrap/>
            <w:vAlign w:val="bottom"/>
          </w:tcPr>
          <w:p w14:paraId="091EEED7">
            <w:pPr>
              <w:jc w:val="left"/>
              <w:rPr>
                <w:rFonts w:cs="Arial"/>
                <w:color w:val="000000"/>
                <w:sz w:val="20"/>
                <w:szCs w:val="20"/>
                <w:lang w:val="en-GB"/>
              </w:rPr>
            </w:pPr>
            <w:r>
              <w:rPr>
                <w:rFonts w:cs="Arial"/>
                <w:color w:val="000000"/>
                <w:sz w:val="20"/>
                <w:szCs w:val="20"/>
                <w:lang w:val="en-GB"/>
              </w:rPr>
              <w:t>Current Liabilities</w:t>
            </w:r>
          </w:p>
        </w:tc>
        <w:tc>
          <w:tcPr>
            <w:tcW w:w="1204" w:type="pct"/>
            <w:tcBorders>
              <w:top w:val="nil"/>
              <w:left w:val="nil"/>
              <w:bottom w:val="single" w:color="auto" w:sz="4" w:space="0"/>
              <w:right w:val="single" w:color="auto" w:sz="4" w:space="0"/>
            </w:tcBorders>
            <w:noWrap/>
            <w:vAlign w:val="bottom"/>
          </w:tcPr>
          <w:p w14:paraId="02BD591E">
            <w:pPr>
              <w:jc w:val="left"/>
              <w:rPr>
                <w:rFonts w:cs="Arial"/>
                <w:color w:val="000000"/>
                <w:sz w:val="20"/>
                <w:szCs w:val="20"/>
                <w:lang w:val="en-GB"/>
              </w:rPr>
            </w:pPr>
            <w:r>
              <w:rPr>
                <w:rFonts w:cs="Arial"/>
                <w:color w:val="000000"/>
                <w:sz w:val="20"/>
                <w:szCs w:val="20"/>
                <w:lang w:val="en-GB"/>
              </w:rPr>
              <w:t> </w:t>
            </w:r>
          </w:p>
        </w:tc>
        <w:tc>
          <w:tcPr>
            <w:tcW w:w="585" w:type="pct"/>
            <w:tcBorders>
              <w:top w:val="nil"/>
              <w:left w:val="nil"/>
              <w:bottom w:val="single" w:color="auto" w:sz="4" w:space="0"/>
              <w:right w:val="single" w:color="auto" w:sz="4" w:space="0"/>
            </w:tcBorders>
            <w:noWrap/>
            <w:vAlign w:val="bottom"/>
          </w:tcPr>
          <w:p w14:paraId="3510916A">
            <w:pPr>
              <w:jc w:val="right"/>
              <w:rPr>
                <w:rFonts w:cs="Arial"/>
                <w:color w:val="000000"/>
                <w:sz w:val="20"/>
                <w:szCs w:val="20"/>
                <w:lang w:val="en-GB"/>
              </w:rPr>
            </w:pPr>
            <w:r>
              <w:rPr>
                <w:rFonts w:cs="Arial"/>
                <w:color w:val="000000"/>
                <w:sz w:val="20"/>
                <w:szCs w:val="20"/>
                <w:lang w:val="en-GB"/>
              </w:rPr>
              <w:t>4,508</w:t>
            </w:r>
          </w:p>
        </w:tc>
        <w:tc>
          <w:tcPr>
            <w:tcW w:w="586" w:type="pct"/>
            <w:tcBorders>
              <w:top w:val="nil"/>
              <w:left w:val="nil"/>
              <w:bottom w:val="single" w:color="auto" w:sz="4" w:space="0"/>
              <w:right w:val="single" w:color="auto" w:sz="4" w:space="0"/>
            </w:tcBorders>
            <w:noWrap/>
            <w:vAlign w:val="bottom"/>
          </w:tcPr>
          <w:p w14:paraId="57A76E38">
            <w:pPr>
              <w:jc w:val="right"/>
              <w:rPr>
                <w:rFonts w:cs="Arial"/>
                <w:color w:val="000000"/>
                <w:sz w:val="20"/>
                <w:szCs w:val="20"/>
                <w:lang w:val="en-GB"/>
              </w:rPr>
            </w:pPr>
            <w:r>
              <w:rPr>
                <w:rFonts w:cs="Arial"/>
                <w:color w:val="000000"/>
                <w:sz w:val="20"/>
                <w:szCs w:val="20"/>
                <w:lang w:val="en-GB"/>
              </w:rPr>
              <w:t>4,700</w:t>
            </w:r>
          </w:p>
        </w:tc>
        <w:tc>
          <w:tcPr>
            <w:tcW w:w="586" w:type="pct"/>
            <w:tcBorders>
              <w:top w:val="nil"/>
              <w:left w:val="nil"/>
              <w:bottom w:val="single" w:color="auto" w:sz="4" w:space="0"/>
              <w:right w:val="single" w:color="auto" w:sz="4" w:space="0"/>
            </w:tcBorders>
            <w:noWrap/>
            <w:vAlign w:val="bottom"/>
          </w:tcPr>
          <w:p w14:paraId="4D3C3B9A">
            <w:pPr>
              <w:jc w:val="right"/>
              <w:rPr>
                <w:rFonts w:cs="Arial"/>
                <w:color w:val="000000"/>
                <w:sz w:val="20"/>
                <w:szCs w:val="20"/>
                <w:lang w:val="en-GB"/>
              </w:rPr>
            </w:pPr>
            <w:r>
              <w:rPr>
                <w:rFonts w:cs="Arial"/>
                <w:color w:val="000000"/>
                <w:sz w:val="20"/>
                <w:szCs w:val="20"/>
                <w:lang w:val="en-GB"/>
              </w:rPr>
              <w:t>3,722</w:t>
            </w:r>
          </w:p>
        </w:tc>
        <w:tc>
          <w:tcPr>
            <w:tcW w:w="586" w:type="pct"/>
            <w:tcBorders>
              <w:top w:val="nil"/>
              <w:left w:val="nil"/>
              <w:bottom w:val="single" w:color="auto" w:sz="4" w:space="0"/>
              <w:right w:val="single" w:color="auto" w:sz="4" w:space="0"/>
            </w:tcBorders>
            <w:noWrap/>
            <w:vAlign w:val="bottom"/>
          </w:tcPr>
          <w:p w14:paraId="1AC753F2">
            <w:pPr>
              <w:jc w:val="right"/>
              <w:rPr>
                <w:rFonts w:cs="Arial"/>
                <w:color w:val="000000"/>
                <w:sz w:val="20"/>
                <w:szCs w:val="20"/>
                <w:lang w:val="en-GB"/>
              </w:rPr>
            </w:pPr>
            <w:r>
              <w:rPr>
                <w:rFonts w:cs="Arial"/>
                <w:color w:val="000000"/>
                <w:sz w:val="20"/>
                <w:szCs w:val="20"/>
                <w:lang w:val="en-GB"/>
              </w:rPr>
              <w:t>3,372</w:t>
            </w:r>
          </w:p>
        </w:tc>
        <w:tc>
          <w:tcPr>
            <w:tcW w:w="586" w:type="pct"/>
            <w:tcBorders>
              <w:top w:val="nil"/>
              <w:left w:val="nil"/>
              <w:bottom w:val="single" w:color="auto" w:sz="4" w:space="0"/>
              <w:right w:val="single" w:color="auto" w:sz="4" w:space="0"/>
            </w:tcBorders>
            <w:noWrap/>
            <w:vAlign w:val="bottom"/>
          </w:tcPr>
          <w:p w14:paraId="6BEC2BF3">
            <w:pPr>
              <w:jc w:val="right"/>
              <w:rPr>
                <w:rFonts w:cs="Arial"/>
                <w:color w:val="000000"/>
                <w:sz w:val="20"/>
                <w:szCs w:val="20"/>
                <w:lang w:val="en-GB"/>
              </w:rPr>
            </w:pPr>
            <w:r>
              <w:rPr>
                <w:rFonts w:cs="Arial"/>
                <w:color w:val="000000"/>
                <w:sz w:val="20"/>
                <w:szCs w:val="20"/>
                <w:lang w:val="en-GB"/>
              </w:rPr>
              <w:t>3,019</w:t>
            </w:r>
          </w:p>
        </w:tc>
      </w:tr>
    </w:tbl>
    <w:p w14:paraId="67F38EF5">
      <w:pPr>
        <w:jc w:val="center"/>
        <w:rPr>
          <w:rFonts w:cs="Arial"/>
          <w:lang w:val="en-GB"/>
        </w:rPr>
      </w:pPr>
      <w:r>
        <w:rPr>
          <w:rFonts w:cs="Arial"/>
          <w:lang w:val="en-GB"/>
        </w:rPr>
        <w:t>(Source: Hilton Annual report)</w:t>
      </w:r>
    </w:p>
    <w:p w14:paraId="576AEC61">
      <w:pPr>
        <w:rPr>
          <w:rFonts w:cs="Arial"/>
          <w:lang w:val="en-GB"/>
        </w:rPr>
      </w:pPr>
      <w:r>
        <w:rPr>
          <w:rFonts w:cs="Arial"/>
          <w:lang w:val="en-GB"/>
        </w:rPr>
        <w:br w:type="page"/>
      </w:r>
    </w:p>
    <w:p w14:paraId="2E063B5E">
      <w:pPr>
        <w:pStyle w:val="3"/>
      </w:pPr>
      <w:bookmarkStart w:id="59" w:name="_Toc237522636"/>
      <w:r>
        <w:t>Appendix 2: Investment appraisal calculations</w:t>
      </w:r>
      <w:bookmarkEnd w:id="59"/>
    </w:p>
    <w:tbl>
      <w:tblPr>
        <w:tblStyle w:val="9"/>
        <w:tblW w:w="5000" w:type="pct"/>
        <w:jc w:val="center"/>
        <w:tblLayout w:type="autofit"/>
        <w:tblCellMar>
          <w:top w:w="0" w:type="dxa"/>
          <w:left w:w="108" w:type="dxa"/>
          <w:bottom w:w="0" w:type="dxa"/>
          <w:right w:w="108" w:type="dxa"/>
        </w:tblCellMar>
      </w:tblPr>
      <w:tblGrid>
        <w:gridCol w:w="1502"/>
        <w:gridCol w:w="1792"/>
        <w:gridCol w:w="1256"/>
        <w:gridCol w:w="1256"/>
        <w:gridCol w:w="1256"/>
        <w:gridCol w:w="1257"/>
        <w:gridCol w:w="1257"/>
      </w:tblGrid>
      <w:tr w14:paraId="42BFCC67">
        <w:tblPrEx>
          <w:tblCellMar>
            <w:top w:w="0" w:type="dxa"/>
            <w:left w:w="108" w:type="dxa"/>
            <w:bottom w:w="0" w:type="dxa"/>
            <w:right w:w="108" w:type="dxa"/>
          </w:tblCellMar>
        </w:tblPrEx>
        <w:trPr>
          <w:trHeight w:val="300"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ign w:val="bottom"/>
          </w:tcPr>
          <w:p w14:paraId="422C90E7">
            <w:pPr>
              <w:jc w:val="center"/>
              <w:rPr>
                <w:rFonts w:cs="Arial"/>
                <w:b/>
                <w:bCs/>
                <w:color w:val="000000"/>
                <w:sz w:val="22"/>
                <w:szCs w:val="22"/>
                <w:lang w:val="en-GB"/>
              </w:rPr>
            </w:pPr>
            <w:r>
              <w:rPr>
                <w:rFonts w:cs="Arial"/>
                <w:b/>
                <w:bCs/>
                <w:color w:val="000000"/>
                <w:sz w:val="22"/>
                <w:szCs w:val="22"/>
                <w:lang w:val="en-GB"/>
              </w:rPr>
              <w:t>Annual Investment and Cashflows</w:t>
            </w:r>
          </w:p>
        </w:tc>
      </w:tr>
      <w:tr w14:paraId="6680700F">
        <w:tblPrEx>
          <w:tblCellMar>
            <w:top w:w="0" w:type="dxa"/>
            <w:left w:w="108" w:type="dxa"/>
            <w:bottom w:w="0" w:type="dxa"/>
            <w:right w:w="108" w:type="dxa"/>
          </w:tblCellMar>
        </w:tblPrEx>
        <w:trPr>
          <w:trHeight w:val="300" w:hRule="atLeast"/>
          <w:jc w:val="center"/>
        </w:trPr>
        <w:tc>
          <w:tcPr>
            <w:tcW w:w="780" w:type="pct"/>
            <w:tcBorders>
              <w:top w:val="nil"/>
              <w:left w:val="single" w:color="auto" w:sz="4" w:space="0"/>
              <w:bottom w:val="single" w:color="auto" w:sz="4" w:space="0"/>
              <w:right w:val="single" w:color="auto" w:sz="4" w:space="0"/>
            </w:tcBorders>
            <w:noWrap/>
            <w:vAlign w:val="bottom"/>
          </w:tcPr>
          <w:p w14:paraId="53116721">
            <w:pPr>
              <w:jc w:val="left"/>
              <w:rPr>
                <w:rFonts w:cs="Arial"/>
                <w:b/>
                <w:bCs/>
                <w:i/>
                <w:iCs/>
                <w:color w:val="000000"/>
                <w:sz w:val="20"/>
                <w:szCs w:val="20"/>
                <w:lang w:val="en-GB"/>
              </w:rPr>
            </w:pPr>
            <w:r>
              <w:rPr>
                <w:rFonts w:cs="Arial"/>
                <w:b/>
                <w:bCs/>
                <w:i/>
                <w:iCs/>
                <w:color w:val="000000"/>
                <w:sz w:val="20"/>
                <w:szCs w:val="20"/>
                <w:lang w:val="en-GB"/>
              </w:rPr>
              <w:t xml:space="preserve">Project  Name </w:t>
            </w:r>
          </w:p>
        </w:tc>
        <w:tc>
          <w:tcPr>
            <w:tcW w:w="970" w:type="pct"/>
            <w:tcBorders>
              <w:top w:val="nil"/>
              <w:left w:val="nil"/>
              <w:bottom w:val="single" w:color="auto" w:sz="4" w:space="0"/>
              <w:right w:val="single" w:color="auto" w:sz="4" w:space="0"/>
            </w:tcBorders>
            <w:noWrap/>
            <w:vAlign w:val="bottom"/>
          </w:tcPr>
          <w:p w14:paraId="5DAE436A">
            <w:pPr>
              <w:jc w:val="left"/>
              <w:rPr>
                <w:rFonts w:cs="Arial"/>
                <w:b/>
                <w:bCs/>
                <w:i/>
                <w:iCs/>
                <w:color w:val="000000"/>
                <w:sz w:val="20"/>
                <w:szCs w:val="20"/>
                <w:lang w:val="en-GB"/>
              </w:rPr>
            </w:pPr>
            <w:r>
              <w:rPr>
                <w:rFonts w:cs="Arial"/>
                <w:b/>
                <w:bCs/>
                <w:i/>
                <w:iCs/>
                <w:color w:val="000000"/>
                <w:sz w:val="20"/>
                <w:szCs w:val="20"/>
                <w:lang w:val="en-GB"/>
              </w:rPr>
              <w:t xml:space="preserve">Initial Investment </w:t>
            </w:r>
          </w:p>
        </w:tc>
        <w:tc>
          <w:tcPr>
            <w:tcW w:w="650" w:type="pct"/>
            <w:tcBorders>
              <w:top w:val="nil"/>
              <w:left w:val="nil"/>
              <w:bottom w:val="single" w:color="auto" w:sz="4" w:space="0"/>
              <w:right w:val="single" w:color="auto" w:sz="4" w:space="0"/>
            </w:tcBorders>
            <w:noWrap/>
            <w:vAlign w:val="bottom"/>
          </w:tcPr>
          <w:p w14:paraId="015D1EF7">
            <w:pPr>
              <w:jc w:val="left"/>
              <w:rPr>
                <w:rFonts w:cs="Arial"/>
                <w:b/>
                <w:bCs/>
                <w:i/>
                <w:iCs/>
                <w:color w:val="000000"/>
                <w:sz w:val="20"/>
                <w:szCs w:val="20"/>
                <w:lang w:val="en-GB"/>
              </w:rPr>
            </w:pPr>
            <w:r>
              <w:rPr>
                <w:rFonts w:cs="Arial"/>
                <w:b/>
                <w:bCs/>
                <w:i/>
                <w:iCs/>
                <w:color w:val="000000"/>
                <w:sz w:val="20"/>
                <w:szCs w:val="20"/>
                <w:lang w:val="en-GB"/>
              </w:rPr>
              <w:t>Year 1 (£m)</w:t>
            </w:r>
          </w:p>
        </w:tc>
        <w:tc>
          <w:tcPr>
            <w:tcW w:w="650" w:type="pct"/>
            <w:tcBorders>
              <w:top w:val="nil"/>
              <w:left w:val="nil"/>
              <w:bottom w:val="single" w:color="auto" w:sz="4" w:space="0"/>
              <w:right w:val="single" w:color="auto" w:sz="4" w:space="0"/>
            </w:tcBorders>
            <w:noWrap/>
            <w:vAlign w:val="bottom"/>
          </w:tcPr>
          <w:p w14:paraId="6C799AF5">
            <w:pPr>
              <w:jc w:val="left"/>
              <w:rPr>
                <w:rFonts w:cs="Arial"/>
                <w:b/>
                <w:bCs/>
                <w:i/>
                <w:iCs/>
                <w:color w:val="000000"/>
                <w:sz w:val="20"/>
                <w:szCs w:val="20"/>
                <w:lang w:val="en-GB"/>
              </w:rPr>
            </w:pPr>
            <w:r>
              <w:rPr>
                <w:rFonts w:cs="Arial"/>
                <w:b/>
                <w:bCs/>
                <w:i/>
                <w:iCs/>
                <w:color w:val="000000"/>
                <w:sz w:val="20"/>
                <w:szCs w:val="20"/>
                <w:lang w:val="en-GB"/>
              </w:rPr>
              <w:t>Year 2 (£m)</w:t>
            </w:r>
          </w:p>
        </w:tc>
        <w:tc>
          <w:tcPr>
            <w:tcW w:w="650" w:type="pct"/>
            <w:tcBorders>
              <w:top w:val="nil"/>
              <w:left w:val="nil"/>
              <w:bottom w:val="single" w:color="auto" w:sz="4" w:space="0"/>
              <w:right w:val="single" w:color="auto" w:sz="4" w:space="0"/>
            </w:tcBorders>
            <w:noWrap/>
            <w:vAlign w:val="bottom"/>
          </w:tcPr>
          <w:p w14:paraId="103A8FCF">
            <w:pPr>
              <w:jc w:val="left"/>
              <w:rPr>
                <w:rFonts w:cs="Arial"/>
                <w:b/>
                <w:bCs/>
                <w:i/>
                <w:iCs/>
                <w:color w:val="000000"/>
                <w:sz w:val="20"/>
                <w:szCs w:val="20"/>
                <w:lang w:val="en-GB"/>
              </w:rPr>
            </w:pPr>
            <w:r>
              <w:rPr>
                <w:rFonts w:cs="Arial"/>
                <w:b/>
                <w:bCs/>
                <w:i/>
                <w:iCs/>
                <w:color w:val="000000"/>
                <w:sz w:val="20"/>
                <w:szCs w:val="20"/>
                <w:lang w:val="en-GB"/>
              </w:rPr>
              <w:t>Year 3 (£m)</w:t>
            </w:r>
          </w:p>
        </w:tc>
        <w:tc>
          <w:tcPr>
            <w:tcW w:w="650" w:type="pct"/>
            <w:tcBorders>
              <w:top w:val="nil"/>
              <w:left w:val="nil"/>
              <w:bottom w:val="single" w:color="auto" w:sz="4" w:space="0"/>
              <w:right w:val="single" w:color="auto" w:sz="4" w:space="0"/>
            </w:tcBorders>
            <w:noWrap/>
            <w:vAlign w:val="bottom"/>
          </w:tcPr>
          <w:p w14:paraId="31ABBF4F">
            <w:pPr>
              <w:jc w:val="left"/>
              <w:rPr>
                <w:rFonts w:cs="Arial"/>
                <w:b/>
                <w:bCs/>
                <w:i/>
                <w:iCs/>
                <w:color w:val="000000"/>
                <w:sz w:val="20"/>
                <w:szCs w:val="20"/>
                <w:lang w:val="en-GB"/>
              </w:rPr>
            </w:pPr>
            <w:r>
              <w:rPr>
                <w:rFonts w:cs="Arial"/>
                <w:b/>
                <w:bCs/>
                <w:i/>
                <w:iCs/>
                <w:color w:val="000000"/>
                <w:sz w:val="20"/>
                <w:szCs w:val="20"/>
                <w:lang w:val="en-GB"/>
              </w:rPr>
              <w:t>Year 4 (£m)</w:t>
            </w:r>
          </w:p>
        </w:tc>
        <w:tc>
          <w:tcPr>
            <w:tcW w:w="650" w:type="pct"/>
            <w:tcBorders>
              <w:top w:val="nil"/>
              <w:left w:val="nil"/>
              <w:bottom w:val="single" w:color="auto" w:sz="4" w:space="0"/>
              <w:right w:val="single" w:color="auto" w:sz="4" w:space="0"/>
            </w:tcBorders>
            <w:noWrap/>
            <w:vAlign w:val="bottom"/>
          </w:tcPr>
          <w:p w14:paraId="24D6FBA3">
            <w:pPr>
              <w:jc w:val="left"/>
              <w:rPr>
                <w:rFonts w:cs="Arial"/>
                <w:b/>
                <w:bCs/>
                <w:i/>
                <w:iCs/>
                <w:color w:val="000000"/>
                <w:sz w:val="20"/>
                <w:szCs w:val="20"/>
                <w:lang w:val="en-GB"/>
              </w:rPr>
            </w:pPr>
            <w:r>
              <w:rPr>
                <w:rFonts w:cs="Arial"/>
                <w:b/>
                <w:bCs/>
                <w:i/>
                <w:iCs/>
                <w:color w:val="000000"/>
                <w:sz w:val="20"/>
                <w:szCs w:val="20"/>
                <w:lang w:val="en-GB"/>
              </w:rPr>
              <w:t>Year 5 (£m)</w:t>
            </w:r>
          </w:p>
        </w:tc>
      </w:tr>
      <w:tr w14:paraId="68470367">
        <w:tblPrEx>
          <w:tblCellMar>
            <w:top w:w="0" w:type="dxa"/>
            <w:left w:w="108" w:type="dxa"/>
            <w:bottom w:w="0" w:type="dxa"/>
            <w:right w:w="108" w:type="dxa"/>
          </w:tblCellMar>
        </w:tblPrEx>
        <w:trPr>
          <w:trHeight w:val="300" w:hRule="atLeast"/>
          <w:jc w:val="center"/>
        </w:trPr>
        <w:tc>
          <w:tcPr>
            <w:tcW w:w="780" w:type="pct"/>
            <w:tcBorders>
              <w:top w:val="nil"/>
              <w:left w:val="single" w:color="auto" w:sz="4" w:space="0"/>
              <w:bottom w:val="single" w:color="auto" w:sz="4" w:space="0"/>
              <w:right w:val="single" w:color="auto" w:sz="4" w:space="0"/>
            </w:tcBorders>
            <w:noWrap/>
            <w:vAlign w:val="bottom"/>
          </w:tcPr>
          <w:p w14:paraId="6857D31A">
            <w:pPr>
              <w:jc w:val="left"/>
              <w:rPr>
                <w:rFonts w:cs="Arial"/>
                <w:color w:val="000000"/>
                <w:sz w:val="20"/>
                <w:szCs w:val="20"/>
                <w:lang w:val="en-GB"/>
              </w:rPr>
            </w:pPr>
            <w:r>
              <w:rPr>
                <w:rFonts w:cs="Arial"/>
                <w:color w:val="000000"/>
                <w:sz w:val="20"/>
                <w:szCs w:val="20"/>
                <w:lang w:val="en-GB"/>
              </w:rPr>
              <w:t>Project A</w:t>
            </w:r>
          </w:p>
        </w:tc>
        <w:tc>
          <w:tcPr>
            <w:tcW w:w="970" w:type="pct"/>
            <w:tcBorders>
              <w:top w:val="nil"/>
              <w:left w:val="nil"/>
              <w:bottom w:val="single" w:color="auto" w:sz="4" w:space="0"/>
              <w:right w:val="single" w:color="auto" w:sz="4" w:space="0"/>
            </w:tcBorders>
            <w:noWrap/>
            <w:vAlign w:val="bottom"/>
          </w:tcPr>
          <w:p w14:paraId="0C4A7C9E">
            <w:pPr>
              <w:jc w:val="left"/>
              <w:rPr>
                <w:rFonts w:cs="Arial"/>
                <w:color w:val="000000"/>
                <w:sz w:val="20"/>
                <w:szCs w:val="20"/>
                <w:lang w:val="en-GB"/>
              </w:rPr>
            </w:pPr>
            <w:r>
              <w:rPr>
                <w:rFonts w:cs="Arial"/>
                <w:color w:val="000000"/>
                <w:sz w:val="20"/>
                <w:szCs w:val="20"/>
                <w:lang w:val="en-GB"/>
              </w:rPr>
              <w:t>£50</w:t>
            </w:r>
          </w:p>
        </w:tc>
        <w:tc>
          <w:tcPr>
            <w:tcW w:w="650" w:type="pct"/>
            <w:tcBorders>
              <w:top w:val="nil"/>
              <w:left w:val="nil"/>
              <w:bottom w:val="single" w:color="auto" w:sz="4" w:space="0"/>
              <w:right w:val="single" w:color="auto" w:sz="4" w:space="0"/>
            </w:tcBorders>
            <w:noWrap/>
            <w:vAlign w:val="bottom"/>
          </w:tcPr>
          <w:p w14:paraId="209B69A8">
            <w:pPr>
              <w:jc w:val="right"/>
              <w:rPr>
                <w:rFonts w:cs="Arial"/>
                <w:color w:val="000000"/>
                <w:sz w:val="20"/>
                <w:szCs w:val="20"/>
                <w:lang w:val="en-GB"/>
              </w:rPr>
            </w:pPr>
            <w:r>
              <w:rPr>
                <w:rFonts w:cs="Arial"/>
                <w:color w:val="000000"/>
                <w:sz w:val="20"/>
                <w:szCs w:val="20"/>
                <w:lang w:val="en-GB"/>
              </w:rPr>
              <w:t>10</w:t>
            </w:r>
          </w:p>
        </w:tc>
        <w:tc>
          <w:tcPr>
            <w:tcW w:w="650" w:type="pct"/>
            <w:tcBorders>
              <w:top w:val="nil"/>
              <w:left w:val="nil"/>
              <w:bottom w:val="single" w:color="auto" w:sz="4" w:space="0"/>
              <w:right w:val="single" w:color="auto" w:sz="4" w:space="0"/>
            </w:tcBorders>
            <w:noWrap/>
            <w:vAlign w:val="bottom"/>
          </w:tcPr>
          <w:p w14:paraId="0531049D">
            <w:pPr>
              <w:jc w:val="right"/>
              <w:rPr>
                <w:rFonts w:cs="Arial"/>
                <w:color w:val="000000"/>
                <w:sz w:val="20"/>
                <w:szCs w:val="20"/>
                <w:lang w:val="en-GB"/>
              </w:rPr>
            </w:pPr>
            <w:r>
              <w:rPr>
                <w:rFonts w:cs="Arial"/>
                <w:color w:val="000000"/>
                <w:sz w:val="20"/>
                <w:szCs w:val="20"/>
                <w:lang w:val="en-GB"/>
              </w:rPr>
              <w:t>12</w:t>
            </w:r>
          </w:p>
        </w:tc>
        <w:tc>
          <w:tcPr>
            <w:tcW w:w="650" w:type="pct"/>
            <w:tcBorders>
              <w:top w:val="nil"/>
              <w:left w:val="nil"/>
              <w:bottom w:val="single" w:color="auto" w:sz="4" w:space="0"/>
              <w:right w:val="single" w:color="auto" w:sz="4" w:space="0"/>
            </w:tcBorders>
            <w:noWrap/>
            <w:vAlign w:val="bottom"/>
          </w:tcPr>
          <w:p w14:paraId="448A9F73">
            <w:pPr>
              <w:jc w:val="right"/>
              <w:rPr>
                <w:rFonts w:cs="Arial"/>
                <w:color w:val="000000"/>
                <w:sz w:val="20"/>
                <w:szCs w:val="20"/>
                <w:lang w:val="en-GB"/>
              </w:rPr>
            </w:pPr>
            <w:r>
              <w:rPr>
                <w:rFonts w:cs="Arial"/>
                <w:color w:val="000000"/>
                <w:sz w:val="20"/>
                <w:szCs w:val="20"/>
                <w:lang w:val="en-GB"/>
              </w:rPr>
              <w:t>14</w:t>
            </w:r>
          </w:p>
        </w:tc>
        <w:tc>
          <w:tcPr>
            <w:tcW w:w="650" w:type="pct"/>
            <w:tcBorders>
              <w:top w:val="nil"/>
              <w:left w:val="nil"/>
              <w:bottom w:val="single" w:color="auto" w:sz="4" w:space="0"/>
              <w:right w:val="single" w:color="auto" w:sz="4" w:space="0"/>
            </w:tcBorders>
            <w:noWrap/>
            <w:vAlign w:val="bottom"/>
          </w:tcPr>
          <w:p w14:paraId="1513E342">
            <w:pPr>
              <w:jc w:val="right"/>
              <w:rPr>
                <w:rFonts w:cs="Arial"/>
                <w:color w:val="000000"/>
                <w:sz w:val="20"/>
                <w:szCs w:val="20"/>
                <w:lang w:val="en-GB"/>
              </w:rPr>
            </w:pPr>
            <w:r>
              <w:rPr>
                <w:rFonts w:cs="Arial"/>
                <w:color w:val="000000"/>
                <w:sz w:val="20"/>
                <w:szCs w:val="20"/>
                <w:lang w:val="en-GB"/>
              </w:rPr>
              <w:t>10</w:t>
            </w:r>
          </w:p>
        </w:tc>
        <w:tc>
          <w:tcPr>
            <w:tcW w:w="650" w:type="pct"/>
            <w:tcBorders>
              <w:top w:val="nil"/>
              <w:left w:val="nil"/>
              <w:bottom w:val="single" w:color="auto" w:sz="4" w:space="0"/>
              <w:right w:val="single" w:color="auto" w:sz="4" w:space="0"/>
            </w:tcBorders>
            <w:noWrap/>
            <w:vAlign w:val="bottom"/>
          </w:tcPr>
          <w:p w14:paraId="370224B5">
            <w:pPr>
              <w:jc w:val="right"/>
              <w:rPr>
                <w:rFonts w:cs="Arial"/>
                <w:color w:val="000000"/>
                <w:sz w:val="20"/>
                <w:szCs w:val="20"/>
                <w:lang w:val="en-GB"/>
              </w:rPr>
            </w:pPr>
            <w:r>
              <w:rPr>
                <w:rFonts w:cs="Arial"/>
                <w:color w:val="000000"/>
                <w:sz w:val="20"/>
                <w:szCs w:val="20"/>
                <w:lang w:val="en-GB"/>
              </w:rPr>
              <w:t>8</w:t>
            </w:r>
          </w:p>
        </w:tc>
      </w:tr>
      <w:tr w14:paraId="2A028C76">
        <w:tblPrEx>
          <w:tblCellMar>
            <w:top w:w="0" w:type="dxa"/>
            <w:left w:w="108" w:type="dxa"/>
            <w:bottom w:w="0" w:type="dxa"/>
            <w:right w:w="108" w:type="dxa"/>
          </w:tblCellMar>
        </w:tblPrEx>
        <w:trPr>
          <w:trHeight w:val="300" w:hRule="atLeast"/>
          <w:jc w:val="center"/>
        </w:trPr>
        <w:tc>
          <w:tcPr>
            <w:tcW w:w="780" w:type="pct"/>
            <w:tcBorders>
              <w:top w:val="nil"/>
              <w:left w:val="single" w:color="auto" w:sz="4" w:space="0"/>
              <w:bottom w:val="single" w:color="auto" w:sz="4" w:space="0"/>
              <w:right w:val="single" w:color="auto" w:sz="4" w:space="0"/>
            </w:tcBorders>
            <w:noWrap/>
            <w:vAlign w:val="bottom"/>
          </w:tcPr>
          <w:p w14:paraId="075A637C">
            <w:pPr>
              <w:jc w:val="left"/>
              <w:rPr>
                <w:rFonts w:cs="Arial"/>
                <w:color w:val="000000"/>
                <w:sz w:val="20"/>
                <w:szCs w:val="20"/>
                <w:lang w:val="en-GB"/>
              </w:rPr>
            </w:pPr>
            <w:r>
              <w:rPr>
                <w:rFonts w:cs="Arial"/>
                <w:color w:val="000000"/>
                <w:sz w:val="20"/>
                <w:szCs w:val="20"/>
                <w:lang w:val="en-GB"/>
              </w:rPr>
              <w:t>Project B</w:t>
            </w:r>
          </w:p>
        </w:tc>
        <w:tc>
          <w:tcPr>
            <w:tcW w:w="970" w:type="pct"/>
            <w:tcBorders>
              <w:top w:val="nil"/>
              <w:left w:val="nil"/>
              <w:bottom w:val="single" w:color="auto" w:sz="4" w:space="0"/>
              <w:right w:val="single" w:color="auto" w:sz="4" w:space="0"/>
            </w:tcBorders>
            <w:noWrap/>
            <w:vAlign w:val="bottom"/>
          </w:tcPr>
          <w:p w14:paraId="31A73017">
            <w:pPr>
              <w:jc w:val="left"/>
              <w:rPr>
                <w:rFonts w:cs="Arial"/>
                <w:color w:val="000000"/>
                <w:sz w:val="20"/>
                <w:szCs w:val="20"/>
                <w:lang w:val="en-GB"/>
              </w:rPr>
            </w:pPr>
            <w:r>
              <w:rPr>
                <w:rFonts w:cs="Arial"/>
                <w:color w:val="000000"/>
                <w:sz w:val="20"/>
                <w:szCs w:val="20"/>
                <w:lang w:val="en-GB"/>
              </w:rPr>
              <w:t>£50</w:t>
            </w:r>
          </w:p>
        </w:tc>
        <w:tc>
          <w:tcPr>
            <w:tcW w:w="650" w:type="pct"/>
            <w:tcBorders>
              <w:top w:val="nil"/>
              <w:left w:val="nil"/>
              <w:bottom w:val="single" w:color="auto" w:sz="4" w:space="0"/>
              <w:right w:val="single" w:color="auto" w:sz="4" w:space="0"/>
            </w:tcBorders>
            <w:noWrap/>
            <w:vAlign w:val="bottom"/>
          </w:tcPr>
          <w:p w14:paraId="75ECA3FD">
            <w:pPr>
              <w:jc w:val="right"/>
              <w:rPr>
                <w:rFonts w:cs="Arial"/>
                <w:color w:val="000000"/>
                <w:sz w:val="20"/>
                <w:szCs w:val="20"/>
                <w:lang w:val="en-GB"/>
              </w:rPr>
            </w:pPr>
            <w:r>
              <w:rPr>
                <w:rFonts w:cs="Arial"/>
                <w:color w:val="000000"/>
                <w:sz w:val="20"/>
                <w:szCs w:val="20"/>
                <w:lang w:val="en-GB"/>
              </w:rPr>
              <w:t>11</w:t>
            </w:r>
          </w:p>
        </w:tc>
        <w:tc>
          <w:tcPr>
            <w:tcW w:w="650" w:type="pct"/>
            <w:tcBorders>
              <w:top w:val="nil"/>
              <w:left w:val="nil"/>
              <w:bottom w:val="single" w:color="auto" w:sz="4" w:space="0"/>
              <w:right w:val="single" w:color="auto" w:sz="4" w:space="0"/>
            </w:tcBorders>
            <w:noWrap/>
            <w:vAlign w:val="bottom"/>
          </w:tcPr>
          <w:p w14:paraId="125C259C">
            <w:pPr>
              <w:jc w:val="right"/>
              <w:rPr>
                <w:rFonts w:cs="Arial"/>
                <w:color w:val="000000"/>
                <w:sz w:val="20"/>
                <w:szCs w:val="20"/>
                <w:lang w:val="en-GB"/>
              </w:rPr>
            </w:pPr>
            <w:r>
              <w:rPr>
                <w:rFonts w:cs="Arial"/>
                <w:color w:val="000000"/>
                <w:sz w:val="20"/>
                <w:szCs w:val="20"/>
                <w:lang w:val="en-GB"/>
              </w:rPr>
              <w:t>11</w:t>
            </w:r>
          </w:p>
        </w:tc>
        <w:tc>
          <w:tcPr>
            <w:tcW w:w="650" w:type="pct"/>
            <w:tcBorders>
              <w:top w:val="nil"/>
              <w:left w:val="nil"/>
              <w:bottom w:val="single" w:color="auto" w:sz="4" w:space="0"/>
              <w:right w:val="single" w:color="auto" w:sz="4" w:space="0"/>
            </w:tcBorders>
            <w:noWrap/>
            <w:vAlign w:val="bottom"/>
          </w:tcPr>
          <w:p w14:paraId="741B9F85">
            <w:pPr>
              <w:jc w:val="right"/>
              <w:rPr>
                <w:rFonts w:cs="Arial"/>
                <w:color w:val="000000"/>
                <w:sz w:val="20"/>
                <w:szCs w:val="20"/>
                <w:lang w:val="en-GB"/>
              </w:rPr>
            </w:pPr>
            <w:r>
              <w:rPr>
                <w:rFonts w:cs="Arial"/>
                <w:color w:val="000000"/>
                <w:sz w:val="20"/>
                <w:szCs w:val="20"/>
                <w:lang w:val="en-GB"/>
              </w:rPr>
              <w:t>11</w:t>
            </w:r>
          </w:p>
        </w:tc>
        <w:tc>
          <w:tcPr>
            <w:tcW w:w="650" w:type="pct"/>
            <w:tcBorders>
              <w:top w:val="nil"/>
              <w:left w:val="nil"/>
              <w:bottom w:val="single" w:color="auto" w:sz="4" w:space="0"/>
              <w:right w:val="single" w:color="auto" w:sz="4" w:space="0"/>
            </w:tcBorders>
            <w:noWrap/>
            <w:vAlign w:val="bottom"/>
          </w:tcPr>
          <w:p w14:paraId="62C3A6F4">
            <w:pPr>
              <w:jc w:val="right"/>
              <w:rPr>
                <w:rFonts w:cs="Arial"/>
                <w:color w:val="000000"/>
                <w:sz w:val="20"/>
                <w:szCs w:val="20"/>
                <w:lang w:val="en-GB"/>
              </w:rPr>
            </w:pPr>
            <w:r>
              <w:rPr>
                <w:rFonts w:cs="Arial"/>
                <w:color w:val="000000"/>
                <w:sz w:val="20"/>
                <w:szCs w:val="20"/>
                <w:lang w:val="en-GB"/>
              </w:rPr>
              <w:t>11</w:t>
            </w:r>
          </w:p>
        </w:tc>
        <w:tc>
          <w:tcPr>
            <w:tcW w:w="650" w:type="pct"/>
            <w:tcBorders>
              <w:top w:val="nil"/>
              <w:left w:val="nil"/>
              <w:bottom w:val="single" w:color="auto" w:sz="4" w:space="0"/>
              <w:right w:val="single" w:color="auto" w:sz="4" w:space="0"/>
            </w:tcBorders>
            <w:noWrap/>
            <w:vAlign w:val="bottom"/>
          </w:tcPr>
          <w:p w14:paraId="06E8BF60">
            <w:pPr>
              <w:jc w:val="right"/>
              <w:rPr>
                <w:rFonts w:cs="Arial"/>
                <w:color w:val="000000"/>
                <w:sz w:val="20"/>
                <w:szCs w:val="20"/>
                <w:lang w:val="en-GB"/>
              </w:rPr>
            </w:pPr>
            <w:r>
              <w:rPr>
                <w:rFonts w:cs="Arial"/>
                <w:color w:val="000000"/>
                <w:sz w:val="20"/>
                <w:szCs w:val="20"/>
                <w:lang w:val="en-GB"/>
              </w:rPr>
              <w:t>11</w:t>
            </w:r>
          </w:p>
        </w:tc>
      </w:tr>
      <w:tr w14:paraId="4ACFEC79">
        <w:tblPrEx>
          <w:tblCellMar>
            <w:top w:w="0" w:type="dxa"/>
            <w:left w:w="108" w:type="dxa"/>
            <w:bottom w:w="0" w:type="dxa"/>
            <w:right w:w="108" w:type="dxa"/>
          </w:tblCellMar>
        </w:tblPrEx>
        <w:trPr>
          <w:trHeight w:val="300" w:hRule="atLeast"/>
          <w:jc w:val="center"/>
        </w:trPr>
        <w:tc>
          <w:tcPr>
            <w:tcW w:w="780" w:type="pct"/>
            <w:tcBorders>
              <w:top w:val="nil"/>
              <w:left w:val="single" w:color="auto" w:sz="4" w:space="0"/>
              <w:bottom w:val="single" w:color="auto" w:sz="4" w:space="0"/>
              <w:right w:val="single" w:color="auto" w:sz="4" w:space="0"/>
            </w:tcBorders>
            <w:noWrap/>
            <w:vAlign w:val="bottom"/>
          </w:tcPr>
          <w:p w14:paraId="3ED34264">
            <w:pPr>
              <w:jc w:val="left"/>
              <w:rPr>
                <w:rFonts w:cs="Arial"/>
                <w:color w:val="000000"/>
                <w:sz w:val="20"/>
                <w:szCs w:val="20"/>
                <w:lang w:val="en-GB"/>
              </w:rPr>
            </w:pPr>
            <w:r>
              <w:rPr>
                <w:rFonts w:cs="Arial"/>
                <w:color w:val="000000"/>
                <w:sz w:val="20"/>
                <w:szCs w:val="20"/>
                <w:lang w:val="en-GB"/>
              </w:rPr>
              <w:t>Project C</w:t>
            </w:r>
          </w:p>
        </w:tc>
        <w:tc>
          <w:tcPr>
            <w:tcW w:w="970" w:type="pct"/>
            <w:tcBorders>
              <w:top w:val="nil"/>
              <w:left w:val="nil"/>
              <w:bottom w:val="single" w:color="auto" w:sz="4" w:space="0"/>
              <w:right w:val="single" w:color="auto" w:sz="4" w:space="0"/>
            </w:tcBorders>
            <w:noWrap/>
            <w:vAlign w:val="bottom"/>
          </w:tcPr>
          <w:p w14:paraId="49A6C0A8">
            <w:pPr>
              <w:jc w:val="left"/>
              <w:rPr>
                <w:rFonts w:cs="Arial"/>
                <w:color w:val="000000"/>
                <w:sz w:val="20"/>
                <w:szCs w:val="20"/>
                <w:lang w:val="en-GB"/>
              </w:rPr>
            </w:pPr>
            <w:r>
              <w:rPr>
                <w:rFonts w:cs="Arial"/>
                <w:color w:val="000000"/>
                <w:sz w:val="20"/>
                <w:szCs w:val="20"/>
                <w:lang w:val="en-GB"/>
              </w:rPr>
              <w:t>£50</w:t>
            </w:r>
          </w:p>
        </w:tc>
        <w:tc>
          <w:tcPr>
            <w:tcW w:w="650" w:type="pct"/>
            <w:tcBorders>
              <w:top w:val="nil"/>
              <w:left w:val="nil"/>
              <w:bottom w:val="single" w:color="auto" w:sz="4" w:space="0"/>
              <w:right w:val="single" w:color="auto" w:sz="4" w:space="0"/>
            </w:tcBorders>
            <w:noWrap/>
            <w:vAlign w:val="bottom"/>
          </w:tcPr>
          <w:p w14:paraId="1D39CE11">
            <w:pPr>
              <w:jc w:val="right"/>
              <w:rPr>
                <w:rFonts w:cs="Arial"/>
                <w:color w:val="000000"/>
                <w:sz w:val="20"/>
                <w:szCs w:val="20"/>
                <w:lang w:val="en-GB"/>
              </w:rPr>
            </w:pPr>
            <w:r>
              <w:rPr>
                <w:rFonts w:cs="Arial"/>
                <w:color w:val="000000"/>
                <w:sz w:val="20"/>
                <w:szCs w:val="20"/>
                <w:lang w:val="en-GB"/>
              </w:rPr>
              <w:t>5</w:t>
            </w:r>
          </w:p>
        </w:tc>
        <w:tc>
          <w:tcPr>
            <w:tcW w:w="650" w:type="pct"/>
            <w:tcBorders>
              <w:top w:val="nil"/>
              <w:left w:val="nil"/>
              <w:bottom w:val="single" w:color="auto" w:sz="4" w:space="0"/>
              <w:right w:val="single" w:color="auto" w:sz="4" w:space="0"/>
            </w:tcBorders>
            <w:noWrap/>
            <w:vAlign w:val="bottom"/>
          </w:tcPr>
          <w:p w14:paraId="4DA31E45">
            <w:pPr>
              <w:jc w:val="right"/>
              <w:rPr>
                <w:rFonts w:cs="Arial"/>
                <w:color w:val="000000"/>
                <w:sz w:val="20"/>
                <w:szCs w:val="20"/>
                <w:lang w:val="en-GB"/>
              </w:rPr>
            </w:pPr>
            <w:r>
              <w:rPr>
                <w:rFonts w:cs="Arial"/>
                <w:color w:val="000000"/>
                <w:sz w:val="20"/>
                <w:szCs w:val="20"/>
                <w:lang w:val="en-GB"/>
              </w:rPr>
              <w:t>10</w:t>
            </w:r>
          </w:p>
        </w:tc>
        <w:tc>
          <w:tcPr>
            <w:tcW w:w="650" w:type="pct"/>
            <w:tcBorders>
              <w:top w:val="nil"/>
              <w:left w:val="nil"/>
              <w:bottom w:val="single" w:color="auto" w:sz="4" w:space="0"/>
              <w:right w:val="single" w:color="auto" w:sz="4" w:space="0"/>
            </w:tcBorders>
            <w:noWrap/>
            <w:vAlign w:val="bottom"/>
          </w:tcPr>
          <w:p w14:paraId="05CD0A79">
            <w:pPr>
              <w:jc w:val="right"/>
              <w:rPr>
                <w:rFonts w:cs="Arial"/>
                <w:color w:val="000000"/>
                <w:sz w:val="20"/>
                <w:szCs w:val="20"/>
                <w:lang w:val="en-GB"/>
              </w:rPr>
            </w:pPr>
            <w:r>
              <w:rPr>
                <w:rFonts w:cs="Arial"/>
                <w:color w:val="000000"/>
                <w:sz w:val="20"/>
                <w:szCs w:val="20"/>
                <w:lang w:val="en-GB"/>
              </w:rPr>
              <w:t>20</w:t>
            </w:r>
          </w:p>
        </w:tc>
        <w:tc>
          <w:tcPr>
            <w:tcW w:w="650" w:type="pct"/>
            <w:tcBorders>
              <w:top w:val="nil"/>
              <w:left w:val="nil"/>
              <w:bottom w:val="single" w:color="auto" w:sz="4" w:space="0"/>
              <w:right w:val="single" w:color="auto" w:sz="4" w:space="0"/>
            </w:tcBorders>
            <w:noWrap/>
            <w:vAlign w:val="bottom"/>
          </w:tcPr>
          <w:p w14:paraId="2617696C">
            <w:pPr>
              <w:jc w:val="right"/>
              <w:rPr>
                <w:rFonts w:cs="Arial"/>
                <w:color w:val="000000"/>
                <w:sz w:val="20"/>
                <w:szCs w:val="20"/>
                <w:lang w:val="en-GB"/>
              </w:rPr>
            </w:pPr>
            <w:r>
              <w:rPr>
                <w:rFonts w:cs="Arial"/>
                <w:color w:val="000000"/>
                <w:sz w:val="20"/>
                <w:szCs w:val="20"/>
                <w:lang w:val="en-GB"/>
              </w:rPr>
              <w:t>25</w:t>
            </w:r>
          </w:p>
        </w:tc>
        <w:tc>
          <w:tcPr>
            <w:tcW w:w="650" w:type="pct"/>
            <w:tcBorders>
              <w:top w:val="nil"/>
              <w:left w:val="nil"/>
              <w:bottom w:val="single" w:color="auto" w:sz="4" w:space="0"/>
              <w:right w:val="single" w:color="auto" w:sz="4" w:space="0"/>
            </w:tcBorders>
            <w:noWrap/>
            <w:vAlign w:val="bottom"/>
          </w:tcPr>
          <w:p w14:paraId="6B34272D">
            <w:pPr>
              <w:jc w:val="right"/>
              <w:rPr>
                <w:rFonts w:cs="Arial"/>
                <w:color w:val="000000"/>
                <w:sz w:val="20"/>
                <w:szCs w:val="20"/>
                <w:lang w:val="en-GB"/>
              </w:rPr>
            </w:pPr>
            <w:r>
              <w:rPr>
                <w:rFonts w:cs="Arial"/>
                <w:color w:val="000000"/>
                <w:sz w:val="20"/>
                <w:szCs w:val="20"/>
                <w:lang w:val="en-GB"/>
              </w:rPr>
              <w:t>5</w:t>
            </w:r>
          </w:p>
        </w:tc>
      </w:tr>
    </w:tbl>
    <w:p w14:paraId="0E8C24AC">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1314"/>
        <w:gridCol w:w="3018"/>
        <w:gridCol w:w="5244"/>
      </w:tblGrid>
      <w:tr w14:paraId="4D05F3F8">
        <w:tblPrEx>
          <w:tblCellMar>
            <w:top w:w="0" w:type="dxa"/>
            <w:left w:w="108" w:type="dxa"/>
            <w:bottom w:w="0" w:type="dxa"/>
            <w:right w:w="108" w:type="dxa"/>
          </w:tblCellMar>
        </w:tblPrEx>
        <w:trPr>
          <w:trHeight w:val="300"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ign w:val="bottom"/>
          </w:tcPr>
          <w:p w14:paraId="6B203108">
            <w:pPr>
              <w:jc w:val="center"/>
              <w:rPr>
                <w:rFonts w:cs="Arial"/>
                <w:b/>
                <w:bCs/>
                <w:color w:val="000000"/>
                <w:sz w:val="20"/>
                <w:szCs w:val="20"/>
                <w:lang w:val="en-GB"/>
              </w:rPr>
            </w:pPr>
            <w:r>
              <w:rPr>
                <w:rFonts w:cs="Arial"/>
                <w:b/>
                <w:bCs/>
                <w:color w:val="000000"/>
                <w:sz w:val="20"/>
                <w:szCs w:val="20"/>
                <w:lang w:val="en-GB"/>
              </w:rPr>
              <w:t xml:space="preserve">Payback Period for project A </w:t>
            </w:r>
          </w:p>
        </w:tc>
      </w:tr>
      <w:tr w14:paraId="6F49AFFB">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786D58DE">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1576" w:type="pct"/>
            <w:tcBorders>
              <w:top w:val="nil"/>
              <w:left w:val="nil"/>
              <w:bottom w:val="single" w:color="auto" w:sz="4" w:space="0"/>
              <w:right w:val="single" w:color="auto" w:sz="4" w:space="0"/>
            </w:tcBorders>
            <w:noWrap/>
            <w:vAlign w:val="bottom"/>
          </w:tcPr>
          <w:p w14:paraId="15F72C72">
            <w:pPr>
              <w:jc w:val="left"/>
              <w:rPr>
                <w:rFonts w:cs="Arial"/>
                <w:b/>
                <w:bCs/>
                <w:i/>
                <w:iCs/>
                <w:color w:val="000000"/>
                <w:sz w:val="20"/>
                <w:szCs w:val="20"/>
                <w:lang w:val="en-GB"/>
              </w:rPr>
            </w:pPr>
            <w:r>
              <w:rPr>
                <w:rFonts w:cs="Arial"/>
                <w:b/>
                <w:bCs/>
                <w:i/>
                <w:iCs/>
                <w:color w:val="000000"/>
                <w:sz w:val="20"/>
                <w:szCs w:val="20"/>
                <w:lang w:val="en-GB"/>
              </w:rPr>
              <w:t>Cashflow  (£m)</w:t>
            </w:r>
          </w:p>
        </w:tc>
        <w:tc>
          <w:tcPr>
            <w:tcW w:w="2738" w:type="pct"/>
            <w:tcBorders>
              <w:top w:val="nil"/>
              <w:left w:val="nil"/>
              <w:bottom w:val="single" w:color="auto" w:sz="4" w:space="0"/>
              <w:right w:val="single" w:color="auto" w:sz="4" w:space="0"/>
            </w:tcBorders>
            <w:noWrap/>
            <w:vAlign w:val="bottom"/>
          </w:tcPr>
          <w:p w14:paraId="4670C530">
            <w:pPr>
              <w:jc w:val="left"/>
              <w:rPr>
                <w:rFonts w:cs="Arial"/>
                <w:b/>
                <w:bCs/>
                <w:i/>
                <w:iCs/>
                <w:color w:val="000000"/>
                <w:sz w:val="20"/>
                <w:szCs w:val="20"/>
                <w:lang w:val="en-GB"/>
              </w:rPr>
            </w:pPr>
            <w:r>
              <w:rPr>
                <w:rFonts w:cs="Arial"/>
                <w:b/>
                <w:bCs/>
                <w:i/>
                <w:iCs/>
                <w:color w:val="000000"/>
                <w:sz w:val="20"/>
                <w:szCs w:val="20"/>
                <w:lang w:val="en-GB"/>
              </w:rPr>
              <w:t>Cumulative Cashflow (£m)</w:t>
            </w:r>
          </w:p>
        </w:tc>
      </w:tr>
      <w:tr w14:paraId="2B340179">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78F11F73">
            <w:pPr>
              <w:jc w:val="right"/>
              <w:rPr>
                <w:rFonts w:cs="Arial"/>
                <w:color w:val="000000"/>
                <w:sz w:val="20"/>
                <w:szCs w:val="20"/>
                <w:lang w:val="en-GB"/>
              </w:rPr>
            </w:pPr>
            <w:r>
              <w:rPr>
                <w:rFonts w:cs="Arial"/>
                <w:color w:val="000000"/>
                <w:sz w:val="20"/>
                <w:szCs w:val="20"/>
                <w:lang w:val="en-GB"/>
              </w:rPr>
              <w:t>0</w:t>
            </w:r>
          </w:p>
        </w:tc>
        <w:tc>
          <w:tcPr>
            <w:tcW w:w="1576" w:type="pct"/>
            <w:tcBorders>
              <w:top w:val="nil"/>
              <w:left w:val="nil"/>
              <w:bottom w:val="single" w:color="auto" w:sz="4" w:space="0"/>
              <w:right w:val="single" w:color="auto" w:sz="4" w:space="0"/>
            </w:tcBorders>
            <w:noWrap/>
            <w:vAlign w:val="bottom"/>
          </w:tcPr>
          <w:p w14:paraId="555074F0">
            <w:pPr>
              <w:jc w:val="right"/>
              <w:rPr>
                <w:rFonts w:cs="Arial"/>
                <w:color w:val="000000"/>
                <w:sz w:val="20"/>
                <w:szCs w:val="20"/>
                <w:lang w:val="en-GB"/>
              </w:rPr>
            </w:pPr>
            <w:r>
              <w:rPr>
                <w:rFonts w:cs="Arial"/>
                <w:color w:val="000000"/>
                <w:sz w:val="20"/>
                <w:szCs w:val="20"/>
                <w:lang w:val="en-GB"/>
              </w:rPr>
              <w:t>-50</w:t>
            </w:r>
          </w:p>
        </w:tc>
        <w:tc>
          <w:tcPr>
            <w:tcW w:w="2738" w:type="pct"/>
            <w:tcBorders>
              <w:top w:val="nil"/>
              <w:left w:val="nil"/>
              <w:bottom w:val="single" w:color="auto" w:sz="4" w:space="0"/>
              <w:right w:val="single" w:color="auto" w:sz="4" w:space="0"/>
            </w:tcBorders>
            <w:noWrap/>
            <w:vAlign w:val="bottom"/>
          </w:tcPr>
          <w:p w14:paraId="0AA30643">
            <w:pPr>
              <w:jc w:val="right"/>
              <w:rPr>
                <w:rFonts w:cs="Arial"/>
                <w:color w:val="000000"/>
                <w:sz w:val="20"/>
                <w:szCs w:val="20"/>
                <w:lang w:val="en-GB"/>
              </w:rPr>
            </w:pPr>
            <w:r>
              <w:rPr>
                <w:rFonts w:cs="Arial"/>
                <w:color w:val="000000"/>
                <w:sz w:val="20"/>
                <w:szCs w:val="20"/>
                <w:lang w:val="en-GB"/>
              </w:rPr>
              <w:t>-50</w:t>
            </w:r>
          </w:p>
        </w:tc>
      </w:tr>
      <w:tr w14:paraId="3FCC0CF8">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05293D3A">
            <w:pPr>
              <w:jc w:val="right"/>
              <w:rPr>
                <w:rFonts w:cs="Arial"/>
                <w:color w:val="000000"/>
                <w:sz w:val="20"/>
                <w:szCs w:val="20"/>
                <w:lang w:val="en-GB"/>
              </w:rPr>
            </w:pPr>
            <w:r>
              <w:rPr>
                <w:rFonts w:cs="Arial"/>
                <w:color w:val="000000"/>
                <w:sz w:val="20"/>
                <w:szCs w:val="20"/>
                <w:lang w:val="en-GB"/>
              </w:rPr>
              <w:t>1</w:t>
            </w:r>
          </w:p>
        </w:tc>
        <w:tc>
          <w:tcPr>
            <w:tcW w:w="1576" w:type="pct"/>
            <w:tcBorders>
              <w:top w:val="nil"/>
              <w:left w:val="nil"/>
              <w:bottom w:val="single" w:color="auto" w:sz="4" w:space="0"/>
              <w:right w:val="single" w:color="auto" w:sz="4" w:space="0"/>
            </w:tcBorders>
            <w:noWrap/>
            <w:vAlign w:val="bottom"/>
          </w:tcPr>
          <w:p w14:paraId="1A1E8B60">
            <w:pPr>
              <w:jc w:val="right"/>
              <w:rPr>
                <w:rFonts w:cs="Arial"/>
                <w:color w:val="000000"/>
                <w:sz w:val="20"/>
                <w:szCs w:val="20"/>
                <w:lang w:val="en-GB"/>
              </w:rPr>
            </w:pPr>
            <w:r>
              <w:rPr>
                <w:rFonts w:cs="Arial"/>
                <w:color w:val="000000"/>
                <w:sz w:val="20"/>
                <w:szCs w:val="20"/>
                <w:lang w:val="en-GB"/>
              </w:rPr>
              <w:t>10</w:t>
            </w:r>
          </w:p>
        </w:tc>
        <w:tc>
          <w:tcPr>
            <w:tcW w:w="2738" w:type="pct"/>
            <w:tcBorders>
              <w:top w:val="nil"/>
              <w:left w:val="nil"/>
              <w:bottom w:val="single" w:color="auto" w:sz="4" w:space="0"/>
              <w:right w:val="single" w:color="auto" w:sz="4" w:space="0"/>
            </w:tcBorders>
            <w:noWrap/>
            <w:vAlign w:val="bottom"/>
          </w:tcPr>
          <w:p w14:paraId="20D5A949">
            <w:pPr>
              <w:jc w:val="right"/>
              <w:rPr>
                <w:rFonts w:cs="Arial"/>
                <w:color w:val="000000"/>
                <w:sz w:val="20"/>
                <w:szCs w:val="20"/>
                <w:lang w:val="en-GB"/>
              </w:rPr>
            </w:pPr>
            <w:r>
              <w:rPr>
                <w:rFonts w:cs="Arial"/>
                <w:color w:val="000000"/>
                <w:sz w:val="20"/>
                <w:szCs w:val="20"/>
                <w:lang w:val="en-GB"/>
              </w:rPr>
              <w:t>-40</w:t>
            </w:r>
          </w:p>
        </w:tc>
      </w:tr>
      <w:tr w14:paraId="3432D670">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121A4975">
            <w:pPr>
              <w:jc w:val="right"/>
              <w:rPr>
                <w:rFonts w:cs="Arial"/>
                <w:color w:val="000000"/>
                <w:sz w:val="20"/>
                <w:szCs w:val="20"/>
                <w:lang w:val="en-GB"/>
              </w:rPr>
            </w:pPr>
            <w:r>
              <w:rPr>
                <w:rFonts w:cs="Arial"/>
                <w:color w:val="000000"/>
                <w:sz w:val="20"/>
                <w:szCs w:val="20"/>
                <w:lang w:val="en-GB"/>
              </w:rPr>
              <w:t>2</w:t>
            </w:r>
          </w:p>
        </w:tc>
        <w:tc>
          <w:tcPr>
            <w:tcW w:w="1576" w:type="pct"/>
            <w:tcBorders>
              <w:top w:val="nil"/>
              <w:left w:val="nil"/>
              <w:bottom w:val="single" w:color="auto" w:sz="4" w:space="0"/>
              <w:right w:val="single" w:color="auto" w:sz="4" w:space="0"/>
            </w:tcBorders>
            <w:noWrap/>
            <w:vAlign w:val="bottom"/>
          </w:tcPr>
          <w:p w14:paraId="1580CC4C">
            <w:pPr>
              <w:jc w:val="right"/>
              <w:rPr>
                <w:rFonts w:cs="Arial"/>
                <w:color w:val="000000"/>
                <w:sz w:val="20"/>
                <w:szCs w:val="20"/>
                <w:lang w:val="en-GB"/>
              </w:rPr>
            </w:pPr>
            <w:r>
              <w:rPr>
                <w:rFonts w:cs="Arial"/>
                <w:color w:val="000000"/>
                <w:sz w:val="20"/>
                <w:szCs w:val="20"/>
                <w:lang w:val="en-GB"/>
              </w:rPr>
              <w:t>12</w:t>
            </w:r>
          </w:p>
        </w:tc>
        <w:tc>
          <w:tcPr>
            <w:tcW w:w="2738" w:type="pct"/>
            <w:tcBorders>
              <w:top w:val="nil"/>
              <w:left w:val="nil"/>
              <w:bottom w:val="single" w:color="auto" w:sz="4" w:space="0"/>
              <w:right w:val="single" w:color="auto" w:sz="4" w:space="0"/>
            </w:tcBorders>
            <w:noWrap/>
            <w:vAlign w:val="bottom"/>
          </w:tcPr>
          <w:p w14:paraId="092A3B55">
            <w:pPr>
              <w:jc w:val="right"/>
              <w:rPr>
                <w:rFonts w:cs="Arial"/>
                <w:color w:val="000000"/>
                <w:sz w:val="20"/>
                <w:szCs w:val="20"/>
                <w:lang w:val="en-GB"/>
              </w:rPr>
            </w:pPr>
            <w:r>
              <w:rPr>
                <w:rFonts w:cs="Arial"/>
                <w:color w:val="000000"/>
                <w:sz w:val="20"/>
                <w:szCs w:val="20"/>
                <w:lang w:val="en-GB"/>
              </w:rPr>
              <w:t>-28</w:t>
            </w:r>
          </w:p>
        </w:tc>
      </w:tr>
      <w:tr w14:paraId="41D62815">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1D59671F">
            <w:pPr>
              <w:jc w:val="right"/>
              <w:rPr>
                <w:rFonts w:cs="Arial"/>
                <w:color w:val="000000"/>
                <w:sz w:val="20"/>
                <w:szCs w:val="20"/>
                <w:lang w:val="en-GB"/>
              </w:rPr>
            </w:pPr>
            <w:r>
              <w:rPr>
                <w:rFonts w:cs="Arial"/>
                <w:color w:val="000000"/>
                <w:sz w:val="20"/>
                <w:szCs w:val="20"/>
                <w:lang w:val="en-GB"/>
              </w:rPr>
              <w:t>3</w:t>
            </w:r>
          </w:p>
        </w:tc>
        <w:tc>
          <w:tcPr>
            <w:tcW w:w="1576" w:type="pct"/>
            <w:tcBorders>
              <w:top w:val="nil"/>
              <w:left w:val="nil"/>
              <w:bottom w:val="single" w:color="auto" w:sz="4" w:space="0"/>
              <w:right w:val="single" w:color="auto" w:sz="4" w:space="0"/>
            </w:tcBorders>
            <w:noWrap/>
            <w:vAlign w:val="bottom"/>
          </w:tcPr>
          <w:p w14:paraId="09D5E156">
            <w:pPr>
              <w:jc w:val="right"/>
              <w:rPr>
                <w:rFonts w:cs="Arial"/>
                <w:color w:val="000000"/>
                <w:sz w:val="20"/>
                <w:szCs w:val="20"/>
                <w:lang w:val="en-GB"/>
              </w:rPr>
            </w:pPr>
            <w:r>
              <w:rPr>
                <w:rFonts w:cs="Arial"/>
                <w:color w:val="000000"/>
                <w:sz w:val="20"/>
                <w:szCs w:val="20"/>
                <w:lang w:val="en-GB"/>
              </w:rPr>
              <w:t>14</w:t>
            </w:r>
          </w:p>
        </w:tc>
        <w:tc>
          <w:tcPr>
            <w:tcW w:w="2738" w:type="pct"/>
            <w:tcBorders>
              <w:top w:val="nil"/>
              <w:left w:val="nil"/>
              <w:bottom w:val="single" w:color="auto" w:sz="4" w:space="0"/>
              <w:right w:val="single" w:color="auto" w:sz="4" w:space="0"/>
            </w:tcBorders>
            <w:noWrap/>
            <w:vAlign w:val="bottom"/>
          </w:tcPr>
          <w:p w14:paraId="6D32683F">
            <w:pPr>
              <w:jc w:val="right"/>
              <w:rPr>
                <w:rFonts w:cs="Arial"/>
                <w:color w:val="000000"/>
                <w:sz w:val="20"/>
                <w:szCs w:val="20"/>
                <w:lang w:val="en-GB"/>
              </w:rPr>
            </w:pPr>
            <w:r>
              <w:rPr>
                <w:rFonts w:cs="Arial"/>
                <w:color w:val="000000"/>
                <w:sz w:val="20"/>
                <w:szCs w:val="20"/>
                <w:lang w:val="en-GB"/>
              </w:rPr>
              <w:t>-14</w:t>
            </w:r>
          </w:p>
        </w:tc>
      </w:tr>
      <w:tr w14:paraId="06F232CB">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4FCC7662">
            <w:pPr>
              <w:jc w:val="right"/>
              <w:rPr>
                <w:rFonts w:cs="Arial"/>
                <w:color w:val="000000"/>
                <w:sz w:val="20"/>
                <w:szCs w:val="20"/>
                <w:lang w:val="en-GB"/>
              </w:rPr>
            </w:pPr>
            <w:r>
              <w:rPr>
                <w:rFonts w:cs="Arial"/>
                <w:color w:val="000000"/>
                <w:sz w:val="20"/>
                <w:szCs w:val="20"/>
                <w:lang w:val="en-GB"/>
              </w:rPr>
              <w:t>4</w:t>
            </w:r>
          </w:p>
        </w:tc>
        <w:tc>
          <w:tcPr>
            <w:tcW w:w="1576" w:type="pct"/>
            <w:tcBorders>
              <w:top w:val="nil"/>
              <w:left w:val="nil"/>
              <w:bottom w:val="single" w:color="auto" w:sz="4" w:space="0"/>
              <w:right w:val="single" w:color="auto" w:sz="4" w:space="0"/>
            </w:tcBorders>
            <w:noWrap/>
            <w:vAlign w:val="bottom"/>
          </w:tcPr>
          <w:p w14:paraId="71E675C0">
            <w:pPr>
              <w:jc w:val="right"/>
              <w:rPr>
                <w:rFonts w:cs="Arial"/>
                <w:color w:val="000000"/>
                <w:sz w:val="20"/>
                <w:szCs w:val="20"/>
                <w:lang w:val="en-GB"/>
              </w:rPr>
            </w:pPr>
            <w:r>
              <w:rPr>
                <w:rFonts w:cs="Arial"/>
                <w:color w:val="000000"/>
                <w:sz w:val="20"/>
                <w:szCs w:val="20"/>
                <w:lang w:val="en-GB"/>
              </w:rPr>
              <w:t>10</w:t>
            </w:r>
          </w:p>
        </w:tc>
        <w:tc>
          <w:tcPr>
            <w:tcW w:w="2738" w:type="pct"/>
            <w:tcBorders>
              <w:top w:val="nil"/>
              <w:left w:val="nil"/>
              <w:bottom w:val="single" w:color="auto" w:sz="4" w:space="0"/>
              <w:right w:val="single" w:color="auto" w:sz="4" w:space="0"/>
            </w:tcBorders>
            <w:noWrap/>
            <w:vAlign w:val="bottom"/>
          </w:tcPr>
          <w:p w14:paraId="31403306">
            <w:pPr>
              <w:jc w:val="right"/>
              <w:rPr>
                <w:rFonts w:cs="Arial"/>
                <w:color w:val="000000"/>
                <w:sz w:val="20"/>
                <w:szCs w:val="20"/>
                <w:lang w:val="en-GB"/>
              </w:rPr>
            </w:pPr>
            <w:r>
              <w:rPr>
                <w:rFonts w:cs="Arial"/>
                <w:color w:val="000000"/>
                <w:sz w:val="20"/>
                <w:szCs w:val="20"/>
                <w:lang w:val="en-GB"/>
              </w:rPr>
              <w:t>-4</w:t>
            </w:r>
          </w:p>
        </w:tc>
      </w:tr>
      <w:tr w14:paraId="2430274E">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14933F69">
            <w:pPr>
              <w:jc w:val="right"/>
              <w:rPr>
                <w:rFonts w:cs="Arial"/>
                <w:color w:val="000000"/>
                <w:sz w:val="20"/>
                <w:szCs w:val="20"/>
                <w:lang w:val="en-GB"/>
              </w:rPr>
            </w:pPr>
            <w:r>
              <w:rPr>
                <w:rFonts w:cs="Arial"/>
                <w:color w:val="000000"/>
                <w:sz w:val="20"/>
                <w:szCs w:val="20"/>
                <w:lang w:val="en-GB"/>
              </w:rPr>
              <w:t>5</w:t>
            </w:r>
          </w:p>
        </w:tc>
        <w:tc>
          <w:tcPr>
            <w:tcW w:w="1576" w:type="pct"/>
            <w:tcBorders>
              <w:top w:val="nil"/>
              <w:left w:val="nil"/>
              <w:bottom w:val="single" w:color="auto" w:sz="4" w:space="0"/>
              <w:right w:val="single" w:color="auto" w:sz="4" w:space="0"/>
            </w:tcBorders>
            <w:noWrap/>
            <w:vAlign w:val="bottom"/>
          </w:tcPr>
          <w:p w14:paraId="6FF45251">
            <w:pPr>
              <w:jc w:val="right"/>
              <w:rPr>
                <w:rFonts w:cs="Arial"/>
                <w:color w:val="000000"/>
                <w:sz w:val="20"/>
                <w:szCs w:val="20"/>
                <w:lang w:val="en-GB"/>
              </w:rPr>
            </w:pPr>
            <w:r>
              <w:rPr>
                <w:rFonts w:cs="Arial"/>
                <w:color w:val="000000"/>
                <w:sz w:val="20"/>
                <w:szCs w:val="20"/>
                <w:lang w:val="en-GB"/>
              </w:rPr>
              <w:t>8</w:t>
            </w:r>
          </w:p>
        </w:tc>
        <w:tc>
          <w:tcPr>
            <w:tcW w:w="2738" w:type="pct"/>
            <w:tcBorders>
              <w:top w:val="nil"/>
              <w:left w:val="nil"/>
              <w:bottom w:val="single" w:color="auto" w:sz="4" w:space="0"/>
              <w:right w:val="single" w:color="auto" w:sz="4" w:space="0"/>
            </w:tcBorders>
            <w:noWrap/>
            <w:vAlign w:val="bottom"/>
          </w:tcPr>
          <w:p w14:paraId="0B06EFF4">
            <w:pPr>
              <w:jc w:val="right"/>
              <w:rPr>
                <w:rFonts w:cs="Arial"/>
                <w:color w:val="000000"/>
                <w:sz w:val="20"/>
                <w:szCs w:val="20"/>
                <w:lang w:val="en-GB"/>
              </w:rPr>
            </w:pPr>
            <w:r>
              <w:rPr>
                <w:rFonts w:cs="Arial"/>
                <w:color w:val="000000"/>
                <w:sz w:val="20"/>
                <w:szCs w:val="20"/>
                <w:lang w:val="en-GB"/>
              </w:rPr>
              <w:t>4</w:t>
            </w:r>
          </w:p>
        </w:tc>
      </w:tr>
      <w:tr w14:paraId="5F59F7E4">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66608FA2">
            <w:pPr>
              <w:jc w:val="left"/>
              <w:rPr>
                <w:rFonts w:cs="Arial"/>
                <w:color w:val="000000"/>
                <w:sz w:val="20"/>
                <w:szCs w:val="20"/>
                <w:lang w:val="en-GB"/>
              </w:rPr>
            </w:pPr>
            <w:r>
              <w:rPr>
                <w:rFonts w:cs="Arial"/>
                <w:color w:val="000000"/>
                <w:sz w:val="20"/>
                <w:szCs w:val="20"/>
                <w:lang w:val="en-GB"/>
              </w:rPr>
              <w:t xml:space="preserve">Year </w:t>
            </w:r>
          </w:p>
        </w:tc>
        <w:tc>
          <w:tcPr>
            <w:tcW w:w="1576" w:type="pct"/>
            <w:tcBorders>
              <w:top w:val="nil"/>
              <w:left w:val="nil"/>
              <w:bottom w:val="single" w:color="auto" w:sz="4" w:space="0"/>
              <w:right w:val="single" w:color="auto" w:sz="4" w:space="0"/>
            </w:tcBorders>
            <w:noWrap/>
            <w:vAlign w:val="bottom"/>
          </w:tcPr>
          <w:p w14:paraId="217331D0">
            <w:pPr>
              <w:jc w:val="right"/>
              <w:rPr>
                <w:rFonts w:cs="Arial"/>
                <w:color w:val="000000"/>
                <w:sz w:val="20"/>
                <w:szCs w:val="20"/>
                <w:lang w:val="en-GB"/>
              </w:rPr>
            </w:pPr>
            <w:r>
              <w:rPr>
                <w:rFonts w:cs="Arial"/>
                <w:color w:val="000000"/>
                <w:sz w:val="20"/>
                <w:szCs w:val="20"/>
                <w:lang w:val="en-GB"/>
              </w:rPr>
              <w:t>4</w:t>
            </w:r>
          </w:p>
        </w:tc>
        <w:tc>
          <w:tcPr>
            <w:tcW w:w="2738" w:type="pct"/>
            <w:vMerge w:val="restart"/>
            <w:tcBorders>
              <w:top w:val="nil"/>
              <w:left w:val="single" w:color="auto" w:sz="4" w:space="0"/>
              <w:bottom w:val="single" w:color="000000" w:sz="4" w:space="0"/>
              <w:right w:val="single" w:color="auto" w:sz="4" w:space="0"/>
            </w:tcBorders>
            <w:noWrap/>
            <w:vAlign w:val="bottom"/>
          </w:tcPr>
          <w:p w14:paraId="5B4ACAFB">
            <w:pPr>
              <w:jc w:val="center"/>
              <w:rPr>
                <w:rFonts w:cs="Arial"/>
                <w:color w:val="000000"/>
                <w:sz w:val="20"/>
                <w:szCs w:val="20"/>
                <w:lang w:val="en-GB"/>
              </w:rPr>
            </w:pPr>
            <w:r>
              <w:rPr>
                <w:rFonts w:cs="Arial"/>
                <w:color w:val="000000"/>
                <w:sz w:val="20"/>
                <w:szCs w:val="20"/>
                <w:lang w:val="en-GB"/>
              </w:rPr>
              <w:t> </w:t>
            </w:r>
          </w:p>
        </w:tc>
      </w:tr>
      <w:tr w14:paraId="7D9A829E">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1987D792">
            <w:pPr>
              <w:jc w:val="left"/>
              <w:rPr>
                <w:rFonts w:cs="Arial"/>
                <w:color w:val="000000"/>
                <w:sz w:val="20"/>
                <w:szCs w:val="20"/>
                <w:lang w:val="en-GB"/>
              </w:rPr>
            </w:pPr>
            <w:r>
              <w:rPr>
                <w:rFonts w:cs="Arial"/>
                <w:color w:val="000000"/>
                <w:sz w:val="20"/>
                <w:szCs w:val="20"/>
                <w:lang w:val="en-GB"/>
              </w:rPr>
              <w:t xml:space="preserve">Month </w:t>
            </w:r>
          </w:p>
        </w:tc>
        <w:tc>
          <w:tcPr>
            <w:tcW w:w="1576" w:type="pct"/>
            <w:tcBorders>
              <w:top w:val="nil"/>
              <w:left w:val="nil"/>
              <w:bottom w:val="single" w:color="auto" w:sz="4" w:space="0"/>
              <w:right w:val="single" w:color="auto" w:sz="4" w:space="0"/>
            </w:tcBorders>
            <w:noWrap/>
            <w:vAlign w:val="bottom"/>
          </w:tcPr>
          <w:p w14:paraId="0B65CB8B">
            <w:pPr>
              <w:jc w:val="right"/>
              <w:rPr>
                <w:rFonts w:cs="Arial"/>
                <w:color w:val="000000"/>
                <w:sz w:val="20"/>
                <w:szCs w:val="20"/>
                <w:lang w:val="en-GB"/>
              </w:rPr>
            </w:pPr>
            <w:r>
              <w:rPr>
                <w:rFonts w:cs="Arial"/>
                <w:color w:val="000000"/>
                <w:sz w:val="20"/>
                <w:szCs w:val="20"/>
                <w:lang w:val="en-GB"/>
              </w:rPr>
              <w:t>6</w:t>
            </w:r>
          </w:p>
        </w:tc>
        <w:tc>
          <w:tcPr>
            <w:tcW w:w="2738" w:type="pct"/>
            <w:vMerge w:val="continue"/>
            <w:tcBorders>
              <w:top w:val="nil"/>
              <w:left w:val="single" w:color="auto" w:sz="4" w:space="0"/>
              <w:bottom w:val="single" w:color="000000" w:sz="4" w:space="0"/>
              <w:right w:val="single" w:color="auto" w:sz="4" w:space="0"/>
            </w:tcBorders>
            <w:vAlign w:val="center"/>
          </w:tcPr>
          <w:p w14:paraId="5B3E3C41">
            <w:pPr>
              <w:jc w:val="left"/>
              <w:rPr>
                <w:rFonts w:cs="Arial"/>
                <w:color w:val="000000"/>
                <w:sz w:val="20"/>
                <w:szCs w:val="20"/>
                <w:lang w:val="en-GB"/>
              </w:rPr>
            </w:pPr>
          </w:p>
        </w:tc>
      </w:tr>
    </w:tbl>
    <w:p w14:paraId="1443259C">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1314"/>
        <w:gridCol w:w="3018"/>
        <w:gridCol w:w="5244"/>
      </w:tblGrid>
      <w:tr w14:paraId="78B09444">
        <w:tblPrEx>
          <w:tblCellMar>
            <w:top w:w="0" w:type="dxa"/>
            <w:left w:w="108" w:type="dxa"/>
            <w:bottom w:w="0" w:type="dxa"/>
            <w:right w:w="108" w:type="dxa"/>
          </w:tblCellMar>
        </w:tblPrEx>
        <w:trPr>
          <w:trHeight w:val="330"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ign w:val="bottom"/>
          </w:tcPr>
          <w:p w14:paraId="573DCB64">
            <w:pPr>
              <w:jc w:val="center"/>
              <w:rPr>
                <w:rFonts w:cs="Arial"/>
                <w:b/>
                <w:bCs/>
                <w:color w:val="000000"/>
                <w:sz w:val="20"/>
                <w:szCs w:val="20"/>
                <w:lang w:val="en-GB"/>
              </w:rPr>
            </w:pPr>
            <w:r>
              <w:rPr>
                <w:rFonts w:cs="Arial"/>
                <w:b/>
                <w:bCs/>
                <w:color w:val="000000"/>
                <w:sz w:val="20"/>
                <w:szCs w:val="20"/>
                <w:lang w:val="en-GB"/>
              </w:rPr>
              <w:t>Payback Period for project B</w:t>
            </w:r>
          </w:p>
        </w:tc>
      </w:tr>
      <w:tr w14:paraId="04651F4F">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2934E5D9">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1576" w:type="pct"/>
            <w:tcBorders>
              <w:top w:val="nil"/>
              <w:left w:val="nil"/>
              <w:bottom w:val="single" w:color="auto" w:sz="4" w:space="0"/>
              <w:right w:val="single" w:color="auto" w:sz="4" w:space="0"/>
            </w:tcBorders>
            <w:noWrap/>
            <w:vAlign w:val="bottom"/>
          </w:tcPr>
          <w:p w14:paraId="6D627418">
            <w:pPr>
              <w:jc w:val="left"/>
              <w:rPr>
                <w:rFonts w:cs="Arial"/>
                <w:b/>
                <w:bCs/>
                <w:i/>
                <w:iCs/>
                <w:color w:val="000000"/>
                <w:sz w:val="20"/>
                <w:szCs w:val="20"/>
                <w:lang w:val="en-GB"/>
              </w:rPr>
            </w:pPr>
            <w:r>
              <w:rPr>
                <w:rFonts w:cs="Arial"/>
                <w:b/>
                <w:bCs/>
                <w:i/>
                <w:iCs/>
                <w:color w:val="000000"/>
                <w:sz w:val="20"/>
                <w:szCs w:val="20"/>
                <w:lang w:val="en-GB"/>
              </w:rPr>
              <w:t>Cashflow  (£m)</w:t>
            </w:r>
          </w:p>
        </w:tc>
        <w:tc>
          <w:tcPr>
            <w:tcW w:w="2738" w:type="pct"/>
            <w:tcBorders>
              <w:top w:val="nil"/>
              <w:left w:val="nil"/>
              <w:bottom w:val="single" w:color="auto" w:sz="4" w:space="0"/>
              <w:right w:val="single" w:color="auto" w:sz="4" w:space="0"/>
            </w:tcBorders>
            <w:noWrap/>
            <w:vAlign w:val="bottom"/>
          </w:tcPr>
          <w:p w14:paraId="750CBABF">
            <w:pPr>
              <w:jc w:val="left"/>
              <w:rPr>
                <w:rFonts w:cs="Arial"/>
                <w:b/>
                <w:bCs/>
                <w:i/>
                <w:iCs/>
                <w:color w:val="000000"/>
                <w:sz w:val="20"/>
                <w:szCs w:val="20"/>
                <w:lang w:val="en-GB"/>
              </w:rPr>
            </w:pPr>
            <w:r>
              <w:rPr>
                <w:rFonts w:cs="Arial"/>
                <w:b/>
                <w:bCs/>
                <w:i/>
                <w:iCs/>
                <w:color w:val="000000"/>
                <w:sz w:val="20"/>
                <w:szCs w:val="20"/>
                <w:lang w:val="en-GB"/>
              </w:rPr>
              <w:t>Cumulative Cashflow (£m)</w:t>
            </w:r>
          </w:p>
        </w:tc>
      </w:tr>
      <w:tr w14:paraId="46449625">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366EDF29">
            <w:pPr>
              <w:jc w:val="right"/>
              <w:rPr>
                <w:rFonts w:cs="Arial"/>
                <w:color w:val="000000"/>
                <w:sz w:val="20"/>
                <w:szCs w:val="20"/>
                <w:lang w:val="en-GB"/>
              </w:rPr>
            </w:pPr>
            <w:r>
              <w:rPr>
                <w:rFonts w:cs="Arial"/>
                <w:color w:val="000000"/>
                <w:sz w:val="20"/>
                <w:szCs w:val="20"/>
                <w:lang w:val="en-GB"/>
              </w:rPr>
              <w:t>0</w:t>
            </w:r>
          </w:p>
        </w:tc>
        <w:tc>
          <w:tcPr>
            <w:tcW w:w="1576" w:type="pct"/>
            <w:tcBorders>
              <w:top w:val="nil"/>
              <w:left w:val="nil"/>
              <w:bottom w:val="single" w:color="auto" w:sz="4" w:space="0"/>
              <w:right w:val="single" w:color="auto" w:sz="4" w:space="0"/>
            </w:tcBorders>
            <w:noWrap/>
            <w:vAlign w:val="bottom"/>
          </w:tcPr>
          <w:p w14:paraId="5673E9FB">
            <w:pPr>
              <w:jc w:val="right"/>
              <w:rPr>
                <w:rFonts w:cs="Arial"/>
                <w:color w:val="000000"/>
                <w:sz w:val="20"/>
                <w:szCs w:val="20"/>
                <w:lang w:val="en-GB"/>
              </w:rPr>
            </w:pPr>
            <w:r>
              <w:rPr>
                <w:rFonts w:cs="Arial"/>
                <w:color w:val="000000"/>
                <w:sz w:val="20"/>
                <w:szCs w:val="20"/>
                <w:lang w:val="en-GB"/>
              </w:rPr>
              <w:t>-50</w:t>
            </w:r>
          </w:p>
        </w:tc>
        <w:tc>
          <w:tcPr>
            <w:tcW w:w="2738" w:type="pct"/>
            <w:tcBorders>
              <w:top w:val="nil"/>
              <w:left w:val="nil"/>
              <w:bottom w:val="single" w:color="auto" w:sz="4" w:space="0"/>
              <w:right w:val="single" w:color="auto" w:sz="4" w:space="0"/>
            </w:tcBorders>
            <w:noWrap/>
            <w:vAlign w:val="bottom"/>
          </w:tcPr>
          <w:p w14:paraId="37E423F7">
            <w:pPr>
              <w:jc w:val="right"/>
              <w:rPr>
                <w:rFonts w:cs="Arial"/>
                <w:color w:val="000000"/>
                <w:sz w:val="20"/>
                <w:szCs w:val="20"/>
                <w:lang w:val="en-GB"/>
              </w:rPr>
            </w:pPr>
            <w:r>
              <w:rPr>
                <w:rFonts w:cs="Arial"/>
                <w:color w:val="000000"/>
                <w:sz w:val="20"/>
                <w:szCs w:val="20"/>
                <w:lang w:val="en-GB"/>
              </w:rPr>
              <w:t>-50</w:t>
            </w:r>
          </w:p>
        </w:tc>
      </w:tr>
      <w:tr w14:paraId="2C8A02A5">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5040D3FF">
            <w:pPr>
              <w:jc w:val="right"/>
              <w:rPr>
                <w:rFonts w:cs="Arial"/>
                <w:color w:val="000000"/>
                <w:sz w:val="20"/>
                <w:szCs w:val="20"/>
                <w:lang w:val="en-GB"/>
              </w:rPr>
            </w:pPr>
            <w:r>
              <w:rPr>
                <w:rFonts w:cs="Arial"/>
                <w:color w:val="000000"/>
                <w:sz w:val="20"/>
                <w:szCs w:val="20"/>
                <w:lang w:val="en-GB"/>
              </w:rPr>
              <w:t>1</w:t>
            </w:r>
          </w:p>
        </w:tc>
        <w:tc>
          <w:tcPr>
            <w:tcW w:w="1576" w:type="pct"/>
            <w:tcBorders>
              <w:top w:val="nil"/>
              <w:left w:val="nil"/>
              <w:bottom w:val="single" w:color="auto" w:sz="4" w:space="0"/>
              <w:right w:val="single" w:color="auto" w:sz="4" w:space="0"/>
            </w:tcBorders>
            <w:noWrap/>
            <w:vAlign w:val="bottom"/>
          </w:tcPr>
          <w:p w14:paraId="6211AD35">
            <w:pPr>
              <w:jc w:val="right"/>
              <w:rPr>
                <w:rFonts w:cs="Arial"/>
                <w:color w:val="000000"/>
                <w:sz w:val="20"/>
                <w:szCs w:val="20"/>
                <w:lang w:val="en-GB"/>
              </w:rPr>
            </w:pPr>
            <w:r>
              <w:rPr>
                <w:rFonts w:cs="Arial"/>
                <w:color w:val="000000"/>
                <w:sz w:val="20"/>
                <w:szCs w:val="20"/>
                <w:lang w:val="en-GB"/>
              </w:rPr>
              <w:t>11</w:t>
            </w:r>
          </w:p>
        </w:tc>
        <w:tc>
          <w:tcPr>
            <w:tcW w:w="2738" w:type="pct"/>
            <w:tcBorders>
              <w:top w:val="nil"/>
              <w:left w:val="nil"/>
              <w:bottom w:val="single" w:color="auto" w:sz="4" w:space="0"/>
              <w:right w:val="single" w:color="auto" w:sz="4" w:space="0"/>
            </w:tcBorders>
            <w:noWrap/>
            <w:vAlign w:val="bottom"/>
          </w:tcPr>
          <w:p w14:paraId="5B2EC6B5">
            <w:pPr>
              <w:jc w:val="right"/>
              <w:rPr>
                <w:rFonts w:cs="Arial"/>
                <w:color w:val="000000"/>
                <w:sz w:val="20"/>
                <w:szCs w:val="20"/>
                <w:lang w:val="en-GB"/>
              </w:rPr>
            </w:pPr>
            <w:r>
              <w:rPr>
                <w:rFonts w:cs="Arial"/>
                <w:color w:val="000000"/>
                <w:sz w:val="20"/>
                <w:szCs w:val="20"/>
                <w:lang w:val="en-GB"/>
              </w:rPr>
              <w:t>-39</w:t>
            </w:r>
          </w:p>
        </w:tc>
      </w:tr>
      <w:tr w14:paraId="50E83E00">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45943534">
            <w:pPr>
              <w:jc w:val="right"/>
              <w:rPr>
                <w:rFonts w:cs="Arial"/>
                <w:color w:val="000000"/>
                <w:sz w:val="20"/>
                <w:szCs w:val="20"/>
                <w:lang w:val="en-GB"/>
              </w:rPr>
            </w:pPr>
            <w:r>
              <w:rPr>
                <w:rFonts w:cs="Arial"/>
                <w:color w:val="000000"/>
                <w:sz w:val="20"/>
                <w:szCs w:val="20"/>
                <w:lang w:val="en-GB"/>
              </w:rPr>
              <w:t>2</w:t>
            </w:r>
          </w:p>
        </w:tc>
        <w:tc>
          <w:tcPr>
            <w:tcW w:w="1576" w:type="pct"/>
            <w:tcBorders>
              <w:top w:val="nil"/>
              <w:left w:val="nil"/>
              <w:bottom w:val="single" w:color="auto" w:sz="4" w:space="0"/>
              <w:right w:val="single" w:color="auto" w:sz="4" w:space="0"/>
            </w:tcBorders>
            <w:noWrap/>
            <w:vAlign w:val="bottom"/>
          </w:tcPr>
          <w:p w14:paraId="61C9EDBF">
            <w:pPr>
              <w:jc w:val="right"/>
              <w:rPr>
                <w:rFonts w:cs="Arial"/>
                <w:color w:val="000000"/>
                <w:sz w:val="20"/>
                <w:szCs w:val="20"/>
                <w:lang w:val="en-GB"/>
              </w:rPr>
            </w:pPr>
            <w:r>
              <w:rPr>
                <w:rFonts w:cs="Arial"/>
                <w:color w:val="000000"/>
                <w:sz w:val="20"/>
                <w:szCs w:val="20"/>
                <w:lang w:val="en-GB"/>
              </w:rPr>
              <w:t>11</w:t>
            </w:r>
          </w:p>
        </w:tc>
        <w:tc>
          <w:tcPr>
            <w:tcW w:w="2738" w:type="pct"/>
            <w:tcBorders>
              <w:top w:val="nil"/>
              <w:left w:val="nil"/>
              <w:bottom w:val="single" w:color="auto" w:sz="4" w:space="0"/>
              <w:right w:val="single" w:color="auto" w:sz="4" w:space="0"/>
            </w:tcBorders>
            <w:noWrap/>
            <w:vAlign w:val="bottom"/>
          </w:tcPr>
          <w:p w14:paraId="1AB29AC5">
            <w:pPr>
              <w:jc w:val="right"/>
              <w:rPr>
                <w:rFonts w:cs="Arial"/>
                <w:color w:val="000000"/>
                <w:sz w:val="20"/>
                <w:szCs w:val="20"/>
                <w:lang w:val="en-GB"/>
              </w:rPr>
            </w:pPr>
            <w:r>
              <w:rPr>
                <w:rFonts w:cs="Arial"/>
                <w:color w:val="000000"/>
                <w:sz w:val="20"/>
                <w:szCs w:val="20"/>
                <w:lang w:val="en-GB"/>
              </w:rPr>
              <w:t>-28</w:t>
            </w:r>
          </w:p>
        </w:tc>
      </w:tr>
      <w:tr w14:paraId="130B77C7">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789F55F2">
            <w:pPr>
              <w:jc w:val="right"/>
              <w:rPr>
                <w:rFonts w:cs="Arial"/>
                <w:color w:val="000000"/>
                <w:sz w:val="20"/>
                <w:szCs w:val="20"/>
                <w:lang w:val="en-GB"/>
              </w:rPr>
            </w:pPr>
            <w:r>
              <w:rPr>
                <w:rFonts w:cs="Arial"/>
                <w:color w:val="000000"/>
                <w:sz w:val="20"/>
                <w:szCs w:val="20"/>
                <w:lang w:val="en-GB"/>
              </w:rPr>
              <w:t>3</w:t>
            </w:r>
          </w:p>
        </w:tc>
        <w:tc>
          <w:tcPr>
            <w:tcW w:w="1576" w:type="pct"/>
            <w:tcBorders>
              <w:top w:val="nil"/>
              <w:left w:val="nil"/>
              <w:bottom w:val="single" w:color="auto" w:sz="4" w:space="0"/>
              <w:right w:val="single" w:color="auto" w:sz="4" w:space="0"/>
            </w:tcBorders>
            <w:noWrap/>
            <w:vAlign w:val="bottom"/>
          </w:tcPr>
          <w:p w14:paraId="13B11DDA">
            <w:pPr>
              <w:jc w:val="right"/>
              <w:rPr>
                <w:rFonts w:cs="Arial"/>
                <w:color w:val="000000"/>
                <w:sz w:val="20"/>
                <w:szCs w:val="20"/>
                <w:lang w:val="en-GB"/>
              </w:rPr>
            </w:pPr>
            <w:r>
              <w:rPr>
                <w:rFonts w:cs="Arial"/>
                <w:color w:val="000000"/>
                <w:sz w:val="20"/>
                <w:szCs w:val="20"/>
                <w:lang w:val="en-GB"/>
              </w:rPr>
              <w:t>11</w:t>
            </w:r>
          </w:p>
        </w:tc>
        <w:tc>
          <w:tcPr>
            <w:tcW w:w="2738" w:type="pct"/>
            <w:tcBorders>
              <w:top w:val="nil"/>
              <w:left w:val="nil"/>
              <w:bottom w:val="single" w:color="auto" w:sz="4" w:space="0"/>
              <w:right w:val="single" w:color="auto" w:sz="4" w:space="0"/>
            </w:tcBorders>
            <w:noWrap/>
            <w:vAlign w:val="bottom"/>
          </w:tcPr>
          <w:p w14:paraId="0CD2EE45">
            <w:pPr>
              <w:jc w:val="right"/>
              <w:rPr>
                <w:rFonts w:cs="Arial"/>
                <w:color w:val="000000"/>
                <w:sz w:val="20"/>
                <w:szCs w:val="20"/>
                <w:lang w:val="en-GB"/>
              </w:rPr>
            </w:pPr>
            <w:r>
              <w:rPr>
                <w:rFonts w:cs="Arial"/>
                <w:color w:val="000000"/>
                <w:sz w:val="20"/>
                <w:szCs w:val="20"/>
                <w:lang w:val="en-GB"/>
              </w:rPr>
              <w:t>-17</w:t>
            </w:r>
          </w:p>
        </w:tc>
      </w:tr>
      <w:tr w14:paraId="24CDBF02">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39FED54D">
            <w:pPr>
              <w:jc w:val="right"/>
              <w:rPr>
                <w:rFonts w:cs="Arial"/>
                <w:color w:val="000000"/>
                <w:sz w:val="20"/>
                <w:szCs w:val="20"/>
                <w:lang w:val="en-GB"/>
              </w:rPr>
            </w:pPr>
            <w:r>
              <w:rPr>
                <w:rFonts w:cs="Arial"/>
                <w:color w:val="000000"/>
                <w:sz w:val="20"/>
                <w:szCs w:val="20"/>
                <w:lang w:val="en-GB"/>
              </w:rPr>
              <w:t>4</w:t>
            </w:r>
          </w:p>
        </w:tc>
        <w:tc>
          <w:tcPr>
            <w:tcW w:w="1576" w:type="pct"/>
            <w:tcBorders>
              <w:top w:val="nil"/>
              <w:left w:val="nil"/>
              <w:bottom w:val="single" w:color="auto" w:sz="4" w:space="0"/>
              <w:right w:val="single" w:color="auto" w:sz="4" w:space="0"/>
            </w:tcBorders>
            <w:noWrap/>
            <w:vAlign w:val="bottom"/>
          </w:tcPr>
          <w:p w14:paraId="0049B3CF">
            <w:pPr>
              <w:jc w:val="right"/>
              <w:rPr>
                <w:rFonts w:cs="Arial"/>
                <w:color w:val="000000"/>
                <w:sz w:val="20"/>
                <w:szCs w:val="20"/>
                <w:lang w:val="en-GB"/>
              </w:rPr>
            </w:pPr>
            <w:r>
              <w:rPr>
                <w:rFonts w:cs="Arial"/>
                <w:color w:val="000000"/>
                <w:sz w:val="20"/>
                <w:szCs w:val="20"/>
                <w:lang w:val="en-GB"/>
              </w:rPr>
              <w:t>11</w:t>
            </w:r>
          </w:p>
        </w:tc>
        <w:tc>
          <w:tcPr>
            <w:tcW w:w="2738" w:type="pct"/>
            <w:tcBorders>
              <w:top w:val="nil"/>
              <w:left w:val="nil"/>
              <w:bottom w:val="single" w:color="auto" w:sz="4" w:space="0"/>
              <w:right w:val="single" w:color="auto" w:sz="4" w:space="0"/>
            </w:tcBorders>
            <w:noWrap/>
            <w:vAlign w:val="bottom"/>
          </w:tcPr>
          <w:p w14:paraId="2683AE98">
            <w:pPr>
              <w:jc w:val="right"/>
              <w:rPr>
                <w:rFonts w:cs="Arial"/>
                <w:color w:val="000000"/>
                <w:sz w:val="20"/>
                <w:szCs w:val="20"/>
                <w:lang w:val="en-GB"/>
              </w:rPr>
            </w:pPr>
            <w:r>
              <w:rPr>
                <w:rFonts w:cs="Arial"/>
                <w:color w:val="000000"/>
                <w:sz w:val="20"/>
                <w:szCs w:val="20"/>
                <w:lang w:val="en-GB"/>
              </w:rPr>
              <w:t>-6</w:t>
            </w:r>
          </w:p>
        </w:tc>
      </w:tr>
      <w:tr w14:paraId="78D6046D">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04258406">
            <w:pPr>
              <w:jc w:val="right"/>
              <w:rPr>
                <w:rFonts w:cs="Arial"/>
                <w:color w:val="000000"/>
                <w:sz w:val="20"/>
                <w:szCs w:val="20"/>
                <w:lang w:val="en-GB"/>
              </w:rPr>
            </w:pPr>
            <w:r>
              <w:rPr>
                <w:rFonts w:cs="Arial"/>
                <w:color w:val="000000"/>
                <w:sz w:val="20"/>
                <w:szCs w:val="20"/>
                <w:lang w:val="en-GB"/>
              </w:rPr>
              <w:t>5</w:t>
            </w:r>
          </w:p>
        </w:tc>
        <w:tc>
          <w:tcPr>
            <w:tcW w:w="1576" w:type="pct"/>
            <w:tcBorders>
              <w:top w:val="nil"/>
              <w:left w:val="nil"/>
              <w:bottom w:val="single" w:color="auto" w:sz="4" w:space="0"/>
              <w:right w:val="single" w:color="auto" w:sz="4" w:space="0"/>
            </w:tcBorders>
            <w:noWrap/>
            <w:vAlign w:val="bottom"/>
          </w:tcPr>
          <w:p w14:paraId="2E469AEB">
            <w:pPr>
              <w:jc w:val="right"/>
              <w:rPr>
                <w:rFonts w:cs="Arial"/>
                <w:color w:val="000000"/>
                <w:sz w:val="20"/>
                <w:szCs w:val="20"/>
                <w:lang w:val="en-GB"/>
              </w:rPr>
            </w:pPr>
            <w:r>
              <w:rPr>
                <w:rFonts w:cs="Arial"/>
                <w:color w:val="000000"/>
                <w:sz w:val="20"/>
                <w:szCs w:val="20"/>
                <w:lang w:val="en-GB"/>
              </w:rPr>
              <w:t>11</w:t>
            </w:r>
          </w:p>
        </w:tc>
        <w:tc>
          <w:tcPr>
            <w:tcW w:w="2738" w:type="pct"/>
            <w:tcBorders>
              <w:top w:val="nil"/>
              <w:left w:val="nil"/>
              <w:bottom w:val="single" w:color="auto" w:sz="4" w:space="0"/>
              <w:right w:val="single" w:color="auto" w:sz="4" w:space="0"/>
            </w:tcBorders>
            <w:noWrap/>
            <w:vAlign w:val="bottom"/>
          </w:tcPr>
          <w:p w14:paraId="65B200CF">
            <w:pPr>
              <w:jc w:val="right"/>
              <w:rPr>
                <w:rFonts w:cs="Arial"/>
                <w:color w:val="000000"/>
                <w:sz w:val="20"/>
                <w:szCs w:val="20"/>
                <w:lang w:val="en-GB"/>
              </w:rPr>
            </w:pPr>
            <w:r>
              <w:rPr>
                <w:rFonts w:cs="Arial"/>
                <w:color w:val="000000"/>
                <w:sz w:val="20"/>
                <w:szCs w:val="20"/>
                <w:lang w:val="en-GB"/>
              </w:rPr>
              <w:t>5</w:t>
            </w:r>
          </w:p>
        </w:tc>
      </w:tr>
      <w:tr w14:paraId="03B6A2E3">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4574B3C5">
            <w:pPr>
              <w:jc w:val="left"/>
              <w:rPr>
                <w:rFonts w:cs="Arial"/>
                <w:color w:val="000000"/>
                <w:sz w:val="20"/>
                <w:szCs w:val="20"/>
                <w:lang w:val="en-GB"/>
              </w:rPr>
            </w:pPr>
            <w:r>
              <w:rPr>
                <w:rFonts w:cs="Arial"/>
                <w:color w:val="000000"/>
                <w:sz w:val="20"/>
                <w:szCs w:val="20"/>
                <w:lang w:val="en-GB"/>
              </w:rPr>
              <w:t xml:space="preserve">Year </w:t>
            </w:r>
          </w:p>
        </w:tc>
        <w:tc>
          <w:tcPr>
            <w:tcW w:w="1576" w:type="pct"/>
            <w:tcBorders>
              <w:top w:val="nil"/>
              <w:left w:val="nil"/>
              <w:bottom w:val="single" w:color="auto" w:sz="4" w:space="0"/>
              <w:right w:val="single" w:color="auto" w:sz="4" w:space="0"/>
            </w:tcBorders>
            <w:noWrap/>
            <w:vAlign w:val="bottom"/>
          </w:tcPr>
          <w:p w14:paraId="2921753E">
            <w:pPr>
              <w:jc w:val="right"/>
              <w:rPr>
                <w:rFonts w:cs="Arial"/>
                <w:color w:val="000000"/>
                <w:sz w:val="20"/>
                <w:szCs w:val="20"/>
                <w:lang w:val="en-GB"/>
              </w:rPr>
            </w:pPr>
            <w:r>
              <w:rPr>
                <w:rFonts w:cs="Arial"/>
                <w:color w:val="000000"/>
                <w:sz w:val="20"/>
                <w:szCs w:val="20"/>
                <w:lang w:val="en-GB"/>
              </w:rPr>
              <w:t>4</w:t>
            </w:r>
          </w:p>
        </w:tc>
        <w:tc>
          <w:tcPr>
            <w:tcW w:w="2738" w:type="pct"/>
            <w:vMerge w:val="restart"/>
            <w:tcBorders>
              <w:top w:val="nil"/>
              <w:left w:val="single" w:color="auto" w:sz="4" w:space="0"/>
              <w:bottom w:val="single" w:color="000000" w:sz="4" w:space="0"/>
              <w:right w:val="single" w:color="auto" w:sz="4" w:space="0"/>
            </w:tcBorders>
            <w:noWrap/>
            <w:vAlign w:val="bottom"/>
          </w:tcPr>
          <w:p w14:paraId="039B9BDA">
            <w:pPr>
              <w:jc w:val="center"/>
              <w:rPr>
                <w:rFonts w:cs="Arial"/>
                <w:color w:val="000000"/>
                <w:sz w:val="20"/>
                <w:szCs w:val="20"/>
                <w:lang w:val="en-GB"/>
              </w:rPr>
            </w:pPr>
            <w:r>
              <w:rPr>
                <w:rFonts w:cs="Arial"/>
                <w:color w:val="000000"/>
                <w:sz w:val="20"/>
                <w:szCs w:val="20"/>
                <w:lang w:val="en-GB"/>
              </w:rPr>
              <w:t> </w:t>
            </w:r>
          </w:p>
        </w:tc>
      </w:tr>
      <w:tr w14:paraId="195F26FD">
        <w:tblPrEx>
          <w:tblCellMar>
            <w:top w:w="0" w:type="dxa"/>
            <w:left w:w="108" w:type="dxa"/>
            <w:bottom w:w="0" w:type="dxa"/>
            <w:right w:w="108" w:type="dxa"/>
          </w:tblCellMar>
        </w:tblPrEx>
        <w:trPr>
          <w:trHeight w:val="300" w:hRule="atLeast"/>
          <w:jc w:val="center"/>
        </w:trPr>
        <w:tc>
          <w:tcPr>
            <w:tcW w:w="686" w:type="pct"/>
            <w:tcBorders>
              <w:top w:val="nil"/>
              <w:left w:val="single" w:color="auto" w:sz="4" w:space="0"/>
              <w:bottom w:val="single" w:color="auto" w:sz="4" w:space="0"/>
              <w:right w:val="single" w:color="auto" w:sz="4" w:space="0"/>
            </w:tcBorders>
            <w:noWrap/>
            <w:vAlign w:val="bottom"/>
          </w:tcPr>
          <w:p w14:paraId="109383C8">
            <w:pPr>
              <w:jc w:val="left"/>
              <w:rPr>
                <w:rFonts w:cs="Arial"/>
                <w:color w:val="000000"/>
                <w:sz w:val="20"/>
                <w:szCs w:val="20"/>
                <w:lang w:val="en-GB"/>
              </w:rPr>
            </w:pPr>
            <w:r>
              <w:rPr>
                <w:rFonts w:cs="Arial"/>
                <w:color w:val="000000"/>
                <w:sz w:val="20"/>
                <w:szCs w:val="20"/>
                <w:lang w:val="en-GB"/>
              </w:rPr>
              <w:t xml:space="preserve">Month </w:t>
            </w:r>
          </w:p>
        </w:tc>
        <w:tc>
          <w:tcPr>
            <w:tcW w:w="1576" w:type="pct"/>
            <w:tcBorders>
              <w:top w:val="nil"/>
              <w:left w:val="nil"/>
              <w:bottom w:val="single" w:color="auto" w:sz="4" w:space="0"/>
              <w:right w:val="single" w:color="auto" w:sz="4" w:space="0"/>
            </w:tcBorders>
            <w:noWrap/>
            <w:vAlign w:val="bottom"/>
          </w:tcPr>
          <w:p w14:paraId="063354AB">
            <w:pPr>
              <w:jc w:val="right"/>
              <w:rPr>
                <w:rFonts w:cs="Arial"/>
                <w:color w:val="000000"/>
                <w:sz w:val="20"/>
                <w:szCs w:val="20"/>
                <w:lang w:val="en-GB"/>
              </w:rPr>
            </w:pPr>
            <w:r>
              <w:rPr>
                <w:rFonts w:cs="Arial"/>
                <w:color w:val="000000"/>
                <w:sz w:val="20"/>
                <w:szCs w:val="20"/>
                <w:lang w:val="en-GB"/>
              </w:rPr>
              <w:t>6.5</w:t>
            </w:r>
          </w:p>
        </w:tc>
        <w:tc>
          <w:tcPr>
            <w:tcW w:w="2738" w:type="pct"/>
            <w:vMerge w:val="continue"/>
            <w:tcBorders>
              <w:top w:val="nil"/>
              <w:left w:val="single" w:color="auto" w:sz="4" w:space="0"/>
              <w:bottom w:val="single" w:color="000000" w:sz="4" w:space="0"/>
              <w:right w:val="single" w:color="auto" w:sz="4" w:space="0"/>
            </w:tcBorders>
            <w:vAlign w:val="center"/>
          </w:tcPr>
          <w:p w14:paraId="7A43E2C2">
            <w:pPr>
              <w:jc w:val="left"/>
              <w:rPr>
                <w:rFonts w:cs="Arial"/>
                <w:color w:val="000000"/>
                <w:sz w:val="20"/>
                <w:szCs w:val="20"/>
                <w:lang w:val="en-GB"/>
              </w:rPr>
            </w:pPr>
          </w:p>
        </w:tc>
      </w:tr>
    </w:tbl>
    <w:p w14:paraId="73CDF9AE">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1312"/>
        <w:gridCol w:w="3018"/>
        <w:gridCol w:w="5246"/>
      </w:tblGrid>
      <w:tr w14:paraId="41697F7C">
        <w:tblPrEx>
          <w:tblCellMar>
            <w:top w:w="0" w:type="dxa"/>
            <w:left w:w="108" w:type="dxa"/>
            <w:bottom w:w="0" w:type="dxa"/>
            <w:right w:w="108" w:type="dxa"/>
          </w:tblCellMar>
        </w:tblPrEx>
        <w:trPr>
          <w:trHeight w:val="330"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ign w:val="bottom"/>
          </w:tcPr>
          <w:p w14:paraId="6C6031F5">
            <w:pPr>
              <w:jc w:val="center"/>
              <w:rPr>
                <w:rFonts w:cs="Arial"/>
                <w:b/>
                <w:bCs/>
                <w:color w:val="000000"/>
                <w:sz w:val="20"/>
                <w:szCs w:val="20"/>
                <w:lang w:val="en-GB"/>
              </w:rPr>
            </w:pPr>
            <w:r>
              <w:rPr>
                <w:rFonts w:cs="Arial"/>
                <w:b/>
                <w:bCs/>
                <w:color w:val="000000"/>
                <w:sz w:val="20"/>
                <w:szCs w:val="20"/>
                <w:lang w:val="en-GB"/>
              </w:rPr>
              <w:t>Payback Period for project C</w:t>
            </w:r>
          </w:p>
        </w:tc>
      </w:tr>
      <w:tr w14:paraId="733590B8">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074C9F14">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1576" w:type="pct"/>
            <w:tcBorders>
              <w:top w:val="nil"/>
              <w:left w:val="nil"/>
              <w:bottom w:val="single" w:color="auto" w:sz="4" w:space="0"/>
              <w:right w:val="single" w:color="auto" w:sz="4" w:space="0"/>
            </w:tcBorders>
            <w:noWrap/>
            <w:vAlign w:val="bottom"/>
          </w:tcPr>
          <w:p w14:paraId="217F6C61">
            <w:pPr>
              <w:jc w:val="left"/>
              <w:rPr>
                <w:rFonts w:cs="Arial"/>
                <w:b/>
                <w:bCs/>
                <w:i/>
                <w:iCs/>
                <w:color w:val="000000"/>
                <w:sz w:val="20"/>
                <w:szCs w:val="20"/>
                <w:lang w:val="en-GB"/>
              </w:rPr>
            </w:pPr>
            <w:r>
              <w:rPr>
                <w:rFonts w:cs="Arial"/>
                <w:b/>
                <w:bCs/>
                <w:i/>
                <w:iCs/>
                <w:color w:val="000000"/>
                <w:sz w:val="20"/>
                <w:szCs w:val="20"/>
                <w:lang w:val="en-GB"/>
              </w:rPr>
              <w:t>Cashflow  (£m)</w:t>
            </w:r>
          </w:p>
        </w:tc>
        <w:tc>
          <w:tcPr>
            <w:tcW w:w="2739" w:type="pct"/>
            <w:tcBorders>
              <w:top w:val="nil"/>
              <w:left w:val="nil"/>
              <w:bottom w:val="single" w:color="auto" w:sz="4" w:space="0"/>
              <w:right w:val="single" w:color="auto" w:sz="4" w:space="0"/>
            </w:tcBorders>
            <w:noWrap/>
            <w:vAlign w:val="bottom"/>
          </w:tcPr>
          <w:p w14:paraId="306D7BDD">
            <w:pPr>
              <w:jc w:val="left"/>
              <w:rPr>
                <w:rFonts w:cs="Arial"/>
                <w:b/>
                <w:bCs/>
                <w:i/>
                <w:iCs/>
                <w:color w:val="000000"/>
                <w:sz w:val="20"/>
                <w:szCs w:val="20"/>
                <w:lang w:val="en-GB"/>
              </w:rPr>
            </w:pPr>
            <w:r>
              <w:rPr>
                <w:rFonts w:cs="Arial"/>
                <w:b/>
                <w:bCs/>
                <w:i/>
                <w:iCs/>
                <w:color w:val="000000"/>
                <w:sz w:val="20"/>
                <w:szCs w:val="20"/>
                <w:lang w:val="en-GB"/>
              </w:rPr>
              <w:t>Cumulative Cashflow (£m)</w:t>
            </w:r>
          </w:p>
        </w:tc>
      </w:tr>
      <w:tr w14:paraId="69CA7E88">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68FDCEF7">
            <w:pPr>
              <w:jc w:val="right"/>
              <w:rPr>
                <w:rFonts w:cs="Arial"/>
                <w:color w:val="000000"/>
                <w:sz w:val="20"/>
                <w:szCs w:val="20"/>
                <w:lang w:val="en-GB"/>
              </w:rPr>
            </w:pPr>
            <w:r>
              <w:rPr>
                <w:rFonts w:cs="Arial"/>
                <w:color w:val="000000"/>
                <w:sz w:val="20"/>
                <w:szCs w:val="20"/>
                <w:lang w:val="en-GB"/>
              </w:rPr>
              <w:t>0</w:t>
            </w:r>
          </w:p>
        </w:tc>
        <w:tc>
          <w:tcPr>
            <w:tcW w:w="1576" w:type="pct"/>
            <w:tcBorders>
              <w:top w:val="nil"/>
              <w:left w:val="nil"/>
              <w:bottom w:val="single" w:color="auto" w:sz="4" w:space="0"/>
              <w:right w:val="single" w:color="auto" w:sz="4" w:space="0"/>
            </w:tcBorders>
            <w:noWrap/>
            <w:vAlign w:val="bottom"/>
          </w:tcPr>
          <w:p w14:paraId="6BF9B7C3">
            <w:pPr>
              <w:jc w:val="right"/>
              <w:rPr>
                <w:rFonts w:cs="Arial"/>
                <w:color w:val="000000"/>
                <w:sz w:val="20"/>
                <w:szCs w:val="20"/>
                <w:lang w:val="en-GB"/>
              </w:rPr>
            </w:pPr>
            <w:r>
              <w:rPr>
                <w:rFonts w:cs="Arial"/>
                <w:color w:val="000000"/>
                <w:sz w:val="20"/>
                <w:szCs w:val="20"/>
                <w:lang w:val="en-GB"/>
              </w:rPr>
              <w:t>-50</w:t>
            </w:r>
          </w:p>
        </w:tc>
        <w:tc>
          <w:tcPr>
            <w:tcW w:w="2739" w:type="pct"/>
            <w:tcBorders>
              <w:top w:val="nil"/>
              <w:left w:val="nil"/>
              <w:bottom w:val="single" w:color="auto" w:sz="4" w:space="0"/>
              <w:right w:val="single" w:color="auto" w:sz="4" w:space="0"/>
            </w:tcBorders>
            <w:noWrap/>
            <w:vAlign w:val="bottom"/>
          </w:tcPr>
          <w:p w14:paraId="660BB277">
            <w:pPr>
              <w:jc w:val="right"/>
              <w:rPr>
                <w:rFonts w:cs="Arial"/>
                <w:color w:val="000000"/>
                <w:sz w:val="20"/>
                <w:szCs w:val="20"/>
                <w:lang w:val="en-GB"/>
              </w:rPr>
            </w:pPr>
            <w:r>
              <w:rPr>
                <w:rFonts w:cs="Arial"/>
                <w:color w:val="000000"/>
                <w:sz w:val="20"/>
                <w:szCs w:val="20"/>
                <w:lang w:val="en-GB"/>
              </w:rPr>
              <w:t>-50</w:t>
            </w:r>
          </w:p>
        </w:tc>
      </w:tr>
      <w:tr w14:paraId="35C1E8E4">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1865188D">
            <w:pPr>
              <w:jc w:val="right"/>
              <w:rPr>
                <w:rFonts w:cs="Arial"/>
                <w:color w:val="000000"/>
                <w:sz w:val="20"/>
                <w:szCs w:val="20"/>
                <w:lang w:val="en-GB"/>
              </w:rPr>
            </w:pPr>
            <w:r>
              <w:rPr>
                <w:rFonts w:cs="Arial"/>
                <w:color w:val="000000"/>
                <w:sz w:val="20"/>
                <w:szCs w:val="20"/>
                <w:lang w:val="en-GB"/>
              </w:rPr>
              <w:t>1</w:t>
            </w:r>
          </w:p>
        </w:tc>
        <w:tc>
          <w:tcPr>
            <w:tcW w:w="1576" w:type="pct"/>
            <w:tcBorders>
              <w:top w:val="nil"/>
              <w:left w:val="nil"/>
              <w:bottom w:val="single" w:color="auto" w:sz="4" w:space="0"/>
              <w:right w:val="single" w:color="auto" w:sz="4" w:space="0"/>
            </w:tcBorders>
            <w:noWrap/>
            <w:vAlign w:val="bottom"/>
          </w:tcPr>
          <w:p w14:paraId="796B9756">
            <w:pPr>
              <w:jc w:val="right"/>
              <w:rPr>
                <w:rFonts w:cs="Arial"/>
                <w:color w:val="000000"/>
                <w:sz w:val="20"/>
                <w:szCs w:val="20"/>
                <w:lang w:val="en-GB"/>
              </w:rPr>
            </w:pPr>
            <w:r>
              <w:rPr>
                <w:rFonts w:cs="Arial"/>
                <w:color w:val="000000"/>
                <w:sz w:val="20"/>
                <w:szCs w:val="20"/>
                <w:lang w:val="en-GB"/>
              </w:rPr>
              <w:t>5</w:t>
            </w:r>
          </w:p>
        </w:tc>
        <w:tc>
          <w:tcPr>
            <w:tcW w:w="2739" w:type="pct"/>
            <w:tcBorders>
              <w:top w:val="nil"/>
              <w:left w:val="nil"/>
              <w:bottom w:val="single" w:color="auto" w:sz="4" w:space="0"/>
              <w:right w:val="single" w:color="auto" w:sz="4" w:space="0"/>
            </w:tcBorders>
            <w:noWrap/>
            <w:vAlign w:val="bottom"/>
          </w:tcPr>
          <w:p w14:paraId="2F99AE56">
            <w:pPr>
              <w:jc w:val="right"/>
              <w:rPr>
                <w:rFonts w:cs="Arial"/>
                <w:color w:val="000000"/>
                <w:sz w:val="20"/>
                <w:szCs w:val="20"/>
                <w:lang w:val="en-GB"/>
              </w:rPr>
            </w:pPr>
            <w:r>
              <w:rPr>
                <w:rFonts w:cs="Arial"/>
                <w:color w:val="000000"/>
                <w:sz w:val="20"/>
                <w:szCs w:val="20"/>
                <w:lang w:val="en-GB"/>
              </w:rPr>
              <w:t>-45</w:t>
            </w:r>
          </w:p>
        </w:tc>
      </w:tr>
      <w:tr w14:paraId="6C29AB9A">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6B104FE3">
            <w:pPr>
              <w:jc w:val="right"/>
              <w:rPr>
                <w:rFonts w:cs="Arial"/>
                <w:color w:val="000000"/>
                <w:sz w:val="20"/>
                <w:szCs w:val="20"/>
                <w:lang w:val="en-GB"/>
              </w:rPr>
            </w:pPr>
            <w:r>
              <w:rPr>
                <w:rFonts w:cs="Arial"/>
                <w:color w:val="000000"/>
                <w:sz w:val="20"/>
                <w:szCs w:val="20"/>
                <w:lang w:val="en-GB"/>
              </w:rPr>
              <w:t>2</w:t>
            </w:r>
          </w:p>
        </w:tc>
        <w:tc>
          <w:tcPr>
            <w:tcW w:w="1576" w:type="pct"/>
            <w:tcBorders>
              <w:top w:val="nil"/>
              <w:left w:val="nil"/>
              <w:bottom w:val="single" w:color="auto" w:sz="4" w:space="0"/>
              <w:right w:val="single" w:color="auto" w:sz="4" w:space="0"/>
            </w:tcBorders>
            <w:noWrap/>
            <w:vAlign w:val="bottom"/>
          </w:tcPr>
          <w:p w14:paraId="6BD5A83B">
            <w:pPr>
              <w:jc w:val="right"/>
              <w:rPr>
                <w:rFonts w:cs="Arial"/>
                <w:color w:val="000000"/>
                <w:sz w:val="20"/>
                <w:szCs w:val="20"/>
                <w:lang w:val="en-GB"/>
              </w:rPr>
            </w:pPr>
            <w:r>
              <w:rPr>
                <w:rFonts w:cs="Arial"/>
                <w:color w:val="000000"/>
                <w:sz w:val="20"/>
                <w:szCs w:val="20"/>
                <w:lang w:val="en-GB"/>
              </w:rPr>
              <w:t>10</w:t>
            </w:r>
          </w:p>
        </w:tc>
        <w:tc>
          <w:tcPr>
            <w:tcW w:w="2739" w:type="pct"/>
            <w:tcBorders>
              <w:top w:val="nil"/>
              <w:left w:val="nil"/>
              <w:bottom w:val="single" w:color="auto" w:sz="4" w:space="0"/>
              <w:right w:val="single" w:color="auto" w:sz="4" w:space="0"/>
            </w:tcBorders>
            <w:noWrap/>
            <w:vAlign w:val="bottom"/>
          </w:tcPr>
          <w:p w14:paraId="7EA3C781">
            <w:pPr>
              <w:jc w:val="right"/>
              <w:rPr>
                <w:rFonts w:cs="Arial"/>
                <w:color w:val="000000"/>
                <w:sz w:val="20"/>
                <w:szCs w:val="20"/>
                <w:lang w:val="en-GB"/>
              </w:rPr>
            </w:pPr>
            <w:r>
              <w:rPr>
                <w:rFonts w:cs="Arial"/>
                <w:color w:val="000000"/>
                <w:sz w:val="20"/>
                <w:szCs w:val="20"/>
                <w:lang w:val="en-GB"/>
              </w:rPr>
              <w:t>-35</w:t>
            </w:r>
          </w:p>
        </w:tc>
      </w:tr>
      <w:tr w14:paraId="3EAB1C7F">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15A92A02">
            <w:pPr>
              <w:jc w:val="right"/>
              <w:rPr>
                <w:rFonts w:cs="Arial"/>
                <w:color w:val="000000"/>
                <w:sz w:val="20"/>
                <w:szCs w:val="20"/>
                <w:lang w:val="en-GB"/>
              </w:rPr>
            </w:pPr>
            <w:r>
              <w:rPr>
                <w:rFonts w:cs="Arial"/>
                <w:color w:val="000000"/>
                <w:sz w:val="20"/>
                <w:szCs w:val="20"/>
                <w:lang w:val="en-GB"/>
              </w:rPr>
              <w:t>3</w:t>
            </w:r>
          </w:p>
        </w:tc>
        <w:tc>
          <w:tcPr>
            <w:tcW w:w="1576" w:type="pct"/>
            <w:tcBorders>
              <w:top w:val="nil"/>
              <w:left w:val="nil"/>
              <w:bottom w:val="single" w:color="auto" w:sz="4" w:space="0"/>
              <w:right w:val="single" w:color="auto" w:sz="4" w:space="0"/>
            </w:tcBorders>
            <w:noWrap/>
            <w:vAlign w:val="bottom"/>
          </w:tcPr>
          <w:p w14:paraId="15BD5A55">
            <w:pPr>
              <w:jc w:val="right"/>
              <w:rPr>
                <w:rFonts w:cs="Arial"/>
                <w:color w:val="000000"/>
                <w:sz w:val="20"/>
                <w:szCs w:val="20"/>
                <w:lang w:val="en-GB"/>
              </w:rPr>
            </w:pPr>
            <w:r>
              <w:rPr>
                <w:rFonts w:cs="Arial"/>
                <w:color w:val="000000"/>
                <w:sz w:val="20"/>
                <w:szCs w:val="20"/>
                <w:lang w:val="en-GB"/>
              </w:rPr>
              <w:t>20</w:t>
            </w:r>
          </w:p>
        </w:tc>
        <w:tc>
          <w:tcPr>
            <w:tcW w:w="2739" w:type="pct"/>
            <w:tcBorders>
              <w:top w:val="nil"/>
              <w:left w:val="nil"/>
              <w:bottom w:val="single" w:color="auto" w:sz="4" w:space="0"/>
              <w:right w:val="single" w:color="auto" w:sz="4" w:space="0"/>
            </w:tcBorders>
            <w:noWrap/>
            <w:vAlign w:val="bottom"/>
          </w:tcPr>
          <w:p w14:paraId="1C3F2CEC">
            <w:pPr>
              <w:jc w:val="right"/>
              <w:rPr>
                <w:rFonts w:cs="Arial"/>
                <w:color w:val="000000"/>
                <w:sz w:val="20"/>
                <w:szCs w:val="20"/>
                <w:lang w:val="en-GB"/>
              </w:rPr>
            </w:pPr>
            <w:r>
              <w:rPr>
                <w:rFonts w:cs="Arial"/>
                <w:color w:val="000000"/>
                <w:sz w:val="20"/>
                <w:szCs w:val="20"/>
                <w:lang w:val="en-GB"/>
              </w:rPr>
              <w:t>-15</w:t>
            </w:r>
          </w:p>
        </w:tc>
      </w:tr>
      <w:tr w14:paraId="3636710F">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457107E8">
            <w:pPr>
              <w:jc w:val="right"/>
              <w:rPr>
                <w:rFonts w:cs="Arial"/>
                <w:color w:val="000000"/>
                <w:sz w:val="20"/>
                <w:szCs w:val="20"/>
                <w:lang w:val="en-GB"/>
              </w:rPr>
            </w:pPr>
            <w:r>
              <w:rPr>
                <w:rFonts w:cs="Arial"/>
                <w:color w:val="000000"/>
                <w:sz w:val="20"/>
                <w:szCs w:val="20"/>
                <w:lang w:val="en-GB"/>
              </w:rPr>
              <w:t>4</w:t>
            </w:r>
          </w:p>
        </w:tc>
        <w:tc>
          <w:tcPr>
            <w:tcW w:w="1576" w:type="pct"/>
            <w:tcBorders>
              <w:top w:val="nil"/>
              <w:left w:val="nil"/>
              <w:bottom w:val="single" w:color="auto" w:sz="4" w:space="0"/>
              <w:right w:val="single" w:color="auto" w:sz="4" w:space="0"/>
            </w:tcBorders>
            <w:noWrap/>
            <w:vAlign w:val="bottom"/>
          </w:tcPr>
          <w:p w14:paraId="1C492BF8">
            <w:pPr>
              <w:jc w:val="right"/>
              <w:rPr>
                <w:rFonts w:cs="Arial"/>
                <w:color w:val="000000"/>
                <w:sz w:val="20"/>
                <w:szCs w:val="20"/>
                <w:lang w:val="en-GB"/>
              </w:rPr>
            </w:pPr>
            <w:r>
              <w:rPr>
                <w:rFonts w:cs="Arial"/>
                <w:color w:val="000000"/>
                <w:sz w:val="20"/>
                <w:szCs w:val="20"/>
                <w:lang w:val="en-GB"/>
              </w:rPr>
              <w:t>25</w:t>
            </w:r>
          </w:p>
        </w:tc>
        <w:tc>
          <w:tcPr>
            <w:tcW w:w="2739" w:type="pct"/>
            <w:tcBorders>
              <w:top w:val="nil"/>
              <w:left w:val="nil"/>
              <w:bottom w:val="single" w:color="auto" w:sz="4" w:space="0"/>
              <w:right w:val="single" w:color="auto" w:sz="4" w:space="0"/>
            </w:tcBorders>
            <w:noWrap/>
            <w:vAlign w:val="bottom"/>
          </w:tcPr>
          <w:p w14:paraId="3E289705">
            <w:pPr>
              <w:jc w:val="right"/>
              <w:rPr>
                <w:rFonts w:cs="Arial"/>
                <w:color w:val="000000"/>
                <w:sz w:val="20"/>
                <w:szCs w:val="20"/>
                <w:lang w:val="en-GB"/>
              </w:rPr>
            </w:pPr>
            <w:r>
              <w:rPr>
                <w:rFonts w:cs="Arial"/>
                <w:color w:val="000000"/>
                <w:sz w:val="20"/>
                <w:szCs w:val="20"/>
                <w:lang w:val="en-GB"/>
              </w:rPr>
              <w:t>10</w:t>
            </w:r>
          </w:p>
        </w:tc>
      </w:tr>
      <w:tr w14:paraId="3690C225">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619C28E9">
            <w:pPr>
              <w:jc w:val="right"/>
              <w:rPr>
                <w:rFonts w:cs="Arial"/>
                <w:color w:val="000000"/>
                <w:sz w:val="20"/>
                <w:szCs w:val="20"/>
                <w:lang w:val="en-GB"/>
              </w:rPr>
            </w:pPr>
            <w:r>
              <w:rPr>
                <w:rFonts w:cs="Arial"/>
                <w:color w:val="000000"/>
                <w:sz w:val="20"/>
                <w:szCs w:val="20"/>
                <w:lang w:val="en-GB"/>
              </w:rPr>
              <w:t>5</w:t>
            </w:r>
          </w:p>
        </w:tc>
        <w:tc>
          <w:tcPr>
            <w:tcW w:w="1576" w:type="pct"/>
            <w:tcBorders>
              <w:top w:val="nil"/>
              <w:left w:val="nil"/>
              <w:bottom w:val="single" w:color="auto" w:sz="4" w:space="0"/>
              <w:right w:val="single" w:color="auto" w:sz="4" w:space="0"/>
            </w:tcBorders>
            <w:noWrap/>
            <w:vAlign w:val="bottom"/>
          </w:tcPr>
          <w:p w14:paraId="3EDA5207">
            <w:pPr>
              <w:jc w:val="right"/>
              <w:rPr>
                <w:rFonts w:cs="Arial"/>
                <w:color w:val="000000"/>
                <w:sz w:val="20"/>
                <w:szCs w:val="20"/>
                <w:lang w:val="en-GB"/>
              </w:rPr>
            </w:pPr>
            <w:r>
              <w:rPr>
                <w:rFonts w:cs="Arial"/>
                <w:color w:val="000000"/>
                <w:sz w:val="20"/>
                <w:szCs w:val="20"/>
                <w:lang w:val="en-GB"/>
              </w:rPr>
              <w:t>5</w:t>
            </w:r>
          </w:p>
        </w:tc>
        <w:tc>
          <w:tcPr>
            <w:tcW w:w="2739" w:type="pct"/>
            <w:tcBorders>
              <w:top w:val="nil"/>
              <w:left w:val="nil"/>
              <w:bottom w:val="single" w:color="auto" w:sz="4" w:space="0"/>
              <w:right w:val="single" w:color="auto" w:sz="4" w:space="0"/>
            </w:tcBorders>
            <w:noWrap/>
            <w:vAlign w:val="bottom"/>
          </w:tcPr>
          <w:p w14:paraId="5889B926">
            <w:pPr>
              <w:jc w:val="right"/>
              <w:rPr>
                <w:rFonts w:cs="Arial"/>
                <w:color w:val="000000"/>
                <w:sz w:val="20"/>
                <w:szCs w:val="20"/>
                <w:lang w:val="en-GB"/>
              </w:rPr>
            </w:pPr>
            <w:r>
              <w:rPr>
                <w:rFonts w:cs="Arial"/>
                <w:color w:val="000000"/>
                <w:sz w:val="20"/>
                <w:szCs w:val="20"/>
                <w:lang w:val="en-GB"/>
              </w:rPr>
              <w:t>15</w:t>
            </w:r>
          </w:p>
        </w:tc>
      </w:tr>
      <w:tr w14:paraId="4DB4CBC9">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6A74C906">
            <w:pPr>
              <w:jc w:val="left"/>
              <w:rPr>
                <w:rFonts w:cs="Arial"/>
                <w:color w:val="000000"/>
                <w:sz w:val="20"/>
                <w:szCs w:val="20"/>
                <w:lang w:val="en-GB"/>
              </w:rPr>
            </w:pPr>
            <w:r>
              <w:rPr>
                <w:rFonts w:cs="Arial"/>
                <w:color w:val="000000"/>
                <w:sz w:val="20"/>
                <w:szCs w:val="20"/>
                <w:lang w:val="en-GB"/>
              </w:rPr>
              <w:t xml:space="preserve">Year </w:t>
            </w:r>
          </w:p>
        </w:tc>
        <w:tc>
          <w:tcPr>
            <w:tcW w:w="1576" w:type="pct"/>
            <w:tcBorders>
              <w:top w:val="nil"/>
              <w:left w:val="nil"/>
              <w:bottom w:val="single" w:color="auto" w:sz="4" w:space="0"/>
              <w:right w:val="single" w:color="auto" w:sz="4" w:space="0"/>
            </w:tcBorders>
            <w:noWrap/>
            <w:vAlign w:val="bottom"/>
          </w:tcPr>
          <w:p w14:paraId="1D50E53E">
            <w:pPr>
              <w:jc w:val="right"/>
              <w:rPr>
                <w:rFonts w:cs="Arial"/>
                <w:color w:val="000000"/>
                <w:sz w:val="20"/>
                <w:szCs w:val="20"/>
                <w:lang w:val="en-GB"/>
              </w:rPr>
            </w:pPr>
            <w:r>
              <w:rPr>
                <w:rFonts w:cs="Arial"/>
                <w:color w:val="000000"/>
                <w:sz w:val="20"/>
                <w:szCs w:val="20"/>
                <w:lang w:val="en-GB"/>
              </w:rPr>
              <w:t>3</w:t>
            </w:r>
          </w:p>
        </w:tc>
        <w:tc>
          <w:tcPr>
            <w:tcW w:w="2739" w:type="pct"/>
            <w:vMerge w:val="restart"/>
            <w:tcBorders>
              <w:top w:val="nil"/>
              <w:left w:val="single" w:color="auto" w:sz="4" w:space="0"/>
              <w:bottom w:val="single" w:color="000000" w:sz="4" w:space="0"/>
              <w:right w:val="single" w:color="auto" w:sz="4" w:space="0"/>
            </w:tcBorders>
            <w:noWrap/>
            <w:vAlign w:val="bottom"/>
          </w:tcPr>
          <w:p w14:paraId="43772AE1">
            <w:pPr>
              <w:jc w:val="center"/>
              <w:rPr>
                <w:rFonts w:cs="Arial"/>
                <w:color w:val="000000"/>
                <w:sz w:val="20"/>
                <w:szCs w:val="20"/>
                <w:lang w:val="en-GB"/>
              </w:rPr>
            </w:pPr>
            <w:r>
              <w:rPr>
                <w:rFonts w:cs="Arial"/>
                <w:color w:val="000000"/>
                <w:sz w:val="20"/>
                <w:szCs w:val="20"/>
                <w:lang w:val="en-GB"/>
              </w:rPr>
              <w:t> </w:t>
            </w:r>
          </w:p>
        </w:tc>
      </w:tr>
      <w:tr w14:paraId="3D3E1827">
        <w:tblPrEx>
          <w:tblCellMar>
            <w:top w:w="0" w:type="dxa"/>
            <w:left w:w="108" w:type="dxa"/>
            <w:bottom w:w="0" w:type="dxa"/>
            <w:right w:w="108" w:type="dxa"/>
          </w:tblCellMar>
        </w:tblPrEx>
        <w:trPr>
          <w:trHeight w:val="300" w:hRule="atLeast"/>
          <w:jc w:val="center"/>
        </w:trPr>
        <w:tc>
          <w:tcPr>
            <w:tcW w:w="685" w:type="pct"/>
            <w:tcBorders>
              <w:top w:val="nil"/>
              <w:left w:val="single" w:color="auto" w:sz="4" w:space="0"/>
              <w:bottom w:val="single" w:color="auto" w:sz="4" w:space="0"/>
              <w:right w:val="single" w:color="auto" w:sz="4" w:space="0"/>
            </w:tcBorders>
            <w:noWrap/>
            <w:vAlign w:val="bottom"/>
          </w:tcPr>
          <w:p w14:paraId="2BFAB3E4">
            <w:pPr>
              <w:jc w:val="left"/>
              <w:rPr>
                <w:rFonts w:cs="Arial"/>
                <w:color w:val="000000"/>
                <w:sz w:val="20"/>
                <w:szCs w:val="20"/>
                <w:lang w:val="en-GB"/>
              </w:rPr>
            </w:pPr>
            <w:r>
              <w:rPr>
                <w:rFonts w:cs="Arial"/>
                <w:color w:val="000000"/>
                <w:sz w:val="20"/>
                <w:szCs w:val="20"/>
                <w:lang w:val="en-GB"/>
              </w:rPr>
              <w:t xml:space="preserve">Month </w:t>
            </w:r>
          </w:p>
        </w:tc>
        <w:tc>
          <w:tcPr>
            <w:tcW w:w="1576" w:type="pct"/>
            <w:tcBorders>
              <w:top w:val="nil"/>
              <w:left w:val="nil"/>
              <w:bottom w:val="single" w:color="auto" w:sz="4" w:space="0"/>
              <w:right w:val="single" w:color="auto" w:sz="4" w:space="0"/>
            </w:tcBorders>
            <w:noWrap/>
            <w:vAlign w:val="bottom"/>
          </w:tcPr>
          <w:p w14:paraId="4BD3EB73">
            <w:pPr>
              <w:jc w:val="right"/>
              <w:rPr>
                <w:rFonts w:cs="Arial"/>
                <w:color w:val="000000"/>
                <w:sz w:val="20"/>
                <w:szCs w:val="20"/>
                <w:lang w:val="en-GB"/>
              </w:rPr>
            </w:pPr>
            <w:r>
              <w:rPr>
                <w:rFonts w:cs="Arial"/>
                <w:color w:val="000000"/>
                <w:sz w:val="20"/>
                <w:szCs w:val="20"/>
                <w:lang w:val="en-GB"/>
              </w:rPr>
              <w:t>7.2</w:t>
            </w:r>
          </w:p>
        </w:tc>
        <w:tc>
          <w:tcPr>
            <w:tcW w:w="2739" w:type="pct"/>
            <w:vMerge w:val="continue"/>
            <w:tcBorders>
              <w:top w:val="nil"/>
              <w:left w:val="single" w:color="auto" w:sz="4" w:space="0"/>
              <w:bottom w:val="single" w:color="000000" w:sz="4" w:space="0"/>
              <w:right w:val="single" w:color="auto" w:sz="4" w:space="0"/>
            </w:tcBorders>
            <w:vAlign w:val="center"/>
          </w:tcPr>
          <w:p w14:paraId="1BFC6868">
            <w:pPr>
              <w:jc w:val="left"/>
              <w:rPr>
                <w:rFonts w:cs="Arial"/>
                <w:color w:val="000000"/>
                <w:sz w:val="20"/>
                <w:szCs w:val="20"/>
                <w:lang w:val="en-GB"/>
              </w:rPr>
            </w:pPr>
          </w:p>
        </w:tc>
      </w:tr>
    </w:tbl>
    <w:p w14:paraId="6A53EAA7">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1773"/>
        <w:gridCol w:w="1381"/>
        <w:gridCol w:w="1381"/>
        <w:gridCol w:w="2970"/>
        <w:gridCol w:w="1084"/>
        <w:gridCol w:w="987"/>
      </w:tblGrid>
      <w:tr w14:paraId="3A93362D">
        <w:tblPrEx>
          <w:tblCellMar>
            <w:top w:w="0" w:type="dxa"/>
            <w:left w:w="108" w:type="dxa"/>
            <w:bottom w:w="0" w:type="dxa"/>
            <w:right w:w="108" w:type="dxa"/>
          </w:tblCellMar>
        </w:tblPrEx>
        <w:trPr>
          <w:trHeight w:val="315"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ign w:val="bottom"/>
          </w:tcPr>
          <w:p w14:paraId="0F729A39">
            <w:pPr>
              <w:jc w:val="center"/>
              <w:rPr>
                <w:rFonts w:cs="Arial"/>
                <w:b/>
                <w:bCs/>
                <w:color w:val="000000"/>
                <w:lang w:val="en-GB"/>
              </w:rPr>
            </w:pPr>
            <w:r>
              <w:rPr>
                <w:rFonts w:cs="Arial"/>
                <w:b/>
                <w:bCs/>
                <w:color w:val="000000"/>
                <w:lang w:val="en-GB"/>
              </w:rPr>
              <w:t>Accounting Rate of Return (ARR)</w:t>
            </w:r>
          </w:p>
        </w:tc>
      </w:tr>
      <w:tr w14:paraId="158E1627">
        <w:tblPrEx>
          <w:tblCellMar>
            <w:top w:w="0" w:type="dxa"/>
            <w:left w:w="108" w:type="dxa"/>
            <w:bottom w:w="0" w:type="dxa"/>
            <w:right w:w="108" w:type="dxa"/>
          </w:tblCellMar>
        </w:tblPrEx>
        <w:trPr>
          <w:trHeight w:val="300" w:hRule="atLeast"/>
          <w:jc w:val="center"/>
        </w:trPr>
        <w:tc>
          <w:tcPr>
            <w:tcW w:w="926" w:type="pct"/>
            <w:tcBorders>
              <w:top w:val="nil"/>
              <w:left w:val="single" w:color="000000" w:sz="4" w:space="0"/>
              <w:bottom w:val="single" w:color="000000" w:sz="4" w:space="0"/>
              <w:right w:val="single" w:color="000000" w:sz="4" w:space="0"/>
            </w:tcBorders>
            <w:noWrap/>
            <w:vAlign w:val="bottom"/>
          </w:tcPr>
          <w:p w14:paraId="3C924267">
            <w:pPr>
              <w:jc w:val="left"/>
              <w:rPr>
                <w:rFonts w:cs="Arial"/>
                <w:b/>
                <w:bCs/>
                <w:i/>
                <w:iCs/>
                <w:color w:val="000000"/>
                <w:sz w:val="20"/>
                <w:szCs w:val="20"/>
                <w:lang w:val="en-GB"/>
              </w:rPr>
            </w:pPr>
            <w:r>
              <w:rPr>
                <w:rFonts w:cs="Arial"/>
                <w:b/>
                <w:bCs/>
                <w:i/>
                <w:iCs/>
                <w:color w:val="000000"/>
                <w:sz w:val="20"/>
                <w:szCs w:val="20"/>
                <w:lang w:val="en-GB"/>
              </w:rPr>
              <w:t>Project Name</w:t>
            </w:r>
          </w:p>
        </w:tc>
        <w:tc>
          <w:tcPr>
            <w:tcW w:w="721" w:type="pct"/>
            <w:tcBorders>
              <w:top w:val="nil"/>
              <w:left w:val="nil"/>
              <w:bottom w:val="single" w:color="000000" w:sz="4" w:space="0"/>
              <w:right w:val="single" w:color="000000" w:sz="4" w:space="0"/>
            </w:tcBorders>
            <w:noWrap/>
            <w:vAlign w:val="bottom"/>
          </w:tcPr>
          <w:p w14:paraId="520A2C07">
            <w:pPr>
              <w:jc w:val="left"/>
              <w:rPr>
                <w:rFonts w:cs="Arial"/>
                <w:b/>
                <w:bCs/>
                <w:i/>
                <w:iCs/>
                <w:color w:val="000000"/>
                <w:sz w:val="20"/>
                <w:szCs w:val="20"/>
                <w:lang w:val="en-GB"/>
              </w:rPr>
            </w:pPr>
            <w:r>
              <w:rPr>
                <w:rFonts w:cs="Arial"/>
                <w:b/>
                <w:bCs/>
                <w:i/>
                <w:iCs/>
                <w:color w:val="000000"/>
                <w:sz w:val="20"/>
                <w:szCs w:val="20"/>
                <w:lang w:val="en-GB"/>
              </w:rPr>
              <w:t>Total (£m)</w:t>
            </w:r>
          </w:p>
        </w:tc>
        <w:tc>
          <w:tcPr>
            <w:tcW w:w="721" w:type="pct"/>
            <w:tcBorders>
              <w:top w:val="nil"/>
              <w:left w:val="nil"/>
              <w:bottom w:val="single" w:color="000000" w:sz="4" w:space="0"/>
              <w:right w:val="single" w:color="000000" w:sz="4" w:space="0"/>
            </w:tcBorders>
            <w:noWrap/>
            <w:vAlign w:val="bottom"/>
          </w:tcPr>
          <w:p w14:paraId="6B47F4BD">
            <w:pPr>
              <w:jc w:val="left"/>
              <w:rPr>
                <w:rFonts w:cs="Arial"/>
                <w:b/>
                <w:bCs/>
                <w:i/>
                <w:iCs/>
                <w:color w:val="000000"/>
                <w:sz w:val="20"/>
                <w:szCs w:val="20"/>
                <w:lang w:val="en-GB"/>
              </w:rPr>
            </w:pPr>
            <w:r>
              <w:rPr>
                <w:rFonts w:cs="Arial"/>
                <w:b/>
                <w:bCs/>
                <w:i/>
                <w:iCs/>
                <w:color w:val="000000"/>
                <w:sz w:val="20"/>
                <w:szCs w:val="20"/>
                <w:lang w:val="en-GB"/>
              </w:rPr>
              <w:t xml:space="preserve">Total Year </w:t>
            </w:r>
          </w:p>
        </w:tc>
        <w:tc>
          <w:tcPr>
            <w:tcW w:w="1551" w:type="pct"/>
            <w:tcBorders>
              <w:top w:val="nil"/>
              <w:left w:val="nil"/>
              <w:bottom w:val="single" w:color="000000" w:sz="4" w:space="0"/>
              <w:right w:val="single" w:color="000000" w:sz="4" w:space="0"/>
            </w:tcBorders>
            <w:noWrap/>
            <w:vAlign w:val="bottom"/>
          </w:tcPr>
          <w:p w14:paraId="4284DB97">
            <w:pPr>
              <w:jc w:val="left"/>
              <w:rPr>
                <w:rFonts w:cs="Arial"/>
                <w:b/>
                <w:bCs/>
                <w:i/>
                <w:iCs/>
                <w:color w:val="000000"/>
                <w:sz w:val="20"/>
                <w:szCs w:val="20"/>
                <w:lang w:val="en-GB"/>
              </w:rPr>
            </w:pPr>
            <w:r>
              <w:rPr>
                <w:rFonts w:cs="Arial"/>
                <w:b/>
                <w:bCs/>
                <w:i/>
                <w:iCs/>
                <w:color w:val="000000"/>
                <w:sz w:val="20"/>
                <w:szCs w:val="20"/>
                <w:lang w:val="en-GB"/>
              </w:rPr>
              <w:t>Initial Investment (£m)</w:t>
            </w:r>
          </w:p>
        </w:tc>
        <w:tc>
          <w:tcPr>
            <w:tcW w:w="566" w:type="pct"/>
            <w:tcBorders>
              <w:top w:val="nil"/>
              <w:left w:val="nil"/>
              <w:bottom w:val="single" w:color="000000" w:sz="4" w:space="0"/>
              <w:right w:val="single" w:color="000000" w:sz="4" w:space="0"/>
            </w:tcBorders>
            <w:noWrap/>
            <w:vAlign w:val="bottom"/>
          </w:tcPr>
          <w:p w14:paraId="7DE8FD1A">
            <w:pPr>
              <w:jc w:val="left"/>
              <w:rPr>
                <w:rFonts w:cs="Arial"/>
                <w:b/>
                <w:bCs/>
                <w:i/>
                <w:iCs/>
                <w:color w:val="000000"/>
                <w:sz w:val="20"/>
                <w:szCs w:val="20"/>
                <w:lang w:val="en-GB"/>
              </w:rPr>
            </w:pPr>
            <w:r>
              <w:rPr>
                <w:rFonts w:cs="Arial"/>
                <w:b/>
                <w:bCs/>
                <w:i/>
                <w:iCs/>
                <w:color w:val="000000"/>
                <w:sz w:val="20"/>
                <w:szCs w:val="20"/>
                <w:lang w:val="en-GB"/>
              </w:rPr>
              <w:t>Average</w:t>
            </w:r>
          </w:p>
        </w:tc>
        <w:tc>
          <w:tcPr>
            <w:tcW w:w="516" w:type="pct"/>
            <w:tcBorders>
              <w:top w:val="nil"/>
              <w:left w:val="nil"/>
              <w:bottom w:val="single" w:color="000000" w:sz="4" w:space="0"/>
              <w:right w:val="single" w:color="000000" w:sz="4" w:space="0"/>
            </w:tcBorders>
            <w:noWrap/>
            <w:vAlign w:val="bottom"/>
          </w:tcPr>
          <w:p w14:paraId="6E42D90F">
            <w:pPr>
              <w:jc w:val="left"/>
              <w:rPr>
                <w:rFonts w:cs="Arial"/>
                <w:b/>
                <w:bCs/>
                <w:i/>
                <w:iCs/>
                <w:color w:val="000000"/>
                <w:sz w:val="20"/>
                <w:szCs w:val="20"/>
                <w:lang w:val="en-GB"/>
              </w:rPr>
            </w:pPr>
            <w:r>
              <w:rPr>
                <w:rFonts w:cs="Arial"/>
                <w:b/>
                <w:bCs/>
                <w:i/>
                <w:iCs/>
                <w:color w:val="000000"/>
                <w:sz w:val="20"/>
                <w:szCs w:val="20"/>
                <w:lang w:val="en-GB"/>
              </w:rPr>
              <w:t>ARR</w:t>
            </w:r>
          </w:p>
        </w:tc>
      </w:tr>
      <w:tr w14:paraId="6511FAEC">
        <w:tblPrEx>
          <w:tblCellMar>
            <w:top w:w="0" w:type="dxa"/>
            <w:left w:w="108" w:type="dxa"/>
            <w:bottom w:w="0" w:type="dxa"/>
            <w:right w:w="108" w:type="dxa"/>
          </w:tblCellMar>
        </w:tblPrEx>
        <w:trPr>
          <w:trHeight w:val="300" w:hRule="atLeast"/>
          <w:jc w:val="center"/>
        </w:trPr>
        <w:tc>
          <w:tcPr>
            <w:tcW w:w="926" w:type="pct"/>
            <w:tcBorders>
              <w:top w:val="nil"/>
              <w:left w:val="single" w:color="000000" w:sz="4" w:space="0"/>
              <w:bottom w:val="single" w:color="000000" w:sz="4" w:space="0"/>
              <w:right w:val="single" w:color="000000" w:sz="4" w:space="0"/>
            </w:tcBorders>
            <w:noWrap/>
            <w:vAlign w:val="bottom"/>
          </w:tcPr>
          <w:p w14:paraId="06F499D5">
            <w:pPr>
              <w:jc w:val="left"/>
              <w:rPr>
                <w:rFonts w:cs="Arial"/>
                <w:color w:val="000000"/>
                <w:sz w:val="20"/>
                <w:szCs w:val="20"/>
                <w:lang w:val="en-GB"/>
              </w:rPr>
            </w:pPr>
            <w:r>
              <w:rPr>
                <w:rFonts w:cs="Arial"/>
                <w:color w:val="000000"/>
                <w:sz w:val="20"/>
                <w:szCs w:val="20"/>
                <w:lang w:val="en-GB"/>
              </w:rPr>
              <w:t>Project A</w:t>
            </w:r>
          </w:p>
        </w:tc>
        <w:tc>
          <w:tcPr>
            <w:tcW w:w="721" w:type="pct"/>
            <w:tcBorders>
              <w:top w:val="nil"/>
              <w:left w:val="nil"/>
              <w:bottom w:val="single" w:color="000000" w:sz="4" w:space="0"/>
              <w:right w:val="single" w:color="000000" w:sz="4" w:space="0"/>
            </w:tcBorders>
            <w:noWrap/>
            <w:vAlign w:val="bottom"/>
          </w:tcPr>
          <w:p w14:paraId="70BE34AD">
            <w:pPr>
              <w:jc w:val="right"/>
              <w:rPr>
                <w:rFonts w:cs="Arial"/>
                <w:color w:val="000000"/>
                <w:sz w:val="20"/>
                <w:szCs w:val="20"/>
                <w:lang w:val="en-GB"/>
              </w:rPr>
            </w:pPr>
            <w:r>
              <w:rPr>
                <w:rFonts w:cs="Arial"/>
                <w:color w:val="000000"/>
                <w:sz w:val="20"/>
                <w:szCs w:val="20"/>
                <w:lang w:val="en-GB"/>
              </w:rPr>
              <w:t>54</w:t>
            </w:r>
          </w:p>
        </w:tc>
        <w:tc>
          <w:tcPr>
            <w:tcW w:w="721" w:type="pct"/>
            <w:tcBorders>
              <w:top w:val="nil"/>
              <w:left w:val="nil"/>
              <w:bottom w:val="single" w:color="000000" w:sz="4" w:space="0"/>
              <w:right w:val="single" w:color="000000" w:sz="4" w:space="0"/>
            </w:tcBorders>
            <w:noWrap/>
            <w:vAlign w:val="bottom"/>
          </w:tcPr>
          <w:p w14:paraId="4BF7C8CF">
            <w:pPr>
              <w:jc w:val="right"/>
              <w:rPr>
                <w:rFonts w:cs="Arial"/>
                <w:color w:val="000000"/>
                <w:sz w:val="20"/>
                <w:szCs w:val="20"/>
                <w:lang w:val="en-GB"/>
              </w:rPr>
            </w:pPr>
            <w:r>
              <w:rPr>
                <w:rFonts w:cs="Arial"/>
                <w:color w:val="000000"/>
                <w:sz w:val="20"/>
                <w:szCs w:val="20"/>
                <w:lang w:val="en-GB"/>
              </w:rPr>
              <w:t>5</w:t>
            </w:r>
          </w:p>
        </w:tc>
        <w:tc>
          <w:tcPr>
            <w:tcW w:w="1551" w:type="pct"/>
            <w:tcBorders>
              <w:top w:val="nil"/>
              <w:left w:val="nil"/>
              <w:bottom w:val="single" w:color="000000" w:sz="4" w:space="0"/>
              <w:right w:val="single" w:color="000000" w:sz="4" w:space="0"/>
            </w:tcBorders>
            <w:noWrap/>
            <w:vAlign w:val="bottom"/>
          </w:tcPr>
          <w:p w14:paraId="7BDF7FB1">
            <w:pPr>
              <w:jc w:val="right"/>
              <w:rPr>
                <w:rFonts w:cs="Arial"/>
                <w:color w:val="000000"/>
                <w:sz w:val="20"/>
                <w:szCs w:val="20"/>
                <w:lang w:val="en-GB"/>
              </w:rPr>
            </w:pPr>
            <w:r>
              <w:rPr>
                <w:rFonts w:cs="Arial"/>
                <w:color w:val="000000"/>
                <w:sz w:val="20"/>
                <w:szCs w:val="20"/>
                <w:lang w:val="en-GB"/>
              </w:rPr>
              <w:t>50</w:t>
            </w:r>
          </w:p>
        </w:tc>
        <w:tc>
          <w:tcPr>
            <w:tcW w:w="566" w:type="pct"/>
            <w:tcBorders>
              <w:top w:val="nil"/>
              <w:left w:val="nil"/>
              <w:bottom w:val="single" w:color="000000" w:sz="4" w:space="0"/>
              <w:right w:val="single" w:color="000000" w:sz="4" w:space="0"/>
            </w:tcBorders>
            <w:noWrap/>
            <w:vAlign w:val="bottom"/>
          </w:tcPr>
          <w:p w14:paraId="4832A8FA">
            <w:pPr>
              <w:jc w:val="right"/>
              <w:rPr>
                <w:rFonts w:cs="Arial"/>
                <w:color w:val="000000"/>
                <w:sz w:val="20"/>
                <w:szCs w:val="20"/>
                <w:lang w:val="en-GB"/>
              </w:rPr>
            </w:pPr>
            <w:r>
              <w:rPr>
                <w:rFonts w:cs="Arial"/>
                <w:color w:val="000000"/>
                <w:sz w:val="20"/>
                <w:szCs w:val="20"/>
                <w:lang w:val="en-GB"/>
              </w:rPr>
              <w:t>10.8</w:t>
            </w:r>
          </w:p>
        </w:tc>
        <w:tc>
          <w:tcPr>
            <w:tcW w:w="516" w:type="pct"/>
            <w:tcBorders>
              <w:top w:val="nil"/>
              <w:left w:val="nil"/>
              <w:bottom w:val="single" w:color="000000" w:sz="4" w:space="0"/>
              <w:right w:val="single" w:color="000000" w:sz="4" w:space="0"/>
            </w:tcBorders>
            <w:noWrap/>
            <w:vAlign w:val="bottom"/>
          </w:tcPr>
          <w:p w14:paraId="5A896C70">
            <w:pPr>
              <w:jc w:val="right"/>
              <w:rPr>
                <w:rFonts w:cs="Arial"/>
                <w:color w:val="000000"/>
                <w:sz w:val="20"/>
                <w:szCs w:val="20"/>
                <w:lang w:val="en-GB"/>
              </w:rPr>
            </w:pPr>
            <w:r>
              <w:rPr>
                <w:rFonts w:cs="Arial"/>
                <w:color w:val="000000"/>
                <w:sz w:val="20"/>
                <w:szCs w:val="20"/>
                <w:lang w:val="en-GB"/>
              </w:rPr>
              <w:t>21.60%</w:t>
            </w:r>
          </w:p>
        </w:tc>
      </w:tr>
      <w:tr w14:paraId="2AC81956">
        <w:tblPrEx>
          <w:tblCellMar>
            <w:top w:w="0" w:type="dxa"/>
            <w:left w:w="108" w:type="dxa"/>
            <w:bottom w:w="0" w:type="dxa"/>
            <w:right w:w="108" w:type="dxa"/>
          </w:tblCellMar>
        </w:tblPrEx>
        <w:trPr>
          <w:trHeight w:val="300" w:hRule="atLeast"/>
          <w:jc w:val="center"/>
        </w:trPr>
        <w:tc>
          <w:tcPr>
            <w:tcW w:w="926" w:type="pct"/>
            <w:tcBorders>
              <w:top w:val="nil"/>
              <w:left w:val="single" w:color="000000" w:sz="4" w:space="0"/>
              <w:bottom w:val="single" w:color="000000" w:sz="4" w:space="0"/>
              <w:right w:val="single" w:color="000000" w:sz="4" w:space="0"/>
            </w:tcBorders>
            <w:noWrap/>
            <w:vAlign w:val="bottom"/>
          </w:tcPr>
          <w:p w14:paraId="7DD421B2">
            <w:pPr>
              <w:jc w:val="left"/>
              <w:rPr>
                <w:rFonts w:cs="Arial"/>
                <w:color w:val="000000"/>
                <w:sz w:val="20"/>
                <w:szCs w:val="20"/>
                <w:lang w:val="en-GB"/>
              </w:rPr>
            </w:pPr>
            <w:r>
              <w:rPr>
                <w:rFonts w:cs="Arial"/>
                <w:color w:val="000000"/>
                <w:sz w:val="20"/>
                <w:szCs w:val="20"/>
                <w:lang w:val="en-GB"/>
              </w:rPr>
              <w:t>Project B</w:t>
            </w:r>
          </w:p>
        </w:tc>
        <w:tc>
          <w:tcPr>
            <w:tcW w:w="721" w:type="pct"/>
            <w:tcBorders>
              <w:top w:val="nil"/>
              <w:left w:val="nil"/>
              <w:bottom w:val="single" w:color="000000" w:sz="4" w:space="0"/>
              <w:right w:val="single" w:color="000000" w:sz="4" w:space="0"/>
            </w:tcBorders>
            <w:noWrap/>
            <w:vAlign w:val="bottom"/>
          </w:tcPr>
          <w:p w14:paraId="4E1DB46E">
            <w:pPr>
              <w:jc w:val="right"/>
              <w:rPr>
                <w:rFonts w:cs="Arial"/>
                <w:color w:val="000000"/>
                <w:sz w:val="20"/>
                <w:szCs w:val="20"/>
                <w:lang w:val="en-GB"/>
              </w:rPr>
            </w:pPr>
            <w:r>
              <w:rPr>
                <w:rFonts w:cs="Arial"/>
                <w:color w:val="000000"/>
                <w:sz w:val="20"/>
                <w:szCs w:val="20"/>
                <w:lang w:val="en-GB"/>
              </w:rPr>
              <w:t>55</w:t>
            </w:r>
          </w:p>
        </w:tc>
        <w:tc>
          <w:tcPr>
            <w:tcW w:w="721" w:type="pct"/>
            <w:tcBorders>
              <w:top w:val="nil"/>
              <w:left w:val="nil"/>
              <w:bottom w:val="single" w:color="000000" w:sz="4" w:space="0"/>
              <w:right w:val="single" w:color="000000" w:sz="4" w:space="0"/>
            </w:tcBorders>
            <w:noWrap/>
            <w:vAlign w:val="bottom"/>
          </w:tcPr>
          <w:p w14:paraId="649FC915">
            <w:pPr>
              <w:jc w:val="right"/>
              <w:rPr>
                <w:rFonts w:cs="Arial"/>
                <w:color w:val="000000"/>
                <w:sz w:val="20"/>
                <w:szCs w:val="20"/>
                <w:lang w:val="en-GB"/>
              </w:rPr>
            </w:pPr>
            <w:r>
              <w:rPr>
                <w:rFonts w:cs="Arial"/>
                <w:color w:val="000000"/>
                <w:sz w:val="20"/>
                <w:szCs w:val="20"/>
                <w:lang w:val="en-GB"/>
              </w:rPr>
              <w:t>5</w:t>
            </w:r>
          </w:p>
        </w:tc>
        <w:tc>
          <w:tcPr>
            <w:tcW w:w="1551" w:type="pct"/>
            <w:tcBorders>
              <w:top w:val="nil"/>
              <w:left w:val="nil"/>
              <w:bottom w:val="single" w:color="000000" w:sz="4" w:space="0"/>
              <w:right w:val="single" w:color="000000" w:sz="4" w:space="0"/>
            </w:tcBorders>
            <w:noWrap/>
            <w:vAlign w:val="bottom"/>
          </w:tcPr>
          <w:p w14:paraId="60F224C3">
            <w:pPr>
              <w:jc w:val="right"/>
              <w:rPr>
                <w:rFonts w:cs="Arial"/>
                <w:color w:val="000000"/>
                <w:sz w:val="20"/>
                <w:szCs w:val="20"/>
                <w:lang w:val="en-GB"/>
              </w:rPr>
            </w:pPr>
            <w:r>
              <w:rPr>
                <w:rFonts w:cs="Arial"/>
                <w:color w:val="000000"/>
                <w:sz w:val="20"/>
                <w:szCs w:val="20"/>
                <w:lang w:val="en-GB"/>
              </w:rPr>
              <w:t>50</w:t>
            </w:r>
          </w:p>
        </w:tc>
        <w:tc>
          <w:tcPr>
            <w:tcW w:w="566" w:type="pct"/>
            <w:tcBorders>
              <w:top w:val="nil"/>
              <w:left w:val="nil"/>
              <w:bottom w:val="single" w:color="000000" w:sz="4" w:space="0"/>
              <w:right w:val="single" w:color="000000" w:sz="4" w:space="0"/>
            </w:tcBorders>
            <w:noWrap/>
            <w:vAlign w:val="bottom"/>
          </w:tcPr>
          <w:p w14:paraId="44792987">
            <w:pPr>
              <w:jc w:val="right"/>
              <w:rPr>
                <w:rFonts w:cs="Arial"/>
                <w:color w:val="000000"/>
                <w:sz w:val="20"/>
                <w:szCs w:val="20"/>
                <w:lang w:val="en-GB"/>
              </w:rPr>
            </w:pPr>
            <w:r>
              <w:rPr>
                <w:rFonts w:cs="Arial"/>
                <w:color w:val="000000"/>
                <w:sz w:val="20"/>
                <w:szCs w:val="20"/>
                <w:lang w:val="en-GB"/>
              </w:rPr>
              <w:t>11</w:t>
            </w:r>
          </w:p>
        </w:tc>
        <w:tc>
          <w:tcPr>
            <w:tcW w:w="516" w:type="pct"/>
            <w:tcBorders>
              <w:top w:val="nil"/>
              <w:left w:val="nil"/>
              <w:bottom w:val="single" w:color="000000" w:sz="4" w:space="0"/>
              <w:right w:val="single" w:color="000000" w:sz="4" w:space="0"/>
            </w:tcBorders>
            <w:noWrap/>
            <w:vAlign w:val="bottom"/>
          </w:tcPr>
          <w:p w14:paraId="773AEDF7">
            <w:pPr>
              <w:jc w:val="right"/>
              <w:rPr>
                <w:rFonts w:cs="Arial"/>
                <w:color w:val="000000"/>
                <w:sz w:val="20"/>
                <w:szCs w:val="20"/>
                <w:lang w:val="en-GB"/>
              </w:rPr>
            </w:pPr>
            <w:r>
              <w:rPr>
                <w:rFonts w:cs="Arial"/>
                <w:color w:val="000000"/>
                <w:sz w:val="20"/>
                <w:szCs w:val="20"/>
                <w:lang w:val="en-GB"/>
              </w:rPr>
              <w:t>22.00%</w:t>
            </w:r>
          </w:p>
        </w:tc>
      </w:tr>
      <w:tr w14:paraId="43ECA1DB">
        <w:tblPrEx>
          <w:tblCellMar>
            <w:top w:w="0" w:type="dxa"/>
            <w:left w:w="108" w:type="dxa"/>
            <w:bottom w:w="0" w:type="dxa"/>
            <w:right w:w="108" w:type="dxa"/>
          </w:tblCellMar>
        </w:tblPrEx>
        <w:trPr>
          <w:trHeight w:val="300" w:hRule="atLeast"/>
          <w:jc w:val="center"/>
        </w:trPr>
        <w:tc>
          <w:tcPr>
            <w:tcW w:w="926" w:type="pct"/>
            <w:tcBorders>
              <w:top w:val="nil"/>
              <w:left w:val="single" w:color="000000" w:sz="4" w:space="0"/>
              <w:bottom w:val="single" w:color="000000" w:sz="4" w:space="0"/>
              <w:right w:val="single" w:color="000000" w:sz="4" w:space="0"/>
            </w:tcBorders>
            <w:noWrap/>
            <w:vAlign w:val="bottom"/>
          </w:tcPr>
          <w:p w14:paraId="5980D4C7">
            <w:pPr>
              <w:jc w:val="left"/>
              <w:rPr>
                <w:rFonts w:cs="Arial"/>
                <w:color w:val="000000"/>
                <w:sz w:val="20"/>
                <w:szCs w:val="20"/>
                <w:lang w:val="en-GB"/>
              </w:rPr>
            </w:pPr>
            <w:r>
              <w:rPr>
                <w:rFonts w:cs="Arial"/>
                <w:color w:val="000000"/>
                <w:sz w:val="20"/>
                <w:szCs w:val="20"/>
                <w:lang w:val="en-GB"/>
              </w:rPr>
              <w:t>Project C</w:t>
            </w:r>
          </w:p>
        </w:tc>
        <w:tc>
          <w:tcPr>
            <w:tcW w:w="721" w:type="pct"/>
            <w:tcBorders>
              <w:top w:val="nil"/>
              <w:left w:val="nil"/>
              <w:bottom w:val="single" w:color="000000" w:sz="4" w:space="0"/>
              <w:right w:val="single" w:color="000000" w:sz="4" w:space="0"/>
            </w:tcBorders>
            <w:noWrap/>
            <w:vAlign w:val="bottom"/>
          </w:tcPr>
          <w:p w14:paraId="3E6FBCA5">
            <w:pPr>
              <w:jc w:val="right"/>
              <w:rPr>
                <w:rFonts w:cs="Arial"/>
                <w:color w:val="000000"/>
                <w:sz w:val="20"/>
                <w:szCs w:val="20"/>
                <w:lang w:val="en-GB"/>
              </w:rPr>
            </w:pPr>
            <w:r>
              <w:rPr>
                <w:rFonts w:cs="Arial"/>
                <w:color w:val="000000"/>
                <w:sz w:val="20"/>
                <w:szCs w:val="20"/>
                <w:lang w:val="en-GB"/>
              </w:rPr>
              <w:t>65</w:t>
            </w:r>
          </w:p>
        </w:tc>
        <w:tc>
          <w:tcPr>
            <w:tcW w:w="721" w:type="pct"/>
            <w:tcBorders>
              <w:top w:val="nil"/>
              <w:left w:val="nil"/>
              <w:bottom w:val="single" w:color="000000" w:sz="4" w:space="0"/>
              <w:right w:val="single" w:color="000000" w:sz="4" w:space="0"/>
            </w:tcBorders>
            <w:noWrap/>
            <w:vAlign w:val="bottom"/>
          </w:tcPr>
          <w:p w14:paraId="5FA4E46D">
            <w:pPr>
              <w:jc w:val="right"/>
              <w:rPr>
                <w:rFonts w:cs="Arial"/>
                <w:color w:val="000000"/>
                <w:sz w:val="20"/>
                <w:szCs w:val="20"/>
                <w:lang w:val="en-GB"/>
              </w:rPr>
            </w:pPr>
            <w:r>
              <w:rPr>
                <w:rFonts w:cs="Arial"/>
                <w:color w:val="000000"/>
                <w:sz w:val="20"/>
                <w:szCs w:val="20"/>
                <w:lang w:val="en-GB"/>
              </w:rPr>
              <w:t>5</w:t>
            </w:r>
          </w:p>
        </w:tc>
        <w:tc>
          <w:tcPr>
            <w:tcW w:w="1551" w:type="pct"/>
            <w:tcBorders>
              <w:top w:val="nil"/>
              <w:left w:val="nil"/>
              <w:bottom w:val="single" w:color="000000" w:sz="4" w:space="0"/>
              <w:right w:val="single" w:color="000000" w:sz="4" w:space="0"/>
            </w:tcBorders>
            <w:noWrap/>
            <w:vAlign w:val="bottom"/>
          </w:tcPr>
          <w:p w14:paraId="53DC054F">
            <w:pPr>
              <w:jc w:val="right"/>
              <w:rPr>
                <w:rFonts w:cs="Arial"/>
                <w:color w:val="000000"/>
                <w:sz w:val="20"/>
                <w:szCs w:val="20"/>
                <w:lang w:val="en-GB"/>
              </w:rPr>
            </w:pPr>
            <w:r>
              <w:rPr>
                <w:rFonts w:cs="Arial"/>
                <w:color w:val="000000"/>
                <w:sz w:val="20"/>
                <w:szCs w:val="20"/>
                <w:lang w:val="en-GB"/>
              </w:rPr>
              <w:t>50</w:t>
            </w:r>
          </w:p>
        </w:tc>
        <w:tc>
          <w:tcPr>
            <w:tcW w:w="566" w:type="pct"/>
            <w:tcBorders>
              <w:top w:val="nil"/>
              <w:left w:val="nil"/>
              <w:bottom w:val="single" w:color="000000" w:sz="4" w:space="0"/>
              <w:right w:val="single" w:color="000000" w:sz="4" w:space="0"/>
            </w:tcBorders>
            <w:noWrap/>
            <w:vAlign w:val="bottom"/>
          </w:tcPr>
          <w:p w14:paraId="3AC48E20">
            <w:pPr>
              <w:jc w:val="right"/>
              <w:rPr>
                <w:rFonts w:cs="Arial"/>
                <w:color w:val="000000"/>
                <w:sz w:val="20"/>
                <w:szCs w:val="20"/>
                <w:lang w:val="en-GB"/>
              </w:rPr>
            </w:pPr>
            <w:r>
              <w:rPr>
                <w:rFonts w:cs="Arial"/>
                <w:color w:val="000000"/>
                <w:sz w:val="20"/>
                <w:szCs w:val="20"/>
                <w:lang w:val="en-GB"/>
              </w:rPr>
              <w:t>13</w:t>
            </w:r>
          </w:p>
        </w:tc>
        <w:tc>
          <w:tcPr>
            <w:tcW w:w="516" w:type="pct"/>
            <w:tcBorders>
              <w:top w:val="nil"/>
              <w:left w:val="nil"/>
              <w:bottom w:val="single" w:color="000000" w:sz="4" w:space="0"/>
              <w:right w:val="single" w:color="000000" w:sz="4" w:space="0"/>
            </w:tcBorders>
            <w:noWrap/>
            <w:vAlign w:val="bottom"/>
          </w:tcPr>
          <w:p w14:paraId="218D4715">
            <w:pPr>
              <w:jc w:val="right"/>
              <w:rPr>
                <w:rFonts w:cs="Arial"/>
                <w:color w:val="000000"/>
                <w:sz w:val="20"/>
                <w:szCs w:val="20"/>
                <w:lang w:val="en-GB"/>
              </w:rPr>
            </w:pPr>
            <w:r>
              <w:rPr>
                <w:rFonts w:cs="Arial"/>
                <w:color w:val="000000"/>
                <w:sz w:val="20"/>
                <w:szCs w:val="20"/>
                <w:lang w:val="en-GB"/>
              </w:rPr>
              <w:t>26.00%</w:t>
            </w:r>
          </w:p>
        </w:tc>
      </w:tr>
    </w:tbl>
    <w:p w14:paraId="73FF5986">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2097"/>
        <w:gridCol w:w="2394"/>
        <w:gridCol w:w="1806"/>
        <w:gridCol w:w="3279"/>
      </w:tblGrid>
      <w:tr w14:paraId="4CA57A2B">
        <w:tblPrEx>
          <w:tblCellMar>
            <w:top w:w="0" w:type="dxa"/>
            <w:left w:w="108" w:type="dxa"/>
            <w:bottom w:w="0" w:type="dxa"/>
            <w:right w:w="108" w:type="dxa"/>
          </w:tblCellMar>
        </w:tblPrEx>
        <w:trPr>
          <w:trHeight w:val="300"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ign w:val="bottom"/>
          </w:tcPr>
          <w:p w14:paraId="7B3C2006">
            <w:pPr>
              <w:jc w:val="center"/>
              <w:rPr>
                <w:rFonts w:cs="Arial"/>
                <w:b/>
                <w:bCs/>
                <w:color w:val="000000"/>
                <w:sz w:val="22"/>
                <w:szCs w:val="22"/>
                <w:lang w:val="en-GB"/>
              </w:rPr>
            </w:pPr>
            <w:r>
              <w:rPr>
                <w:rFonts w:cs="Arial"/>
                <w:b/>
                <w:bCs/>
                <w:color w:val="000000"/>
                <w:sz w:val="22"/>
                <w:szCs w:val="22"/>
                <w:lang w:val="en-GB"/>
              </w:rPr>
              <w:t>Net Present Value For Project A</w:t>
            </w:r>
          </w:p>
        </w:tc>
      </w:tr>
      <w:tr w14:paraId="043B3448">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034CA45C">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1250" w:type="pct"/>
            <w:tcBorders>
              <w:top w:val="nil"/>
              <w:left w:val="nil"/>
              <w:bottom w:val="single" w:color="auto" w:sz="4" w:space="0"/>
              <w:right w:val="single" w:color="auto" w:sz="4" w:space="0"/>
            </w:tcBorders>
            <w:noWrap/>
            <w:vAlign w:val="bottom"/>
          </w:tcPr>
          <w:p w14:paraId="2E49FDA4">
            <w:pPr>
              <w:jc w:val="left"/>
              <w:rPr>
                <w:rFonts w:cs="Arial"/>
                <w:b/>
                <w:bCs/>
                <w:i/>
                <w:iCs/>
                <w:color w:val="000000"/>
                <w:sz w:val="20"/>
                <w:szCs w:val="20"/>
                <w:lang w:val="en-GB"/>
              </w:rPr>
            </w:pPr>
            <w:r>
              <w:rPr>
                <w:rFonts w:cs="Arial"/>
                <w:b/>
                <w:bCs/>
                <w:i/>
                <w:iCs/>
                <w:color w:val="000000"/>
                <w:sz w:val="20"/>
                <w:szCs w:val="20"/>
                <w:lang w:val="en-GB"/>
              </w:rPr>
              <w:t>Discount factor (8%)</w:t>
            </w:r>
          </w:p>
        </w:tc>
        <w:tc>
          <w:tcPr>
            <w:tcW w:w="943" w:type="pct"/>
            <w:tcBorders>
              <w:top w:val="nil"/>
              <w:left w:val="nil"/>
              <w:bottom w:val="single" w:color="auto" w:sz="4" w:space="0"/>
              <w:right w:val="single" w:color="auto" w:sz="4" w:space="0"/>
            </w:tcBorders>
            <w:noWrap/>
            <w:vAlign w:val="bottom"/>
          </w:tcPr>
          <w:p w14:paraId="67945A77">
            <w:pPr>
              <w:jc w:val="left"/>
              <w:rPr>
                <w:rFonts w:cs="Arial"/>
                <w:b/>
                <w:bCs/>
                <w:i/>
                <w:iCs/>
                <w:color w:val="000000"/>
                <w:sz w:val="20"/>
                <w:szCs w:val="20"/>
                <w:lang w:val="en-GB"/>
              </w:rPr>
            </w:pPr>
            <w:r>
              <w:rPr>
                <w:rFonts w:cs="Arial"/>
                <w:b/>
                <w:bCs/>
                <w:i/>
                <w:iCs/>
                <w:color w:val="000000"/>
                <w:sz w:val="20"/>
                <w:szCs w:val="20"/>
                <w:lang w:val="en-GB"/>
              </w:rPr>
              <w:t>Cashflow (£m)</w:t>
            </w:r>
          </w:p>
        </w:tc>
        <w:tc>
          <w:tcPr>
            <w:tcW w:w="1712" w:type="pct"/>
            <w:tcBorders>
              <w:top w:val="nil"/>
              <w:left w:val="nil"/>
              <w:bottom w:val="single" w:color="auto" w:sz="4" w:space="0"/>
              <w:right w:val="single" w:color="auto" w:sz="4" w:space="0"/>
            </w:tcBorders>
            <w:noWrap/>
            <w:vAlign w:val="bottom"/>
          </w:tcPr>
          <w:p w14:paraId="415F6890">
            <w:pPr>
              <w:jc w:val="left"/>
              <w:rPr>
                <w:rFonts w:cs="Arial"/>
                <w:b/>
                <w:bCs/>
                <w:i/>
                <w:iCs/>
                <w:color w:val="000000"/>
                <w:sz w:val="20"/>
                <w:szCs w:val="20"/>
                <w:lang w:val="en-GB"/>
              </w:rPr>
            </w:pPr>
            <w:r>
              <w:rPr>
                <w:rFonts w:cs="Arial"/>
                <w:b/>
                <w:bCs/>
                <w:i/>
                <w:iCs/>
                <w:color w:val="000000"/>
                <w:sz w:val="20"/>
                <w:szCs w:val="20"/>
                <w:lang w:val="en-GB"/>
              </w:rPr>
              <w:t>Discounting cashflow (£m)</w:t>
            </w:r>
          </w:p>
        </w:tc>
      </w:tr>
      <w:tr w14:paraId="67773272">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6E516B12">
            <w:pPr>
              <w:jc w:val="right"/>
              <w:rPr>
                <w:rFonts w:cs="Arial"/>
                <w:color w:val="000000"/>
                <w:sz w:val="20"/>
                <w:szCs w:val="20"/>
                <w:lang w:val="en-GB"/>
              </w:rPr>
            </w:pPr>
            <w:r>
              <w:rPr>
                <w:rFonts w:cs="Arial"/>
                <w:color w:val="000000"/>
                <w:sz w:val="20"/>
                <w:szCs w:val="20"/>
                <w:lang w:val="en-GB"/>
              </w:rPr>
              <w:t>1</w:t>
            </w:r>
          </w:p>
        </w:tc>
        <w:tc>
          <w:tcPr>
            <w:tcW w:w="1250" w:type="pct"/>
            <w:tcBorders>
              <w:top w:val="nil"/>
              <w:left w:val="nil"/>
              <w:bottom w:val="single" w:color="auto" w:sz="4" w:space="0"/>
              <w:right w:val="single" w:color="auto" w:sz="4" w:space="0"/>
            </w:tcBorders>
            <w:noWrap/>
            <w:vAlign w:val="bottom"/>
          </w:tcPr>
          <w:p w14:paraId="4485853A">
            <w:pPr>
              <w:jc w:val="right"/>
              <w:rPr>
                <w:rFonts w:cs="Arial"/>
                <w:color w:val="000000"/>
                <w:sz w:val="20"/>
                <w:szCs w:val="20"/>
                <w:lang w:val="en-GB"/>
              </w:rPr>
            </w:pPr>
            <w:r>
              <w:rPr>
                <w:rFonts w:cs="Arial"/>
                <w:color w:val="000000"/>
                <w:sz w:val="20"/>
                <w:szCs w:val="20"/>
                <w:lang w:val="en-GB"/>
              </w:rPr>
              <w:t>0.926</w:t>
            </w:r>
          </w:p>
        </w:tc>
        <w:tc>
          <w:tcPr>
            <w:tcW w:w="943" w:type="pct"/>
            <w:tcBorders>
              <w:top w:val="nil"/>
              <w:left w:val="nil"/>
              <w:bottom w:val="single" w:color="auto" w:sz="4" w:space="0"/>
              <w:right w:val="single" w:color="auto" w:sz="4" w:space="0"/>
            </w:tcBorders>
            <w:noWrap/>
            <w:vAlign w:val="bottom"/>
          </w:tcPr>
          <w:p w14:paraId="5154ED4B">
            <w:pPr>
              <w:jc w:val="right"/>
              <w:rPr>
                <w:rFonts w:cs="Arial"/>
                <w:color w:val="000000"/>
                <w:sz w:val="20"/>
                <w:szCs w:val="20"/>
                <w:lang w:val="en-GB"/>
              </w:rPr>
            </w:pPr>
            <w:r>
              <w:rPr>
                <w:rFonts w:cs="Arial"/>
                <w:color w:val="000000"/>
                <w:sz w:val="20"/>
                <w:szCs w:val="20"/>
                <w:lang w:val="en-GB"/>
              </w:rPr>
              <w:t>10</w:t>
            </w:r>
          </w:p>
        </w:tc>
        <w:tc>
          <w:tcPr>
            <w:tcW w:w="1712" w:type="pct"/>
            <w:tcBorders>
              <w:top w:val="nil"/>
              <w:left w:val="nil"/>
              <w:bottom w:val="single" w:color="auto" w:sz="4" w:space="0"/>
              <w:right w:val="single" w:color="auto" w:sz="4" w:space="0"/>
            </w:tcBorders>
            <w:noWrap/>
            <w:vAlign w:val="bottom"/>
          </w:tcPr>
          <w:p w14:paraId="42202D50">
            <w:pPr>
              <w:jc w:val="right"/>
              <w:rPr>
                <w:rFonts w:cs="Arial"/>
                <w:color w:val="000000"/>
                <w:sz w:val="20"/>
                <w:szCs w:val="20"/>
                <w:lang w:val="en-GB"/>
              </w:rPr>
            </w:pPr>
            <w:r>
              <w:rPr>
                <w:rFonts w:cs="Arial"/>
                <w:color w:val="000000"/>
                <w:sz w:val="20"/>
                <w:szCs w:val="20"/>
                <w:lang w:val="en-GB"/>
              </w:rPr>
              <w:t>9.26</w:t>
            </w:r>
          </w:p>
        </w:tc>
      </w:tr>
      <w:tr w14:paraId="017D946D">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62D73E31">
            <w:pPr>
              <w:jc w:val="right"/>
              <w:rPr>
                <w:rFonts w:cs="Arial"/>
                <w:color w:val="000000"/>
                <w:sz w:val="20"/>
                <w:szCs w:val="20"/>
                <w:lang w:val="en-GB"/>
              </w:rPr>
            </w:pPr>
            <w:r>
              <w:rPr>
                <w:rFonts w:cs="Arial"/>
                <w:color w:val="000000"/>
                <w:sz w:val="20"/>
                <w:szCs w:val="20"/>
                <w:lang w:val="en-GB"/>
              </w:rPr>
              <w:t>2</w:t>
            </w:r>
          </w:p>
        </w:tc>
        <w:tc>
          <w:tcPr>
            <w:tcW w:w="1250" w:type="pct"/>
            <w:tcBorders>
              <w:top w:val="nil"/>
              <w:left w:val="nil"/>
              <w:bottom w:val="single" w:color="auto" w:sz="4" w:space="0"/>
              <w:right w:val="single" w:color="auto" w:sz="4" w:space="0"/>
            </w:tcBorders>
            <w:noWrap/>
            <w:vAlign w:val="bottom"/>
          </w:tcPr>
          <w:p w14:paraId="7679C486">
            <w:pPr>
              <w:jc w:val="right"/>
              <w:rPr>
                <w:rFonts w:cs="Arial"/>
                <w:color w:val="000000"/>
                <w:sz w:val="20"/>
                <w:szCs w:val="20"/>
                <w:lang w:val="en-GB"/>
              </w:rPr>
            </w:pPr>
            <w:r>
              <w:rPr>
                <w:rFonts w:cs="Arial"/>
                <w:color w:val="000000"/>
                <w:sz w:val="20"/>
                <w:szCs w:val="20"/>
                <w:lang w:val="en-GB"/>
              </w:rPr>
              <w:t>0.857</w:t>
            </w:r>
          </w:p>
        </w:tc>
        <w:tc>
          <w:tcPr>
            <w:tcW w:w="943" w:type="pct"/>
            <w:tcBorders>
              <w:top w:val="nil"/>
              <w:left w:val="nil"/>
              <w:bottom w:val="single" w:color="auto" w:sz="4" w:space="0"/>
              <w:right w:val="single" w:color="auto" w:sz="4" w:space="0"/>
            </w:tcBorders>
            <w:noWrap/>
            <w:vAlign w:val="bottom"/>
          </w:tcPr>
          <w:p w14:paraId="38754A02">
            <w:pPr>
              <w:jc w:val="right"/>
              <w:rPr>
                <w:rFonts w:cs="Arial"/>
                <w:color w:val="000000"/>
                <w:sz w:val="20"/>
                <w:szCs w:val="20"/>
                <w:lang w:val="en-GB"/>
              </w:rPr>
            </w:pPr>
            <w:r>
              <w:rPr>
                <w:rFonts w:cs="Arial"/>
                <w:color w:val="000000"/>
                <w:sz w:val="20"/>
                <w:szCs w:val="20"/>
                <w:lang w:val="en-GB"/>
              </w:rPr>
              <w:t>12</w:t>
            </w:r>
          </w:p>
        </w:tc>
        <w:tc>
          <w:tcPr>
            <w:tcW w:w="1712" w:type="pct"/>
            <w:tcBorders>
              <w:top w:val="nil"/>
              <w:left w:val="nil"/>
              <w:bottom w:val="single" w:color="auto" w:sz="4" w:space="0"/>
              <w:right w:val="single" w:color="auto" w:sz="4" w:space="0"/>
            </w:tcBorders>
            <w:noWrap/>
            <w:vAlign w:val="bottom"/>
          </w:tcPr>
          <w:p w14:paraId="06A4F5FD">
            <w:pPr>
              <w:jc w:val="right"/>
              <w:rPr>
                <w:rFonts w:cs="Arial"/>
                <w:color w:val="000000"/>
                <w:sz w:val="20"/>
                <w:szCs w:val="20"/>
                <w:lang w:val="en-GB"/>
              </w:rPr>
            </w:pPr>
            <w:r>
              <w:rPr>
                <w:rFonts w:cs="Arial"/>
                <w:color w:val="000000"/>
                <w:sz w:val="20"/>
                <w:szCs w:val="20"/>
                <w:lang w:val="en-GB"/>
              </w:rPr>
              <w:t>10.29</w:t>
            </w:r>
          </w:p>
        </w:tc>
      </w:tr>
      <w:tr w14:paraId="1436D173">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49B3BED6">
            <w:pPr>
              <w:jc w:val="right"/>
              <w:rPr>
                <w:rFonts w:cs="Arial"/>
                <w:color w:val="000000"/>
                <w:sz w:val="20"/>
                <w:szCs w:val="20"/>
                <w:lang w:val="en-GB"/>
              </w:rPr>
            </w:pPr>
            <w:r>
              <w:rPr>
                <w:rFonts w:cs="Arial"/>
                <w:color w:val="000000"/>
                <w:sz w:val="20"/>
                <w:szCs w:val="20"/>
                <w:lang w:val="en-GB"/>
              </w:rPr>
              <w:t>3</w:t>
            </w:r>
          </w:p>
        </w:tc>
        <w:tc>
          <w:tcPr>
            <w:tcW w:w="1250" w:type="pct"/>
            <w:tcBorders>
              <w:top w:val="nil"/>
              <w:left w:val="nil"/>
              <w:bottom w:val="single" w:color="auto" w:sz="4" w:space="0"/>
              <w:right w:val="single" w:color="auto" w:sz="4" w:space="0"/>
            </w:tcBorders>
            <w:noWrap/>
            <w:vAlign w:val="bottom"/>
          </w:tcPr>
          <w:p w14:paraId="0FACFC27">
            <w:pPr>
              <w:jc w:val="right"/>
              <w:rPr>
                <w:rFonts w:cs="Arial"/>
                <w:color w:val="000000"/>
                <w:sz w:val="20"/>
                <w:szCs w:val="20"/>
                <w:lang w:val="en-GB"/>
              </w:rPr>
            </w:pPr>
            <w:r>
              <w:rPr>
                <w:rFonts w:cs="Arial"/>
                <w:color w:val="000000"/>
                <w:sz w:val="20"/>
                <w:szCs w:val="20"/>
                <w:lang w:val="en-GB"/>
              </w:rPr>
              <w:t>0.794</w:t>
            </w:r>
          </w:p>
        </w:tc>
        <w:tc>
          <w:tcPr>
            <w:tcW w:w="943" w:type="pct"/>
            <w:tcBorders>
              <w:top w:val="nil"/>
              <w:left w:val="nil"/>
              <w:bottom w:val="single" w:color="auto" w:sz="4" w:space="0"/>
              <w:right w:val="single" w:color="auto" w:sz="4" w:space="0"/>
            </w:tcBorders>
            <w:noWrap/>
            <w:vAlign w:val="bottom"/>
          </w:tcPr>
          <w:p w14:paraId="7A520C07">
            <w:pPr>
              <w:jc w:val="right"/>
              <w:rPr>
                <w:rFonts w:cs="Arial"/>
                <w:color w:val="000000"/>
                <w:sz w:val="20"/>
                <w:szCs w:val="20"/>
                <w:lang w:val="en-GB"/>
              </w:rPr>
            </w:pPr>
            <w:r>
              <w:rPr>
                <w:rFonts w:cs="Arial"/>
                <w:color w:val="000000"/>
                <w:sz w:val="20"/>
                <w:szCs w:val="20"/>
                <w:lang w:val="en-GB"/>
              </w:rPr>
              <w:t>14</w:t>
            </w:r>
          </w:p>
        </w:tc>
        <w:tc>
          <w:tcPr>
            <w:tcW w:w="1712" w:type="pct"/>
            <w:tcBorders>
              <w:top w:val="nil"/>
              <w:left w:val="nil"/>
              <w:bottom w:val="single" w:color="auto" w:sz="4" w:space="0"/>
              <w:right w:val="single" w:color="auto" w:sz="4" w:space="0"/>
            </w:tcBorders>
            <w:noWrap/>
            <w:vAlign w:val="bottom"/>
          </w:tcPr>
          <w:p w14:paraId="38A45AA9">
            <w:pPr>
              <w:jc w:val="right"/>
              <w:rPr>
                <w:rFonts w:cs="Arial"/>
                <w:color w:val="000000"/>
                <w:sz w:val="20"/>
                <w:szCs w:val="20"/>
                <w:lang w:val="en-GB"/>
              </w:rPr>
            </w:pPr>
            <w:r>
              <w:rPr>
                <w:rFonts w:cs="Arial"/>
                <w:color w:val="000000"/>
                <w:sz w:val="20"/>
                <w:szCs w:val="20"/>
                <w:lang w:val="en-GB"/>
              </w:rPr>
              <w:t>11.11</w:t>
            </w:r>
          </w:p>
        </w:tc>
      </w:tr>
      <w:tr w14:paraId="4D6098C4">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160DEA44">
            <w:pPr>
              <w:jc w:val="right"/>
              <w:rPr>
                <w:rFonts w:cs="Arial"/>
                <w:color w:val="000000"/>
                <w:sz w:val="20"/>
                <w:szCs w:val="20"/>
                <w:lang w:val="en-GB"/>
              </w:rPr>
            </w:pPr>
            <w:r>
              <w:rPr>
                <w:rFonts w:cs="Arial"/>
                <w:color w:val="000000"/>
                <w:sz w:val="20"/>
                <w:szCs w:val="20"/>
                <w:lang w:val="en-GB"/>
              </w:rPr>
              <w:t>4</w:t>
            </w:r>
          </w:p>
        </w:tc>
        <w:tc>
          <w:tcPr>
            <w:tcW w:w="1250" w:type="pct"/>
            <w:tcBorders>
              <w:top w:val="nil"/>
              <w:left w:val="nil"/>
              <w:bottom w:val="single" w:color="auto" w:sz="4" w:space="0"/>
              <w:right w:val="single" w:color="auto" w:sz="4" w:space="0"/>
            </w:tcBorders>
            <w:noWrap/>
            <w:vAlign w:val="bottom"/>
          </w:tcPr>
          <w:p w14:paraId="2EE1031A">
            <w:pPr>
              <w:jc w:val="right"/>
              <w:rPr>
                <w:rFonts w:cs="Arial"/>
                <w:color w:val="000000"/>
                <w:sz w:val="20"/>
                <w:szCs w:val="20"/>
                <w:lang w:val="en-GB"/>
              </w:rPr>
            </w:pPr>
            <w:r>
              <w:rPr>
                <w:rFonts w:cs="Arial"/>
                <w:color w:val="000000"/>
                <w:sz w:val="20"/>
                <w:szCs w:val="20"/>
                <w:lang w:val="en-GB"/>
              </w:rPr>
              <w:t>0.735</w:t>
            </w:r>
          </w:p>
        </w:tc>
        <w:tc>
          <w:tcPr>
            <w:tcW w:w="943" w:type="pct"/>
            <w:tcBorders>
              <w:top w:val="nil"/>
              <w:left w:val="nil"/>
              <w:bottom w:val="single" w:color="auto" w:sz="4" w:space="0"/>
              <w:right w:val="single" w:color="auto" w:sz="4" w:space="0"/>
            </w:tcBorders>
            <w:noWrap/>
            <w:vAlign w:val="bottom"/>
          </w:tcPr>
          <w:p w14:paraId="0940D277">
            <w:pPr>
              <w:jc w:val="right"/>
              <w:rPr>
                <w:rFonts w:cs="Arial"/>
                <w:color w:val="000000"/>
                <w:sz w:val="20"/>
                <w:szCs w:val="20"/>
                <w:lang w:val="en-GB"/>
              </w:rPr>
            </w:pPr>
            <w:r>
              <w:rPr>
                <w:rFonts w:cs="Arial"/>
                <w:color w:val="000000"/>
                <w:sz w:val="20"/>
                <w:szCs w:val="20"/>
                <w:lang w:val="en-GB"/>
              </w:rPr>
              <w:t>10</w:t>
            </w:r>
          </w:p>
        </w:tc>
        <w:tc>
          <w:tcPr>
            <w:tcW w:w="1712" w:type="pct"/>
            <w:tcBorders>
              <w:top w:val="nil"/>
              <w:left w:val="nil"/>
              <w:bottom w:val="single" w:color="auto" w:sz="4" w:space="0"/>
              <w:right w:val="single" w:color="auto" w:sz="4" w:space="0"/>
            </w:tcBorders>
            <w:noWrap/>
            <w:vAlign w:val="bottom"/>
          </w:tcPr>
          <w:p w14:paraId="16D6E6CA">
            <w:pPr>
              <w:jc w:val="right"/>
              <w:rPr>
                <w:rFonts w:cs="Arial"/>
                <w:color w:val="000000"/>
                <w:sz w:val="20"/>
                <w:szCs w:val="20"/>
                <w:lang w:val="en-GB"/>
              </w:rPr>
            </w:pPr>
            <w:r>
              <w:rPr>
                <w:rFonts w:cs="Arial"/>
                <w:color w:val="000000"/>
                <w:sz w:val="20"/>
                <w:szCs w:val="20"/>
                <w:lang w:val="en-GB"/>
              </w:rPr>
              <w:t>7.35</w:t>
            </w:r>
          </w:p>
        </w:tc>
      </w:tr>
      <w:tr w14:paraId="7FC2D550">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0DD178B0">
            <w:pPr>
              <w:jc w:val="right"/>
              <w:rPr>
                <w:rFonts w:cs="Arial"/>
                <w:color w:val="000000"/>
                <w:sz w:val="20"/>
                <w:szCs w:val="20"/>
                <w:lang w:val="en-GB"/>
              </w:rPr>
            </w:pPr>
            <w:r>
              <w:rPr>
                <w:rFonts w:cs="Arial"/>
                <w:color w:val="000000"/>
                <w:sz w:val="20"/>
                <w:szCs w:val="20"/>
                <w:lang w:val="en-GB"/>
              </w:rPr>
              <w:t>5</w:t>
            </w:r>
          </w:p>
        </w:tc>
        <w:tc>
          <w:tcPr>
            <w:tcW w:w="1250" w:type="pct"/>
            <w:tcBorders>
              <w:top w:val="nil"/>
              <w:left w:val="nil"/>
              <w:bottom w:val="single" w:color="auto" w:sz="4" w:space="0"/>
              <w:right w:val="single" w:color="auto" w:sz="4" w:space="0"/>
            </w:tcBorders>
            <w:noWrap/>
            <w:vAlign w:val="bottom"/>
          </w:tcPr>
          <w:p w14:paraId="380FB77A">
            <w:pPr>
              <w:jc w:val="right"/>
              <w:rPr>
                <w:rFonts w:cs="Arial"/>
                <w:color w:val="000000"/>
                <w:sz w:val="20"/>
                <w:szCs w:val="20"/>
                <w:lang w:val="en-GB"/>
              </w:rPr>
            </w:pPr>
            <w:r>
              <w:rPr>
                <w:rFonts w:cs="Arial"/>
                <w:color w:val="000000"/>
                <w:sz w:val="20"/>
                <w:szCs w:val="20"/>
                <w:lang w:val="en-GB"/>
              </w:rPr>
              <w:t>0.681</w:t>
            </w:r>
          </w:p>
        </w:tc>
        <w:tc>
          <w:tcPr>
            <w:tcW w:w="943" w:type="pct"/>
            <w:tcBorders>
              <w:top w:val="nil"/>
              <w:left w:val="nil"/>
              <w:bottom w:val="single" w:color="auto" w:sz="4" w:space="0"/>
              <w:right w:val="single" w:color="auto" w:sz="4" w:space="0"/>
            </w:tcBorders>
            <w:noWrap/>
            <w:vAlign w:val="bottom"/>
          </w:tcPr>
          <w:p w14:paraId="4DFE9E5C">
            <w:pPr>
              <w:jc w:val="right"/>
              <w:rPr>
                <w:rFonts w:cs="Arial"/>
                <w:color w:val="000000"/>
                <w:sz w:val="20"/>
                <w:szCs w:val="20"/>
                <w:lang w:val="en-GB"/>
              </w:rPr>
            </w:pPr>
            <w:r>
              <w:rPr>
                <w:rFonts w:cs="Arial"/>
                <w:color w:val="000000"/>
                <w:sz w:val="20"/>
                <w:szCs w:val="20"/>
                <w:lang w:val="en-GB"/>
              </w:rPr>
              <w:t>8</w:t>
            </w:r>
          </w:p>
        </w:tc>
        <w:tc>
          <w:tcPr>
            <w:tcW w:w="1712" w:type="pct"/>
            <w:tcBorders>
              <w:top w:val="nil"/>
              <w:left w:val="nil"/>
              <w:bottom w:val="single" w:color="auto" w:sz="4" w:space="0"/>
              <w:right w:val="single" w:color="auto" w:sz="4" w:space="0"/>
            </w:tcBorders>
            <w:noWrap/>
            <w:vAlign w:val="bottom"/>
          </w:tcPr>
          <w:p w14:paraId="3C0DFD7F">
            <w:pPr>
              <w:jc w:val="right"/>
              <w:rPr>
                <w:rFonts w:cs="Arial"/>
                <w:color w:val="000000"/>
                <w:sz w:val="20"/>
                <w:szCs w:val="20"/>
                <w:lang w:val="en-GB"/>
              </w:rPr>
            </w:pPr>
            <w:r>
              <w:rPr>
                <w:rFonts w:cs="Arial"/>
                <w:color w:val="000000"/>
                <w:sz w:val="20"/>
                <w:szCs w:val="20"/>
                <w:lang w:val="en-GB"/>
              </w:rPr>
              <w:t>5.44</w:t>
            </w:r>
          </w:p>
        </w:tc>
      </w:tr>
      <w:tr w14:paraId="1713F16F">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707E58A4">
            <w:pPr>
              <w:jc w:val="left"/>
              <w:rPr>
                <w:rFonts w:cs="Arial"/>
                <w:color w:val="000000"/>
                <w:sz w:val="20"/>
                <w:szCs w:val="20"/>
                <w:lang w:val="en-GB"/>
              </w:rPr>
            </w:pPr>
            <w:r>
              <w:rPr>
                <w:rFonts w:cs="Arial"/>
                <w:color w:val="000000"/>
                <w:sz w:val="20"/>
                <w:szCs w:val="20"/>
                <w:lang w:val="en-GB"/>
              </w:rPr>
              <w:t>Present value</w:t>
            </w:r>
          </w:p>
        </w:tc>
        <w:tc>
          <w:tcPr>
            <w:tcW w:w="1250" w:type="pct"/>
            <w:tcBorders>
              <w:top w:val="nil"/>
              <w:left w:val="nil"/>
              <w:bottom w:val="single" w:color="auto" w:sz="4" w:space="0"/>
              <w:right w:val="single" w:color="auto" w:sz="4" w:space="0"/>
            </w:tcBorders>
            <w:noWrap/>
            <w:vAlign w:val="bottom"/>
          </w:tcPr>
          <w:p w14:paraId="3A1B9213">
            <w:pPr>
              <w:jc w:val="left"/>
              <w:rPr>
                <w:rFonts w:cs="Arial"/>
                <w:color w:val="000000"/>
                <w:sz w:val="20"/>
                <w:szCs w:val="20"/>
                <w:lang w:val="en-GB"/>
              </w:rPr>
            </w:pPr>
            <w:r>
              <w:rPr>
                <w:rFonts w:cs="Arial"/>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4EBFBE8A">
            <w:pPr>
              <w:jc w:val="left"/>
              <w:rPr>
                <w:rFonts w:cs="Arial"/>
                <w:color w:val="000000"/>
                <w:sz w:val="20"/>
                <w:szCs w:val="20"/>
                <w:lang w:val="en-GB"/>
              </w:rPr>
            </w:pPr>
            <w:r>
              <w:rPr>
                <w:rFonts w:cs="Arial"/>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2CFD9398">
            <w:pPr>
              <w:jc w:val="right"/>
              <w:rPr>
                <w:rFonts w:cs="Arial"/>
                <w:color w:val="000000"/>
                <w:sz w:val="20"/>
                <w:szCs w:val="20"/>
                <w:lang w:val="en-GB"/>
              </w:rPr>
            </w:pPr>
            <w:r>
              <w:rPr>
                <w:rFonts w:cs="Arial"/>
                <w:color w:val="000000"/>
                <w:sz w:val="20"/>
                <w:szCs w:val="20"/>
                <w:lang w:val="en-GB"/>
              </w:rPr>
              <w:t>43.46</w:t>
            </w:r>
          </w:p>
        </w:tc>
      </w:tr>
      <w:tr w14:paraId="3FAACAE8">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7321E02D">
            <w:pPr>
              <w:jc w:val="left"/>
              <w:rPr>
                <w:rFonts w:cs="Arial"/>
                <w:color w:val="000000"/>
                <w:sz w:val="20"/>
                <w:szCs w:val="20"/>
                <w:lang w:val="en-GB"/>
              </w:rPr>
            </w:pPr>
            <w:r>
              <w:rPr>
                <w:rFonts w:cs="Arial"/>
                <w:color w:val="000000"/>
                <w:sz w:val="20"/>
                <w:szCs w:val="20"/>
                <w:lang w:val="en-GB"/>
              </w:rPr>
              <w:t xml:space="preserve">Initial Investment </w:t>
            </w:r>
          </w:p>
        </w:tc>
        <w:tc>
          <w:tcPr>
            <w:tcW w:w="1250" w:type="pct"/>
            <w:tcBorders>
              <w:top w:val="nil"/>
              <w:left w:val="nil"/>
              <w:bottom w:val="single" w:color="auto" w:sz="4" w:space="0"/>
              <w:right w:val="single" w:color="auto" w:sz="4" w:space="0"/>
            </w:tcBorders>
            <w:noWrap/>
            <w:vAlign w:val="bottom"/>
          </w:tcPr>
          <w:p w14:paraId="75A208AB">
            <w:pPr>
              <w:jc w:val="left"/>
              <w:rPr>
                <w:rFonts w:cs="Arial"/>
                <w:color w:val="000000"/>
                <w:sz w:val="20"/>
                <w:szCs w:val="20"/>
                <w:lang w:val="en-GB"/>
              </w:rPr>
            </w:pPr>
            <w:r>
              <w:rPr>
                <w:rFonts w:cs="Arial"/>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64337EBB">
            <w:pPr>
              <w:jc w:val="left"/>
              <w:rPr>
                <w:rFonts w:cs="Arial"/>
                <w:color w:val="000000"/>
                <w:sz w:val="20"/>
                <w:szCs w:val="20"/>
                <w:lang w:val="en-GB"/>
              </w:rPr>
            </w:pPr>
            <w:r>
              <w:rPr>
                <w:rFonts w:cs="Arial"/>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2691BA74">
            <w:pPr>
              <w:jc w:val="right"/>
              <w:rPr>
                <w:rFonts w:cs="Arial"/>
                <w:color w:val="000000"/>
                <w:sz w:val="20"/>
                <w:szCs w:val="20"/>
                <w:lang w:val="en-GB"/>
              </w:rPr>
            </w:pPr>
            <w:r>
              <w:rPr>
                <w:rFonts w:cs="Arial"/>
                <w:color w:val="000000"/>
                <w:sz w:val="20"/>
                <w:szCs w:val="20"/>
                <w:lang w:val="en-GB"/>
              </w:rPr>
              <w:t>50.00</w:t>
            </w:r>
          </w:p>
        </w:tc>
      </w:tr>
      <w:tr w14:paraId="60FA4336">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16370D29">
            <w:pPr>
              <w:jc w:val="left"/>
              <w:rPr>
                <w:rFonts w:cs="Arial"/>
                <w:b/>
                <w:bCs/>
                <w:color w:val="000000"/>
                <w:sz w:val="20"/>
                <w:szCs w:val="20"/>
                <w:lang w:val="en-GB"/>
              </w:rPr>
            </w:pPr>
            <w:r>
              <w:rPr>
                <w:rFonts w:cs="Arial"/>
                <w:b/>
                <w:bCs/>
                <w:color w:val="000000"/>
                <w:sz w:val="20"/>
                <w:szCs w:val="20"/>
                <w:lang w:val="en-GB"/>
              </w:rPr>
              <w:t>NPV</w:t>
            </w:r>
          </w:p>
        </w:tc>
        <w:tc>
          <w:tcPr>
            <w:tcW w:w="1250" w:type="pct"/>
            <w:tcBorders>
              <w:top w:val="nil"/>
              <w:left w:val="nil"/>
              <w:bottom w:val="single" w:color="auto" w:sz="4" w:space="0"/>
              <w:right w:val="single" w:color="auto" w:sz="4" w:space="0"/>
            </w:tcBorders>
            <w:noWrap/>
            <w:vAlign w:val="bottom"/>
          </w:tcPr>
          <w:p w14:paraId="5900A06E">
            <w:pPr>
              <w:jc w:val="left"/>
              <w:rPr>
                <w:rFonts w:cs="Arial"/>
                <w:b/>
                <w:bCs/>
                <w:color w:val="000000"/>
                <w:sz w:val="20"/>
                <w:szCs w:val="20"/>
                <w:lang w:val="en-GB"/>
              </w:rPr>
            </w:pPr>
            <w:r>
              <w:rPr>
                <w:rFonts w:cs="Arial"/>
                <w:b/>
                <w:bCs/>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08178131">
            <w:pPr>
              <w:jc w:val="left"/>
              <w:rPr>
                <w:rFonts w:cs="Arial"/>
                <w:b/>
                <w:bCs/>
                <w:color w:val="000000"/>
                <w:sz w:val="20"/>
                <w:szCs w:val="20"/>
                <w:lang w:val="en-GB"/>
              </w:rPr>
            </w:pPr>
            <w:r>
              <w:rPr>
                <w:rFonts w:cs="Arial"/>
                <w:b/>
                <w:bCs/>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08C3F77E">
            <w:pPr>
              <w:jc w:val="right"/>
              <w:rPr>
                <w:rFonts w:cs="Arial"/>
                <w:b/>
                <w:bCs/>
                <w:color w:val="000000"/>
                <w:sz w:val="20"/>
                <w:szCs w:val="20"/>
                <w:lang w:val="en-GB"/>
              </w:rPr>
            </w:pPr>
            <w:r>
              <w:rPr>
                <w:rFonts w:cs="Arial"/>
                <w:b/>
                <w:bCs/>
                <w:color w:val="000000"/>
                <w:sz w:val="20"/>
                <w:szCs w:val="20"/>
                <w:lang w:val="en-GB"/>
              </w:rPr>
              <w:t>-6.54</w:t>
            </w:r>
          </w:p>
        </w:tc>
      </w:tr>
      <w:tr w14:paraId="7C4F104B">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7BF14F6C">
            <w:pPr>
              <w:jc w:val="left"/>
              <w:rPr>
                <w:rFonts w:cs="Arial"/>
                <w:b/>
                <w:bCs/>
                <w:color w:val="000000"/>
                <w:sz w:val="20"/>
                <w:szCs w:val="20"/>
                <w:lang w:val="en-GB"/>
              </w:rPr>
            </w:pPr>
            <w:r>
              <w:rPr>
                <w:rFonts w:cs="Arial"/>
                <w:b/>
                <w:bCs/>
                <w:color w:val="000000"/>
                <w:sz w:val="20"/>
                <w:szCs w:val="20"/>
                <w:lang w:val="en-GB"/>
              </w:rPr>
              <w:t>PI</w:t>
            </w:r>
          </w:p>
        </w:tc>
        <w:tc>
          <w:tcPr>
            <w:tcW w:w="1250" w:type="pct"/>
            <w:tcBorders>
              <w:top w:val="nil"/>
              <w:left w:val="nil"/>
              <w:bottom w:val="single" w:color="auto" w:sz="4" w:space="0"/>
              <w:right w:val="single" w:color="auto" w:sz="4" w:space="0"/>
            </w:tcBorders>
            <w:noWrap/>
            <w:vAlign w:val="bottom"/>
          </w:tcPr>
          <w:p w14:paraId="7380D625">
            <w:pPr>
              <w:jc w:val="left"/>
              <w:rPr>
                <w:rFonts w:cs="Arial"/>
                <w:color w:val="000000"/>
                <w:sz w:val="20"/>
                <w:szCs w:val="20"/>
                <w:lang w:val="en-GB"/>
              </w:rPr>
            </w:pPr>
            <w:r>
              <w:rPr>
                <w:rFonts w:cs="Arial"/>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30A449A5">
            <w:pPr>
              <w:jc w:val="left"/>
              <w:rPr>
                <w:rFonts w:cs="Arial"/>
                <w:color w:val="000000"/>
                <w:sz w:val="20"/>
                <w:szCs w:val="20"/>
                <w:lang w:val="en-GB"/>
              </w:rPr>
            </w:pPr>
            <w:r>
              <w:rPr>
                <w:rFonts w:cs="Arial"/>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29AA10B1">
            <w:pPr>
              <w:jc w:val="right"/>
              <w:rPr>
                <w:rFonts w:cs="Arial"/>
                <w:b/>
                <w:bCs/>
                <w:color w:val="000000"/>
                <w:sz w:val="20"/>
                <w:szCs w:val="20"/>
                <w:lang w:val="en-GB"/>
              </w:rPr>
            </w:pPr>
            <w:r>
              <w:rPr>
                <w:rFonts w:cs="Arial"/>
                <w:b/>
                <w:bCs/>
                <w:color w:val="000000"/>
                <w:sz w:val="20"/>
                <w:szCs w:val="20"/>
                <w:lang w:val="en-GB"/>
              </w:rPr>
              <w:t>0.87</w:t>
            </w:r>
          </w:p>
        </w:tc>
      </w:tr>
    </w:tbl>
    <w:p w14:paraId="1C93E8AC">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2095"/>
        <w:gridCol w:w="2392"/>
        <w:gridCol w:w="1808"/>
        <w:gridCol w:w="3281"/>
      </w:tblGrid>
      <w:tr w14:paraId="2A15643F">
        <w:tblPrEx>
          <w:tblCellMar>
            <w:top w:w="0" w:type="dxa"/>
            <w:left w:w="108" w:type="dxa"/>
            <w:bottom w:w="0" w:type="dxa"/>
            <w:right w:w="108" w:type="dxa"/>
          </w:tblCellMar>
        </w:tblPrEx>
        <w:trPr>
          <w:trHeight w:val="300"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ign w:val="bottom"/>
          </w:tcPr>
          <w:p w14:paraId="0F863113">
            <w:pPr>
              <w:jc w:val="center"/>
              <w:rPr>
                <w:rFonts w:cs="Arial"/>
                <w:b/>
                <w:bCs/>
                <w:color w:val="000000"/>
                <w:sz w:val="22"/>
                <w:szCs w:val="22"/>
                <w:lang w:val="en-GB"/>
              </w:rPr>
            </w:pPr>
            <w:r>
              <w:rPr>
                <w:rFonts w:cs="Arial"/>
                <w:b/>
                <w:bCs/>
                <w:color w:val="000000"/>
                <w:sz w:val="22"/>
                <w:szCs w:val="22"/>
                <w:lang w:val="en-GB"/>
              </w:rPr>
              <w:t>Net Present Value  For Project B</w:t>
            </w:r>
          </w:p>
        </w:tc>
      </w:tr>
      <w:tr w14:paraId="639CD53D">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11B37D29">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1249" w:type="pct"/>
            <w:tcBorders>
              <w:top w:val="nil"/>
              <w:left w:val="nil"/>
              <w:bottom w:val="single" w:color="auto" w:sz="4" w:space="0"/>
              <w:right w:val="single" w:color="auto" w:sz="4" w:space="0"/>
            </w:tcBorders>
            <w:noWrap/>
            <w:vAlign w:val="bottom"/>
          </w:tcPr>
          <w:p w14:paraId="2DD5512E">
            <w:pPr>
              <w:jc w:val="left"/>
              <w:rPr>
                <w:rFonts w:cs="Arial"/>
                <w:b/>
                <w:bCs/>
                <w:i/>
                <w:iCs/>
                <w:color w:val="000000"/>
                <w:sz w:val="20"/>
                <w:szCs w:val="20"/>
                <w:lang w:val="en-GB"/>
              </w:rPr>
            </w:pPr>
            <w:r>
              <w:rPr>
                <w:rFonts w:cs="Arial"/>
                <w:b/>
                <w:bCs/>
                <w:i/>
                <w:iCs/>
                <w:color w:val="000000"/>
                <w:sz w:val="20"/>
                <w:szCs w:val="20"/>
                <w:lang w:val="en-GB"/>
              </w:rPr>
              <w:t>Discount factor (8%)</w:t>
            </w:r>
          </w:p>
        </w:tc>
        <w:tc>
          <w:tcPr>
            <w:tcW w:w="944" w:type="pct"/>
            <w:tcBorders>
              <w:top w:val="nil"/>
              <w:left w:val="nil"/>
              <w:bottom w:val="single" w:color="auto" w:sz="4" w:space="0"/>
              <w:right w:val="single" w:color="auto" w:sz="4" w:space="0"/>
            </w:tcBorders>
            <w:noWrap/>
            <w:vAlign w:val="bottom"/>
          </w:tcPr>
          <w:p w14:paraId="6B982FE5">
            <w:pPr>
              <w:jc w:val="left"/>
              <w:rPr>
                <w:rFonts w:cs="Arial"/>
                <w:b/>
                <w:bCs/>
                <w:i/>
                <w:iCs/>
                <w:color w:val="000000"/>
                <w:sz w:val="20"/>
                <w:szCs w:val="20"/>
                <w:lang w:val="en-GB"/>
              </w:rPr>
            </w:pPr>
            <w:r>
              <w:rPr>
                <w:rFonts w:cs="Arial"/>
                <w:b/>
                <w:bCs/>
                <w:i/>
                <w:iCs/>
                <w:color w:val="000000"/>
                <w:sz w:val="20"/>
                <w:szCs w:val="20"/>
                <w:lang w:val="en-GB"/>
              </w:rPr>
              <w:t>Cashflow (£m)</w:t>
            </w:r>
          </w:p>
        </w:tc>
        <w:tc>
          <w:tcPr>
            <w:tcW w:w="1713" w:type="pct"/>
            <w:tcBorders>
              <w:top w:val="nil"/>
              <w:left w:val="nil"/>
              <w:bottom w:val="single" w:color="auto" w:sz="4" w:space="0"/>
              <w:right w:val="single" w:color="auto" w:sz="4" w:space="0"/>
            </w:tcBorders>
            <w:noWrap/>
            <w:vAlign w:val="bottom"/>
          </w:tcPr>
          <w:p w14:paraId="48724A65">
            <w:pPr>
              <w:jc w:val="left"/>
              <w:rPr>
                <w:rFonts w:cs="Arial"/>
                <w:b/>
                <w:bCs/>
                <w:i/>
                <w:iCs/>
                <w:color w:val="000000"/>
                <w:sz w:val="20"/>
                <w:szCs w:val="20"/>
                <w:lang w:val="en-GB"/>
              </w:rPr>
            </w:pPr>
            <w:r>
              <w:rPr>
                <w:rFonts w:cs="Arial"/>
                <w:b/>
                <w:bCs/>
                <w:i/>
                <w:iCs/>
                <w:color w:val="000000"/>
                <w:sz w:val="20"/>
                <w:szCs w:val="20"/>
                <w:lang w:val="en-GB"/>
              </w:rPr>
              <w:t>Discounting cashflow (£m)</w:t>
            </w:r>
          </w:p>
        </w:tc>
      </w:tr>
      <w:tr w14:paraId="7FE97082">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12AD691E">
            <w:pPr>
              <w:jc w:val="right"/>
              <w:rPr>
                <w:rFonts w:cs="Arial"/>
                <w:color w:val="000000"/>
                <w:sz w:val="20"/>
                <w:szCs w:val="20"/>
                <w:lang w:val="en-GB"/>
              </w:rPr>
            </w:pPr>
            <w:r>
              <w:rPr>
                <w:rFonts w:cs="Arial"/>
                <w:color w:val="000000"/>
                <w:sz w:val="20"/>
                <w:szCs w:val="20"/>
                <w:lang w:val="en-GB"/>
              </w:rPr>
              <w:t>1</w:t>
            </w:r>
          </w:p>
        </w:tc>
        <w:tc>
          <w:tcPr>
            <w:tcW w:w="1249" w:type="pct"/>
            <w:tcBorders>
              <w:top w:val="nil"/>
              <w:left w:val="nil"/>
              <w:bottom w:val="single" w:color="auto" w:sz="4" w:space="0"/>
              <w:right w:val="single" w:color="auto" w:sz="4" w:space="0"/>
            </w:tcBorders>
            <w:noWrap/>
            <w:vAlign w:val="bottom"/>
          </w:tcPr>
          <w:p w14:paraId="21A66337">
            <w:pPr>
              <w:jc w:val="right"/>
              <w:rPr>
                <w:rFonts w:cs="Arial"/>
                <w:color w:val="000000"/>
                <w:sz w:val="20"/>
                <w:szCs w:val="20"/>
                <w:lang w:val="en-GB"/>
              </w:rPr>
            </w:pPr>
            <w:r>
              <w:rPr>
                <w:rFonts w:cs="Arial"/>
                <w:color w:val="000000"/>
                <w:sz w:val="20"/>
                <w:szCs w:val="20"/>
                <w:lang w:val="en-GB"/>
              </w:rPr>
              <w:t>0.926</w:t>
            </w:r>
          </w:p>
        </w:tc>
        <w:tc>
          <w:tcPr>
            <w:tcW w:w="944" w:type="pct"/>
            <w:tcBorders>
              <w:top w:val="nil"/>
              <w:left w:val="nil"/>
              <w:bottom w:val="single" w:color="auto" w:sz="4" w:space="0"/>
              <w:right w:val="single" w:color="auto" w:sz="4" w:space="0"/>
            </w:tcBorders>
            <w:noWrap/>
            <w:vAlign w:val="bottom"/>
          </w:tcPr>
          <w:p w14:paraId="0738FB1E">
            <w:pPr>
              <w:jc w:val="right"/>
              <w:rPr>
                <w:rFonts w:cs="Arial"/>
                <w:color w:val="000000"/>
                <w:sz w:val="20"/>
                <w:szCs w:val="20"/>
                <w:lang w:val="en-GB"/>
              </w:rPr>
            </w:pPr>
            <w:r>
              <w:rPr>
                <w:rFonts w:cs="Arial"/>
                <w:color w:val="000000"/>
                <w:sz w:val="20"/>
                <w:szCs w:val="20"/>
                <w:lang w:val="en-GB"/>
              </w:rPr>
              <w:t>11</w:t>
            </w:r>
          </w:p>
        </w:tc>
        <w:tc>
          <w:tcPr>
            <w:tcW w:w="1713" w:type="pct"/>
            <w:tcBorders>
              <w:top w:val="nil"/>
              <w:left w:val="nil"/>
              <w:bottom w:val="single" w:color="auto" w:sz="4" w:space="0"/>
              <w:right w:val="single" w:color="auto" w:sz="4" w:space="0"/>
            </w:tcBorders>
            <w:noWrap/>
            <w:vAlign w:val="bottom"/>
          </w:tcPr>
          <w:p w14:paraId="300661FA">
            <w:pPr>
              <w:jc w:val="right"/>
              <w:rPr>
                <w:rFonts w:cs="Arial"/>
                <w:color w:val="000000"/>
                <w:sz w:val="20"/>
                <w:szCs w:val="20"/>
                <w:lang w:val="en-GB"/>
              </w:rPr>
            </w:pPr>
            <w:r>
              <w:rPr>
                <w:rFonts w:cs="Arial"/>
                <w:color w:val="000000"/>
                <w:sz w:val="20"/>
                <w:szCs w:val="20"/>
                <w:lang w:val="en-GB"/>
              </w:rPr>
              <w:t>10.19</w:t>
            </w:r>
          </w:p>
        </w:tc>
      </w:tr>
      <w:tr w14:paraId="7E62DC21">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398E3060">
            <w:pPr>
              <w:jc w:val="right"/>
              <w:rPr>
                <w:rFonts w:cs="Arial"/>
                <w:color w:val="000000"/>
                <w:sz w:val="20"/>
                <w:szCs w:val="20"/>
                <w:lang w:val="en-GB"/>
              </w:rPr>
            </w:pPr>
            <w:r>
              <w:rPr>
                <w:rFonts w:cs="Arial"/>
                <w:color w:val="000000"/>
                <w:sz w:val="20"/>
                <w:szCs w:val="20"/>
                <w:lang w:val="en-GB"/>
              </w:rPr>
              <w:t>2</w:t>
            </w:r>
          </w:p>
        </w:tc>
        <w:tc>
          <w:tcPr>
            <w:tcW w:w="1249" w:type="pct"/>
            <w:tcBorders>
              <w:top w:val="nil"/>
              <w:left w:val="nil"/>
              <w:bottom w:val="single" w:color="auto" w:sz="4" w:space="0"/>
              <w:right w:val="single" w:color="auto" w:sz="4" w:space="0"/>
            </w:tcBorders>
            <w:noWrap/>
            <w:vAlign w:val="bottom"/>
          </w:tcPr>
          <w:p w14:paraId="1EE2A42D">
            <w:pPr>
              <w:jc w:val="right"/>
              <w:rPr>
                <w:rFonts w:cs="Arial"/>
                <w:color w:val="000000"/>
                <w:sz w:val="20"/>
                <w:szCs w:val="20"/>
                <w:lang w:val="en-GB"/>
              </w:rPr>
            </w:pPr>
            <w:r>
              <w:rPr>
                <w:rFonts w:cs="Arial"/>
                <w:color w:val="000000"/>
                <w:sz w:val="20"/>
                <w:szCs w:val="20"/>
                <w:lang w:val="en-GB"/>
              </w:rPr>
              <w:t>0.857</w:t>
            </w:r>
          </w:p>
        </w:tc>
        <w:tc>
          <w:tcPr>
            <w:tcW w:w="944" w:type="pct"/>
            <w:tcBorders>
              <w:top w:val="nil"/>
              <w:left w:val="nil"/>
              <w:bottom w:val="single" w:color="auto" w:sz="4" w:space="0"/>
              <w:right w:val="single" w:color="auto" w:sz="4" w:space="0"/>
            </w:tcBorders>
            <w:noWrap/>
            <w:vAlign w:val="bottom"/>
          </w:tcPr>
          <w:p w14:paraId="77C108E4">
            <w:pPr>
              <w:jc w:val="right"/>
              <w:rPr>
                <w:rFonts w:cs="Arial"/>
                <w:color w:val="000000"/>
                <w:sz w:val="20"/>
                <w:szCs w:val="20"/>
                <w:lang w:val="en-GB"/>
              </w:rPr>
            </w:pPr>
            <w:r>
              <w:rPr>
                <w:rFonts w:cs="Arial"/>
                <w:color w:val="000000"/>
                <w:sz w:val="20"/>
                <w:szCs w:val="20"/>
                <w:lang w:val="en-GB"/>
              </w:rPr>
              <w:t>11</w:t>
            </w:r>
          </w:p>
        </w:tc>
        <w:tc>
          <w:tcPr>
            <w:tcW w:w="1713" w:type="pct"/>
            <w:tcBorders>
              <w:top w:val="nil"/>
              <w:left w:val="nil"/>
              <w:bottom w:val="single" w:color="auto" w:sz="4" w:space="0"/>
              <w:right w:val="single" w:color="auto" w:sz="4" w:space="0"/>
            </w:tcBorders>
            <w:noWrap/>
            <w:vAlign w:val="bottom"/>
          </w:tcPr>
          <w:p w14:paraId="437F1C06">
            <w:pPr>
              <w:jc w:val="right"/>
              <w:rPr>
                <w:rFonts w:cs="Arial"/>
                <w:color w:val="000000"/>
                <w:sz w:val="20"/>
                <w:szCs w:val="20"/>
                <w:lang w:val="en-GB"/>
              </w:rPr>
            </w:pPr>
            <w:r>
              <w:rPr>
                <w:rFonts w:cs="Arial"/>
                <w:color w:val="000000"/>
                <w:sz w:val="20"/>
                <w:szCs w:val="20"/>
                <w:lang w:val="en-GB"/>
              </w:rPr>
              <w:t>9.43</w:t>
            </w:r>
          </w:p>
        </w:tc>
      </w:tr>
      <w:tr w14:paraId="4699199D">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31A3E8E8">
            <w:pPr>
              <w:jc w:val="right"/>
              <w:rPr>
                <w:rFonts w:cs="Arial"/>
                <w:color w:val="000000"/>
                <w:sz w:val="20"/>
                <w:szCs w:val="20"/>
                <w:lang w:val="en-GB"/>
              </w:rPr>
            </w:pPr>
            <w:r>
              <w:rPr>
                <w:rFonts w:cs="Arial"/>
                <w:color w:val="000000"/>
                <w:sz w:val="20"/>
                <w:szCs w:val="20"/>
                <w:lang w:val="en-GB"/>
              </w:rPr>
              <w:t>3</w:t>
            </w:r>
          </w:p>
        </w:tc>
        <w:tc>
          <w:tcPr>
            <w:tcW w:w="1249" w:type="pct"/>
            <w:tcBorders>
              <w:top w:val="nil"/>
              <w:left w:val="nil"/>
              <w:bottom w:val="single" w:color="auto" w:sz="4" w:space="0"/>
              <w:right w:val="single" w:color="auto" w:sz="4" w:space="0"/>
            </w:tcBorders>
            <w:noWrap/>
            <w:vAlign w:val="bottom"/>
          </w:tcPr>
          <w:p w14:paraId="782ADD20">
            <w:pPr>
              <w:jc w:val="right"/>
              <w:rPr>
                <w:rFonts w:cs="Arial"/>
                <w:color w:val="000000"/>
                <w:sz w:val="20"/>
                <w:szCs w:val="20"/>
                <w:lang w:val="en-GB"/>
              </w:rPr>
            </w:pPr>
            <w:r>
              <w:rPr>
                <w:rFonts w:cs="Arial"/>
                <w:color w:val="000000"/>
                <w:sz w:val="20"/>
                <w:szCs w:val="20"/>
                <w:lang w:val="en-GB"/>
              </w:rPr>
              <w:t>0.794</w:t>
            </w:r>
          </w:p>
        </w:tc>
        <w:tc>
          <w:tcPr>
            <w:tcW w:w="944" w:type="pct"/>
            <w:tcBorders>
              <w:top w:val="nil"/>
              <w:left w:val="nil"/>
              <w:bottom w:val="single" w:color="auto" w:sz="4" w:space="0"/>
              <w:right w:val="single" w:color="auto" w:sz="4" w:space="0"/>
            </w:tcBorders>
            <w:noWrap/>
            <w:vAlign w:val="bottom"/>
          </w:tcPr>
          <w:p w14:paraId="1F721474">
            <w:pPr>
              <w:jc w:val="right"/>
              <w:rPr>
                <w:rFonts w:cs="Arial"/>
                <w:color w:val="000000"/>
                <w:sz w:val="20"/>
                <w:szCs w:val="20"/>
                <w:lang w:val="en-GB"/>
              </w:rPr>
            </w:pPr>
            <w:r>
              <w:rPr>
                <w:rFonts w:cs="Arial"/>
                <w:color w:val="000000"/>
                <w:sz w:val="20"/>
                <w:szCs w:val="20"/>
                <w:lang w:val="en-GB"/>
              </w:rPr>
              <w:t>11</w:t>
            </w:r>
          </w:p>
        </w:tc>
        <w:tc>
          <w:tcPr>
            <w:tcW w:w="1713" w:type="pct"/>
            <w:tcBorders>
              <w:top w:val="nil"/>
              <w:left w:val="nil"/>
              <w:bottom w:val="single" w:color="auto" w:sz="4" w:space="0"/>
              <w:right w:val="single" w:color="auto" w:sz="4" w:space="0"/>
            </w:tcBorders>
            <w:noWrap/>
            <w:vAlign w:val="bottom"/>
          </w:tcPr>
          <w:p w14:paraId="76877B7B">
            <w:pPr>
              <w:jc w:val="right"/>
              <w:rPr>
                <w:rFonts w:cs="Arial"/>
                <w:color w:val="000000"/>
                <w:sz w:val="20"/>
                <w:szCs w:val="20"/>
                <w:lang w:val="en-GB"/>
              </w:rPr>
            </w:pPr>
            <w:r>
              <w:rPr>
                <w:rFonts w:cs="Arial"/>
                <w:color w:val="000000"/>
                <w:sz w:val="20"/>
                <w:szCs w:val="20"/>
                <w:lang w:val="en-GB"/>
              </w:rPr>
              <w:t>8.73</w:t>
            </w:r>
          </w:p>
        </w:tc>
      </w:tr>
      <w:tr w14:paraId="6965D0E1">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7A7886A8">
            <w:pPr>
              <w:jc w:val="right"/>
              <w:rPr>
                <w:rFonts w:cs="Arial"/>
                <w:color w:val="000000"/>
                <w:sz w:val="20"/>
                <w:szCs w:val="20"/>
                <w:lang w:val="en-GB"/>
              </w:rPr>
            </w:pPr>
            <w:r>
              <w:rPr>
                <w:rFonts w:cs="Arial"/>
                <w:color w:val="000000"/>
                <w:sz w:val="20"/>
                <w:szCs w:val="20"/>
                <w:lang w:val="en-GB"/>
              </w:rPr>
              <w:t>4</w:t>
            </w:r>
          </w:p>
        </w:tc>
        <w:tc>
          <w:tcPr>
            <w:tcW w:w="1249" w:type="pct"/>
            <w:tcBorders>
              <w:top w:val="nil"/>
              <w:left w:val="nil"/>
              <w:bottom w:val="single" w:color="auto" w:sz="4" w:space="0"/>
              <w:right w:val="single" w:color="auto" w:sz="4" w:space="0"/>
            </w:tcBorders>
            <w:noWrap/>
            <w:vAlign w:val="bottom"/>
          </w:tcPr>
          <w:p w14:paraId="7CD2C713">
            <w:pPr>
              <w:jc w:val="right"/>
              <w:rPr>
                <w:rFonts w:cs="Arial"/>
                <w:color w:val="000000"/>
                <w:sz w:val="20"/>
                <w:szCs w:val="20"/>
                <w:lang w:val="en-GB"/>
              </w:rPr>
            </w:pPr>
            <w:r>
              <w:rPr>
                <w:rFonts w:cs="Arial"/>
                <w:color w:val="000000"/>
                <w:sz w:val="20"/>
                <w:szCs w:val="20"/>
                <w:lang w:val="en-GB"/>
              </w:rPr>
              <w:t>0.735</w:t>
            </w:r>
          </w:p>
        </w:tc>
        <w:tc>
          <w:tcPr>
            <w:tcW w:w="944" w:type="pct"/>
            <w:tcBorders>
              <w:top w:val="nil"/>
              <w:left w:val="nil"/>
              <w:bottom w:val="single" w:color="auto" w:sz="4" w:space="0"/>
              <w:right w:val="single" w:color="auto" w:sz="4" w:space="0"/>
            </w:tcBorders>
            <w:noWrap/>
            <w:vAlign w:val="bottom"/>
          </w:tcPr>
          <w:p w14:paraId="3D2C2168">
            <w:pPr>
              <w:jc w:val="right"/>
              <w:rPr>
                <w:rFonts w:cs="Arial"/>
                <w:color w:val="000000"/>
                <w:sz w:val="20"/>
                <w:szCs w:val="20"/>
                <w:lang w:val="en-GB"/>
              </w:rPr>
            </w:pPr>
            <w:r>
              <w:rPr>
                <w:rFonts w:cs="Arial"/>
                <w:color w:val="000000"/>
                <w:sz w:val="20"/>
                <w:szCs w:val="20"/>
                <w:lang w:val="en-GB"/>
              </w:rPr>
              <w:t>11</w:t>
            </w:r>
          </w:p>
        </w:tc>
        <w:tc>
          <w:tcPr>
            <w:tcW w:w="1713" w:type="pct"/>
            <w:tcBorders>
              <w:top w:val="nil"/>
              <w:left w:val="nil"/>
              <w:bottom w:val="single" w:color="auto" w:sz="4" w:space="0"/>
              <w:right w:val="single" w:color="auto" w:sz="4" w:space="0"/>
            </w:tcBorders>
            <w:noWrap/>
            <w:vAlign w:val="bottom"/>
          </w:tcPr>
          <w:p w14:paraId="610A7636">
            <w:pPr>
              <w:jc w:val="right"/>
              <w:rPr>
                <w:rFonts w:cs="Arial"/>
                <w:color w:val="000000"/>
                <w:sz w:val="20"/>
                <w:szCs w:val="20"/>
                <w:lang w:val="en-GB"/>
              </w:rPr>
            </w:pPr>
            <w:r>
              <w:rPr>
                <w:rFonts w:cs="Arial"/>
                <w:color w:val="000000"/>
                <w:sz w:val="20"/>
                <w:szCs w:val="20"/>
                <w:lang w:val="en-GB"/>
              </w:rPr>
              <w:t>8.09</w:t>
            </w:r>
          </w:p>
        </w:tc>
      </w:tr>
      <w:tr w14:paraId="4E862655">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020B2AB9">
            <w:pPr>
              <w:jc w:val="right"/>
              <w:rPr>
                <w:rFonts w:cs="Arial"/>
                <w:color w:val="000000"/>
                <w:sz w:val="20"/>
                <w:szCs w:val="20"/>
                <w:lang w:val="en-GB"/>
              </w:rPr>
            </w:pPr>
            <w:r>
              <w:rPr>
                <w:rFonts w:cs="Arial"/>
                <w:color w:val="000000"/>
                <w:sz w:val="20"/>
                <w:szCs w:val="20"/>
                <w:lang w:val="en-GB"/>
              </w:rPr>
              <w:t>5</w:t>
            </w:r>
          </w:p>
        </w:tc>
        <w:tc>
          <w:tcPr>
            <w:tcW w:w="1249" w:type="pct"/>
            <w:tcBorders>
              <w:top w:val="nil"/>
              <w:left w:val="nil"/>
              <w:bottom w:val="single" w:color="auto" w:sz="4" w:space="0"/>
              <w:right w:val="single" w:color="auto" w:sz="4" w:space="0"/>
            </w:tcBorders>
            <w:noWrap/>
            <w:vAlign w:val="bottom"/>
          </w:tcPr>
          <w:p w14:paraId="0172ACAA">
            <w:pPr>
              <w:jc w:val="right"/>
              <w:rPr>
                <w:rFonts w:cs="Arial"/>
                <w:color w:val="000000"/>
                <w:sz w:val="20"/>
                <w:szCs w:val="20"/>
                <w:lang w:val="en-GB"/>
              </w:rPr>
            </w:pPr>
            <w:r>
              <w:rPr>
                <w:rFonts w:cs="Arial"/>
                <w:color w:val="000000"/>
                <w:sz w:val="20"/>
                <w:szCs w:val="20"/>
                <w:lang w:val="en-GB"/>
              </w:rPr>
              <w:t>0.681</w:t>
            </w:r>
          </w:p>
        </w:tc>
        <w:tc>
          <w:tcPr>
            <w:tcW w:w="944" w:type="pct"/>
            <w:tcBorders>
              <w:top w:val="nil"/>
              <w:left w:val="nil"/>
              <w:bottom w:val="single" w:color="auto" w:sz="4" w:space="0"/>
              <w:right w:val="single" w:color="auto" w:sz="4" w:space="0"/>
            </w:tcBorders>
            <w:noWrap/>
            <w:vAlign w:val="bottom"/>
          </w:tcPr>
          <w:p w14:paraId="2756A4BE">
            <w:pPr>
              <w:jc w:val="right"/>
              <w:rPr>
                <w:rFonts w:cs="Arial"/>
                <w:color w:val="000000"/>
                <w:sz w:val="20"/>
                <w:szCs w:val="20"/>
                <w:lang w:val="en-GB"/>
              </w:rPr>
            </w:pPr>
            <w:r>
              <w:rPr>
                <w:rFonts w:cs="Arial"/>
                <w:color w:val="000000"/>
                <w:sz w:val="20"/>
                <w:szCs w:val="20"/>
                <w:lang w:val="en-GB"/>
              </w:rPr>
              <w:t>11</w:t>
            </w:r>
          </w:p>
        </w:tc>
        <w:tc>
          <w:tcPr>
            <w:tcW w:w="1713" w:type="pct"/>
            <w:tcBorders>
              <w:top w:val="nil"/>
              <w:left w:val="nil"/>
              <w:bottom w:val="single" w:color="auto" w:sz="4" w:space="0"/>
              <w:right w:val="single" w:color="auto" w:sz="4" w:space="0"/>
            </w:tcBorders>
            <w:noWrap/>
            <w:vAlign w:val="bottom"/>
          </w:tcPr>
          <w:p w14:paraId="41FAD33A">
            <w:pPr>
              <w:jc w:val="right"/>
              <w:rPr>
                <w:rFonts w:cs="Arial"/>
                <w:color w:val="000000"/>
                <w:sz w:val="20"/>
                <w:szCs w:val="20"/>
                <w:lang w:val="en-GB"/>
              </w:rPr>
            </w:pPr>
            <w:r>
              <w:rPr>
                <w:rFonts w:cs="Arial"/>
                <w:color w:val="000000"/>
                <w:sz w:val="20"/>
                <w:szCs w:val="20"/>
                <w:lang w:val="en-GB"/>
              </w:rPr>
              <w:t>7.49</w:t>
            </w:r>
          </w:p>
        </w:tc>
      </w:tr>
      <w:tr w14:paraId="0336505B">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0B796D57">
            <w:pPr>
              <w:jc w:val="left"/>
              <w:rPr>
                <w:rFonts w:cs="Arial"/>
                <w:color w:val="000000"/>
                <w:sz w:val="20"/>
                <w:szCs w:val="20"/>
                <w:lang w:val="en-GB"/>
              </w:rPr>
            </w:pPr>
            <w:r>
              <w:rPr>
                <w:rFonts w:cs="Arial"/>
                <w:color w:val="000000"/>
                <w:sz w:val="20"/>
                <w:szCs w:val="20"/>
                <w:lang w:val="en-GB"/>
              </w:rPr>
              <w:t>Present value</w:t>
            </w:r>
          </w:p>
        </w:tc>
        <w:tc>
          <w:tcPr>
            <w:tcW w:w="1249" w:type="pct"/>
            <w:tcBorders>
              <w:top w:val="nil"/>
              <w:left w:val="nil"/>
              <w:bottom w:val="single" w:color="auto" w:sz="4" w:space="0"/>
              <w:right w:val="single" w:color="auto" w:sz="4" w:space="0"/>
            </w:tcBorders>
            <w:noWrap/>
            <w:vAlign w:val="bottom"/>
          </w:tcPr>
          <w:p w14:paraId="4C6449A5">
            <w:pPr>
              <w:jc w:val="left"/>
              <w:rPr>
                <w:rFonts w:cs="Arial"/>
                <w:color w:val="000000"/>
                <w:sz w:val="20"/>
                <w:szCs w:val="20"/>
                <w:lang w:val="en-GB"/>
              </w:rPr>
            </w:pPr>
            <w:r>
              <w:rPr>
                <w:rFonts w:cs="Arial"/>
                <w:color w:val="000000"/>
                <w:sz w:val="20"/>
                <w:szCs w:val="20"/>
                <w:lang w:val="en-GB"/>
              </w:rPr>
              <w:t> </w:t>
            </w:r>
          </w:p>
        </w:tc>
        <w:tc>
          <w:tcPr>
            <w:tcW w:w="944" w:type="pct"/>
            <w:tcBorders>
              <w:top w:val="nil"/>
              <w:left w:val="nil"/>
              <w:bottom w:val="single" w:color="auto" w:sz="4" w:space="0"/>
              <w:right w:val="single" w:color="auto" w:sz="4" w:space="0"/>
            </w:tcBorders>
            <w:noWrap/>
            <w:vAlign w:val="bottom"/>
          </w:tcPr>
          <w:p w14:paraId="3E6A0AC5">
            <w:pPr>
              <w:jc w:val="left"/>
              <w:rPr>
                <w:rFonts w:cs="Arial"/>
                <w:color w:val="000000"/>
                <w:sz w:val="20"/>
                <w:szCs w:val="20"/>
                <w:lang w:val="en-GB"/>
              </w:rPr>
            </w:pPr>
            <w:r>
              <w:rPr>
                <w:rFonts w:cs="Arial"/>
                <w:color w:val="000000"/>
                <w:sz w:val="20"/>
                <w:szCs w:val="20"/>
                <w:lang w:val="en-GB"/>
              </w:rPr>
              <w:t> </w:t>
            </w:r>
          </w:p>
        </w:tc>
        <w:tc>
          <w:tcPr>
            <w:tcW w:w="1713" w:type="pct"/>
            <w:tcBorders>
              <w:top w:val="nil"/>
              <w:left w:val="nil"/>
              <w:bottom w:val="single" w:color="auto" w:sz="4" w:space="0"/>
              <w:right w:val="single" w:color="auto" w:sz="4" w:space="0"/>
            </w:tcBorders>
            <w:noWrap/>
            <w:vAlign w:val="bottom"/>
          </w:tcPr>
          <w:p w14:paraId="052BFA84">
            <w:pPr>
              <w:jc w:val="right"/>
              <w:rPr>
                <w:rFonts w:cs="Arial"/>
                <w:color w:val="000000"/>
                <w:sz w:val="20"/>
                <w:szCs w:val="20"/>
                <w:lang w:val="en-GB"/>
              </w:rPr>
            </w:pPr>
            <w:r>
              <w:rPr>
                <w:rFonts w:cs="Arial"/>
                <w:color w:val="000000"/>
                <w:sz w:val="20"/>
                <w:szCs w:val="20"/>
                <w:lang w:val="en-GB"/>
              </w:rPr>
              <w:t>43.92</w:t>
            </w:r>
          </w:p>
        </w:tc>
      </w:tr>
      <w:tr w14:paraId="0C4799A1">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55B56197">
            <w:pPr>
              <w:jc w:val="left"/>
              <w:rPr>
                <w:rFonts w:cs="Arial"/>
                <w:color w:val="000000"/>
                <w:sz w:val="20"/>
                <w:szCs w:val="20"/>
                <w:lang w:val="en-GB"/>
              </w:rPr>
            </w:pPr>
            <w:r>
              <w:rPr>
                <w:rFonts w:cs="Arial"/>
                <w:color w:val="000000"/>
                <w:sz w:val="20"/>
                <w:szCs w:val="20"/>
                <w:lang w:val="en-GB"/>
              </w:rPr>
              <w:t xml:space="preserve">Initial Investment </w:t>
            </w:r>
          </w:p>
        </w:tc>
        <w:tc>
          <w:tcPr>
            <w:tcW w:w="1249" w:type="pct"/>
            <w:tcBorders>
              <w:top w:val="nil"/>
              <w:left w:val="nil"/>
              <w:bottom w:val="single" w:color="auto" w:sz="4" w:space="0"/>
              <w:right w:val="single" w:color="auto" w:sz="4" w:space="0"/>
            </w:tcBorders>
            <w:noWrap/>
            <w:vAlign w:val="bottom"/>
          </w:tcPr>
          <w:p w14:paraId="2A6DAFFB">
            <w:pPr>
              <w:jc w:val="left"/>
              <w:rPr>
                <w:rFonts w:cs="Arial"/>
                <w:color w:val="000000"/>
                <w:sz w:val="20"/>
                <w:szCs w:val="20"/>
                <w:lang w:val="en-GB"/>
              </w:rPr>
            </w:pPr>
            <w:r>
              <w:rPr>
                <w:rFonts w:cs="Arial"/>
                <w:color w:val="000000"/>
                <w:sz w:val="20"/>
                <w:szCs w:val="20"/>
                <w:lang w:val="en-GB"/>
              </w:rPr>
              <w:t> </w:t>
            </w:r>
          </w:p>
        </w:tc>
        <w:tc>
          <w:tcPr>
            <w:tcW w:w="944" w:type="pct"/>
            <w:tcBorders>
              <w:top w:val="nil"/>
              <w:left w:val="nil"/>
              <w:bottom w:val="single" w:color="auto" w:sz="4" w:space="0"/>
              <w:right w:val="single" w:color="auto" w:sz="4" w:space="0"/>
            </w:tcBorders>
            <w:noWrap/>
            <w:vAlign w:val="bottom"/>
          </w:tcPr>
          <w:p w14:paraId="4D04FDA9">
            <w:pPr>
              <w:jc w:val="left"/>
              <w:rPr>
                <w:rFonts w:cs="Arial"/>
                <w:color w:val="000000"/>
                <w:sz w:val="20"/>
                <w:szCs w:val="20"/>
                <w:lang w:val="en-GB"/>
              </w:rPr>
            </w:pPr>
            <w:r>
              <w:rPr>
                <w:rFonts w:cs="Arial"/>
                <w:color w:val="000000"/>
                <w:sz w:val="20"/>
                <w:szCs w:val="20"/>
                <w:lang w:val="en-GB"/>
              </w:rPr>
              <w:t> </w:t>
            </w:r>
          </w:p>
        </w:tc>
        <w:tc>
          <w:tcPr>
            <w:tcW w:w="1713" w:type="pct"/>
            <w:tcBorders>
              <w:top w:val="nil"/>
              <w:left w:val="nil"/>
              <w:bottom w:val="single" w:color="auto" w:sz="4" w:space="0"/>
              <w:right w:val="single" w:color="auto" w:sz="4" w:space="0"/>
            </w:tcBorders>
            <w:noWrap/>
            <w:vAlign w:val="bottom"/>
          </w:tcPr>
          <w:p w14:paraId="53840F30">
            <w:pPr>
              <w:jc w:val="right"/>
              <w:rPr>
                <w:rFonts w:cs="Arial"/>
                <w:color w:val="000000"/>
                <w:sz w:val="20"/>
                <w:szCs w:val="20"/>
                <w:lang w:val="en-GB"/>
              </w:rPr>
            </w:pPr>
            <w:r>
              <w:rPr>
                <w:rFonts w:cs="Arial"/>
                <w:color w:val="000000"/>
                <w:sz w:val="20"/>
                <w:szCs w:val="20"/>
                <w:lang w:val="en-GB"/>
              </w:rPr>
              <w:t>50.00</w:t>
            </w:r>
          </w:p>
        </w:tc>
      </w:tr>
      <w:tr w14:paraId="51576596">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31DD6C43">
            <w:pPr>
              <w:jc w:val="left"/>
              <w:rPr>
                <w:rFonts w:cs="Arial"/>
                <w:b/>
                <w:bCs/>
                <w:color w:val="000000"/>
                <w:sz w:val="20"/>
                <w:szCs w:val="20"/>
                <w:lang w:val="en-GB"/>
              </w:rPr>
            </w:pPr>
            <w:r>
              <w:rPr>
                <w:rFonts w:cs="Arial"/>
                <w:b/>
                <w:bCs/>
                <w:color w:val="000000"/>
                <w:sz w:val="20"/>
                <w:szCs w:val="20"/>
                <w:lang w:val="en-GB"/>
              </w:rPr>
              <w:t>NPV</w:t>
            </w:r>
          </w:p>
        </w:tc>
        <w:tc>
          <w:tcPr>
            <w:tcW w:w="1249" w:type="pct"/>
            <w:tcBorders>
              <w:top w:val="nil"/>
              <w:left w:val="nil"/>
              <w:bottom w:val="single" w:color="auto" w:sz="4" w:space="0"/>
              <w:right w:val="single" w:color="auto" w:sz="4" w:space="0"/>
            </w:tcBorders>
            <w:noWrap/>
            <w:vAlign w:val="bottom"/>
          </w:tcPr>
          <w:p w14:paraId="168F17B7">
            <w:pPr>
              <w:jc w:val="left"/>
              <w:rPr>
                <w:rFonts w:cs="Arial"/>
                <w:b/>
                <w:bCs/>
                <w:color w:val="000000"/>
                <w:sz w:val="20"/>
                <w:szCs w:val="20"/>
                <w:lang w:val="en-GB"/>
              </w:rPr>
            </w:pPr>
            <w:r>
              <w:rPr>
                <w:rFonts w:cs="Arial"/>
                <w:b/>
                <w:bCs/>
                <w:color w:val="000000"/>
                <w:sz w:val="20"/>
                <w:szCs w:val="20"/>
                <w:lang w:val="en-GB"/>
              </w:rPr>
              <w:t> </w:t>
            </w:r>
          </w:p>
        </w:tc>
        <w:tc>
          <w:tcPr>
            <w:tcW w:w="944" w:type="pct"/>
            <w:tcBorders>
              <w:top w:val="nil"/>
              <w:left w:val="nil"/>
              <w:bottom w:val="single" w:color="auto" w:sz="4" w:space="0"/>
              <w:right w:val="single" w:color="auto" w:sz="4" w:space="0"/>
            </w:tcBorders>
            <w:noWrap/>
            <w:vAlign w:val="bottom"/>
          </w:tcPr>
          <w:p w14:paraId="0A8D8500">
            <w:pPr>
              <w:jc w:val="left"/>
              <w:rPr>
                <w:rFonts w:cs="Arial"/>
                <w:b/>
                <w:bCs/>
                <w:color w:val="000000"/>
                <w:sz w:val="20"/>
                <w:szCs w:val="20"/>
                <w:lang w:val="en-GB"/>
              </w:rPr>
            </w:pPr>
            <w:r>
              <w:rPr>
                <w:rFonts w:cs="Arial"/>
                <w:b/>
                <w:bCs/>
                <w:color w:val="000000"/>
                <w:sz w:val="20"/>
                <w:szCs w:val="20"/>
                <w:lang w:val="en-GB"/>
              </w:rPr>
              <w:t> </w:t>
            </w:r>
          </w:p>
        </w:tc>
        <w:tc>
          <w:tcPr>
            <w:tcW w:w="1713" w:type="pct"/>
            <w:tcBorders>
              <w:top w:val="nil"/>
              <w:left w:val="nil"/>
              <w:bottom w:val="single" w:color="auto" w:sz="4" w:space="0"/>
              <w:right w:val="single" w:color="auto" w:sz="4" w:space="0"/>
            </w:tcBorders>
            <w:noWrap/>
            <w:vAlign w:val="bottom"/>
          </w:tcPr>
          <w:p w14:paraId="72340958">
            <w:pPr>
              <w:jc w:val="right"/>
              <w:rPr>
                <w:rFonts w:cs="Arial"/>
                <w:b/>
                <w:bCs/>
                <w:color w:val="000000"/>
                <w:sz w:val="20"/>
                <w:szCs w:val="20"/>
                <w:lang w:val="en-GB"/>
              </w:rPr>
            </w:pPr>
            <w:r>
              <w:rPr>
                <w:rFonts w:cs="Arial"/>
                <w:b/>
                <w:bCs/>
                <w:color w:val="000000"/>
                <w:sz w:val="20"/>
                <w:szCs w:val="20"/>
                <w:lang w:val="en-GB"/>
              </w:rPr>
              <w:t>-6.08</w:t>
            </w:r>
          </w:p>
        </w:tc>
      </w:tr>
      <w:tr w14:paraId="68D51970">
        <w:tblPrEx>
          <w:tblCellMar>
            <w:top w:w="0" w:type="dxa"/>
            <w:left w:w="108" w:type="dxa"/>
            <w:bottom w:w="0" w:type="dxa"/>
            <w:right w:w="108" w:type="dxa"/>
          </w:tblCellMar>
        </w:tblPrEx>
        <w:trPr>
          <w:trHeight w:val="300" w:hRule="atLeast"/>
          <w:jc w:val="center"/>
        </w:trPr>
        <w:tc>
          <w:tcPr>
            <w:tcW w:w="1094" w:type="pct"/>
            <w:tcBorders>
              <w:top w:val="nil"/>
              <w:left w:val="single" w:color="auto" w:sz="4" w:space="0"/>
              <w:bottom w:val="single" w:color="auto" w:sz="4" w:space="0"/>
              <w:right w:val="single" w:color="auto" w:sz="4" w:space="0"/>
            </w:tcBorders>
            <w:noWrap/>
            <w:vAlign w:val="bottom"/>
          </w:tcPr>
          <w:p w14:paraId="20E105A2">
            <w:pPr>
              <w:jc w:val="left"/>
              <w:rPr>
                <w:rFonts w:cs="Arial"/>
                <w:b/>
                <w:bCs/>
                <w:color w:val="000000"/>
                <w:sz w:val="20"/>
                <w:szCs w:val="20"/>
                <w:lang w:val="en-GB"/>
              </w:rPr>
            </w:pPr>
            <w:r>
              <w:rPr>
                <w:rFonts w:cs="Arial"/>
                <w:b/>
                <w:bCs/>
                <w:color w:val="000000"/>
                <w:sz w:val="20"/>
                <w:szCs w:val="20"/>
                <w:lang w:val="en-GB"/>
              </w:rPr>
              <w:t>PI</w:t>
            </w:r>
          </w:p>
        </w:tc>
        <w:tc>
          <w:tcPr>
            <w:tcW w:w="1249" w:type="pct"/>
            <w:tcBorders>
              <w:top w:val="nil"/>
              <w:left w:val="nil"/>
              <w:bottom w:val="single" w:color="auto" w:sz="4" w:space="0"/>
              <w:right w:val="single" w:color="auto" w:sz="4" w:space="0"/>
            </w:tcBorders>
            <w:noWrap/>
            <w:vAlign w:val="bottom"/>
          </w:tcPr>
          <w:p w14:paraId="73A1DF08">
            <w:pPr>
              <w:jc w:val="left"/>
              <w:rPr>
                <w:rFonts w:cs="Arial"/>
                <w:color w:val="000000"/>
                <w:sz w:val="20"/>
                <w:szCs w:val="20"/>
                <w:lang w:val="en-GB"/>
              </w:rPr>
            </w:pPr>
            <w:r>
              <w:rPr>
                <w:rFonts w:cs="Arial"/>
                <w:color w:val="000000"/>
                <w:sz w:val="20"/>
                <w:szCs w:val="20"/>
                <w:lang w:val="en-GB"/>
              </w:rPr>
              <w:t> </w:t>
            </w:r>
          </w:p>
        </w:tc>
        <w:tc>
          <w:tcPr>
            <w:tcW w:w="944" w:type="pct"/>
            <w:tcBorders>
              <w:top w:val="nil"/>
              <w:left w:val="nil"/>
              <w:bottom w:val="single" w:color="auto" w:sz="4" w:space="0"/>
              <w:right w:val="single" w:color="auto" w:sz="4" w:space="0"/>
            </w:tcBorders>
            <w:noWrap/>
            <w:vAlign w:val="bottom"/>
          </w:tcPr>
          <w:p w14:paraId="23F6252D">
            <w:pPr>
              <w:jc w:val="left"/>
              <w:rPr>
                <w:rFonts w:cs="Arial"/>
                <w:color w:val="000000"/>
                <w:sz w:val="20"/>
                <w:szCs w:val="20"/>
                <w:lang w:val="en-GB"/>
              </w:rPr>
            </w:pPr>
            <w:r>
              <w:rPr>
                <w:rFonts w:cs="Arial"/>
                <w:color w:val="000000"/>
                <w:sz w:val="20"/>
                <w:szCs w:val="20"/>
                <w:lang w:val="en-GB"/>
              </w:rPr>
              <w:t> </w:t>
            </w:r>
          </w:p>
        </w:tc>
        <w:tc>
          <w:tcPr>
            <w:tcW w:w="1713" w:type="pct"/>
            <w:tcBorders>
              <w:top w:val="nil"/>
              <w:left w:val="nil"/>
              <w:bottom w:val="single" w:color="auto" w:sz="4" w:space="0"/>
              <w:right w:val="single" w:color="auto" w:sz="4" w:space="0"/>
            </w:tcBorders>
            <w:noWrap/>
            <w:vAlign w:val="bottom"/>
          </w:tcPr>
          <w:p w14:paraId="34FCFF26">
            <w:pPr>
              <w:jc w:val="right"/>
              <w:rPr>
                <w:rFonts w:cs="Arial"/>
                <w:b/>
                <w:bCs/>
                <w:color w:val="000000"/>
                <w:sz w:val="20"/>
                <w:szCs w:val="20"/>
                <w:lang w:val="en-GB"/>
              </w:rPr>
            </w:pPr>
            <w:r>
              <w:rPr>
                <w:rFonts w:cs="Arial"/>
                <w:b/>
                <w:bCs/>
                <w:color w:val="000000"/>
                <w:sz w:val="20"/>
                <w:szCs w:val="20"/>
                <w:lang w:val="en-GB"/>
              </w:rPr>
              <w:t>0.88</w:t>
            </w:r>
          </w:p>
        </w:tc>
      </w:tr>
    </w:tbl>
    <w:p w14:paraId="5D1A048A">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2097"/>
        <w:gridCol w:w="2394"/>
        <w:gridCol w:w="1806"/>
        <w:gridCol w:w="3279"/>
      </w:tblGrid>
      <w:tr w14:paraId="2B5C159A">
        <w:tblPrEx>
          <w:tblCellMar>
            <w:top w:w="0" w:type="dxa"/>
            <w:left w:w="108" w:type="dxa"/>
            <w:bottom w:w="0" w:type="dxa"/>
            <w:right w:w="108" w:type="dxa"/>
          </w:tblCellMar>
        </w:tblPrEx>
        <w:trPr>
          <w:trHeight w:val="300"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ign w:val="bottom"/>
          </w:tcPr>
          <w:p w14:paraId="35557AFD">
            <w:pPr>
              <w:jc w:val="center"/>
              <w:rPr>
                <w:rFonts w:cs="Arial"/>
                <w:b/>
                <w:bCs/>
                <w:color w:val="000000"/>
                <w:sz w:val="22"/>
                <w:szCs w:val="22"/>
                <w:lang w:val="en-GB"/>
              </w:rPr>
            </w:pPr>
            <w:r>
              <w:rPr>
                <w:rFonts w:cs="Arial"/>
                <w:b/>
                <w:bCs/>
                <w:color w:val="000000"/>
                <w:sz w:val="22"/>
                <w:szCs w:val="22"/>
                <w:lang w:val="en-GB"/>
              </w:rPr>
              <w:t>Net Present Value For  Project C</w:t>
            </w:r>
          </w:p>
        </w:tc>
      </w:tr>
      <w:tr w14:paraId="12BB2505">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06B58430">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1250" w:type="pct"/>
            <w:tcBorders>
              <w:top w:val="nil"/>
              <w:left w:val="nil"/>
              <w:bottom w:val="single" w:color="auto" w:sz="4" w:space="0"/>
              <w:right w:val="single" w:color="auto" w:sz="4" w:space="0"/>
            </w:tcBorders>
            <w:noWrap/>
            <w:vAlign w:val="bottom"/>
          </w:tcPr>
          <w:p w14:paraId="7C9CC8FD">
            <w:pPr>
              <w:jc w:val="left"/>
              <w:rPr>
                <w:rFonts w:cs="Arial"/>
                <w:b/>
                <w:bCs/>
                <w:i/>
                <w:iCs/>
                <w:color w:val="000000"/>
                <w:sz w:val="20"/>
                <w:szCs w:val="20"/>
                <w:lang w:val="en-GB"/>
              </w:rPr>
            </w:pPr>
            <w:r>
              <w:rPr>
                <w:rFonts w:cs="Arial"/>
                <w:b/>
                <w:bCs/>
                <w:i/>
                <w:iCs/>
                <w:color w:val="000000"/>
                <w:sz w:val="20"/>
                <w:szCs w:val="20"/>
                <w:lang w:val="en-GB"/>
              </w:rPr>
              <w:t>Discount factor (8%)</w:t>
            </w:r>
          </w:p>
        </w:tc>
        <w:tc>
          <w:tcPr>
            <w:tcW w:w="943" w:type="pct"/>
            <w:tcBorders>
              <w:top w:val="nil"/>
              <w:left w:val="nil"/>
              <w:bottom w:val="single" w:color="auto" w:sz="4" w:space="0"/>
              <w:right w:val="single" w:color="auto" w:sz="4" w:space="0"/>
            </w:tcBorders>
            <w:noWrap/>
            <w:vAlign w:val="bottom"/>
          </w:tcPr>
          <w:p w14:paraId="25D7862A">
            <w:pPr>
              <w:jc w:val="left"/>
              <w:rPr>
                <w:rFonts w:cs="Arial"/>
                <w:b/>
                <w:bCs/>
                <w:i/>
                <w:iCs/>
                <w:color w:val="000000"/>
                <w:sz w:val="20"/>
                <w:szCs w:val="20"/>
                <w:lang w:val="en-GB"/>
              </w:rPr>
            </w:pPr>
            <w:r>
              <w:rPr>
                <w:rFonts w:cs="Arial"/>
                <w:b/>
                <w:bCs/>
                <w:i/>
                <w:iCs/>
                <w:color w:val="000000"/>
                <w:sz w:val="20"/>
                <w:szCs w:val="20"/>
                <w:lang w:val="en-GB"/>
              </w:rPr>
              <w:t>Cashflow (£m)</w:t>
            </w:r>
          </w:p>
        </w:tc>
        <w:tc>
          <w:tcPr>
            <w:tcW w:w="1712" w:type="pct"/>
            <w:tcBorders>
              <w:top w:val="nil"/>
              <w:left w:val="nil"/>
              <w:bottom w:val="single" w:color="auto" w:sz="4" w:space="0"/>
              <w:right w:val="single" w:color="auto" w:sz="4" w:space="0"/>
            </w:tcBorders>
            <w:noWrap/>
            <w:vAlign w:val="bottom"/>
          </w:tcPr>
          <w:p w14:paraId="5842B8DF">
            <w:pPr>
              <w:jc w:val="left"/>
              <w:rPr>
                <w:rFonts w:cs="Arial"/>
                <w:b/>
                <w:bCs/>
                <w:i/>
                <w:iCs/>
                <w:color w:val="000000"/>
                <w:sz w:val="20"/>
                <w:szCs w:val="20"/>
                <w:lang w:val="en-GB"/>
              </w:rPr>
            </w:pPr>
            <w:r>
              <w:rPr>
                <w:rFonts w:cs="Arial"/>
                <w:b/>
                <w:bCs/>
                <w:i/>
                <w:iCs/>
                <w:color w:val="000000"/>
                <w:sz w:val="20"/>
                <w:szCs w:val="20"/>
                <w:lang w:val="en-GB"/>
              </w:rPr>
              <w:t>Discounting cashflow (£m)</w:t>
            </w:r>
          </w:p>
        </w:tc>
      </w:tr>
      <w:tr w14:paraId="677F1F7F">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3087FAC6">
            <w:pPr>
              <w:jc w:val="right"/>
              <w:rPr>
                <w:rFonts w:cs="Arial"/>
                <w:color w:val="000000"/>
                <w:sz w:val="20"/>
                <w:szCs w:val="20"/>
                <w:lang w:val="en-GB"/>
              </w:rPr>
            </w:pPr>
            <w:r>
              <w:rPr>
                <w:rFonts w:cs="Arial"/>
                <w:color w:val="000000"/>
                <w:sz w:val="20"/>
                <w:szCs w:val="20"/>
                <w:lang w:val="en-GB"/>
              </w:rPr>
              <w:t>1</w:t>
            </w:r>
          </w:p>
        </w:tc>
        <w:tc>
          <w:tcPr>
            <w:tcW w:w="1250" w:type="pct"/>
            <w:tcBorders>
              <w:top w:val="nil"/>
              <w:left w:val="nil"/>
              <w:bottom w:val="single" w:color="auto" w:sz="4" w:space="0"/>
              <w:right w:val="single" w:color="auto" w:sz="4" w:space="0"/>
            </w:tcBorders>
            <w:noWrap/>
            <w:vAlign w:val="bottom"/>
          </w:tcPr>
          <w:p w14:paraId="6BAC3C1E">
            <w:pPr>
              <w:jc w:val="right"/>
              <w:rPr>
                <w:rFonts w:cs="Arial"/>
                <w:color w:val="000000"/>
                <w:sz w:val="20"/>
                <w:szCs w:val="20"/>
                <w:lang w:val="en-GB"/>
              </w:rPr>
            </w:pPr>
            <w:r>
              <w:rPr>
                <w:rFonts w:cs="Arial"/>
                <w:color w:val="000000"/>
                <w:sz w:val="20"/>
                <w:szCs w:val="20"/>
                <w:lang w:val="en-GB"/>
              </w:rPr>
              <w:t>0.926</w:t>
            </w:r>
          </w:p>
        </w:tc>
        <w:tc>
          <w:tcPr>
            <w:tcW w:w="943" w:type="pct"/>
            <w:tcBorders>
              <w:top w:val="nil"/>
              <w:left w:val="nil"/>
              <w:bottom w:val="single" w:color="auto" w:sz="4" w:space="0"/>
              <w:right w:val="single" w:color="auto" w:sz="4" w:space="0"/>
            </w:tcBorders>
            <w:noWrap/>
            <w:vAlign w:val="bottom"/>
          </w:tcPr>
          <w:p w14:paraId="498B41F6">
            <w:pPr>
              <w:jc w:val="right"/>
              <w:rPr>
                <w:rFonts w:cs="Arial"/>
                <w:color w:val="000000"/>
                <w:sz w:val="20"/>
                <w:szCs w:val="20"/>
                <w:lang w:val="en-GB"/>
              </w:rPr>
            </w:pPr>
            <w:r>
              <w:rPr>
                <w:rFonts w:cs="Arial"/>
                <w:color w:val="000000"/>
                <w:sz w:val="20"/>
                <w:szCs w:val="20"/>
                <w:lang w:val="en-GB"/>
              </w:rPr>
              <w:t>5</w:t>
            </w:r>
          </w:p>
        </w:tc>
        <w:tc>
          <w:tcPr>
            <w:tcW w:w="1712" w:type="pct"/>
            <w:tcBorders>
              <w:top w:val="nil"/>
              <w:left w:val="nil"/>
              <w:bottom w:val="single" w:color="auto" w:sz="4" w:space="0"/>
              <w:right w:val="single" w:color="auto" w:sz="4" w:space="0"/>
            </w:tcBorders>
            <w:noWrap/>
            <w:vAlign w:val="bottom"/>
          </w:tcPr>
          <w:p w14:paraId="7E6E45F7">
            <w:pPr>
              <w:jc w:val="right"/>
              <w:rPr>
                <w:rFonts w:cs="Arial"/>
                <w:color w:val="000000"/>
                <w:sz w:val="20"/>
                <w:szCs w:val="20"/>
                <w:lang w:val="en-GB"/>
              </w:rPr>
            </w:pPr>
            <w:r>
              <w:rPr>
                <w:rFonts w:cs="Arial"/>
                <w:color w:val="000000"/>
                <w:sz w:val="20"/>
                <w:szCs w:val="20"/>
                <w:lang w:val="en-GB"/>
              </w:rPr>
              <w:t>4.63</w:t>
            </w:r>
          </w:p>
        </w:tc>
      </w:tr>
      <w:tr w14:paraId="4B2993F2">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12E83444">
            <w:pPr>
              <w:jc w:val="right"/>
              <w:rPr>
                <w:rFonts w:cs="Arial"/>
                <w:color w:val="000000"/>
                <w:sz w:val="20"/>
                <w:szCs w:val="20"/>
                <w:lang w:val="en-GB"/>
              </w:rPr>
            </w:pPr>
            <w:r>
              <w:rPr>
                <w:rFonts w:cs="Arial"/>
                <w:color w:val="000000"/>
                <w:sz w:val="20"/>
                <w:szCs w:val="20"/>
                <w:lang w:val="en-GB"/>
              </w:rPr>
              <w:t>2</w:t>
            </w:r>
          </w:p>
        </w:tc>
        <w:tc>
          <w:tcPr>
            <w:tcW w:w="1250" w:type="pct"/>
            <w:tcBorders>
              <w:top w:val="nil"/>
              <w:left w:val="nil"/>
              <w:bottom w:val="single" w:color="auto" w:sz="4" w:space="0"/>
              <w:right w:val="single" w:color="auto" w:sz="4" w:space="0"/>
            </w:tcBorders>
            <w:noWrap/>
            <w:vAlign w:val="bottom"/>
          </w:tcPr>
          <w:p w14:paraId="7129C21B">
            <w:pPr>
              <w:jc w:val="right"/>
              <w:rPr>
                <w:rFonts w:cs="Arial"/>
                <w:color w:val="000000"/>
                <w:sz w:val="20"/>
                <w:szCs w:val="20"/>
                <w:lang w:val="en-GB"/>
              </w:rPr>
            </w:pPr>
            <w:r>
              <w:rPr>
                <w:rFonts w:cs="Arial"/>
                <w:color w:val="000000"/>
                <w:sz w:val="20"/>
                <w:szCs w:val="20"/>
                <w:lang w:val="en-GB"/>
              </w:rPr>
              <w:t>0.857</w:t>
            </w:r>
          </w:p>
        </w:tc>
        <w:tc>
          <w:tcPr>
            <w:tcW w:w="943" w:type="pct"/>
            <w:tcBorders>
              <w:top w:val="nil"/>
              <w:left w:val="nil"/>
              <w:bottom w:val="single" w:color="auto" w:sz="4" w:space="0"/>
              <w:right w:val="single" w:color="auto" w:sz="4" w:space="0"/>
            </w:tcBorders>
            <w:noWrap/>
            <w:vAlign w:val="bottom"/>
          </w:tcPr>
          <w:p w14:paraId="6A0888DB">
            <w:pPr>
              <w:jc w:val="right"/>
              <w:rPr>
                <w:rFonts w:cs="Arial"/>
                <w:color w:val="000000"/>
                <w:sz w:val="20"/>
                <w:szCs w:val="20"/>
                <w:lang w:val="en-GB"/>
              </w:rPr>
            </w:pPr>
            <w:r>
              <w:rPr>
                <w:rFonts w:cs="Arial"/>
                <w:color w:val="000000"/>
                <w:sz w:val="20"/>
                <w:szCs w:val="20"/>
                <w:lang w:val="en-GB"/>
              </w:rPr>
              <w:t>10</w:t>
            </w:r>
          </w:p>
        </w:tc>
        <w:tc>
          <w:tcPr>
            <w:tcW w:w="1712" w:type="pct"/>
            <w:tcBorders>
              <w:top w:val="nil"/>
              <w:left w:val="nil"/>
              <w:bottom w:val="single" w:color="auto" w:sz="4" w:space="0"/>
              <w:right w:val="single" w:color="auto" w:sz="4" w:space="0"/>
            </w:tcBorders>
            <w:noWrap/>
            <w:vAlign w:val="bottom"/>
          </w:tcPr>
          <w:p w14:paraId="64772DEC">
            <w:pPr>
              <w:jc w:val="right"/>
              <w:rPr>
                <w:rFonts w:cs="Arial"/>
                <w:color w:val="000000"/>
                <w:sz w:val="20"/>
                <w:szCs w:val="20"/>
                <w:lang w:val="en-GB"/>
              </w:rPr>
            </w:pPr>
            <w:r>
              <w:rPr>
                <w:rFonts w:cs="Arial"/>
                <w:color w:val="000000"/>
                <w:sz w:val="20"/>
                <w:szCs w:val="20"/>
                <w:lang w:val="en-GB"/>
              </w:rPr>
              <w:t>8.57</w:t>
            </w:r>
          </w:p>
        </w:tc>
      </w:tr>
      <w:tr w14:paraId="49E683E2">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151D8342">
            <w:pPr>
              <w:jc w:val="right"/>
              <w:rPr>
                <w:rFonts w:cs="Arial"/>
                <w:color w:val="000000"/>
                <w:sz w:val="20"/>
                <w:szCs w:val="20"/>
                <w:lang w:val="en-GB"/>
              </w:rPr>
            </w:pPr>
            <w:r>
              <w:rPr>
                <w:rFonts w:cs="Arial"/>
                <w:color w:val="000000"/>
                <w:sz w:val="20"/>
                <w:szCs w:val="20"/>
                <w:lang w:val="en-GB"/>
              </w:rPr>
              <w:t>3</w:t>
            </w:r>
          </w:p>
        </w:tc>
        <w:tc>
          <w:tcPr>
            <w:tcW w:w="1250" w:type="pct"/>
            <w:tcBorders>
              <w:top w:val="nil"/>
              <w:left w:val="nil"/>
              <w:bottom w:val="single" w:color="auto" w:sz="4" w:space="0"/>
              <w:right w:val="single" w:color="auto" w:sz="4" w:space="0"/>
            </w:tcBorders>
            <w:noWrap/>
            <w:vAlign w:val="bottom"/>
          </w:tcPr>
          <w:p w14:paraId="28413460">
            <w:pPr>
              <w:jc w:val="right"/>
              <w:rPr>
                <w:rFonts w:cs="Arial"/>
                <w:color w:val="000000"/>
                <w:sz w:val="20"/>
                <w:szCs w:val="20"/>
                <w:lang w:val="en-GB"/>
              </w:rPr>
            </w:pPr>
            <w:r>
              <w:rPr>
                <w:rFonts w:cs="Arial"/>
                <w:color w:val="000000"/>
                <w:sz w:val="20"/>
                <w:szCs w:val="20"/>
                <w:lang w:val="en-GB"/>
              </w:rPr>
              <w:t>0.794</w:t>
            </w:r>
          </w:p>
        </w:tc>
        <w:tc>
          <w:tcPr>
            <w:tcW w:w="943" w:type="pct"/>
            <w:tcBorders>
              <w:top w:val="nil"/>
              <w:left w:val="nil"/>
              <w:bottom w:val="single" w:color="auto" w:sz="4" w:space="0"/>
              <w:right w:val="single" w:color="auto" w:sz="4" w:space="0"/>
            </w:tcBorders>
            <w:noWrap/>
            <w:vAlign w:val="bottom"/>
          </w:tcPr>
          <w:p w14:paraId="6882FF98">
            <w:pPr>
              <w:jc w:val="right"/>
              <w:rPr>
                <w:rFonts w:cs="Arial"/>
                <w:color w:val="000000"/>
                <w:sz w:val="20"/>
                <w:szCs w:val="20"/>
                <w:lang w:val="en-GB"/>
              </w:rPr>
            </w:pPr>
            <w:r>
              <w:rPr>
                <w:rFonts w:cs="Arial"/>
                <w:color w:val="000000"/>
                <w:sz w:val="20"/>
                <w:szCs w:val="20"/>
                <w:lang w:val="en-GB"/>
              </w:rPr>
              <w:t>20</w:t>
            </w:r>
          </w:p>
        </w:tc>
        <w:tc>
          <w:tcPr>
            <w:tcW w:w="1712" w:type="pct"/>
            <w:tcBorders>
              <w:top w:val="nil"/>
              <w:left w:val="nil"/>
              <w:bottom w:val="single" w:color="auto" w:sz="4" w:space="0"/>
              <w:right w:val="single" w:color="auto" w:sz="4" w:space="0"/>
            </w:tcBorders>
            <w:noWrap/>
            <w:vAlign w:val="bottom"/>
          </w:tcPr>
          <w:p w14:paraId="04945751">
            <w:pPr>
              <w:jc w:val="right"/>
              <w:rPr>
                <w:rFonts w:cs="Arial"/>
                <w:color w:val="000000"/>
                <w:sz w:val="20"/>
                <w:szCs w:val="20"/>
                <w:lang w:val="en-GB"/>
              </w:rPr>
            </w:pPr>
            <w:r>
              <w:rPr>
                <w:rFonts w:cs="Arial"/>
                <w:color w:val="000000"/>
                <w:sz w:val="20"/>
                <w:szCs w:val="20"/>
                <w:lang w:val="en-GB"/>
              </w:rPr>
              <w:t>15.88</w:t>
            </w:r>
          </w:p>
        </w:tc>
      </w:tr>
      <w:tr w14:paraId="7539C567">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2B5E5D8E">
            <w:pPr>
              <w:jc w:val="right"/>
              <w:rPr>
                <w:rFonts w:cs="Arial"/>
                <w:color w:val="000000"/>
                <w:sz w:val="20"/>
                <w:szCs w:val="20"/>
                <w:lang w:val="en-GB"/>
              </w:rPr>
            </w:pPr>
            <w:r>
              <w:rPr>
                <w:rFonts w:cs="Arial"/>
                <w:color w:val="000000"/>
                <w:sz w:val="20"/>
                <w:szCs w:val="20"/>
                <w:lang w:val="en-GB"/>
              </w:rPr>
              <w:t>4</w:t>
            </w:r>
          </w:p>
        </w:tc>
        <w:tc>
          <w:tcPr>
            <w:tcW w:w="1250" w:type="pct"/>
            <w:tcBorders>
              <w:top w:val="nil"/>
              <w:left w:val="nil"/>
              <w:bottom w:val="single" w:color="auto" w:sz="4" w:space="0"/>
              <w:right w:val="single" w:color="auto" w:sz="4" w:space="0"/>
            </w:tcBorders>
            <w:noWrap/>
            <w:vAlign w:val="bottom"/>
          </w:tcPr>
          <w:p w14:paraId="5E37CC01">
            <w:pPr>
              <w:jc w:val="right"/>
              <w:rPr>
                <w:rFonts w:cs="Arial"/>
                <w:color w:val="000000"/>
                <w:sz w:val="20"/>
                <w:szCs w:val="20"/>
                <w:lang w:val="en-GB"/>
              </w:rPr>
            </w:pPr>
            <w:r>
              <w:rPr>
                <w:rFonts w:cs="Arial"/>
                <w:color w:val="000000"/>
                <w:sz w:val="20"/>
                <w:szCs w:val="20"/>
                <w:lang w:val="en-GB"/>
              </w:rPr>
              <w:t>0.735</w:t>
            </w:r>
          </w:p>
        </w:tc>
        <w:tc>
          <w:tcPr>
            <w:tcW w:w="943" w:type="pct"/>
            <w:tcBorders>
              <w:top w:val="nil"/>
              <w:left w:val="nil"/>
              <w:bottom w:val="single" w:color="auto" w:sz="4" w:space="0"/>
              <w:right w:val="single" w:color="auto" w:sz="4" w:space="0"/>
            </w:tcBorders>
            <w:noWrap/>
            <w:vAlign w:val="bottom"/>
          </w:tcPr>
          <w:p w14:paraId="1D9A1DC7">
            <w:pPr>
              <w:jc w:val="right"/>
              <w:rPr>
                <w:rFonts w:cs="Arial"/>
                <w:color w:val="000000"/>
                <w:sz w:val="20"/>
                <w:szCs w:val="20"/>
                <w:lang w:val="en-GB"/>
              </w:rPr>
            </w:pPr>
            <w:r>
              <w:rPr>
                <w:rFonts w:cs="Arial"/>
                <w:color w:val="000000"/>
                <w:sz w:val="20"/>
                <w:szCs w:val="20"/>
                <w:lang w:val="en-GB"/>
              </w:rPr>
              <w:t>25</w:t>
            </w:r>
          </w:p>
        </w:tc>
        <w:tc>
          <w:tcPr>
            <w:tcW w:w="1712" w:type="pct"/>
            <w:tcBorders>
              <w:top w:val="nil"/>
              <w:left w:val="nil"/>
              <w:bottom w:val="single" w:color="auto" w:sz="4" w:space="0"/>
              <w:right w:val="single" w:color="auto" w:sz="4" w:space="0"/>
            </w:tcBorders>
            <w:noWrap/>
            <w:vAlign w:val="bottom"/>
          </w:tcPr>
          <w:p w14:paraId="3C7525D9">
            <w:pPr>
              <w:jc w:val="right"/>
              <w:rPr>
                <w:rFonts w:cs="Arial"/>
                <w:color w:val="000000"/>
                <w:sz w:val="20"/>
                <w:szCs w:val="20"/>
                <w:lang w:val="en-GB"/>
              </w:rPr>
            </w:pPr>
            <w:r>
              <w:rPr>
                <w:rFonts w:cs="Arial"/>
                <w:color w:val="000000"/>
                <w:sz w:val="20"/>
                <w:szCs w:val="20"/>
                <w:lang w:val="en-GB"/>
              </w:rPr>
              <w:t>18.38</w:t>
            </w:r>
          </w:p>
        </w:tc>
      </w:tr>
      <w:tr w14:paraId="6FDE0942">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4456FCE0">
            <w:pPr>
              <w:jc w:val="right"/>
              <w:rPr>
                <w:rFonts w:cs="Arial"/>
                <w:color w:val="000000"/>
                <w:sz w:val="20"/>
                <w:szCs w:val="20"/>
                <w:lang w:val="en-GB"/>
              </w:rPr>
            </w:pPr>
            <w:r>
              <w:rPr>
                <w:rFonts w:cs="Arial"/>
                <w:color w:val="000000"/>
                <w:sz w:val="20"/>
                <w:szCs w:val="20"/>
                <w:lang w:val="en-GB"/>
              </w:rPr>
              <w:t>5</w:t>
            </w:r>
          </w:p>
        </w:tc>
        <w:tc>
          <w:tcPr>
            <w:tcW w:w="1250" w:type="pct"/>
            <w:tcBorders>
              <w:top w:val="nil"/>
              <w:left w:val="nil"/>
              <w:bottom w:val="single" w:color="auto" w:sz="4" w:space="0"/>
              <w:right w:val="single" w:color="auto" w:sz="4" w:space="0"/>
            </w:tcBorders>
            <w:noWrap/>
            <w:vAlign w:val="bottom"/>
          </w:tcPr>
          <w:p w14:paraId="582FEBF9">
            <w:pPr>
              <w:jc w:val="right"/>
              <w:rPr>
                <w:rFonts w:cs="Arial"/>
                <w:color w:val="000000"/>
                <w:sz w:val="20"/>
                <w:szCs w:val="20"/>
                <w:lang w:val="en-GB"/>
              </w:rPr>
            </w:pPr>
            <w:r>
              <w:rPr>
                <w:rFonts w:cs="Arial"/>
                <w:color w:val="000000"/>
                <w:sz w:val="20"/>
                <w:szCs w:val="20"/>
                <w:lang w:val="en-GB"/>
              </w:rPr>
              <w:t>0.681</w:t>
            </w:r>
          </w:p>
        </w:tc>
        <w:tc>
          <w:tcPr>
            <w:tcW w:w="943" w:type="pct"/>
            <w:tcBorders>
              <w:top w:val="nil"/>
              <w:left w:val="nil"/>
              <w:bottom w:val="single" w:color="auto" w:sz="4" w:space="0"/>
              <w:right w:val="single" w:color="auto" w:sz="4" w:space="0"/>
            </w:tcBorders>
            <w:noWrap/>
            <w:vAlign w:val="bottom"/>
          </w:tcPr>
          <w:p w14:paraId="417C9E0D">
            <w:pPr>
              <w:jc w:val="right"/>
              <w:rPr>
                <w:rFonts w:cs="Arial"/>
                <w:color w:val="000000"/>
                <w:sz w:val="20"/>
                <w:szCs w:val="20"/>
                <w:lang w:val="en-GB"/>
              </w:rPr>
            </w:pPr>
            <w:r>
              <w:rPr>
                <w:rFonts w:cs="Arial"/>
                <w:color w:val="000000"/>
                <w:sz w:val="20"/>
                <w:szCs w:val="20"/>
                <w:lang w:val="en-GB"/>
              </w:rPr>
              <w:t>5</w:t>
            </w:r>
          </w:p>
        </w:tc>
        <w:tc>
          <w:tcPr>
            <w:tcW w:w="1712" w:type="pct"/>
            <w:tcBorders>
              <w:top w:val="nil"/>
              <w:left w:val="nil"/>
              <w:bottom w:val="single" w:color="auto" w:sz="4" w:space="0"/>
              <w:right w:val="single" w:color="auto" w:sz="4" w:space="0"/>
            </w:tcBorders>
            <w:noWrap/>
            <w:vAlign w:val="bottom"/>
          </w:tcPr>
          <w:p w14:paraId="64C83675">
            <w:pPr>
              <w:jc w:val="right"/>
              <w:rPr>
                <w:rFonts w:cs="Arial"/>
                <w:color w:val="000000"/>
                <w:sz w:val="20"/>
                <w:szCs w:val="20"/>
                <w:lang w:val="en-GB"/>
              </w:rPr>
            </w:pPr>
            <w:r>
              <w:rPr>
                <w:rFonts w:cs="Arial"/>
                <w:color w:val="000000"/>
                <w:sz w:val="20"/>
                <w:szCs w:val="20"/>
                <w:lang w:val="en-GB"/>
              </w:rPr>
              <w:t>3.41</w:t>
            </w:r>
          </w:p>
        </w:tc>
      </w:tr>
      <w:tr w14:paraId="34C8508B">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34161240">
            <w:pPr>
              <w:jc w:val="left"/>
              <w:rPr>
                <w:rFonts w:cs="Arial"/>
                <w:color w:val="000000"/>
                <w:sz w:val="20"/>
                <w:szCs w:val="20"/>
                <w:lang w:val="en-GB"/>
              </w:rPr>
            </w:pPr>
            <w:r>
              <w:rPr>
                <w:rFonts w:cs="Arial"/>
                <w:color w:val="000000"/>
                <w:sz w:val="20"/>
                <w:szCs w:val="20"/>
                <w:lang w:val="en-GB"/>
              </w:rPr>
              <w:t>Present value</w:t>
            </w:r>
          </w:p>
        </w:tc>
        <w:tc>
          <w:tcPr>
            <w:tcW w:w="1250" w:type="pct"/>
            <w:tcBorders>
              <w:top w:val="nil"/>
              <w:left w:val="nil"/>
              <w:bottom w:val="single" w:color="auto" w:sz="4" w:space="0"/>
              <w:right w:val="single" w:color="auto" w:sz="4" w:space="0"/>
            </w:tcBorders>
            <w:noWrap/>
            <w:vAlign w:val="bottom"/>
          </w:tcPr>
          <w:p w14:paraId="4DC70308">
            <w:pPr>
              <w:jc w:val="left"/>
              <w:rPr>
                <w:rFonts w:cs="Arial"/>
                <w:color w:val="000000"/>
                <w:sz w:val="20"/>
                <w:szCs w:val="20"/>
                <w:lang w:val="en-GB"/>
              </w:rPr>
            </w:pPr>
            <w:r>
              <w:rPr>
                <w:rFonts w:cs="Arial"/>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66CC2551">
            <w:pPr>
              <w:jc w:val="left"/>
              <w:rPr>
                <w:rFonts w:cs="Arial"/>
                <w:color w:val="000000"/>
                <w:sz w:val="20"/>
                <w:szCs w:val="20"/>
                <w:lang w:val="en-GB"/>
              </w:rPr>
            </w:pPr>
            <w:r>
              <w:rPr>
                <w:rFonts w:cs="Arial"/>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40C08558">
            <w:pPr>
              <w:jc w:val="right"/>
              <w:rPr>
                <w:rFonts w:cs="Arial"/>
                <w:color w:val="000000"/>
                <w:sz w:val="20"/>
                <w:szCs w:val="20"/>
                <w:lang w:val="en-GB"/>
              </w:rPr>
            </w:pPr>
            <w:r>
              <w:rPr>
                <w:rFonts w:cs="Arial"/>
                <w:color w:val="000000"/>
                <w:sz w:val="20"/>
                <w:szCs w:val="20"/>
                <w:lang w:val="en-GB"/>
              </w:rPr>
              <w:t>50.86</w:t>
            </w:r>
          </w:p>
        </w:tc>
      </w:tr>
      <w:tr w14:paraId="66831C54">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03C6BA98">
            <w:pPr>
              <w:jc w:val="left"/>
              <w:rPr>
                <w:rFonts w:cs="Arial"/>
                <w:color w:val="000000"/>
                <w:sz w:val="20"/>
                <w:szCs w:val="20"/>
                <w:lang w:val="en-GB"/>
              </w:rPr>
            </w:pPr>
            <w:r>
              <w:rPr>
                <w:rFonts w:cs="Arial"/>
                <w:color w:val="000000"/>
                <w:sz w:val="20"/>
                <w:szCs w:val="20"/>
                <w:lang w:val="en-GB"/>
              </w:rPr>
              <w:t xml:space="preserve">Initial Investment </w:t>
            </w:r>
          </w:p>
        </w:tc>
        <w:tc>
          <w:tcPr>
            <w:tcW w:w="1250" w:type="pct"/>
            <w:tcBorders>
              <w:top w:val="nil"/>
              <w:left w:val="nil"/>
              <w:bottom w:val="single" w:color="auto" w:sz="4" w:space="0"/>
              <w:right w:val="single" w:color="auto" w:sz="4" w:space="0"/>
            </w:tcBorders>
            <w:noWrap/>
            <w:vAlign w:val="bottom"/>
          </w:tcPr>
          <w:p w14:paraId="79F10161">
            <w:pPr>
              <w:jc w:val="left"/>
              <w:rPr>
                <w:rFonts w:cs="Arial"/>
                <w:color w:val="000000"/>
                <w:sz w:val="20"/>
                <w:szCs w:val="20"/>
                <w:lang w:val="en-GB"/>
              </w:rPr>
            </w:pPr>
            <w:r>
              <w:rPr>
                <w:rFonts w:cs="Arial"/>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2DCECDDE">
            <w:pPr>
              <w:jc w:val="left"/>
              <w:rPr>
                <w:rFonts w:cs="Arial"/>
                <w:color w:val="000000"/>
                <w:sz w:val="20"/>
                <w:szCs w:val="20"/>
                <w:lang w:val="en-GB"/>
              </w:rPr>
            </w:pPr>
            <w:r>
              <w:rPr>
                <w:rFonts w:cs="Arial"/>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71BC7937">
            <w:pPr>
              <w:jc w:val="right"/>
              <w:rPr>
                <w:rFonts w:cs="Arial"/>
                <w:color w:val="000000"/>
                <w:sz w:val="20"/>
                <w:szCs w:val="20"/>
                <w:lang w:val="en-GB"/>
              </w:rPr>
            </w:pPr>
            <w:r>
              <w:rPr>
                <w:rFonts w:cs="Arial"/>
                <w:color w:val="000000"/>
                <w:sz w:val="20"/>
                <w:szCs w:val="20"/>
                <w:lang w:val="en-GB"/>
              </w:rPr>
              <w:t>50.00</w:t>
            </w:r>
          </w:p>
        </w:tc>
      </w:tr>
      <w:tr w14:paraId="22C6D3CB">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4EE2AB57">
            <w:pPr>
              <w:jc w:val="left"/>
              <w:rPr>
                <w:rFonts w:cs="Arial"/>
                <w:b/>
                <w:bCs/>
                <w:color w:val="000000"/>
                <w:sz w:val="20"/>
                <w:szCs w:val="20"/>
                <w:lang w:val="en-GB"/>
              </w:rPr>
            </w:pPr>
            <w:r>
              <w:rPr>
                <w:rFonts w:cs="Arial"/>
                <w:b/>
                <w:bCs/>
                <w:color w:val="000000"/>
                <w:sz w:val="20"/>
                <w:szCs w:val="20"/>
                <w:lang w:val="en-GB"/>
              </w:rPr>
              <w:t>NPV</w:t>
            </w:r>
          </w:p>
        </w:tc>
        <w:tc>
          <w:tcPr>
            <w:tcW w:w="1250" w:type="pct"/>
            <w:tcBorders>
              <w:top w:val="nil"/>
              <w:left w:val="nil"/>
              <w:bottom w:val="single" w:color="auto" w:sz="4" w:space="0"/>
              <w:right w:val="single" w:color="auto" w:sz="4" w:space="0"/>
            </w:tcBorders>
            <w:noWrap/>
            <w:vAlign w:val="bottom"/>
          </w:tcPr>
          <w:p w14:paraId="68D406DD">
            <w:pPr>
              <w:jc w:val="left"/>
              <w:rPr>
                <w:rFonts w:cs="Arial"/>
                <w:b/>
                <w:bCs/>
                <w:color w:val="000000"/>
                <w:sz w:val="20"/>
                <w:szCs w:val="20"/>
                <w:lang w:val="en-GB"/>
              </w:rPr>
            </w:pPr>
            <w:r>
              <w:rPr>
                <w:rFonts w:cs="Arial"/>
                <w:b/>
                <w:bCs/>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29183975">
            <w:pPr>
              <w:jc w:val="left"/>
              <w:rPr>
                <w:rFonts w:cs="Arial"/>
                <w:b/>
                <w:bCs/>
                <w:color w:val="000000"/>
                <w:sz w:val="20"/>
                <w:szCs w:val="20"/>
                <w:lang w:val="en-GB"/>
              </w:rPr>
            </w:pPr>
            <w:r>
              <w:rPr>
                <w:rFonts w:cs="Arial"/>
                <w:b/>
                <w:bCs/>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216109EF">
            <w:pPr>
              <w:jc w:val="right"/>
              <w:rPr>
                <w:rFonts w:cs="Arial"/>
                <w:b/>
                <w:bCs/>
                <w:color w:val="000000"/>
                <w:sz w:val="20"/>
                <w:szCs w:val="20"/>
                <w:lang w:val="en-GB"/>
              </w:rPr>
            </w:pPr>
            <w:r>
              <w:rPr>
                <w:rFonts w:cs="Arial"/>
                <w:b/>
                <w:bCs/>
                <w:color w:val="000000"/>
                <w:sz w:val="20"/>
                <w:szCs w:val="20"/>
                <w:lang w:val="en-GB"/>
              </w:rPr>
              <w:t>0.86</w:t>
            </w:r>
          </w:p>
        </w:tc>
      </w:tr>
      <w:tr w14:paraId="027B7432">
        <w:tblPrEx>
          <w:tblCellMar>
            <w:top w:w="0" w:type="dxa"/>
            <w:left w:w="108" w:type="dxa"/>
            <w:bottom w:w="0" w:type="dxa"/>
            <w:right w:w="108" w:type="dxa"/>
          </w:tblCellMar>
        </w:tblPrEx>
        <w:trPr>
          <w:trHeight w:val="300" w:hRule="atLeast"/>
          <w:jc w:val="center"/>
        </w:trPr>
        <w:tc>
          <w:tcPr>
            <w:tcW w:w="1095" w:type="pct"/>
            <w:tcBorders>
              <w:top w:val="nil"/>
              <w:left w:val="single" w:color="auto" w:sz="4" w:space="0"/>
              <w:bottom w:val="single" w:color="auto" w:sz="4" w:space="0"/>
              <w:right w:val="single" w:color="auto" w:sz="4" w:space="0"/>
            </w:tcBorders>
            <w:noWrap/>
            <w:vAlign w:val="bottom"/>
          </w:tcPr>
          <w:p w14:paraId="40B7CE8A">
            <w:pPr>
              <w:jc w:val="left"/>
              <w:rPr>
                <w:rFonts w:cs="Arial"/>
                <w:b/>
                <w:bCs/>
                <w:color w:val="000000"/>
                <w:sz w:val="20"/>
                <w:szCs w:val="20"/>
                <w:lang w:val="en-GB"/>
              </w:rPr>
            </w:pPr>
            <w:r>
              <w:rPr>
                <w:rFonts w:cs="Arial"/>
                <w:b/>
                <w:bCs/>
                <w:color w:val="000000"/>
                <w:sz w:val="20"/>
                <w:szCs w:val="20"/>
                <w:lang w:val="en-GB"/>
              </w:rPr>
              <w:t>PI</w:t>
            </w:r>
          </w:p>
        </w:tc>
        <w:tc>
          <w:tcPr>
            <w:tcW w:w="1250" w:type="pct"/>
            <w:tcBorders>
              <w:top w:val="nil"/>
              <w:left w:val="nil"/>
              <w:bottom w:val="single" w:color="auto" w:sz="4" w:space="0"/>
              <w:right w:val="single" w:color="auto" w:sz="4" w:space="0"/>
            </w:tcBorders>
            <w:noWrap/>
            <w:vAlign w:val="bottom"/>
          </w:tcPr>
          <w:p w14:paraId="667B5C06">
            <w:pPr>
              <w:jc w:val="left"/>
              <w:rPr>
                <w:rFonts w:cs="Arial"/>
                <w:color w:val="000000"/>
                <w:sz w:val="20"/>
                <w:szCs w:val="20"/>
                <w:lang w:val="en-GB"/>
              </w:rPr>
            </w:pPr>
            <w:r>
              <w:rPr>
                <w:rFonts w:cs="Arial"/>
                <w:color w:val="000000"/>
                <w:sz w:val="20"/>
                <w:szCs w:val="20"/>
                <w:lang w:val="en-GB"/>
              </w:rPr>
              <w:t> </w:t>
            </w:r>
          </w:p>
        </w:tc>
        <w:tc>
          <w:tcPr>
            <w:tcW w:w="943" w:type="pct"/>
            <w:tcBorders>
              <w:top w:val="nil"/>
              <w:left w:val="nil"/>
              <w:bottom w:val="single" w:color="auto" w:sz="4" w:space="0"/>
              <w:right w:val="single" w:color="auto" w:sz="4" w:space="0"/>
            </w:tcBorders>
            <w:noWrap/>
            <w:vAlign w:val="bottom"/>
          </w:tcPr>
          <w:p w14:paraId="25862E7E">
            <w:pPr>
              <w:jc w:val="left"/>
              <w:rPr>
                <w:rFonts w:cs="Arial"/>
                <w:color w:val="000000"/>
                <w:sz w:val="20"/>
                <w:szCs w:val="20"/>
                <w:lang w:val="en-GB"/>
              </w:rPr>
            </w:pPr>
            <w:r>
              <w:rPr>
                <w:rFonts w:cs="Arial"/>
                <w:color w:val="000000"/>
                <w:sz w:val="20"/>
                <w:szCs w:val="20"/>
                <w:lang w:val="en-GB"/>
              </w:rPr>
              <w:t> </w:t>
            </w:r>
          </w:p>
        </w:tc>
        <w:tc>
          <w:tcPr>
            <w:tcW w:w="1712" w:type="pct"/>
            <w:tcBorders>
              <w:top w:val="nil"/>
              <w:left w:val="nil"/>
              <w:bottom w:val="single" w:color="auto" w:sz="4" w:space="0"/>
              <w:right w:val="single" w:color="auto" w:sz="4" w:space="0"/>
            </w:tcBorders>
            <w:noWrap/>
            <w:vAlign w:val="bottom"/>
          </w:tcPr>
          <w:p w14:paraId="27B26939">
            <w:pPr>
              <w:jc w:val="right"/>
              <w:rPr>
                <w:rFonts w:cs="Arial"/>
                <w:b/>
                <w:bCs/>
                <w:color w:val="000000"/>
                <w:sz w:val="20"/>
                <w:szCs w:val="20"/>
                <w:lang w:val="en-GB"/>
              </w:rPr>
            </w:pPr>
            <w:r>
              <w:rPr>
                <w:rFonts w:cs="Arial"/>
                <w:b/>
                <w:bCs/>
                <w:color w:val="000000"/>
                <w:sz w:val="20"/>
                <w:szCs w:val="20"/>
                <w:lang w:val="en-GB"/>
              </w:rPr>
              <w:t>1.02</w:t>
            </w:r>
          </w:p>
        </w:tc>
      </w:tr>
    </w:tbl>
    <w:p w14:paraId="4775B0FB">
      <w:pPr>
        <w:jc w:val="center"/>
        <w:rPr>
          <w:rFonts w:cs="Arial"/>
          <w:lang w:val="en-GB"/>
        </w:rPr>
      </w:pPr>
      <w:r>
        <w:rPr>
          <w:rFonts w:cs="Arial"/>
          <w:lang w:val="en-GB"/>
        </w:rPr>
        <w:t>(Source: MS Excel)</w:t>
      </w:r>
    </w:p>
    <w:tbl>
      <w:tblPr>
        <w:tblStyle w:val="9"/>
        <w:tblW w:w="5000" w:type="pct"/>
        <w:jc w:val="center"/>
        <w:tblLayout w:type="autofit"/>
        <w:tblCellMar>
          <w:top w:w="0" w:type="dxa"/>
          <w:left w:w="108" w:type="dxa"/>
          <w:bottom w:w="0" w:type="dxa"/>
          <w:right w:w="108" w:type="dxa"/>
        </w:tblCellMar>
      </w:tblPr>
      <w:tblGrid>
        <w:gridCol w:w="1660"/>
        <w:gridCol w:w="1532"/>
        <w:gridCol w:w="1660"/>
        <w:gridCol w:w="1532"/>
        <w:gridCol w:w="1660"/>
        <w:gridCol w:w="1532"/>
      </w:tblGrid>
      <w:tr w14:paraId="0E688CFF">
        <w:tblPrEx>
          <w:tblCellMar>
            <w:top w:w="0" w:type="dxa"/>
            <w:left w:w="108" w:type="dxa"/>
            <w:bottom w:w="0" w:type="dxa"/>
            <w:right w:w="108" w:type="dxa"/>
          </w:tblCellMar>
        </w:tblPrEx>
        <w:trPr>
          <w:trHeight w:val="300" w:hRule="atLeast"/>
          <w:jc w:val="center"/>
        </w:trPr>
        <w:tc>
          <w:tcPr>
            <w:tcW w:w="5000" w:type="pct"/>
            <w:gridSpan w:val="6"/>
            <w:tcBorders>
              <w:top w:val="single" w:color="auto" w:sz="4" w:space="0"/>
              <w:left w:val="single" w:color="auto" w:sz="4" w:space="0"/>
              <w:bottom w:val="single" w:color="auto" w:sz="4" w:space="0"/>
              <w:right w:val="single" w:color="auto" w:sz="4" w:space="0"/>
            </w:tcBorders>
            <w:noWrap/>
            <w:vAlign w:val="bottom"/>
          </w:tcPr>
          <w:p w14:paraId="6F7C4B7A">
            <w:pPr>
              <w:jc w:val="center"/>
              <w:rPr>
                <w:rFonts w:cs="Arial"/>
                <w:b/>
                <w:bCs/>
                <w:color w:val="000000"/>
                <w:sz w:val="20"/>
                <w:szCs w:val="20"/>
                <w:lang w:val="en-GB"/>
              </w:rPr>
            </w:pPr>
            <w:r>
              <w:rPr>
                <w:rFonts w:cs="Arial"/>
                <w:b/>
                <w:bCs/>
                <w:color w:val="000000"/>
                <w:sz w:val="20"/>
                <w:szCs w:val="20"/>
                <w:lang w:val="en-GB"/>
              </w:rPr>
              <w:t>IRR</w:t>
            </w:r>
          </w:p>
        </w:tc>
      </w:tr>
      <w:tr w14:paraId="19CF471C">
        <w:tblPrEx>
          <w:tblCellMar>
            <w:top w:w="0" w:type="dxa"/>
            <w:left w:w="108" w:type="dxa"/>
            <w:bottom w:w="0" w:type="dxa"/>
            <w:right w:w="108" w:type="dxa"/>
          </w:tblCellMar>
        </w:tblPrEx>
        <w:trPr>
          <w:trHeight w:val="300" w:hRule="atLeast"/>
          <w:jc w:val="center"/>
        </w:trPr>
        <w:tc>
          <w:tcPr>
            <w:tcW w:w="1666" w:type="pct"/>
            <w:gridSpan w:val="2"/>
            <w:tcBorders>
              <w:top w:val="single" w:color="auto" w:sz="4" w:space="0"/>
              <w:left w:val="single" w:color="auto" w:sz="4" w:space="0"/>
              <w:bottom w:val="single" w:color="auto" w:sz="4" w:space="0"/>
              <w:right w:val="single" w:color="auto" w:sz="4" w:space="0"/>
            </w:tcBorders>
            <w:noWrap/>
            <w:vAlign w:val="bottom"/>
          </w:tcPr>
          <w:p w14:paraId="5BF5C7E9">
            <w:pPr>
              <w:jc w:val="center"/>
              <w:rPr>
                <w:rFonts w:cs="Arial"/>
                <w:b/>
                <w:bCs/>
                <w:color w:val="000000"/>
                <w:sz w:val="20"/>
                <w:szCs w:val="20"/>
                <w:lang w:val="en-GB"/>
              </w:rPr>
            </w:pPr>
            <w:r>
              <w:rPr>
                <w:rFonts w:cs="Arial"/>
                <w:b/>
                <w:bCs/>
                <w:color w:val="000000"/>
                <w:sz w:val="20"/>
                <w:szCs w:val="20"/>
                <w:lang w:val="en-GB"/>
              </w:rPr>
              <w:t xml:space="preserve">Project A </w:t>
            </w:r>
          </w:p>
        </w:tc>
        <w:tc>
          <w:tcPr>
            <w:tcW w:w="1667" w:type="pct"/>
            <w:gridSpan w:val="2"/>
            <w:tcBorders>
              <w:top w:val="single" w:color="auto" w:sz="4" w:space="0"/>
              <w:left w:val="nil"/>
              <w:bottom w:val="single" w:color="auto" w:sz="4" w:space="0"/>
              <w:right w:val="single" w:color="auto" w:sz="4" w:space="0"/>
            </w:tcBorders>
            <w:noWrap/>
            <w:vAlign w:val="bottom"/>
          </w:tcPr>
          <w:p w14:paraId="7F03151A">
            <w:pPr>
              <w:jc w:val="center"/>
              <w:rPr>
                <w:rFonts w:cs="Arial"/>
                <w:b/>
                <w:bCs/>
                <w:color w:val="000000"/>
                <w:sz w:val="20"/>
                <w:szCs w:val="20"/>
                <w:lang w:val="en-GB"/>
              </w:rPr>
            </w:pPr>
            <w:r>
              <w:rPr>
                <w:rFonts w:cs="Arial"/>
                <w:b/>
                <w:bCs/>
                <w:color w:val="000000"/>
                <w:sz w:val="20"/>
                <w:szCs w:val="20"/>
                <w:lang w:val="en-GB"/>
              </w:rPr>
              <w:t>Project B</w:t>
            </w:r>
          </w:p>
        </w:tc>
        <w:tc>
          <w:tcPr>
            <w:tcW w:w="1666" w:type="pct"/>
            <w:gridSpan w:val="2"/>
            <w:tcBorders>
              <w:top w:val="single" w:color="auto" w:sz="4" w:space="0"/>
              <w:left w:val="nil"/>
              <w:bottom w:val="single" w:color="auto" w:sz="4" w:space="0"/>
              <w:right w:val="single" w:color="auto" w:sz="4" w:space="0"/>
            </w:tcBorders>
            <w:noWrap/>
            <w:vAlign w:val="bottom"/>
          </w:tcPr>
          <w:p w14:paraId="344D7005">
            <w:pPr>
              <w:jc w:val="center"/>
              <w:rPr>
                <w:rFonts w:cs="Arial"/>
                <w:b/>
                <w:bCs/>
                <w:color w:val="000000"/>
                <w:sz w:val="20"/>
                <w:szCs w:val="20"/>
                <w:lang w:val="en-GB"/>
              </w:rPr>
            </w:pPr>
            <w:r>
              <w:rPr>
                <w:rFonts w:cs="Arial"/>
                <w:b/>
                <w:bCs/>
                <w:color w:val="000000"/>
                <w:sz w:val="20"/>
                <w:szCs w:val="20"/>
                <w:lang w:val="en-GB"/>
              </w:rPr>
              <w:t>Project C</w:t>
            </w:r>
          </w:p>
        </w:tc>
      </w:tr>
      <w:tr w14:paraId="21DD8E32">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3FE7C81A">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772" w:type="pct"/>
            <w:tcBorders>
              <w:top w:val="nil"/>
              <w:left w:val="nil"/>
              <w:bottom w:val="single" w:color="auto" w:sz="4" w:space="0"/>
              <w:right w:val="single" w:color="auto" w:sz="4" w:space="0"/>
            </w:tcBorders>
            <w:noWrap/>
            <w:vAlign w:val="bottom"/>
          </w:tcPr>
          <w:p w14:paraId="39F45980">
            <w:pPr>
              <w:jc w:val="left"/>
              <w:rPr>
                <w:rFonts w:cs="Arial"/>
                <w:b/>
                <w:bCs/>
                <w:i/>
                <w:iCs/>
                <w:color w:val="000000"/>
                <w:sz w:val="20"/>
                <w:szCs w:val="20"/>
                <w:lang w:val="en-GB"/>
              </w:rPr>
            </w:pPr>
            <w:r>
              <w:rPr>
                <w:rFonts w:cs="Arial"/>
                <w:b/>
                <w:bCs/>
                <w:i/>
                <w:iCs/>
                <w:color w:val="000000"/>
                <w:sz w:val="20"/>
                <w:szCs w:val="20"/>
                <w:lang w:val="en-GB"/>
              </w:rPr>
              <w:t>Cashflow (£m)</w:t>
            </w:r>
          </w:p>
        </w:tc>
        <w:tc>
          <w:tcPr>
            <w:tcW w:w="895" w:type="pct"/>
            <w:tcBorders>
              <w:top w:val="nil"/>
              <w:left w:val="nil"/>
              <w:bottom w:val="single" w:color="auto" w:sz="4" w:space="0"/>
              <w:right w:val="single" w:color="auto" w:sz="4" w:space="0"/>
            </w:tcBorders>
            <w:noWrap/>
            <w:vAlign w:val="bottom"/>
          </w:tcPr>
          <w:p w14:paraId="6E1A44FC">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772" w:type="pct"/>
            <w:tcBorders>
              <w:top w:val="nil"/>
              <w:left w:val="nil"/>
              <w:bottom w:val="single" w:color="auto" w:sz="4" w:space="0"/>
              <w:right w:val="single" w:color="auto" w:sz="4" w:space="0"/>
            </w:tcBorders>
            <w:noWrap/>
            <w:vAlign w:val="bottom"/>
          </w:tcPr>
          <w:p w14:paraId="00D56E50">
            <w:pPr>
              <w:jc w:val="left"/>
              <w:rPr>
                <w:rFonts w:cs="Arial"/>
                <w:b/>
                <w:bCs/>
                <w:i/>
                <w:iCs/>
                <w:color w:val="000000"/>
                <w:sz w:val="20"/>
                <w:szCs w:val="20"/>
                <w:lang w:val="en-GB"/>
              </w:rPr>
            </w:pPr>
            <w:r>
              <w:rPr>
                <w:rFonts w:cs="Arial"/>
                <w:b/>
                <w:bCs/>
                <w:i/>
                <w:iCs/>
                <w:color w:val="000000"/>
                <w:sz w:val="20"/>
                <w:szCs w:val="20"/>
                <w:lang w:val="en-GB"/>
              </w:rPr>
              <w:t>Cashflow (£m)</w:t>
            </w:r>
          </w:p>
        </w:tc>
        <w:tc>
          <w:tcPr>
            <w:tcW w:w="895" w:type="pct"/>
            <w:tcBorders>
              <w:top w:val="nil"/>
              <w:left w:val="nil"/>
              <w:bottom w:val="single" w:color="auto" w:sz="4" w:space="0"/>
              <w:right w:val="single" w:color="auto" w:sz="4" w:space="0"/>
            </w:tcBorders>
            <w:noWrap/>
            <w:vAlign w:val="bottom"/>
          </w:tcPr>
          <w:p w14:paraId="16F5A2CB">
            <w:pPr>
              <w:jc w:val="left"/>
              <w:rPr>
                <w:rFonts w:cs="Arial"/>
                <w:b/>
                <w:bCs/>
                <w:i/>
                <w:iCs/>
                <w:color w:val="000000"/>
                <w:sz w:val="20"/>
                <w:szCs w:val="20"/>
                <w:lang w:val="en-GB"/>
              </w:rPr>
            </w:pPr>
            <w:r>
              <w:rPr>
                <w:rFonts w:cs="Arial"/>
                <w:b/>
                <w:bCs/>
                <w:i/>
                <w:iCs/>
                <w:color w:val="000000"/>
                <w:sz w:val="20"/>
                <w:szCs w:val="20"/>
                <w:lang w:val="en-GB"/>
              </w:rPr>
              <w:t xml:space="preserve">Year </w:t>
            </w:r>
          </w:p>
        </w:tc>
        <w:tc>
          <w:tcPr>
            <w:tcW w:w="771" w:type="pct"/>
            <w:tcBorders>
              <w:top w:val="nil"/>
              <w:left w:val="nil"/>
              <w:bottom w:val="single" w:color="auto" w:sz="4" w:space="0"/>
              <w:right w:val="single" w:color="auto" w:sz="4" w:space="0"/>
            </w:tcBorders>
            <w:noWrap/>
            <w:vAlign w:val="bottom"/>
          </w:tcPr>
          <w:p w14:paraId="68731445">
            <w:pPr>
              <w:jc w:val="left"/>
              <w:rPr>
                <w:rFonts w:cs="Arial"/>
                <w:b/>
                <w:bCs/>
                <w:i/>
                <w:iCs/>
                <w:color w:val="000000"/>
                <w:sz w:val="20"/>
                <w:szCs w:val="20"/>
                <w:lang w:val="en-GB"/>
              </w:rPr>
            </w:pPr>
            <w:r>
              <w:rPr>
                <w:rFonts w:cs="Arial"/>
                <w:b/>
                <w:bCs/>
                <w:i/>
                <w:iCs/>
                <w:color w:val="000000"/>
                <w:sz w:val="20"/>
                <w:szCs w:val="20"/>
                <w:lang w:val="en-GB"/>
              </w:rPr>
              <w:t>Cashflow (£m)</w:t>
            </w:r>
          </w:p>
        </w:tc>
      </w:tr>
      <w:tr w14:paraId="06E33611">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4BA4DE58">
            <w:pPr>
              <w:jc w:val="left"/>
              <w:rPr>
                <w:rFonts w:cs="Arial"/>
                <w:color w:val="000000"/>
                <w:sz w:val="20"/>
                <w:szCs w:val="20"/>
                <w:lang w:val="en-GB"/>
              </w:rPr>
            </w:pPr>
            <w:r>
              <w:rPr>
                <w:rFonts w:cs="Arial"/>
                <w:color w:val="000000"/>
                <w:sz w:val="20"/>
                <w:szCs w:val="20"/>
                <w:lang w:val="en-GB"/>
              </w:rPr>
              <w:t xml:space="preserve">Initial Investment </w:t>
            </w:r>
          </w:p>
        </w:tc>
        <w:tc>
          <w:tcPr>
            <w:tcW w:w="772" w:type="pct"/>
            <w:tcBorders>
              <w:top w:val="nil"/>
              <w:left w:val="nil"/>
              <w:bottom w:val="single" w:color="auto" w:sz="4" w:space="0"/>
              <w:right w:val="single" w:color="auto" w:sz="4" w:space="0"/>
            </w:tcBorders>
            <w:noWrap/>
            <w:vAlign w:val="bottom"/>
          </w:tcPr>
          <w:p w14:paraId="0EF2A911">
            <w:pPr>
              <w:jc w:val="right"/>
              <w:rPr>
                <w:rFonts w:cs="Arial"/>
                <w:color w:val="000000"/>
                <w:sz w:val="20"/>
                <w:szCs w:val="20"/>
                <w:lang w:val="en-GB"/>
              </w:rPr>
            </w:pPr>
            <w:r>
              <w:rPr>
                <w:rFonts w:cs="Arial"/>
                <w:color w:val="000000"/>
                <w:sz w:val="20"/>
                <w:szCs w:val="20"/>
                <w:lang w:val="en-GB"/>
              </w:rPr>
              <w:t>-50</w:t>
            </w:r>
          </w:p>
        </w:tc>
        <w:tc>
          <w:tcPr>
            <w:tcW w:w="895" w:type="pct"/>
            <w:tcBorders>
              <w:top w:val="nil"/>
              <w:left w:val="nil"/>
              <w:bottom w:val="single" w:color="auto" w:sz="4" w:space="0"/>
              <w:right w:val="single" w:color="auto" w:sz="4" w:space="0"/>
            </w:tcBorders>
            <w:noWrap/>
            <w:vAlign w:val="bottom"/>
          </w:tcPr>
          <w:p w14:paraId="0E4CB584">
            <w:pPr>
              <w:jc w:val="right"/>
              <w:rPr>
                <w:rFonts w:cs="Arial"/>
                <w:color w:val="000000"/>
                <w:sz w:val="20"/>
                <w:szCs w:val="20"/>
                <w:lang w:val="en-GB"/>
              </w:rPr>
            </w:pPr>
            <w:r>
              <w:rPr>
                <w:rFonts w:cs="Arial"/>
                <w:color w:val="000000"/>
                <w:sz w:val="20"/>
                <w:szCs w:val="20"/>
                <w:lang w:val="en-GB"/>
              </w:rPr>
              <w:t xml:space="preserve">Initial Investment </w:t>
            </w:r>
          </w:p>
        </w:tc>
        <w:tc>
          <w:tcPr>
            <w:tcW w:w="772" w:type="pct"/>
            <w:tcBorders>
              <w:top w:val="nil"/>
              <w:left w:val="nil"/>
              <w:bottom w:val="single" w:color="auto" w:sz="4" w:space="0"/>
              <w:right w:val="single" w:color="auto" w:sz="4" w:space="0"/>
            </w:tcBorders>
            <w:noWrap/>
            <w:vAlign w:val="bottom"/>
          </w:tcPr>
          <w:p w14:paraId="2FDC2F3E">
            <w:pPr>
              <w:jc w:val="right"/>
              <w:rPr>
                <w:rFonts w:cs="Arial"/>
                <w:color w:val="000000"/>
                <w:sz w:val="20"/>
                <w:szCs w:val="20"/>
                <w:lang w:val="en-GB"/>
              </w:rPr>
            </w:pPr>
            <w:r>
              <w:rPr>
                <w:rFonts w:cs="Arial"/>
                <w:color w:val="000000"/>
                <w:sz w:val="20"/>
                <w:szCs w:val="20"/>
                <w:lang w:val="en-GB"/>
              </w:rPr>
              <w:t>-50</w:t>
            </w:r>
          </w:p>
        </w:tc>
        <w:tc>
          <w:tcPr>
            <w:tcW w:w="895" w:type="pct"/>
            <w:tcBorders>
              <w:top w:val="nil"/>
              <w:left w:val="nil"/>
              <w:bottom w:val="single" w:color="auto" w:sz="4" w:space="0"/>
              <w:right w:val="single" w:color="auto" w:sz="4" w:space="0"/>
            </w:tcBorders>
            <w:noWrap/>
            <w:vAlign w:val="bottom"/>
          </w:tcPr>
          <w:p w14:paraId="2D0D3065">
            <w:pPr>
              <w:jc w:val="right"/>
              <w:rPr>
                <w:rFonts w:cs="Arial"/>
                <w:color w:val="000000"/>
                <w:sz w:val="20"/>
                <w:szCs w:val="20"/>
                <w:lang w:val="en-GB"/>
              </w:rPr>
            </w:pPr>
            <w:r>
              <w:rPr>
                <w:rFonts w:cs="Arial"/>
                <w:color w:val="000000"/>
                <w:sz w:val="20"/>
                <w:szCs w:val="20"/>
                <w:lang w:val="en-GB"/>
              </w:rPr>
              <w:t xml:space="preserve">Initial Investment </w:t>
            </w:r>
          </w:p>
        </w:tc>
        <w:tc>
          <w:tcPr>
            <w:tcW w:w="771" w:type="pct"/>
            <w:tcBorders>
              <w:top w:val="nil"/>
              <w:left w:val="nil"/>
              <w:bottom w:val="single" w:color="auto" w:sz="4" w:space="0"/>
              <w:right w:val="single" w:color="auto" w:sz="4" w:space="0"/>
            </w:tcBorders>
            <w:noWrap/>
            <w:vAlign w:val="bottom"/>
          </w:tcPr>
          <w:p w14:paraId="6E06687B">
            <w:pPr>
              <w:jc w:val="right"/>
              <w:rPr>
                <w:rFonts w:cs="Arial"/>
                <w:color w:val="000000"/>
                <w:sz w:val="20"/>
                <w:szCs w:val="20"/>
                <w:lang w:val="en-GB"/>
              </w:rPr>
            </w:pPr>
            <w:r>
              <w:rPr>
                <w:rFonts w:cs="Arial"/>
                <w:color w:val="000000"/>
                <w:sz w:val="20"/>
                <w:szCs w:val="20"/>
                <w:lang w:val="en-GB"/>
              </w:rPr>
              <w:t>-50</w:t>
            </w:r>
          </w:p>
        </w:tc>
      </w:tr>
      <w:tr w14:paraId="1B5A2CD2">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559DD58F">
            <w:pPr>
              <w:jc w:val="right"/>
              <w:rPr>
                <w:rFonts w:cs="Arial"/>
                <w:color w:val="000000"/>
                <w:sz w:val="20"/>
                <w:szCs w:val="20"/>
                <w:lang w:val="en-GB"/>
              </w:rPr>
            </w:pPr>
            <w:r>
              <w:rPr>
                <w:rFonts w:cs="Arial"/>
                <w:color w:val="000000"/>
                <w:sz w:val="20"/>
                <w:szCs w:val="20"/>
                <w:lang w:val="en-GB"/>
              </w:rPr>
              <w:t>1</w:t>
            </w:r>
          </w:p>
        </w:tc>
        <w:tc>
          <w:tcPr>
            <w:tcW w:w="772" w:type="pct"/>
            <w:tcBorders>
              <w:top w:val="nil"/>
              <w:left w:val="nil"/>
              <w:bottom w:val="single" w:color="auto" w:sz="4" w:space="0"/>
              <w:right w:val="single" w:color="auto" w:sz="4" w:space="0"/>
            </w:tcBorders>
            <w:noWrap/>
            <w:vAlign w:val="bottom"/>
          </w:tcPr>
          <w:p w14:paraId="2316AF4F">
            <w:pPr>
              <w:jc w:val="right"/>
              <w:rPr>
                <w:rFonts w:cs="Arial"/>
                <w:color w:val="000000"/>
                <w:sz w:val="20"/>
                <w:szCs w:val="20"/>
                <w:lang w:val="en-GB"/>
              </w:rPr>
            </w:pPr>
            <w:r>
              <w:rPr>
                <w:rFonts w:cs="Arial"/>
                <w:color w:val="000000"/>
                <w:sz w:val="20"/>
                <w:szCs w:val="20"/>
                <w:lang w:val="en-GB"/>
              </w:rPr>
              <w:t>10</w:t>
            </w:r>
          </w:p>
        </w:tc>
        <w:tc>
          <w:tcPr>
            <w:tcW w:w="895" w:type="pct"/>
            <w:tcBorders>
              <w:top w:val="nil"/>
              <w:left w:val="nil"/>
              <w:bottom w:val="single" w:color="auto" w:sz="4" w:space="0"/>
              <w:right w:val="single" w:color="auto" w:sz="4" w:space="0"/>
            </w:tcBorders>
            <w:noWrap/>
            <w:vAlign w:val="bottom"/>
          </w:tcPr>
          <w:p w14:paraId="385033CE">
            <w:pPr>
              <w:jc w:val="right"/>
              <w:rPr>
                <w:rFonts w:cs="Arial"/>
                <w:color w:val="000000"/>
                <w:sz w:val="20"/>
                <w:szCs w:val="20"/>
                <w:lang w:val="en-GB"/>
              </w:rPr>
            </w:pPr>
            <w:r>
              <w:rPr>
                <w:rFonts w:cs="Arial"/>
                <w:color w:val="000000"/>
                <w:sz w:val="20"/>
                <w:szCs w:val="20"/>
                <w:lang w:val="en-GB"/>
              </w:rPr>
              <w:t>1</w:t>
            </w:r>
          </w:p>
        </w:tc>
        <w:tc>
          <w:tcPr>
            <w:tcW w:w="772" w:type="pct"/>
            <w:tcBorders>
              <w:top w:val="nil"/>
              <w:left w:val="nil"/>
              <w:bottom w:val="single" w:color="auto" w:sz="4" w:space="0"/>
              <w:right w:val="single" w:color="auto" w:sz="4" w:space="0"/>
            </w:tcBorders>
            <w:noWrap/>
            <w:vAlign w:val="bottom"/>
          </w:tcPr>
          <w:p w14:paraId="77E031F6">
            <w:pPr>
              <w:jc w:val="right"/>
              <w:rPr>
                <w:rFonts w:cs="Arial"/>
                <w:color w:val="000000"/>
                <w:sz w:val="20"/>
                <w:szCs w:val="20"/>
                <w:lang w:val="en-GB"/>
              </w:rPr>
            </w:pPr>
            <w:r>
              <w:rPr>
                <w:rFonts w:cs="Arial"/>
                <w:color w:val="000000"/>
                <w:sz w:val="20"/>
                <w:szCs w:val="20"/>
                <w:lang w:val="en-GB"/>
              </w:rPr>
              <w:t>11</w:t>
            </w:r>
          </w:p>
        </w:tc>
        <w:tc>
          <w:tcPr>
            <w:tcW w:w="895" w:type="pct"/>
            <w:tcBorders>
              <w:top w:val="nil"/>
              <w:left w:val="nil"/>
              <w:bottom w:val="single" w:color="auto" w:sz="4" w:space="0"/>
              <w:right w:val="single" w:color="auto" w:sz="4" w:space="0"/>
            </w:tcBorders>
            <w:noWrap/>
            <w:vAlign w:val="bottom"/>
          </w:tcPr>
          <w:p w14:paraId="6EE9992F">
            <w:pPr>
              <w:jc w:val="right"/>
              <w:rPr>
                <w:rFonts w:cs="Arial"/>
                <w:color w:val="000000"/>
                <w:sz w:val="20"/>
                <w:szCs w:val="20"/>
                <w:lang w:val="en-GB"/>
              </w:rPr>
            </w:pPr>
            <w:r>
              <w:rPr>
                <w:rFonts w:cs="Arial"/>
                <w:color w:val="000000"/>
                <w:sz w:val="20"/>
                <w:szCs w:val="20"/>
                <w:lang w:val="en-GB"/>
              </w:rPr>
              <w:t>1</w:t>
            </w:r>
          </w:p>
        </w:tc>
        <w:tc>
          <w:tcPr>
            <w:tcW w:w="771" w:type="pct"/>
            <w:tcBorders>
              <w:top w:val="nil"/>
              <w:left w:val="nil"/>
              <w:bottom w:val="single" w:color="auto" w:sz="4" w:space="0"/>
              <w:right w:val="single" w:color="auto" w:sz="4" w:space="0"/>
            </w:tcBorders>
            <w:noWrap/>
            <w:vAlign w:val="bottom"/>
          </w:tcPr>
          <w:p w14:paraId="12A692CB">
            <w:pPr>
              <w:jc w:val="right"/>
              <w:rPr>
                <w:rFonts w:cs="Arial"/>
                <w:color w:val="000000"/>
                <w:sz w:val="20"/>
                <w:szCs w:val="20"/>
                <w:lang w:val="en-GB"/>
              </w:rPr>
            </w:pPr>
            <w:r>
              <w:rPr>
                <w:rFonts w:cs="Arial"/>
                <w:color w:val="000000"/>
                <w:sz w:val="20"/>
                <w:szCs w:val="20"/>
                <w:lang w:val="en-GB"/>
              </w:rPr>
              <w:t>5</w:t>
            </w:r>
          </w:p>
        </w:tc>
      </w:tr>
      <w:tr w14:paraId="456BB9F6">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6D763B2B">
            <w:pPr>
              <w:jc w:val="right"/>
              <w:rPr>
                <w:rFonts w:cs="Arial"/>
                <w:color w:val="000000"/>
                <w:sz w:val="20"/>
                <w:szCs w:val="20"/>
                <w:lang w:val="en-GB"/>
              </w:rPr>
            </w:pPr>
            <w:r>
              <w:rPr>
                <w:rFonts w:cs="Arial"/>
                <w:color w:val="000000"/>
                <w:sz w:val="20"/>
                <w:szCs w:val="20"/>
                <w:lang w:val="en-GB"/>
              </w:rPr>
              <w:t>2</w:t>
            </w:r>
          </w:p>
        </w:tc>
        <w:tc>
          <w:tcPr>
            <w:tcW w:w="772" w:type="pct"/>
            <w:tcBorders>
              <w:top w:val="nil"/>
              <w:left w:val="nil"/>
              <w:bottom w:val="single" w:color="auto" w:sz="4" w:space="0"/>
              <w:right w:val="single" w:color="auto" w:sz="4" w:space="0"/>
            </w:tcBorders>
            <w:noWrap/>
            <w:vAlign w:val="bottom"/>
          </w:tcPr>
          <w:p w14:paraId="6BC8DA61">
            <w:pPr>
              <w:jc w:val="right"/>
              <w:rPr>
                <w:rFonts w:cs="Arial"/>
                <w:color w:val="000000"/>
                <w:sz w:val="20"/>
                <w:szCs w:val="20"/>
                <w:lang w:val="en-GB"/>
              </w:rPr>
            </w:pPr>
            <w:r>
              <w:rPr>
                <w:rFonts w:cs="Arial"/>
                <w:color w:val="000000"/>
                <w:sz w:val="20"/>
                <w:szCs w:val="20"/>
                <w:lang w:val="en-GB"/>
              </w:rPr>
              <w:t>12</w:t>
            </w:r>
          </w:p>
        </w:tc>
        <w:tc>
          <w:tcPr>
            <w:tcW w:w="895" w:type="pct"/>
            <w:tcBorders>
              <w:top w:val="nil"/>
              <w:left w:val="nil"/>
              <w:bottom w:val="single" w:color="auto" w:sz="4" w:space="0"/>
              <w:right w:val="single" w:color="auto" w:sz="4" w:space="0"/>
            </w:tcBorders>
            <w:noWrap/>
            <w:vAlign w:val="bottom"/>
          </w:tcPr>
          <w:p w14:paraId="136E9B86">
            <w:pPr>
              <w:jc w:val="right"/>
              <w:rPr>
                <w:rFonts w:cs="Arial"/>
                <w:color w:val="000000"/>
                <w:sz w:val="20"/>
                <w:szCs w:val="20"/>
                <w:lang w:val="en-GB"/>
              </w:rPr>
            </w:pPr>
            <w:r>
              <w:rPr>
                <w:rFonts w:cs="Arial"/>
                <w:color w:val="000000"/>
                <w:sz w:val="20"/>
                <w:szCs w:val="20"/>
                <w:lang w:val="en-GB"/>
              </w:rPr>
              <w:t>2</w:t>
            </w:r>
          </w:p>
        </w:tc>
        <w:tc>
          <w:tcPr>
            <w:tcW w:w="772" w:type="pct"/>
            <w:tcBorders>
              <w:top w:val="nil"/>
              <w:left w:val="nil"/>
              <w:bottom w:val="single" w:color="auto" w:sz="4" w:space="0"/>
              <w:right w:val="single" w:color="auto" w:sz="4" w:space="0"/>
            </w:tcBorders>
            <w:noWrap/>
            <w:vAlign w:val="bottom"/>
          </w:tcPr>
          <w:p w14:paraId="155126E5">
            <w:pPr>
              <w:jc w:val="right"/>
              <w:rPr>
                <w:rFonts w:cs="Arial"/>
                <w:color w:val="000000"/>
                <w:sz w:val="20"/>
                <w:szCs w:val="20"/>
                <w:lang w:val="en-GB"/>
              </w:rPr>
            </w:pPr>
            <w:r>
              <w:rPr>
                <w:rFonts w:cs="Arial"/>
                <w:color w:val="000000"/>
                <w:sz w:val="20"/>
                <w:szCs w:val="20"/>
                <w:lang w:val="en-GB"/>
              </w:rPr>
              <w:t>11</w:t>
            </w:r>
          </w:p>
        </w:tc>
        <w:tc>
          <w:tcPr>
            <w:tcW w:w="895" w:type="pct"/>
            <w:tcBorders>
              <w:top w:val="nil"/>
              <w:left w:val="nil"/>
              <w:bottom w:val="single" w:color="auto" w:sz="4" w:space="0"/>
              <w:right w:val="single" w:color="auto" w:sz="4" w:space="0"/>
            </w:tcBorders>
            <w:noWrap/>
            <w:vAlign w:val="bottom"/>
          </w:tcPr>
          <w:p w14:paraId="654DD00B">
            <w:pPr>
              <w:jc w:val="right"/>
              <w:rPr>
                <w:rFonts w:cs="Arial"/>
                <w:color w:val="000000"/>
                <w:sz w:val="20"/>
                <w:szCs w:val="20"/>
                <w:lang w:val="en-GB"/>
              </w:rPr>
            </w:pPr>
            <w:r>
              <w:rPr>
                <w:rFonts w:cs="Arial"/>
                <w:color w:val="000000"/>
                <w:sz w:val="20"/>
                <w:szCs w:val="20"/>
                <w:lang w:val="en-GB"/>
              </w:rPr>
              <w:t>2</w:t>
            </w:r>
          </w:p>
        </w:tc>
        <w:tc>
          <w:tcPr>
            <w:tcW w:w="771" w:type="pct"/>
            <w:tcBorders>
              <w:top w:val="nil"/>
              <w:left w:val="nil"/>
              <w:bottom w:val="single" w:color="auto" w:sz="4" w:space="0"/>
              <w:right w:val="single" w:color="auto" w:sz="4" w:space="0"/>
            </w:tcBorders>
            <w:noWrap/>
            <w:vAlign w:val="bottom"/>
          </w:tcPr>
          <w:p w14:paraId="75332051">
            <w:pPr>
              <w:jc w:val="right"/>
              <w:rPr>
                <w:rFonts w:cs="Arial"/>
                <w:color w:val="000000"/>
                <w:sz w:val="20"/>
                <w:szCs w:val="20"/>
                <w:lang w:val="en-GB"/>
              </w:rPr>
            </w:pPr>
            <w:r>
              <w:rPr>
                <w:rFonts w:cs="Arial"/>
                <w:color w:val="000000"/>
                <w:sz w:val="20"/>
                <w:szCs w:val="20"/>
                <w:lang w:val="en-GB"/>
              </w:rPr>
              <w:t>10</w:t>
            </w:r>
          </w:p>
        </w:tc>
      </w:tr>
      <w:tr w14:paraId="0D35960C">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50C9F9FE">
            <w:pPr>
              <w:jc w:val="right"/>
              <w:rPr>
                <w:rFonts w:cs="Arial"/>
                <w:color w:val="000000"/>
                <w:sz w:val="20"/>
                <w:szCs w:val="20"/>
                <w:lang w:val="en-GB"/>
              </w:rPr>
            </w:pPr>
            <w:r>
              <w:rPr>
                <w:rFonts w:cs="Arial"/>
                <w:color w:val="000000"/>
                <w:sz w:val="20"/>
                <w:szCs w:val="20"/>
                <w:lang w:val="en-GB"/>
              </w:rPr>
              <w:t>3</w:t>
            </w:r>
          </w:p>
        </w:tc>
        <w:tc>
          <w:tcPr>
            <w:tcW w:w="772" w:type="pct"/>
            <w:tcBorders>
              <w:top w:val="nil"/>
              <w:left w:val="nil"/>
              <w:bottom w:val="single" w:color="auto" w:sz="4" w:space="0"/>
              <w:right w:val="single" w:color="auto" w:sz="4" w:space="0"/>
            </w:tcBorders>
            <w:noWrap/>
            <w:vAlign w:val="bottom"/>
          </w:tcPr>
          <w:p w14:paraId="6F886721">
            <w:pPr>
              <w:jc w:val="right"/>
              <w:rPr>
                <w:rFonts w:cs="Arial"/>
                <w:color w:val="000000"/>
                <w:sz w:val="20"/>
                <w:szCs w:val="20"/>
                <w:lang w:val="en-GB"/>
              </w:rPr>
            </w:pPr>
            <w:r>
              <w:rPr>
                <w:rFonts w:cs="Arial"/>
                <w:color w:val="000000"/>
                <w:sz w:val="20"/>
                <w:szCs w:val="20"/>
                <w:lang w:val="en-GB"/>
              </w:rPr>
              <w:t>14</w:t>
            </w:r>
          </w:p>
        </w:tc>
        <w:tc>
          <w:tcPr>
            <w:tcW w:w="895" w:type="pct"/>
            <w:tcBorders>
              <w:top w:val="nil"/>
              <w:left w:val="nil"/>
              <w:bottom w:val="single" w:color="auto" w:sz="4" w:space="0"/>
              <w:right w:val="single" w:color="auto" w:sz="4" w:space="0"/>
            </w:tcBorders>
            <w:noWrap/>
            <w:vAlign w:val="bottom"/>
          </w:tcPr>
          <w:p w14:paraId="5EE93F5E">
            <w:pPr>
              <w:jc w:val="right"/>
              <w:rPr>
                <w:rFonts w:cs="Arial"/>
                <w:color w:val="000000"/>
                <w:sz w:val="20"/>
                <w:szCs w:val="20"/>
                <w:lang w:val="en-GB"/>
              </w:rPr>
            </w:pPr>
            <w:r>
              <w:rPr>
                <w:rFonts w:cs="Arial"/>
                <w:color w:val="000000"/>
                <w:sz w:val="20"/>
                <w:szCs w:val="20"/>
                <w:lang w:val="en-GB"/>
              </w:rPr>
              <w:t>3</w:t>
            </w:r>
          </w:p>
        </w:tc>
        <w:tc>
          <w:tcPr>
            <w:tcW w:w="772" w:type="pct"/>
            <w:tcBorders>
              <w:top w:val="nil"/>
              <w:left w:val="nil"/>
              <w:bottom w:val="single" w:color="auto" w:sz="4" w:space="0"/>
              <w:right w:val="single" w:color="auto" w:sz="4" w:space="0"/>
            </w:tcBorders>
            <w:noWrap/>
            <w:vAlign w:val="bottom"/>
          </w:tcPr>
          <w:p w14:paraId="3530E605">
            <w:pPr>
              <w:jc w:val="right"/>
              <w:rPr>
                <w:rFonts w:cs="Arial"/>
                <w:color w:val="000000"/>
                <w:sz w:val="20"/>
                <w:szCs w:val="20"/>
                <w:lang w:val="en-GB"/>
              </w:rPr>
            </w:pPr>
            <w:r>
              <w:rPr>
                <w:rFonts w:cs="Arial"/>
                <w:color w:val="000000"/>
                <w:sz w:val="20"/>
                <w:szCs w:val="20"/>
                <w:lang w:val="en-GB"/>
              </w:rPr>
              <w:t>11</w:t>
            </w:r>
          </w:p>
        </w:tc>
        <w:tc>
          <w:tcPr>
            <w:tcW w:w="895" w:type="pct"/>
            <w:tcBorders>
              <w:top w:val="nil"/>
              <w:left w:val="nil"/>
              <w:bottom w:val="single" w:color="auto" w:sz="4" w:space="0"/>
              <w:right w:val="single" w:color="auto" w:sz="4" w:space="0"/>
            </w:tcBorders>
            <w:noWrap/>
            <w:vAlign w:val="bottom"/>
          </w:tcPr>
          <w:p w14:paraId="2FF524BC">
            <w:pPr>
              <w:jc w:val="right"/>
              <w:rPr>
                <w:rFonts w:cs="Arial"/>
                <w:color w:val="000000"/>
                <w:sz w:val="20"/>
                <w:szCs w:val="20"/>
                <w:lang w:val="en-GB"/>
              </w:rPr>
            </w:pPr>
            <w:r>
              <w:rPr>
                <w:rFonts w:cs="Arial"/>
                <w:color w:val="000000"/>
                <w:sz w:val="20"/>
                <w:szCs w:val="20"/>
                <w:lang w:val="en-GB"/>
              </w:rPr>
              <w:t>3</w:t>
            </w:r>
          </w:p>
        </w:tc>
        <w:tc>
          <w:tcPr>
            <w:tcW w:w="771" w:type="pct"/>
            <w:tcBorders>
              <w:top w:val="nil"/>
              <w:left w:val="nil"/>
              <w:bottom w:val="single" w:color="auto" w:sz="4" w:space="0"/>
              <w:right w:val="single" w:color="auto" w:sz="4" w:space="0"/>
            </w:tcBorders>
            <w:noWrap/>
            <w:vAlign w:val="bottom"/>
          </w:tcPr>
          <w:p w14:paraId="6A8F0EBF">
            <w:pPr>
              <w:jc w:val="right"/>
              <w:rPr>
                <w:rFonts w:cs="Arial"/>
                <w:color w:val="000000"/>
                <w:sz w:val="20"/>
                <w:szCs w:val="20"/>
                <w:lang w:val="en-GB"/>
              </w:rPr>
            </w:pPr>
            <w:r>
              <w:rPr>
                <w:rFonts w:cs="Arial"/>
                <w:color w:val="000000"/>
                <w:sz w:val="20"/>
                <w:szCs w:val="20"/>
                <w:lang w:val="en-GB"/>
              </w:rPr>
              <w:t>20</w:t>
            </w:r>
          </w:p>
        </w:tc>
      </w:tr>
      <w:tr w14:paraId="0F669B5F">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5BCA09F9">
            <w:pPr>
              <w:jc w:val="right"/>
              <w:rPr>
                <w:rFonts w:cs="Arial"/>
                <w:color w:val="000000"/>
                <w:sz w:val="20"/>
                <w:szCs w:val="20"/>
                <w:lang w:val="en-GB"/>
              </w:rPr>
            </w:pPr>
            <w:r>
              <w:rPr>
                <w:rFonts w:cs="Arial"/>
                <w:color w:val="000000"/>
                <w:sz w:val="20"/>
                <w:szCs w:val="20"/>
                <w:lang w:val="en-GB"/>
              </w:rPr>
              <w:t>4</w:t>
            </w:r>
          </w:p>
        </w:tc>
        <w:tc>
          <w:tcPr>
            <w:tcW w:w="772" w:type="pct"/>
            <w:tcBorders>
              <w:top w:val="nil"/>
              <w:left w:val="nil"/>
              <w:bottom w:val="single" w:color="auto" w:sz="4" w:space="0"/>
              <w:right w:val="single" w:color="auto" w:sz="4" w:space="0"/>
            </w:tcBorders>
            <w:noWrap/>
            <w:vAlign w:val="bottom"/>
          </w:tcPr>
          <w:p w14:paraId="70ED7776">
            <w:pPr>
              <w:jc w:val="right"/>
              <w:rPr>
                <w:rFonts w:cs="Arial"/>
                <w:color w:val="000000"/>
                <w:sz w:val="20"/>
                <w:szCs w:val="20"/>
                <w:lang w:val="en-GB"/>
              </w:rPr>
            </w:pPr>
            <w:r>
              <w:rPr>
                <w:rFonts w:cs="Arial"/>
                <w:color w:val="000000"/>
                <w:sz w:val="20"/>
                <w:szCs w:val="20"/>
                <w:lang w:val="en-GB"/>
              </w:rPr>
              <w:t>10</w:t>
            </w:r>
          </w:p>
        </w:tc>
        <w:tc>
          <w:tcPr>
            <w:tcW w:w="895" w:type="pct"/>
            <w:tcBorders>
              <w:top w:val="nil"/>
              <w:left w:val="nil"/>
              <w:bottom w:val="single" w:color="auto" w:sz="4" w:space="0"/>
              <w:right w:val="single" w:color="auto" w:sz="4" w:space="0"/>
            </w:tcBorders>
            <w:noWrap/>
            <w:vAlign w:val="bottom"/>
          </w:tcPr>
          <w:p w14:paraId="610CDA2F">
            <w:pPr>
              <w:jc w:val="right"/>
              <w:rPr>
                <w:rFonts w:cs="Arial"/>
                <w:color w:val="000000"/>
                <w:sz w:val="20"/>
                <w:szCs w:val="20"/>
                <w:lang w:val="en-GB"/>
              </w:rPr>
            </w:pPr>
            <w:r>
              <w:rPr>
                <w:rFonts w:cs="Arial"/>
                <w:color w:val="000000"/>
                <w:sz w:val="20"/>
                <w:szCs w:val="20"/>
                <w:lang w:val="en-GB"/>
              </w:rPr>
              <w:t>4</w:t>
            </w:r>
          </w:p>
        </w:tc>
        <w:tc>
          <w:tcPr>
            <w:tcW w:w="772" w:type="pct"/>
            <w:tcBorders>
              <w:top w:val="nil"/>
              <w:left w:val="nil"/>
              <w:bottom w:val="single" w:color="auto" w:sz="4" w:space="0"/>
              <w:right w:val="single" w:color="auto" w:sz="4" w:space="0"/>
            </w:tcBorders>
            <w:noWrap/>
            <w:vAlign w:val="bottom"/>
          </w:tcPr>
          <w:p w14:paraId="451B21B4">
            <w:pPr>
              <w:jc w:val="right"/>
              <w:rPr>
                <w:rFonts w:cs="Arial"/>
                <w:color w:val="000000"/>
                <w:sz w:val="20"/>
                <w:szCs w:val="20"/>
                <w:lang w:val="en-GB"/>
              </w:rPr>
            </w:pPr>
            <w:r>
              <w:rPr>
                <w:rFonts w:cs="Arial"/>
                <w:color w:val="000000"/>
                <w:sz w:val="20"/>
                <w:szCs w:val="20"/>
                <w:lang w:val="en-GB"/>
              </w:rPr>
              <w:t>11</w:t>
            </w:r>
          </w:p>
        </w:tc>
        <w:tc>
          <w:tcPr>
            <w:tcW w:w="895" w:type="pct"/>
            <w:tcBorders>
              <w:top w:val="nil"/>
              <w:left w:val="nil"/>
              <w:bottom w:val="single" w:color="auto" w:sz="4" w:space="0"/>
              <w:right w:val="single" w:color="auto" w:sz="4" w:space="0"/>
            </w:tcBorders>
            <w:noWrap/>
            <w:vAlign w:val="bottom"/>
          </w:tcPr>
          <w:p w14:paraId="3CE8CE0F">
            <w:pPr>
              <w:jc w:val="right"/>
              <w:rPr>
                <w:rFonts w:cs="Arial"/>
                <w:color w:val="000000"/>
                <w:sz w:val="20"/>
                <w:szCs w:val="20"/>
                <w:lang w:val="en-GB"/>
              </w:rPr>
            </w:pPr>
            <w:r>
              <w:rPr>
                <w:rFonts w:cs="Arial"/>
                <w:color w:val="000000"/>
                <w:sz w:val="20"/>
                <w:szCs w:val="20"/>
                <w:lang w:val="en-GB"/>
              </w:rPr>
              <w:t>4</w:t>
            </w:r>
          </w:p>
        </w:tc>
        <w:tc>
          <w:tcPr>
            <w:tcW w:w="771" w:type="pct"/>
            <w:tcBorders>
              <w:top w:val="nil"/>
              <w:left w:val="nil"/>
              <w:bottom w:val="single" w:color="auto" w:sz="4" w:space="0"/>
              <w:right w:val="single" w:color="auto" w:sz="4" w:space="0"/>
            </w:tcBorders>
            <w:noWrap/>
            <w:vAlign w:val="bottom"/>
          </w:tcPr>
          <w:p w14:paraId="4A35DCDB">
            <w:pPr>
              <w:jc w:val="right"/>
              <w:rPr>
                <w:rFonts w:cs="Arial"/>
                <w:color w:val="000000"/>
                <w:sz w:val="20"/>
                <w:szCs w:val="20"/>
                <w:lang w:val="en-GB"/>
              </w:rPr>
            </w:pPr>
            <w:r>
              <w:rPr>
                <w:rFonts w:cs="Arial"/>
                <w:color w:val="000000"/>
                <w:sz w:val="20"/>
                <w:szCs w:val="20"/>
                <w:lang w:val="en-GB"/>
              </w:rPr>
              <w:t>25</w:t>
            </w:r>
          </w:p>
        </w:tc>
      </w:tr>
      <w:tr w14:paraId="69DFDEA3">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6E634EDF">
            <w:pPr>
              <w:jc w:val="right"/>
              <w:rPr>
                <w:rFonts w:cs="Arial"/>
                <w:color w:val="000000"/>
                <w:sz w:val="20"/>
                <w:szCs w:val="20"/>
                <w:lang w:val="en-GB"/>
              </w:rPr>
            </w:pPr>
            <w:r>
              <w:rPr>
                <w:rFonts w:cs="Arial"/>
                <w:color w:val="000000"/>
                <w:sz w:val="20"/>
                <w:szCs w:val="20"/>
                <w:lang w:val="en-GB"/>
              </w:rPr>
              <w:t>5</w:t>
            </w:r>
          </w:p>
        </w:tc>
        <w:tc>
          <w:tcPr>
            <w:tcW w:w="772" w:type="pct"/>
            <w:tcBorders>
              <w:top w:val="nil"/>
              <w:left w:val="nil"/>
              <w:bottom w:val="single" w:color="auto" w:sz="4" w:space="0"/>
              <w:right w:val="single" w:color="auto" w:sz="4" w:space="0"/>
            </w:tcBorders>
            <w:noWrap/>
            <w:vAlign w:val="bottom"/>
          </w:tcPr>
          <w:p w14:paraId="72D5A62A">
            <w:pPr>
              <w:jc w:val="right"/>
              <w:rPr>
                <w:rFonts w:cs="Arial"/>
                <w:color w:val="000000"/>
                <w:sz w:val="20"/>
                <w:szCs w:val="20"/>
                <w:lang w:val="en-GB"/>
              </w:rPr>
            </w:pPr>
            <w:r>
              <w:rPr>
                <w:rFonts w:cs="Arial"/>
                <w:color w:val="000000"/>
                <w:sz w:val="20"/>
                <w:szCs w:val="20"/>
                <w:lang w:val="en-GB"/>
              </w:rPr>
              <w:t>8</w:t>
            </w:r>
          </w:p>
        </w:tc>
        <w:tc>
          <w:tcPr>
            <w:tcW w:w="895" w:type="pct"/>
            <w:tcBorders>
              <w:top w:val="nil"/>
              <w:left w:val="nil"/>
              <w:bottom w:val="single" w:color="auto" w:sz="4" w:space="0"/>
              <w:right w:val="single" w:color="auto" w:sz="4" w:space="0"/>
            </w:tcBorders>
            <w:noWrap/>
            <w:vAlign w:val="bottom"/>
          </w:tcPr>
          <w:p w14:paraId="09547B7E">
            <w:pPr>
              <w:jc w:val="right"/>
              <w:rPr>
                <w:rFonts w:cs="Arial"/>
                <w:color w:val="000000"/>
                <w:sz w:val="20"/>
                <w:szCs w:val="20"/>
                <w:lang w:val="en-GB"/>
              </w:rPr>
            </w:pPr>
            <w:r>
              <w:rPr>
                <w:rFonts w:cs="Arial"/>
                <w:color w:val="000000"/>
                <w:sz w:val="20"/>
                <w:szCs w:val="20"/>
                <w:lang w:val="en-GB"/>
              </w:rPr>
              <w:t>5</w:t>
            </w:r>
          </w:p>
        </w:tc>
        <w:tc>
          <w:tcPr>
            <w:tcW w:w="772" w:type="pct"/>
            <w:tcBorders>
              <w:top w:val="nil"/>
              <w:left w:val="nil"/>
              <w:bottom w:val="single" w:color="auto" w:sz="4" w:space="0"/>
              <w:right w:val="single" w:color="auto" w:sz="4" w:space="0"/>
            </w:tcBorders>
            <w:noWrap/>
            <w:vAlign w:val="bottom"/>
          </w:tcPr>
          <w:p w14:paraId="09124959">
            <w:pPr>
              <w:jc w:val="right"/>
              <w:rPr>
                <w:rFonts w:cs="Arial"/>
                <w:color w:val="000000"/>
                <w:sz w:val="20"/>
                <w:szCs w:val="20"/>
                <w:lang w:val="en-GB"/>
              </w:rPr>
            </w:pPr>
            <w:r>
              <w:rPr>
                <w:rFonts w:cs="Arial"/>
                <w:color w:val="000000"/>
                <w:sz w:val="20"/>
                <w:szCs w:val="20"/>
                <w:lang w:val="en-GB"/>
              </w:rPr>
              <w:t>11</w:t>
            </w:r>
          </w:p>
        </w:tc>
        <w:tc>
          <w:tcPr>
            <w:tcW w:w="895" w:type="pct"/>
            <w:tcBorders>
              <w:top w:val="nil"/>
              <w:left w:val="nil"/>
              <w:bottom w:val="single" w:color="auto" w:sz="4" w:space="0"/>
              <w:right w:val="single" w:color="auto" w:sz="4" w:space="0"/>
            </w:tcBorders>
            <w:noWrap/>
            <w:vAlign w:val="bottom"/>
          </w:tcPr>
          <w:p w14:paraId="1D949421">
            <w:pPr>
              <w:jc w:val="right"/>
              <w:rPr>
                <w:rFonts w:cs="Arial"/>
                <w:color w:val="000000"/>
                <w:sz w:val="20"/>
                <w:szCs w:val="20"/>
                <w:lang w:val="en-GB"/>
              </w:rPr>
            </w:pPr>
            <w:r>
              <w:rPr>
                <w:rFonts w:cs="Arial"/>
                <w:color w:val="000000"/>
                <w:sz w:val="20"/>
                <w:szCs w:val="20"/>
                <w:lang w:val="en-GB"/>
              </w:rPr>
              <w:t>5</w:t>
            </w:r>
          </w:p>
        </w:tc>
        <w:tc>
          <w:tcPr>
            <w:tcW w:w="771" w:type="pct"/>
            <w:tcBorders>
              <w:top w:val="nil"/>
              <w:left w:val="nil"/>
              <w:bottom w:val="single" w:color="auto" w:sz="4" w:space="0"/>
              <w:right w:val="single" w:color="auto" w:sz="4" w:space="0"/>
            </w:tcBorders>
            <w:noWrap/>
            <w:vAlign w:val="bottom"/>
          </w:tcPr>
          <w:p w14:paraId="680383B0">
            <w:pPr>
              <w:jc w:val="right"/>
              <w:rPr>
                <w:rFonts w:cs="Arial"/>
                <w:color w:val="000000"/>
                <w:sz w:val="20"/>
                <w:szCs w:val="20"/>
                <w:lang w:val="en-GB"/>
              </w:rPr>
            </w:pPr>
            <w:r>
              <w:rPr>
                <w:rFonts w:cs="Arial"/>
                <w:color w:val="000000"/>
                <w:sz w:val="20"/>
                <w:szCs w:val="20"/>
                <w:lang w:val="en-GB"/>
              </w:rPr>
              <w:t>5</w:t>
            </w:r>
          </w:p>
        </w:tc>
      </w:tr>
      <w:tr w14:paraId="1B8DADA8">
        <w:tblPrEx>
          <w:tblCellMar>
            <w:top w:w="0" w:type="dxa"/>
            <w:left w:w="108" w:type="dxa"/>
            <w:bottom w:w="0" w:type="dxa"/>
            <w:right w:w="108" w:type="dxa"/>
          </w:tblCellMar>
        </w:tblPrEx>
        <w:trPr>
          <w:trHeight w:val="300" w:hRule="atLeast"/>
          <w:jc w:val="center"/>
        </w:trPr>
        <w:tc>
          <w:tcPr>
            <w:tcW w:w="895" w:type="pct"/>
            <w:tcBorders>
              <w:top w:val="nil"/>
              <w:left w:val="single" w:color="auto" w:sz="4" w:space="0"/>
              <w:bottom w:val="single" w:color="auto" w:sz="4" w:space="0"/>
              <w:right w:val="single" w:color="auto" w:sz="4" w:space="0"/>
            </w:tcBorders>
            <w:noWrap/>
            <w:vAlign w:val="bottom"/>
          </w:tcPr>
          <w:p w14:paraId="4C6CFC0A">
            <w:pPr>
              <w:jc w:val="left"/>
              <w:rPr>
                <w:rFonts w:cs="Arial"/>
                <w:color w:val="000000"/>
                <w:sz w:val="20"/>
                <w:szCs w:val="20"/>
                <w:lang w:val="en-GB"/>
              </w:rPr>
            </w:pPr>
            <w:r>
              <w:rPr>
                <w:rFonts w:cs="Arial"/>
                <w:color w:val="000000"/>
                <w:sz w:val="20"/>
                <w:szCs w:val="20"/>
                <w:lang w:val="en-GB"/>
              </w:rPr>
              <w:t>IRR</w:t>
            </w:r>
          </w:p>
        </w:tc>
        <w:tc>
          <w:tcPr>
            <w:tcW w:w="772" w:type="pct"/>
            <w:tcBorders>
              <w:top w:val="nil"/>
              <w:left w:val="nil"/>
              <w:bottom w:val="single" w:color="auto" w:sz="4" w:space="0"/>
              <w:right w:val="single" w:color="auto" w:sz="4" w:space="0"/>
            </w:tcBorders>
            <w:noWrap/>
            <w:vAlign w:val="bottom"/>
          </w:tcPr>
          <w:p w14:paraId="0C0DE9E5">
            <w:pPr>
              <w:jc w:val="right"/>
              <w:rPr>
                <w:rFonts w:cs="Arial"/>
                <w:color w:val="000000"/>
                <w:sz w:val="20"/>
                <w:szCs w:val="20"/>
                <w:lang w:val="en-GB"/>
              </w:rPr>
            </w:pPr>
            <w:r>
              <w:rPr>
                <w:rFonts w:cs="Arial"/>
                <w:color w:val="000000"/>
                <w:sz w:val="20"/>
                <w:szCs w:val="20"/>
                <w:lang w:val="en-GB"/>
              </w:rPr>
              <w:t>3%</w:t>
            </w:r>
          </w:p>
        </w:tc>
        <w:tc>
          <w:tcPr>
            <w:tcW w:w="895" w:type="pct"/>
            <w:tcBorders>
              <w:top w:val="nil"/>
              <w:left w:val="nil"/>
              <w:bottom w:val="single" w:color="auto" w:sz="4" w:space="0"/>
              <w:right w:val="single" w:color="auto" w:sz="4" w:space="0"/>
            </w:tcBorders>
            <w:noWrap/>
            <w:vAlign w:val="bottom"/>
          </w:tcPr>
          <w:p w14:paraId="0CD2BD01">
            <w:pPr>
              <w:jc w:val="left"/>
              <w:rPr>
                <w:rFonts w:cs="Arial"/>
                <w:color w:val="000000"/>
                <w:sz w:val="20"/>
                <w:szCs w:val="20"/>
                <w:lang w:val="en-GB"/>
              </w:rPr>
            </w:pPr>
            <w:r>
              <w:rPr>
                <w:rFonts w:cs="Arial"/>
                <w:color w:val="000000"/>
                <w:sz w:val="20"/>
                <w:szCs w:val="20"/>
                <w:lang w:val="en-GB"/>
              </w:rPr>
              <w:t>IRR</w:t>
            </w:r>
          </w:p>
        </w:tc>
        <w:tc>
          <w:tcPr>
            <w:tcW w:w="772" w:type="pct"/>
            <w:tcBorders>
              <w:top w:val="nil"/>
              <w:left w:val="nil"/>
              <w:bottom w:val="single" w:color="auto" w:sz="4" w:space="0"/>
              <w:right w:val="single" w:color="auto" w:sz="4" w:space="0"/>
            </w:tcBorders>
            <w:noWrap/>
            <w:vAlign w:val="bottom"/>
          </w:tcPr>
          <w:p w14:paraId="0BA9756E">
            <w:pPr>
              <w:jc w:val="right"/>
              <w:rPr>
                <w:rFonts w:cs="Arial"/>
                <w:color w:val="000000"/>
                <w:sz w:val="20"/>
                <w:szCs w:val="20"/>
                <w:lang w:val="en-GB"/>
              </w:rPr>
            </w:pPr>
            <w:r>
              <w:rPr>
                <w:rFonts w:cs="Arial"/>
                <w:color w:val="000000"/>
                <w:sz w:val="20"/>
                <w:szCs w:val="20"/>
                <w:lang w:val="en-GB"/>
              </w:rPr>
              <w:t>3%</w:t>
            </w:r>
          </w:p>
        </w:tc>
        <w:tc>
          <w:tcPr>
            <w:tcW w:w="895" w:type="pct"/>
            <w:tcBorders>
              <w:top w:val="nil"/>
              <w:left w:val="nil"/>
              <w:bottom w:val="single" w:color="auto" w:sz="4" w:space="0"/>
              <w:right w:val="single" w:color="auto" w:sz="4" w:space="0"/>
            </w:tcBorders>
            <w:noWrap/>
            <w:vAlign w:val="bottom"/>
          </w:tcPr>
          <w:p w14:paraId="7F0ABAEC">
            <w:pPr>
              <w:jc w:val="left"/>
              <w:rPr>
                <w:rFonts w:cs="Arial"/>
                <w:color w:val="000000"/>
                <w:sz w:val="20"/>
                <w:szCs w:val="20"/>
                <w:lang w:val="en-GB"/>
              </w:rPr>
            </w:pPr>
            <w:r>
              <w:rPr>
                <w:rFonts w:cs="Arial"/>
                <w:color w:val="000000"/>
                <w:sz w:val="20"/>
                <w:szCs w:val="20"/>
                <w:lang w:val="en-GB"/>
              </w:rPr>
              <w:t>IRR</w:t>
            </w:r>
          </w:p>
        </w:tc>
        <w:tc>
          <w:tcPr>
            <w:tcW w:w="771" w:type="pct"/>
            <w:tcBorders>
              <w:top w:val="nil"/>
              <w:left w:val="nil"/>
              <w:bottom w:val="single" w:color="auto" w:sz="4" w:space="0"/>
              <w:right w:val="single" w:color="auto" w:sz="4" w:space="0"/>
            </w:tcBorders>
            <w:noWrap/>
            <w:vAlign w:val="bottom"/>
          </w:tcPr>
          <w:p w14:paraId="59B1F841">
            <w:pPr>
              <w:jc w:val="right"/>
              <w:rPr>
                <w:rFonts w:cs="Arial"/>
                <w:color w:val="000000"/>
                <w:sz w:val="20"/>
                <w:szCs w:val="20"/>
                <w:lang w:val="en-GB"/>
              </w:rPr>
            </w:pPr>
            <w:r>
              <w:rPr>
                <w:rFonts w:cs="Arial"/>
                <w:color w:val="000000"/>
                <w:sz w:val="20"/>
                <w:szCs w:val="20"/>
                <w:lang w:val="en-GB"/>
              </w:rPr>
              <w:t>9%</w:t>
            </w:r>
          </w:p>
        </w:tc>
      </w:tr>
    </w:tbl>
    <w:p w14:paraId="1221B125">
      <w:pPr>
        <w:jc w:val="center"/>
        <w:rPr>
          <w:rFonts w:cs="Arial"/>
          <w:lang w:val="en-GB"/>
        </w:rPr>
      </w:pPr>
      <w:r>
        <w:rPr>
          <w:rFonts w:cs="Arial"/>
          <w:lang w:val="en-GB"/>
        </w:rPr>
        <w:t>(Source: MS Excel)</w:t>
      </w:r>
    </w:p>
    <w:p w14:paraId="1DD330F5">
      <w:pPr>
        <w:rPr>
          <w:rFonts w:cs="Arial"/>
          <w:lang w:val="en-GB"/>
        </w:rPr>
      </w:pPr>
      <w:r>
        <w:rPr>
          <w:rFonts w:cs="Arial"/>
          <w:lang w:val="en-GB"/>
        </w:rPr>
        <w:br w:type="page"/>
      </w:r>
    </w:p>
    <w:p w14:paraId="383D5F74">
      <w:pPr>
        <w:pStyle w:val="3"/>
      </w:pPr>
      <w:bookmarkStart w:id="60" w:name="_Toc237521540"/>
      <w:bookmarkStart w:id="61" w:name="_Toc237522637"/>
      <w:r>
        <w:t>Appendix 3: Graphical Presentation</w:t>
      </w:r>
      <w:bookmarkEnd w:id="60"/>
      <w:bookmarkEnd w:id="61"/>
      <w:r>
        <w:t xml:space="preserve"> </w:t>
      </w:r>
    </w:p>
    <w:p w14:paraId="2583A50E">
      <w:pPr>
        <w:jc w:val="center"/>
        <w:rPr>
          <w:rFonts w:cs="Arial"/>
          <w:color w:val="000000" w:themeColor="text1"/>
          <w:lang w:val="en-GB"/>
          <w14:textFill>
            <w14:solidFill>
              <w14:schemeClr w14:val="tx1"/>
            </w14:solidFill>
          </w14:textFill>
        </w:rPr>
      </w:pPr>
      <w:r>
        <w:rPr>
          <w:rFonts w:cs="Arial"/>
          <w:lang w:val="en-GB"/>
        </w:rPr>
        <w:drawing>
          <wp:inline distT="0" distB="0" distL="0" distR="0">
            <wp:extent cx="3695700" cy="2343150"/>
            <wp:effectExtent l="0" t="0" r="0" b="0"/>
            <wp:docPr id="13938170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65FE19A">
      <w:pPr>
        <w:jc w:val="center"/>
        <w:rPr>
          <w:rFonts w:cs="Arial"/>
          <w:color w:val="000000" w:themeColor="text1"/>
          <w:lang w:val="en-GB"/>
          <w14:textFill>
            <w14:solidFill>
              <w14:schemeClr w14:val="tx1"/>
            </w14:solidFill>
          </w14:textFill>
        </w:rPr>
      </w:pPr>
      <w:r>
        <w:rPr>
          <w:rFonts w:cs="Arial"/>
          <w:lang w:val="en-GB"/>
        </w:rPr>
        <w:drawing>
          <wp:inline distT="0" distB="0" distL="0" distR="0">
            <wp:extent cx="4434840" cy="2657475"/>
            <wp:effectExtent l="0" t="0" r="3810" b="9525"/>
            <wp:docPr id="165433840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75EB0C7">
      <w:pPr>
        <w:jc w:val="center"/>
        <w:rPr>
          <w:rFonts w:cs="Arial"/>
          <w:color w:val="000000" w:themeColor="text1"/>
          <w:lang w:val="en-GB"/>
          <w14:textFill>
            <w14:solidFill>
              <w14:schemeClr w14:val="tx1"/>
            </w14:solidFill>
          </w14:textFill>
        </w:rPr>
      </w:pPr>
      <w:r>
        <w:rPr>
          <w:rFonts w:cs="Arial"/>
          <w:lang w:val="en-GB"/>
        </w:rPr>
        <w:drawing>
          <wp:inline distT="0" distB="0" distL="0" distR="0">
            <wp:extent cx="4434840" cy="2646045"/>
            <wp:effectExtent l="0" t="0" r="3810" b="1905"/>
            <wp:docPr id="18783639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6B0A859">
      <w:pPr>
        <w:jc w:val="center"/>
        <w:rPr>
          <w:rFonts w:cs="Arial"/>
          <w:color w:val="000000" w:themeColor="text1"/>
          <w:lang w:val="en-GB"/>
          <w14:textFill>
            <w14:solidFill>
              <w14:schemeClr w14:val="tx1"/>
            </w14:solidFill>
          </w14:textFill>
        </w:rPr>
      </w:pPr>
      <w:r>
        <w:rPr>
          <w:rFonts w:cs="Arial"/>
          <w:lang w:val="en-GB"/>
        </w:rPr>
        <w:drawing>
          <wp:inline distT="0" distB="0" distL="0" distR="0">
            <wp:extent cx="4406265" cy="2657475"/>
            <wp:effectExtent l="0" t="0" r="13335" b="9525"/>
            <wp:docPr id="6804156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23720F2">
      <w:pPr>
        <w:jc w:val="center"/>
        <w:rPr>
          <w:rFonts w:cs="Arial"/>
          <w:color w:val="000000" w:themeColor="text1"/>
          <w:lang w:val="en-GB"/>
          <w14:textFill>
            <w14:solidFill>
              <w14:schemeClr w14:val="tx1"/>
            </w14:solidFill>
          </w14:textFill>
        </w:rPr>
      </w:pPr>
    </w:p>
    <w:p w14:paraId="07F7A9C0">
      <w:pPr>
        <w:jc w:val="center"/>
        <w:rPr>
          <w:rFonts w:cs="Arial"/>
          <w:color w:val="000000" w:themeColor="text1"/>
          <w:lang w:val="en-GB"/>
          <w14:textFill>
            <w14:solidFill>
              <w14:schemeClr w14:val="tx1"/>
            </w14:solidFill>
          </w14:textFill>
        </w:rPr>
      </w:pPr>
      <w:r>
        <w:rPr>
          <w:rFonts w:cs="Arial"/>
          <w:lang w:val="en-GB"/>
        </w:rPr>
        <w:drawing>
          <wp:inline distT="0" distB="0" distL="0" distR="0">
            <wp:extent cx="4371975" cy="2646045"/>
            <wp:effectExtent l="0" t="0" r="9525" b="1905"/>
            <wp:docPr id="149407090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7C76A13">
      <w:pPr>
        <w:jc w:val="center"/>
        <w:rPr>
          <w:rFonts w:cs="Arial"/>
          <w:lang w:val="en-GB"/>
        </w:rPr>
      </w:pPr>
      <w:r>
        <w:rPr>
          <w:rFonts w:cs="Arial"/>
          <w:lang w:val="en-GB"/>
        </w:rPr>
        <w:drawing>
          <wp:inline distT="0" distB="0" distL="0" distR="0">
            <wp:extent cx="4907280" cy="3451860"/>
            <wp:effectExtent l="0" t="0" r="7620" b="15240"/>
            <wp:docPr id="174118542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F2BFDC9">
      <w:pPr>
        <w:jc w:val="center"/>
        <w:rPr>
          <w:rFonts w:cs="Arial"/>
          <w:lang w:val="en-GB"/>
        </w:rPr>
      </w:pPr>
      <w:r>
        <w:rPr>
          <w:rFonts w:cs="Arial"/>
          <w:lang w:val="en-GB"/>
        </w:rPr>
        <w:t>(Source: MS Excel)</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E431E034-D0FF-4A67-8C6A-F008F368B5CF}"/>
  </w:font>
  <w:font w:name="Arial">
    <w:panose1 w:val="020B0604020202020204"/>
    <w:charset w:val="00"/>
    <w:family w:val="swiss"/>
    <w:pitch w:val="default"/>
    <w:sig w:usb0="E0002EFF" w:usb1="C000785B" w:usb2="00000009" w:usb3="00000000" w:csb0="400001FF" w:csb1="FFFF0000"/>
    <w:embedRegular r:id="rId2" w:fontKey="{69CD678D-B9AB-48C7-A2E7-642115815DDD}"/>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2D39197B-5DEC-448D-8F09-E3F24C9A5EEF}"/>
  </w:font>
  <w:font w:name="Wingdings">
    <w:panose1 w:val="05000000000000000000"/>
    <w:charset w:val="02"/>
    <w:family w:val="auto"/>
    <w:pitch w:val="default"/>
    <w:sig w:usb0="00000000" w:usb1="00000000" w:usb2="00000000" w:usb3="00000000" w:csb0="80000000" w:csb1="00000000"/>
    <w:embedRegular r:id="rId4" w:fontKey="{75EAD22D-3F33-40F4-8A84-D68850D0279B}"/>
  </w:font>
  <w:font w:name="Calibri">
    <w:panose1 w:val="020F0502020204030204"/>
    <w:charset w:val="00"/>
    <w:family w:val="swiss"/>
    <w:pitch w:val="default"/>
    <w:sig w:usb0="E4002EFF" w:usb1="C200247B" w:usb2="00000009" w:usb3="00000000" w:csb0="200001FF" w:csb1="00000000"/>
    <w:embedRegular r:id="rId5" w:fontKey="{48D2B487-ED98-4BCF-8624-7D0AE3A71313}"/>
  </w:font>
  <w:font w:name="Cambria">
    <w:panose1 w:val="02040503050406030204"/>
    <w:charset w:val="00"/>
    <w:family w:val="roman"/>
    <w:pitch w:val="default"/>
    <w:sig w:usb0="E00006FF" w:usb1="420024FF" w:usb2="02000000" w:usb3="00000000" w:csb0="2000019F" w:csb1="00000000"/>
    <w:embedRegular r:id="rId6" w:fontKey="{A1321CB7-8C35-4F6F-A4F2-AC8B1A11C20B}"/>
  </w:font>
  <w:font w:name="Arial Unicode MS">
    <w:altName w:val="Arial"/>
    <w:panose1 w:val="020B0604020202020204"/>
    <w:charset w:val="00"/>
    <w:family w:val="auto"/>
    <w:pitch w:val="default"/>
    <w:sig w:usb0="00000000" w:usb1="00000000" w:usb2="00000000" w:usb3="00000000" w:csb0="00000000" w:csb1="00000000"/>
  </w:font>
  <w:font w:name="Roboto">
    <w:panose1 w:val="02000000000000000000"/>
    <w:charset w:val="00"/>
    <w:family w:val="auto"/>
    <w:pitch w:val="default"/>
    <w:sig w:usb0="E0000AFF" w:usb1="5000217F" w:usb2="00000021" w:usb3="00000000" w:csb0="2000019F" w:csb1="00000000"/>
    <w:embedRegular r:id="rId7" w:fontKey="{CB6D6837-24A1-482B-8E1C-647BA265CDF9}"/>
  </w:font>
  <w:font w:name="Cambria Math">
    <w:panose1 w:val="02040503050406030204"/>
    <w:charset w:val="00"/>
    <w:family w:val="roman"/>
    <w:pitch w:val="default"/>
    <w:sig w:usb0="E00006FF" w:usb1="420024FF" w:usb2="02000000" w:usb3="00000000" w:csb0="2000019F" w:csb1="00000000"/>
    <w:embedRegular r:id="rId8" w:fontKey="{7F380466-8301-4934-AB13-81608ABC945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029497"/>
      <w:docPartObj>
        <w:docPartGallery w:val="AutoText"/>
      </w:docPartObj>
    </w:sdtPr>
    <w:sdtEndPr>
      <w:rPr>
        <w:sz w:val="20"/>
        <w:szCs w:val="20"/>
      </w:rPr>
    </w:sdtEndPr>
    <w:sdtContent>
      <w:p w14:paraId="64C23656">
        <w:pPr>
          <w:pStyle w:val="12"/>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sdtContent>
  </w:sdt>
  <w:p w14:paraId="24EFD0E1">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65567B"/>
    <w:multiLevelType w:val="multilevel"/>
    <w:tmpl w:val="6E65567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62"/>
    <w:rsid w:val="000038E2"/>
    <w:rsid w:val="00047431"/>
    <w:rsid w:val="00067A52"/>
    <w:rsid w:val="00071304"/>
    <w:rsid w:val="000856B2"/>
    <w:rsid w:val="000D6582"/>
    <w:rsid w:val="00104A72"/>
    <w:rsid w:val="00180057"/>
    <w:rsid w:val="001C5277"/>
    <w:rsid w:val="00241F18"/>
    <w:rsid w:val="00263FE1"/>
    <w:rsid w:val="00282D36"/>
    <w:rsid w:val="002F0E25"/>
    <w:rsid w:val="003A7F78"/>
    <w:rsid w:val="003B67E3"/>
    <w:rsid w:val="004258D2"/>
    <w:rsid w:val="004275BB"/>
    <w:rsid w:val="004F2C4D"/>
    <w:rsid w:val="005576C7"/>
    <w:rsid w:val="0057698C"/>
    <w:rsid w:val="005952EC"/>
    <w:rsid w:val="00650327"/>
    <w:rsid w:val="006C7C36"/>
    <w:rsid w:val="006E7D6B"/>
    <w:rsid w:val="00737E40"/>
    <w:rsid w:val="00764C7A"/>
    <w:rsid w:val="0077143B"/>
    <w:rsid w:val="007B3CA5"/>
    <w:rsid w:val="007E6BB2"/>
    <w:rsid w:val="00821C05"/>
    <w:rsid w:val="00825C96"/>
    <w:rsid w:val="008A3049"/>
    <w:rsid w:val="008A557E"/>
    <w:rsid w:val="008E6BB1"/>
    <w:rsid w:val="00904F5F"/>
    <w:rsid w:val="00943C2D"/>
    <w:rsid w:val="009A0FFA"/>
    <w:rsid w:val="009A711B"/>
    <w:rsid w:val="009F551E"/>
    <w:rsid w:val="00AC0A49"/>
    <w:rsid w:val="00BC6282"/>
    <w:rsid w:val="00CC1724"/>
    <w:rsid w:val="00D3460F"/>
    <w:rsid w:val="00E24C84"/>
    <w:rsid w:val="00E82362"/>
    <w:rsid w:val="00EA5F56"/>
    <w:rsid w:val="00EC4B41"/>
    <w:rsid w:val="00F075F9"/>
    <w:rsid w:val="00FA291E"/>
    <w:rsid w:val="00FF0EE3"/>
    <w:rsid w:val="73E74D1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360" w:lineRule="auto"/>
      <w:jc w:val="both"/>
    </w:pPr>
    <w:rPr>
      <w:rFonts w:ascii="Arial" w:hAnsi="Arial" w:eastAsia="Times New Roman" w:cs="Times New Roman"/>
      <w:sz w:val="24"/>
      <w:szCs w:val="24"/>
      <w:lang w:val="en" w:eastAsia="en-IN" w:bidi="ar-SA"/>
    </w:rPr>
  </w:style>
  <w:style w:type="paragraph" w:styleId="2">
    <w:name w:val="heading 1"/>
    <w:basedOn w:val="1"/>
    <w:next w:val="1"/>
    <w:qFormat/>
    <w:uiPriority w:val="9"/>
    <w:pPr>
      <w:outlineLvl w:val="0"/>
    </w:pPr>
    <w:rPr>
      <w:rFonts w:eastAsia="Arial" w:cs="Arial"/>
      <w:b/>
      <w:bCs/>
      <w:lang w:val="en-GB"/>
    </w:rPr>
  </w:style>
  <w:style w:type="paragraph" w:styleId="3">
    <w:name w:val="heading 2"/>
    <w:basedOn w:val="2"/>
    <w:next w:val="1"/>
    <w:unhideWhenUsed/>
    <w:qFormat/>
    <w:uiPriority w:val="9"/>
    <w:pPr>
      <w:outlineLvl w:val="1"/>
    </w:p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annotation reference"/>
    <w:basedOn w:val="8"/>
    <w:semiHidden/>
    <w:unhideWhenUsed/>
    <w:qFormat/>
    <w:uiPriority w:val="99"/>
    <w:rPr>
      <w:sz w:val="16"/>
      <w:szCs w:val="16"/>
    </w:rPr>
  </w:style>
  <w:style w:type="paragraph" w:styleId="11">
    <w:name w:val="annotation text"/>
    <w:basedOn w:val="1"/>
    <w:link w:val="22"/>
    <w:semiHidden/>
    <w:unhideWhenUsed/>
    <w:qFormat/>
    <w:uiPriority w:val="99"/>
    <w:pPr>
      <w:spacing w:line="240" w:lineRule="auto"/>
    </w:pPr>
    <w:rPr>
      <w:sz w:val="20"/>
      <w:szCs w:val="20"/>
    </w:rPr>
  </w:style>
  <w:style w:type="paragraph" w:styleId="12">
    <w:name w:val="footer"/>
    <w:basedOn w:val="1"/>
    <w:link w:val="25"/>
    <w:unhideWhenUsed/>
    <w:qFormat/>
    <w:uiPriority w:val="99"/>
    <w:pPr>
      <w:tabs>
        <w:tab w:val="center" w:pos="4513"/>
        <w:tab w:val="right" w:pos="9026"/>
      </w:tabs>
      <w:spacing w:before="0" w:after="0" w:line="240" w:lineRule="auto"/>
    </w:pPr>
  </w:style>
  <w:style w:type="paragraph" w:styleId="13">
    <w:name w:val="header"/>
    <w:basedOn w:val="1"/>
    <w:link w:val="24"/>
    <w:unhideWhenUsed/>
    <w:qFormat/>
    <w:uiPriority w:val="99"/>
    <w:pPr>
      <w:tabs>
        <w:tab w:val="center" w:pos="4513"/>
        <w:tab w:val="right" w:pos="9026"/>
      </w:tabs>
      <w:spacing w:before="0" w:after="0" w:line="240" w:lineRule="auto"/>
    </w:pPr>
  </w:style>
  <w:style w:type="character" w:styleId="14">
    <w:name w:val="Hyperlink"/>
    <w:basedOn w:val="8"/>
    <w:unhideWhenUsed/>
    <w:qFormat/>
    <w:uiPriority w:val="99"/>
    <w:rPr>
      <w:color w:val="0000FF" w:themeColor="hyperlink"/>
      <w:u w:val="single"/>
      <w14:textFill>
        <w14:solidFill>
          <w14:schemeClr w14:val="hlink"/>
        </w14:solidFill>
      </w14:textFill>
    </w:rPr>
  </w:style>
  <w:style w:type="paragraph" w:styleId="15">
    <w:name w:val="Normal (Web)"/>
    <w:basedOn w:val="1"/>
    <w:unhideWhenUsed/>
    <w:qFormat/>
    <w:uiPriority w:val="99"/>
    <w:pPr>
      <w:spacing w:before="100" w:beforeAutospacing="1" w:after="100" w:afterAutospacing="1" w:line="240" w:lineRule="auto"/>
      <w:jc w:val="left"/>
    </w:pPr>
    <w:rPr>
      <w:lang w:val="en-IN"/>
    </w:rPr>
  </w:style>
  <w:style w:type="paragraph" w:styleId="16">
    <w:name w:val="Subtitle"/>
    <w:basedOn w:val="1"/>
    <w:next w:val="1"/>
    <w:qFormat/>
    <w:uiPriority w:val="11"/>
    <w:pPr>
      <w:keepNext/>
      <w:keepLines/>
      <w:spacing w:before="0" w:after="320"/>
    </w:pPr>
    <w:rPr>
      <w:rFonts w:eastAsia="Arial" w:cs="Arial"/>
      <w:color w:val="666666"/>
      <w:sz w:val="30"/>
      <w:szCs w:val="30"/>
    </w:rPr>
  </w:style>
  <w:style w:type="paragraph" w:styleId="17">
    <w:name w:val="Title"/>
    <w:basedOn w:val="1"/>
    <w:next w:val="1"/>
    <w:qFormat/>
    <w:uiPriority w:val="10"/>
    <w:pPr>
      <w:keepNext/>
      <w:keepLines/>
      <w:spacing w:before="0" w:after="60"/>
    </w:pPr>
    <w:rPr>
      <w:sz w:val="52"/>
      <w:szCs w:val="52"/>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40"/>
    </w:pPr>
  </w:style>
  <w:style w:type="paragraph" w:styleId="20">
    <w:name w:val="toc 3"/>
    <w:basedOn w:val="1"/>
    <w:next w:val="1"/>
    <w:autoRedefine/>
    <w:unhideWhenUsed/>
    <w:qFormat/>
    <w:uiPriority w:val="39"/>
    <w:pPr>
      <w:spacing w:after="100"/>
      <w:ind w:left="480"/>
    </w:pPr>
  </w:style>
  <w:style w:type="table" w:customStyle="1" w:styleId="21">
    <w:name w:val="TableNormal"/>
    <w:qFormat/>
    <w:uiPriority w:val="0"/>
    <w:tblPr>
      <w:tblCellMar>
        <w:top w:w="100" w:type="dxa"/>
        <w:left w:w="100" w:type="dxa"/>
        <w:bottom w:w="100" w:type="dxa"/>
        <w:right w:w="100" w:type="dxa"/>
      </w:tblCellMar>
    </w:tblPr>
  </w:style>
  <w:style w:type="character" w:customStyle="1" w:styleId="22">
    <w:name w:val="Comment Text Char"/>
    <w:basedOn w:val="8"/>
    <w:link w:val="11"/>
    <w:semiHidden/>
    <w:qFormat/>
    <w:uiPriority w:val="99"/>
    <w:rPr>
      <w:sz w:val="20"/>
      <w:szCs w:val="20"/>
    </w:rPr>
  </w:style>
  <w:style w:type="paragraph" w:customStyle="1" w:styleId="23">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 w:type="character" w:customStyle="1" w:styleId="24">
    <w:name w:val="Header Char"/>
    <w:basedOn w:val="8"/>
    <w:link w:val="13"/>
    <w:qFormat/>
    <w:uiPriority w:val="99"/>
  </w:style>
  <w:style w:type="character" w:customStyle="1" w:styleId="25">
    <w:name w:val="Footer Char"/>
    <w:basedOn w:val="8"/>
    <w:link w:val="12"/>
    <w:qFormat/>
    <w:uiPriority w:val="99"/>
  </w:style>
  <w:style w:type="character" w:customStyle="1" w:styleId="26">
    <w:name w:val="font-ligatures-none"/>
    <w:basedOn w:val="8"/>
    <w:qFormat/>
    <w:uiPriority w:val="0"/>
  </w:style>
  <w:style w:type="character" w:customStyle="1" w:styleId="27">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customXml" Target="../customXml/item1.xml"/><Relationship Id="rId35" Type="http://schemas.openxmlformats.org/officeDocument/2006/relationships/numbering" Target="numbering.xml"/><Relationship Id="rId34" Type="http://schemas.openxmlformats.org/officeDocument/2006/relationships/chart" Target="charts/chart6.xml"/><Relationship Id="rId33" Type="http://schemas.openxmlformats.org/officeDocument/2006/relationships/chart" Target="charts/chart5.xml"/><Relationship Id="rId32" Type="http://schemas.openxmlformats.org/officeDocument/2006/relationships/chart" Target="charts/chart4.xml"/><Relationship Id="rId31" Type="http://schemas.openxmlformats.org/officeDocument/2006/relationships/chart" Target="charts/chart3.xml"/><Relationship Id="rId30" Type="http://schemas.openxmlformats.org/officeDocument/2006/relationships/chart" Target="charts/chart2.xml"/><Relationship Id="rId3" Type="http://schemas.openxmlformats.org/officeDocument/2006/relationships/footnotes" Target="footnotes.xml"/><Relationship Id="rId29" Type="http://schemas.openxmlformats.org/officeDocument/2006/relationships/chart" Target="charts/chart1.xml"/><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D:\Aman\13-08-2026\1234-(1538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D:\Aman\13-08-2026\1234-(1538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D:\Aman\13-08-2026\1234-(1538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Aman\13-08-2026\1234-(1538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Aman\13-08-2026\1234-(15381).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Aman\13-08-2026\1234-(1538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1" i="0" u="none" strike="noStrike" kern="1200" spc="0" baseline="0">
                <a:solidFill>
                  <a:schemeClr val="tx1">
                    <a:lumMod val="65000"/>
                    <a:lumOff val="35000"/>
                  </a:schemeClr>
                </a:solidFill>
                <a:latin typeface="+mn-lt"/>
                <a:ea typeface="+mn-ea"/>
                <a:cs typeface="+mn-cs"/>
              </a:defRPr>
            </a:pPr>
            <a:r>
              <a:rPr lang="en-IN" b="1"/>
              <a:t>Profitability Ratio </a:t>
            </a:r>
            <a:endParaRPr lang="en-IN" b="1"/>
          </a:p>
        </c:rich>
      </c:tx>
      <c:layout/>
      <c:overlay val="0"/>
      <c:spPr>
        <a:noFill/>
        <a:ln>
          <a:noFill/>
        </a:ln>
        <a:effectLst/>
      </c:spPr>
    </c:title>
    <c:autoTitleDeleted val="0"/>
    <c:plotArea>
      <c:layout/>
      <c:barChart>
        <c:barDir val="bar"/>
        <c:grouping val="clustered"/>
        <c:varyColors val="0"/>
        <c:ser>
          <c:idx val="0"/>
          <c:order val="0"/>
          <c:tx>
            <c:strRef>
              <c:f>Ratio!$E$3:$E$4</c:f>
              <c:strCache>
                <c:ptCount val="1"/>
                <c:pt idx="0">
                  <c:v>Profitability Ratio Analysis 2025 ($, millions)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(Ratio!$C$5,Ratio!$C$8)</c:f>
              <c:strCache>
                <c:ptCount val="2"/>
                <c:pt idx="0">
                  <c:v>Net Profit Margin</c:v>
                </c:pt>
                <c:pt idx="1">
                  <c:v>Return on Assets (ROA)</c:v>
                </c:pt>
              </c:strCache>
            </c:strRef>
          </c:cat>
          <c:val>
            <c:numRef>
              <c:f>(Ratio!$E$5,Ratio!$E$8)</c:f>
              <c:numCache>
                <c:formatCode>0.00%</c:formatCode>
                <c:ptCount val="2"/>
                <c:pt idx="0">
                  <c:v>0.121355594318465</c:v>
                </c:pt>
                <c:pt idx="1" c:formatCode="0%">
                  <c:v>0.0870990819124836</c:v>
                </c:pt>
              </c:numCache>
            </c:numRef>
          </c:val>
        </c:ser>
        <c:ser>
          <c:idx val="1"/>
          <c:order val="1"/>
          <c:tx>
            <c:strRef>
              <c:f>Ratio!$F$3:$F$4</c:f>
              <c:strCache>
                <c:ptCount val="1"/>
                <c:pt idx="0">
                  <c:v>Profitability Ratio Analysis 2024 ($, millions)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(Ratio!$C$5,Ratio!$C$8)</c:f>
              <c:strCache>
                <c:ptCount val="2"/>
                <c:pt idx="0">
                  <c:v>Net Profit Margin</c:v>
                </c:pt>
                <c:pt idx="1">
                  <c:v>Return on Assets (ROA)</c:v>
                </c:pt>
              </c:strCache>
            </c:strRef>
          </c:cat>
          <c:val>
            <c:numRef>
              <c:f>(Ratio!$F$5,Ratio!$F$8)</c:f>
              <c:numCache>
                <c:formatCode>0.00%</c:formatCode>
                <c:ptCount val="2"/>
                <c:pt idx="0">
                  <c:v>0.137730445677466</c:v>
                </c:pt>
                <c:pt idx="1" c:formatCode="0%">
                  <c:v>0.0931485292337489</c:v>
                </c:pt>
              </c:numCache>
            </c:numRef>
          </c:val>
        </c:ser>
        <c:ser>
          <c:idx val="2"/>
          <c:order val="2"/>
          <c:tx>
            <c:strRef>
              <c:f>Ratio!$G$3:$G$4</c:f>
              <c:strCache>
                <c:ptCount val="1"/>
                <c:pt idx="0">
                  <c:v>Profitability Ratio Analysis 2023 ($, millions)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(Ratio!$C$5,Ratio!$C$8)</c:f>
              <c:strCache>
                <c:ptCount val="2"/>
                <c:pt idx="0">
                  <c:v>Net Profit Margin</c:v>
                </c:pt>
                <c:pt idx="1">
                  <c:v>Return on Assets (ROA)</c:v>
                </c:pt>
              </c:strCache>
            </c:strRef>
          </c:cat>
          <c:val>
            <c:numRef>
              <c:f>(Ratio!$G$5,Ratio!$G$8)</c:f>
              <c:numCache>
                <c:formatCode>0.00%</c:formatCode>
                <c:ptCount val="2"/>
                <c:pt idx="0">
                  <c:v>0.112457254518808</c:v>
                </c:pt>
                <c:pt idx="1" c:formatCode="0%">
                  <c:v>0.0747354067917668</c:v>
                </c:pt>
              </c:numCache>
            </c:numRef>
          </c:val>
        </c:ser>
        <c:ser>
          <c:idx val="3"/>
          <c:order val="3"/>
          <c:tx>
            <c:strRef>
              <c:f>Ratio!$H$3:$H$4</c:f>
              <c:strCache>
                <c:ptCount val="1"/>
                <c:pt idx="0">
                  <c:v>Profitability Ratio Analysis 2022 ($, millions)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(Ratio!$C$5,Ratio!$C$8)</c:f>
              <c:strCache>
                <c:ptCount val="2"/>
                <c:pt idx="0">
                  <c:v>Net Profit Margin</c:v>
                </c:pt>
                <c:pt idx="1">
                  <c:v>Return on Assets (ROA)</c:v>
                </c:pt>
              </c:strCache>
            </c:strRef>
          </c:cat>
          <c:val>
            <c:numRef>
              <c:f>(Ratio!$H$5,Ratio!$H$8)</c:f>
              <c:numCache>
                <c:formatCode>0.00%</c:formatCode>
                <c:ptCount val="2"/>
                <c:pt idx="0">
                  <c:v>0.143280519776587</c:v>
                </c:pt>
                <c:pt idx="1" c:formatCode="0%">
                  <c:v>0.0810340381640021</c:v>
                </c:pt>
              </c:numCache>
            </c:numRef>
          </c:val>
        </c:ser>
        <c:ser>
          <c:idx val="4"/>
          <c:order val="4"/>
          <c:tx>
            <c:strRef>
              <c:f>Ratio!$I$3:$I$4</c:f>
              <c:strCache>
                <c:ptCount val="1"/>
                <c:pt idx="0">
                  <c:v>Profitability Ratio Analysis 2021 ($, millions)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(Ratio!$C$5,Ratio!$C$8)</c:f>
              <c:strCache>
                <c:ptCount val="2"/>
                <c:pt idx="0">
                  <c:v>Net Profit Margin</c:v>
                </c:pt>
                <c:pt idx="1">
                  <c:v>Return on Assets (ROA)</c:v>
                </c:pt>
              </c:strCache>
            </c:strRef>
          </c:cat>
          <c:val>
            <c:numRef>
              <c:f>(Ratio!$I$5,Ratio!$I$8)</c:f>
              <c:numCache>
                <c:formatCode>0.00%</c:formatCode>
                <c:ptCount val="2"/>
                <c:pt idx="0">
                  <c:v>0.0703178991015895</c:v>
                </c:pt>
                <c:pt idx="1" c:formatCode="0%">
                  <c:v>0.0263583964769121</c:v>
                </c:pt>
              </c:numCache>
            </c:numRef>
          </c:val>
        </c:ser>
        <c:dLbls>
          <c:showLegendKey val="0"/>
          <c:showVal val="1"/>
          <c:showCatName val="0"/>
          <c:showSerName val="0"/>
          <c:showPercent val="0"/>
          <c:showBubbleSize val="0"/>
        </c:dLbls>
        <c:gapWidth val="182"/>
        <c:axId val="2131722416"/>
        <c:axId val="2054239824"/>
      </c:barChart>
      <c:catAx>
        <c:axId val="2131722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054239824"/>
        <c:crosses val="autoZero"/>
        <c:auto val="1"/>
        <c:lblAlgn val="ctr"/>
        <c:lblOffset val="100"/>
        <c:noMultiLvlLbl val="0"/>
      </c:catAx>
      <c:valAx>
        <c:axId val="205423982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1317224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15a8023-9009-4815-9126-de269ddeed69}"/>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IN" b="1"/>
              <a:t>Efficiency Ratio</a:t>
            </a:r>
            <a:endParaRPr lang="en-IN" b="1"/>
          </a:p>
        </c:rich>
      </c:tx>
      <c:layout/>
      <c:overlay val="0"/>
      <c:spPr>
        <a:noFill/>
        <a:ln>
          <a:noFill/>
        </a:ln>
        <a:effectLst/>
      </c:spPr>
    </c:title>
    <c:autoTitleDeleted val="0"/>
    <c:plotArea>
      <c:layout/>
      <c:barChart>
        <c:barDir val="col"/>
        <c:grouping val="clustered"/>
        <c:varyColors val="0"/>
        <c:ser>
          <c:idx val="0"/>
          <c:order val="0"/>
          <c:tx>
            <c:strRef>
              <c:f>Ratio!$C$18:$D$18</c:f>
              <c:strCache>
                <c:ptCount val="1"/>
                <c:pt idx="0">
                  <c:v>Total Asset Turnover Net Sales/Total Assets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Ratio!$E$16:$I$17</c:f>
              <c:strCache>
                <c:ptCount val="5"/>
                <c:pt idx="0">
                  <c:v>2025 ($, millions)</c:v>
                </c:pt>
                <c:pt idx="1">
                  <c:v>2024 ($, millions)</c:v>
                </c:pt>
                <c:pt idx="2">
                  <c:v>2023 ($, millions)</c:v>
                </c:pt>
                <c:pt idx="3">
                  <c:v>2022 ($, millions)</c:v>
                </c:pt>
                <c:pt idx="4">
                  <c:v>2021 ($, millions)</c:v>
                </c:pt>
              </c:strCache>
            </c:strRef>
          </c:cat>
          <c:val>
            <c:numRef>
              <c:f>Ratio!$E$18:$I$18</c:f>
              <c:numCache>
                <c:formatCode>0.00</c:formatCode>
                <c:ptCount val="5"/>
                <c:pt idx="0">
                  <c:v>0.717717896744962</c:v>
                </c:pt>
                <c:pt idx="1">
                  <c:v>0.676310374046726</c:v>
                </c:pt>
                <c:pt idx="2">
                  <c:v>0.664567235893773</c:v>
                </c:pt>
                <c:pt idx="3">
                  <c:v>0.565562145435792</c:v>
                </c:pt>
                <c:pt idx="4">
                  <c:v>0.374846188718347</c:v>
                </c:pt>
              </c:numCache>
            </c:numRef>
          </c:val>
        </c:ser>
        <c:ser>
          <c:idx val="3"/>
          <c:order val="3"/>
          <c:tx>
            <c:strRef>
              <c:f>Ratio!$C$21:$D$21</c:f>
              <c:strCache>
                <c:ptCount val="1"/>
                <c:pt idx="0">
                  <c:v>Accounts Receivable Turnover Days (Accounts Receivable/Revenue)*365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Ratio!$E$16:$I$17</c:f>
              <c:strCache>
                <c:ptCount val="5"/>
                <c:pt idx="0">
                  <c:v>2025 ($, millions)</c:v>
                </c:pt>
                <c:pt idx="1">
                  <c:v>2024 ($, millions)</c:v>
                </c:pt>
                <c:pt idx="2">
                  <c:v>2023 ($, millions)</c:v>
                </c:pt>
                <c:pt idx="3">
                  <c:v>2022 ($, millions)</c:v>
                </c:pt>
                <c:pt idx="4">
                  <c:v>2021 ($, millions)</c:v>
                </c:pt>
              </c:strCache>
            </c:strRef>
          </c:cat>
          <c:val>
            <c:numRef>
              <c:f>Ratio!$E$21:$I$21</c:f>
              <c:numCache>
                <c:formatCode>0.00</c:formatCode>
                <c:ptCount val="5"/>
                <c:pt idx="0">
                  <c:v>51.2376443226182</c:v>
                </c:pt>
                <c:pt idx="1">
                  <c:v>51.7088777519241</c:v>
                </c:pt>
                <c:pt idx="2">
                  <c:v>53.0293111871031</c:v>
                </c:pt>
                <c:pt idx="3">
                  <c:v>55.2097344124017</c:v>
                </c:pt>
                <c:pt idx="4">
                  <c:v>67.3496890117485</c:v>
                </c:pt>
              </c:numCache>
            </c:numRef>
          </c:val>
        </c:ser>
        <c:dLbls>
          <c:showLegendKey val="0"/>
          <c:showVal val="1"/>
          <c:showCatName val="0"/>
          <c:showSerName val="0"/>
          <c:showPercent val="0"/>
          <c:showBubbleSize val="0"/>
        </c:dLbls>
        <c:gapWidth val="219"/>
        <c:overlap val="-27"/>
        <c:axId val="2134152240"/>
        <c:axId val="2054259504"/>
        <c:extLst>
          <c:ext xmlns:c15="http://schemas.microsoft.com/office/drawing/2012/chart" uri="{02D57815-91ED-43cb-92C2-25804820EDAC}">
            <c15:filteredBarSeries>
              <c15:ser>
                <c:idx val="1"/>
                <c:order val="1"/>
                <c:tx>
                  <c:strRef>
                    <c:extLst>
                      <c:ext uri="{02D57815-91ED-43cb-92C2-25804820EDAC}">
                        <c15:formulaRef>
                          <c15:sqref>Ratio!$C$19:$D$19</c15:sqref>
                        </c15:formulaRef>
                      </c:ext>
                    </c:extLst>
                    <c:strCache>
                      <c:ptCount val="1"/>
                      <c:pt idx="0">
                        <c:v>Net Sales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Ratio!$E$16:$I$17</c15:sqref>
                        </c15:formulaRef>
                      </c:ext>
                    </c:extLst>
                    <c:strCache>
                      <c:ptCount val="5"/>
                      <c:pt idx="0">
                        <c:v>2025 ($, millions)</c:v>
                      </c:pt>
                      <c:pt idx="1">
                        <c:v>2024 ($, millions)</c:v>
                      </c:pt>
                      <c:pt idx="2">
                        <c:v>2023 ($, millions)</c:v>
                      </c:pt>
                      <c:pt idx="3">
                        <c:v>2022 ($, millions)</c:v>
                      </c:pt>
                      <c:pt idx="4">
                        <c:v>2021 ($, millions)</c:v>
                      </c:pt>
                    </c:strCache>
                  </c:strRef>
                </c:cat>
                <c:val>
                  <c:numRef>
                    <c:extLst>
                      <c:ext uri="{02D57815-91ED-43cb-92C2-25804820EDAC}">
                        <c15:formulaRef>
                          <c15:sqref>Ratio!$E$19:$I$19</c15:sqref>
                        </c15:formulaRef>
                      </c:ext>
                    </c:extLst>
                    <c:numCache>
                      <c:formatCode>#,##0</c:formatCode>
                      <c:ptCount val="5"/>
                      <c:pt idx="0">
                        <c:v>12039</c:v>
                      </c:pt>
                      <c:pt idx="1">
                        <c:v>11174</c:v>
                      </c:pt>
                      <c:pt idx="2">
                        <c:v>10235</c:v>
                      </c:pt>
                      <c:pt idx="3">
                        <c:v>8773</c:v>
                      </c:pt>
                      <c:pt idx="4">
                        <c:v>5788</c:v>
                      </c:pt>
                    </c:numCache>
                  </c:numRef>
                </c:val>
              </c15:ser>
            </c15:filteredBarSeries>
            <c15:filteredBarSeries>
              <c15:ser>
                <c:idx val="2"/>
                <c:order val="2"/>
                <c:tx>
                  <c:strRef>
                    <c:extLst>
                      <c:ext uri="{02D57815-91ED-43cb-92C2-25804820EDAC}">
                        <c15:formulaRef>
                          <c15:sqref>Ratio!$C$20:$D$20</c15:sqref>
                        </c15:formulaRef>
                      </c:ext>
                    </c:extLst>
                    <c:strCache>
                      <c:ptCount val="1"/>
                      <c:pt idx="0">
                        <c:v>Total Assets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Ratio!$E$16:$I$17</c15:sqref>
                        </c15:formulaRef>
                      </c:ext>
                    </c:extLst>
                    <c:strCache>
                      <c:ptCount val="5"/>
                      <c:pt idx="0">
                        <c:v>2025 ($, millions)</c:v>
                      </c:pt>
                      <c:pt idx="1">
                        <c:v>2024 ($, millions)</c:v>
                      </c:pt>
                      <c:pt idx="2">
                        <c:v>2023 ($, millions)</c:v>
                      </c:pt>
                      <c:pt idx="3">
                        <c:v>2022 ($, millions)</c:v>
                      </c:pt>
                      <c:pt idx="4">
                        <c:v>2021 ($, millions)</c:v>
                      </c:pt>
                    </c:strCache>
                  </c:strRef>
                </c:cat>
                <c:val>
                  <c:numRef>
                    <c:extLst>
                      <c:ext uri="{02D57815-91ED-43cb-92C2-25804820EDAC}">
                        <c15:formulaRef>
                          <c15:sqref>Ratio!$E$20:$I$20</c15:sqref>
                        </c15:formulaRef>
                      </c:ext>
                    </c:extLst>
                    <c:numCache>
                      <c:formatCode>#,##0</c:formatCode>
                      <c:ptCount val="5"/>
                      <c:pt idx="0">
                        <c:v>16774</c:v>
                      </c:pt>
                      <c:pt idx="1">
                        <c:v>16522</c:v>
                      </c:pt>
                      <c:pt idx="2">
                        <c:v>15401</c:v>
                      </c:pt>
                      <c:pt idx="3">
                        <c:v>15512</c:v>
                      </c:pt>
                      <c:pt idx="4">
                        <c:v>15441</c:v>
                      </c:pt>
                    </c:numCache>
                  </c:numRef>
                </c:val>
              </c15:ser>
            </c15:filteredBarSeries>
            <c15:filteredBarSeries>
              <c15:ser>
                <c:idx val="4"/>
                <c:order val="4"/>
                <c:tx>
                  <c:strRef>
                    <c:extLst>
                      <c:ext uri="{02D57815-91ED-43cb-92C2-25804820EDAC}">
                        <c15:formulaRef>
                          <c15:sqref>Ratio!$C$22:$D$22</c15:sqref>
                        </c15:formulaRef>
                      </c:ext>
                    </c:extLst>
                    <c:strCache>
                      <c:ptCount val="1"/>
                      <c:pt idx="0">
                        <c:v>Accounts Receivable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Ratio!$E$16:$I$17</c15:sqref>
                        </c15:formulaRef>
                      </c:ext>
                    </c:extLst>
                    <c:strCache>
                      <c:ptCount val="5"/>
                      <c:pt idx="0">
                        <c:v>2025 ($, millions)</c:v>
                      </c:pt>
                      <c:pt idx="1">
                        <c:v>2024 ($, millions)</c:v>
                      </c:pt>
                      <c:pt idx="2">
                        <c:v>2023 ($, millions)</c:v>
                      </c:pt>
                      <c:pt idx="3">
                        <c:v>2022 ($, millions)</c:v>
                      </c:pt>
                      <c:pt idx="4">
                        <c:v>2021 ($, millions)</c:v>
                      </c:pt>
                    </c:strCache>
                  </c:strRef>
                </c:cat>
                <c:val>
                  <c:numRef>
                    <c:extLst>
                      <c:ext uri="{02D57815-91ED-43cb-92C2-25804820EDAC}">
                        <c15:formulaRef>
                          <c15:sqref>Ratio!$E$22:$I$22</c15:sqref>
                        </c15:formulaRef>
                      </c:ext>
                    </c:extLst>
                    <c:numCache>
                      <c:formatCode>#,##0</c:formatCode>
                      <c:ptCount val="5"/>
                      <c:pt idx="0">
                        <c:v>1690</c:v>
                      </c:pt>
                      <c:pt idx="1">
                        <c:v>1583</c:v>
                      </c:pt>
                      <c:pt idx="2">
                        <c:v>1487</c:v>
                      </c:pt>
                      <c:pt idx="3">
                        <c:v>1327</c:v>
                      </c:pt>
                      <c:pt idx="4">
                        <c:v>1068</c:v>
                      </c:pt>
                    </c:numCache>
                  </c:numRef>
                </c:val>
              </c15:ser>
            </c15:filteredBarSeries>
            <c15:filteredBarSeries>
              <c15:ser>
                <c:idx val="5"/>
                <c:order val="5"/>
                <c:tx>
                  <c:strRef>
                    <c:extLst>
                      <c:ext uri="{02D57815-91ED-43cb-92C2-25804820EDAC}">
                        <c15:formulaRef>
                          <c15:sqref>Ratio!$C$23:$D$23</c15:sqref>
                        </c15:formulaRef>
                      </c:ext>
                    </c:extLst>
                    <c:strCache>
                      <c:ptCount val="1"/>
                      <c:pt idx="0">
                        <c:v>Revenue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Ratio!$E$16:$I$17</c15:sqref>
                        </c15:formulaRef>
                      </c:ext>
                    </c:extLst>
                    <c:strCache>
                      <c:ptCount val="5"/>
                      <c:pt idx="0">
                        <c:v>2025 ($, millions)</c:v>
                      </c:pt>
                      <c:pt idx="1">
                        <c:v>2024 ($, millions)</c:v>
                      </c:pt>
                      <c:pt idx="2">
                        <c:v>2023 ($, millions)</c:v>
                      </c:pt>
                      <c:pt idx="3">
                        <c:v>2022 ($, millions)</c:v>
                      </c:pt>
                      <c:pt idx="4">
                        <c:v>2021 ($, millions)</c:v>
                      </c:pt>
                    </c:strCache>
                  </c:strRef>
                </c:cat>
                <c:val>
                  <c:numRef>
                    <c:extLst>
                      <c:ext uri="{02D57815-91ED-43cb-92C2-25804820EDAC}">
                        <c15:formulaRef>
                          <c15:sqref>Ratio!$E$23:$I$23</c15:sqref>
                        </c15:formulaRef>
                      </c:ext>
                    </c:extLst>
                    <c:numCache>
                      <c:formatCode>#,##0</c:formatCode>
                      <c:ptCount val="5"/>
                      <c:pt idx="0">
                        <c:v>12039</c:v>
                      </c:pt>
                      <c:pt idx="1">
                        <c:v>11174</c:v>
                      </c:pt>
                      <c:pt idx="2">
                        <c:v>10235</c:v>
                      </c:pt>
                      <c:pt idx="3">
                        <c:v>8773</c:v>
                      </c:pt>
                      <c:pt idx="4">
                        <c:v>5788</c:v>
                      </c:pt>
                    </c:numCache>
                  </c:numRef>
                </c:val>
              </c15:ser>
            </c15:filteredBarSeries>
          </c:ext>
        </c:extLst>
      </c:barChart>
      <c:catAx>
        <c:axId val="2134152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054259504"/>
        <c:crosses val="autoZero"/>
        <c:auto val="1"/>
        <c:lblAlgn val="ctr"/>
        <c:lblOffset val="100"/>
        <c:noMultiLvlLbl val="0"/>
      </c:catAx>
      <c:valAx>
        <c:axId val="2054259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1341522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003c91e-4360-4221-8fa7-f319b992eab2}"/>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1" i="0" u="none" strike="noStrike" kern="1200" spc="0" baseline="0">
                <a:solidFill>
                  <a:schemeClr val="tx1">
                    <a:lumMod val="65000"/>
                    <a:lumOff val="35000"/>
                  </a:schemeClr>
                </a:solidFill>
                <a:latin typeface="+mn-lt"/>
                <a:ea typeface="+mn-ea"/>
                <a:cs typeface="+mn-cs"/>
              </a:defRPr>
            </a:pPr>
            <a:r>
              <a:rPr lang="en-IN" b="1"/>
              <a:t>Investment Ratio</a:t>
            </a:r>
            <a:endParaRPr lang="en-IN" b="1"/>
          </a:p>
        </c:rich>
      </c:tx>
      <c:layout/>
      <c:overlay val="0"/>
      <c:spPr>
        <a:noFill/>
        <a:ln>
          <a:noFill/>
        </a:ln>
        <a:effectLst/>
      </c:spPr>
    </c:title>
    <c:autoTitleDeleted val="0"/>
    <c:plotArea>
      <c:layout/>
      <c:barChart>
        <c:barDir val="bar"/>
        <c:grouping val="clustered"/>
        <c:varyColors val="0"/>
        <c:ser>
          <c:idx val="0"/>
          <c:order val="0"/>
          <c:tx>
            <c:strRef>
              <c:f>Ratio!$C$31</c:f>
              <c:strCache>
                <c:ptCount val="1"/>
                <c:pt idx="0">
                  <c:v>Earnings per share (Basic)</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Ratio!$D$29:$I$30</c:f>
              <c:strCache>
                <c:ptCount val="6"/>
                <c:pt idx="0">
                  <c:v>Formula</c:v>
                </c:pt>
                <c:pt idx="1">
                  <c:v>2025 ($, millions)</c:v>
                </c:pt>
                <c:pt idx="2">
                  <c:v>2024 ($, millions)</c:v>
                </c:pt>
                <c:pt idx="3">
                  <c:v>2023 ($, millions)</c:v>
                </c:pt>
                <c:pt idx="4">
                  <c:v>2022 ($, millions)</c:v>
                </c:pt>
                <c:pt idx="5">
                  <c:v>2021 ($, millions)</c:v>
                </c:pt>
              </c:strCache>
            </c:strRef>
          </c:cat>
          <c:val>
            <c:numRef>
              <c:f>Ratio!$D$31:$I$31</c:f>
              <c:numCache>
                <c:formatCode>General</c:formatCode>
                <c:ptCount val="6"/>
                <c:pt idx="1">
                  <c:v>6.12</c:v>
                </c:pt>
                <c:pt idx="2">
                  <c:v>6.14</c:v>
                </c:pt>
                <c:pt idx="3">
                  <c:v>4.33</c:v>
                </c:pt>
                <c:pt idx="4">
                  <c:v>4.53</c:v>
                </c:pt>
                <c:pt idx="5">
                  <c:v>1.46</c:v>
                </c:pt>
              </c:numCache>
            </c:numRef>
          </c:val>
        </c:ser>
        <c:ser>
          <c:idx val="1"/>
          <c:order val="1"/>
          <c:tx>
            <c:strRef>
              <c:f>Ratio!$C$32</c:f>
              <c:strCache>
                <c:ptCount val="1"/>
                <c:pt idx="0">
                  <c:v>Price-to-Earnings (P/E)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Ratio!$D$29:$I$30</c:f>
              <c:strCache>
                <c:ptCount val="6"/>
                <c:pt idx="0">
                  <c:v>Formula</c:v>
                </c:pt>
                <c:pt idx="1">
                  <c:v>2025 ($, millions)</c:v>
                </c:pt>
                <c:pt idx="2">
                  <c:v>2024 ($, millions)</c:v>
                </c:pt>
                <c:pt idx="3">
                  <c:v>2023 ($, millions)</c:v>
                </c:pt>
                <c:pt idx="4">
                  <c:v>2022 ($, millions)</c:v>
                </c:pt>
                <c:pt idx="5">
                  <c:v>2021 ($, millions)</c:v>
                </c:pt>
              </c:strCache>
            </c:strRef>
          </c:cat>
          <c:val>
            <c:numRef>
              <c:f>Ratio!$D$32:$I$32</c:f>
              <c:numCache>
                <c:formatCode>General</c:formatCode>
                <c:ptCount val="6"/>
                <c:pt idx="0">
                  <c:v>0</c:v>
                </c:pt>
                <c:pt idx="1" c:formatCode="0.00">
                  <c:v>46.8921568627451</c:v>
                </c:pt>
                <c:pt idx="2" c:formatCode="0.00">
                  <c:v>40.1254071661238</c:v>
                </c:pt>
                <c:pt idx="3" c:formatCode="0.00">
                  <c:v>41.8013856812933</c:v>
                </c:pt>
                <c:pt idx="4" c:formatCode="0.00">
                  <c:v>27.6158940397351</c:v>
                </c:pt>
                <c:pt idx="5" c:formatCode="0.00">
                  <c:v>105.417808219178</c:v>
                </c:pt>
              </c:numCache>
            </c:numRef>
          </c:val>
        </c:ser>
        <c:dLbls>
          <c:showLegendKey val="0"/>
          <c:showVal val="1"/>
          <c:showCatName val="0"/>
          <c:showSerName val="0"/>
          <c:showPercent val="0"/>
          <c:showBubbleSize val="0"/>
        </c:dLbls>
        <c:gapWidth val="182"/>
        <c:axId val="2134174048"/>
        <c:axId val="2054224944"/>
        <c:extLst>
          <c:ext xmlns:c15="http://schemas.microsoft.com/office/drawing/2012/chart" uri="{02D57815-91ED-43cb-92C2-25804820EDAC}">
            <c15:filteredBarSeries>
              <c15:ser>
                <c:idx val="2"/>
                <c:order val="2"/>
                <c:tx>
                  <c:strRef>
                    <c:extLst>
                      <c:ext uri="{02D57815-91ED-43cb-92C2-25804820EDAC}">
                        <c15:formulaRef>
                          <c15:sqref>Ratio!$C$33</c15:sqref>
                        </c15:formulaRef>
                      </c:ext>
                    </c:extLst>
                    <c:strCache>
                      <c:ptCount val="1"/>
                      <c:pt idx="0">
                        <c:v>Share price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Ratio!$D$29:$I$30</c15:sqref>
                        </c15:formulaRef>
                      </c:ext>
                    </c:extLst>
                    <c:strCache>
                      <c:ptCount val="6"/>
                      <c:pt idx="0">
                        <c:v>Formula</c:v>
                      </c:pt>
                      <c:pt idx="1">
                        <c:v>2025 ($, millions)</c:v>
                      </c:pt>
                      <c:pt idx="2">
                        <c:v>2024 ($, millions)</c:v>
                      </c:pt>
                      <c:pt idx="3">
                        <c:v>2023 ($, millions)</c:v>
                      </c:pt>
                      <c:pt idx="4">
                        <c:v>2022 ($, millions)</c:v>
                      </c:pt>
                      <c:pt idx="5">
                        <c:v>2021 ($, millions)</c:v>
                      </c:pt>
                    </c:strCache>
                  </c:strRef>
                </c:cat>
                <c:val>
                  <c:numRef>
                    <c:extLst>
                      <c:ext uri="{02D57815-91ED-43cb-92C2-25804820EDAC}">
                        <c15:formulaRef>
                          <c15:sqref>Ratio!$D$33:$I$33</c15:sqref>
                        </c15:formulaRef>
                      </c:ext>
                    </c:extLst>
                    <c:numCache>
                      <c:formatCode>General</c:formatCode>
                      <c:ptCount val="6"/>
                      <c:pt idx="1">
                        <c:v>286.98</c:v>
                      </c:pt>
                      <c:pt idx="2">
                        <c:v>246.37</c:v>
                      </c:pt>
                      <c:pt idx="3">
                        <c:v>181</c:v>
                      </c:pt>
                      <c:pt idx="4">
                        <c:v>125.1</c:v>
                      </c:pt>
                      <c:pt idx="5">
                        <c:v>153.91</c:v>
                      </c:pt>
                    </c:numCache>
                  </c:numRef>
                </c:val>
              </c15:ser>
            </c15:filteredBarSeries>
            <c15:filteredBarSeries>
              <c15:ser>
                <c:idx val="3"/>
                <c:order val="3"/>
                <c:tx>
                  <c:strRef>
                    <c:extLst>
                      <c:ext uri="{02D57815-91ED-43cb-92C2-25804820EDAC}">
                        <c15:formulaRef>
                          <c15:sqref>Ratio!$C$34</c15:sqref>
                        </c15:formulaRef>
                      </c:ext>
                    </c:extLst>
                    <c:strCache>
                      <c:ptCount val="1"/>
                      <c:pt idx="0">
                        <c:v>Earnings per share (Basic)</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
                        </c15:fullRef>
                        <c15:formulaRef>
                          <c15:sqref>Ratio!$D$29:$I$30</c15:sqref>
                        </c15:formulaRef>
                      </c:ext>
                    </c:extLst>
                    <c:strCache>
                      <c:ptCount val="6"/>
                      <c:pt idx="0">
                        <c:v>Formula</c:v>
                      </c:pt>
                      <c:pt idx="1">
                        <c:v>2025 ($, millions)</c:v>
                      </c:pt>
                      <c:pt idx="2">
                        <c:v>2024 ($, millions)</c:v>
                      </c:pt>
                      <c:pt idx="3">
                        <c:v>2023 ($, millions)</c:v>
                      </c:pt>
                      <c:pt idx="4">
                        <c:v>2022 ($, millions)</c:v>
                      </c:pt>
                      <c:pt idx="5">
                        <c:v>2021 ($, millions)</c:v>
                      </c:pt>
                    </c:strCache>
                  </c:strRef>
                </c:cat>
                <c:val>
                  <c:numRef>
                    <c:extLst>
                      <c:ext uri="{02D57815-91ED-43cb-92C2-25804820EDAC}">
                        <c15:formulaRef>
                          <c15:sqref>Ratio!$D$34:$I$34</c15:sqref>
                        </c15:formulaRef>
                      </c:ext>
                    </c:extLst>
                    <c:numCache>
                      <c:formatCode>General</c:formatCode>
                      <c:ptCount val="6"/>
                      <c:pt idx="1">
                        <c:v>6.12</c:v>
                      </c:pt>
                      <c:pt idx="2">
                        <c:v>6.14</c:v>
                      </c:pt>
                      <c:pt idx="3">
                        <c:v>4.33</c:v>
                      </c:pt>
                      <c:pt idx="4">
                        <c:v>4.53</c:v>
                      </c:pt>
                      <c:pt idx="5">
                        <c:v>1.46</c:v>
                      </c:pt>
                    </c:numCache>
                  </c:numRef>
                </c:val>
              </c15:ser>
            </c15:filteredBarSeries>
          </c:ext>
        </c:extLst>
      </c:barChart>
      <c:catAx>
        <c:axId val="2134174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054224944"/>
        <c:crosses val="autoZero"/>
        <c:auto val="1"/>
        <c:lblAlgn val="ctr"/>
        <c:lblOffset val="100"/>
        <c:noMultiLvlLbl val="0"/>
      </c:catAx>
      <c:valAx>
        <c:axId val="20542249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1341740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feeb656-c319-4daf-9031-edd4d475804d}"/>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1" i="0" u="none" strike="noStrike" kern="1200" cap="none" baseline="0">
                <a:solidFill>
                  <a:schemeClr val="lt1">
                    <a:lumMod val="85000"/>
                  </a:schemeClr>
                </a:solidFill>
                <a:latin typeface="+mn-lt"/>
                <a:ea typeface="+mn-ea"/>
                <a:cs typeface="+mn-cs"/>
              </a:defRPr>
            </a:pPr>
            <a:r>
              <a:rPr lang="en-IN"/>
              <a:t>Liquidity Ratio  </a:t>
            </a:r>
            <a:endParaRPr lang="en-IN"/>
          </a:p>
        </c:rich>
      </c:tx>
      <c:layout/>
      <c:overlay val="0"/>
      <c:spPr>
        <a:noFill/>
        <a:ln>
          <a:noFill/>
        </a:ln>
        <a:effectLst/>
      </c:spPr>
    </c:title>
    <c:autoTitleDeleted val="0"/>
    <c:plotArea>
      <c:layout/>
      <c:barChart>
        <c:barDir val="col"/>
        <c:grouping val="clustered"/>
        <c:varyColors val="0"/>
        <c:ser>
          <c:idx val="0"/>
          <c:order val="0"/>
          <c:tx>
            <c:strRef>
              <c:f>Ratio!$M$3:$M$4</c:f>
              <c:strCache>
                <c:ptCount val="1"/>
                <c:pt idx="0">
                  <c:v>Liquidity Ratio Analysis 2025 ($, millions)</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(Ratio!$K$5,Ratio!$K$8)</c:f>
              <c:strCache>
                <c:ptCount val="2"/>
                <c:pt idx="0">
                  <c:v>Current Ratio</c:v>
                </c:pt>
                <c:pt idx="1">
                  <c:v>Quick Ratio</c:v>
                </c:pt>
              </c:strCache>
            </c:strRef>
          </c:cat>
          <c:val>
            <c:numRef>
              <c:f>(Ratio!$M$5,Ratio!$M$8)</c:f>
              <c:numCache>
                <c:formatCode>0.00</c:formatCode>
                <c:ptCount val="2"/>
                <c:pt idx="0">
                  <c:v>0.664596273291925</c:v>
                </c:pt>
                <c:pt idx="1">
                  <c:v>0.578527062999113</c:v>
                </c:pt>
              </c:numCache>
            </c:numRef>
          </c:val>
        </c:ser>
        <c:ser>
          <c:idx val="1"/>
          <c:order val="1"/>
          <c:tx>
            <c:strRef>
              <c:f>Ratio!$N$3:$N$4</c:f>
              <c:strCache>
                <c:ptCount val="1"/>
                <c:pt idx="0">
                  <c:v>Liquidity Ratio Analysis 2024 ($, millions)</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(Ratio!$K$5,Ratio!$K$8)</c:f>
              <c:strCache>
                <c:ptCount val="2"/>
                <c:pt idx="0">
                  <c:v>Current Ratio</c:v>
                </c:pt>
                <c:pt idx="1">
                  <c:v>Quick Ratio</c:v>
                </c:pt>
              </c:strCache>
            </c:strRef>
          </c:cat>
          <c:val>
            <c:numRef>
              <c:f>(Ratio!$N$5,Ratio!$N$8)</c:f>
              <c:numCache>
                <c:formatCode>0.00</c:formatCode>
                <c:ptCount val="2"/>
                <c:pt idx="0">
                  <c:v>0.696170212765957</c:v>
                </c:pt>
                <c:pt idx="1">
                  <c:v>0.613617021276596</c:v>
                </c:pt>
              </c:numCache>
            </c:numRef>
          </c:val>
        </c:ser>
        <c:ser>
          <c:idx val="2"/>
          <c:order val="2"/>
          <c:tx>
            <c:strRef>
              <c:f>Ratio!$O$3:$O$4</c:f>
              <c:strCache>
                <c:ptCount val="1"/>
                <c:pt idx="0">
                  <c:v>Liquidity Ratio Analysis 2023 ($, millions)</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(Ratio!$K$5,Ratio!$K$8)</c:f>
              <c:strCache>
                <c:ptCount val="2"/>
                <c:pt idx="0">
                  <c:v>Current Ratio</c:v>
                </c:pt>
                <c:pt idx="1">
                  <c:v>Quick Ratio</c:v>
                </c:pt>
              </c:strCache>
            </c:strRef>
          </c:cat>
          <c:val>
            <c:numRef>
              <c:f>(Ratio!$O$5,Ratio!$O$8)</c:f>
              <c:numCache>
                <c:formatCode>0.00</c:formatCode>
                <c:ptCount val="2"/>
                <c:pt idx="0">
                  <c:v>0.702310585706609</c:v>
                </c:pt>
                <c:pt idx="1">
                  <c:v>0.614454594304138</c:v>
                </c:pt>
              </c:numCache>
            </c:numRef>
          </c:val>
        </c:ser>
        <c:ser>
          <c:idx val="3"/>
          <c:order val="3"/>
          <c:tx>
            <c:strRef>
              <c:f>Ratio!$P$3:$P$4</c:f>
              <c:strCache>
                <c:ptCount val="1"/>
                <c:pt idx="0">
                  <c:v>Liquidity Ratio Analysis 2022 ($, millions)</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(Ratio!$K$5,Ratio!$K$8)</c:f>
              <c:strCache>
                <c:ptCount val="2"/>
                <c:pt idx="0">
                  <c:v>Current Ratio</c:v>
                </c:pt>
                <c:pt idx="1">
                  <c:v>Quick Ratio</c:v>
                </c:pt>
              </c:strCache>
            </c:strRef>
          </c:cat>
          <c:val>
            <c:numRef>
              <c:f>(Ratio!$P$5,Ratio!$P$8)</c:f>
              <c:numCache>
                <c:formatCode>0.00</c:formatCode>
                <c:ptCount val="2"/>
                <c:pt idx="0">
                  <c:v>0.851126927639383</c:v>
                </c:pt>
                <c:pt idx="1">
                  <c:v>0.752075919335706</c:v>
                </c:pt>
              </c:numCache>
            </c:numRef>
          </c:val>
        </c:ser>
        <c:ser>
          <c:idx val="4"/>
          <c:order val="4"/>
          <c:tx>
            <c:strRef>
              <c:f>Ratio!$Q$3:$Q$4</c:f>
              <c:strCache>
                <c:ptCount val="1"/>
                <c:pt idx="0">
                  <c:v>Liquidity Ratio Analysis 2021 ($, millions)</c:v>
                </c:pt>
              </c:strCache>
            </c:strRef>
          </c:tx>
          <c:spPr>
            <a:noFill/>
            <a:ln w="9525" cap="flat" cmpd="sng" algn="ctr">
              <a:solidFill>
                <a:schemeClr val="accent5"/>
              </a:solidFill>
              <a:miter lim="800000"/>
            </a:ln>
            <a:effectLst>
              <a:glow rad="63500">
                <a:schemeClr val="accent5">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(Ratio!$K$5,Ratio!$K$8)</c:f>
              <c:strCache>
                <c:ptCount val="2"/>
                <c:pt idx="0">
                  <c:v>Current Ratio</c:v>
                </c:pt>
                <c:pt idx="1">
                  <c:v>Quick Ratio</c:v>
                </c:pt>
              </c:strCache>
            </c:strRef>
          </c:cat>
          <c:val>
            <c:numRef>
              <c:f>(Ratio!$Q$5,Ratio!$Q$8)</c:f>
              <c:numCache>
                <c:formatCode>0.00</c:formatCode>
                <c:ptCount val="2"/>
                <c:pt idx="0">
                  <c:v>0.950977144749917</c:v>
                </c:pt>
                <c:pt idx="1">
                  <c:v>0.826432593574031</c:v>
                </c:pt>
              </c:numCache>
            </c:numRef>
          </c:val>
        </c:ser>
        <c:dLbls>
          <c:showLegendKey val="0"/>
          <c:showVal val="1"/>
          <c:showCatName val="0"/>
          <c:showSerName val="0"/>
          <c:showPercent val="0"/>
          <c:showBubbleSize val="0"/>
        </c:dLbls>
        <c:gapWidth val="315"/>
        <c:overlap val="-40"/>
        <c:axId val="2145000464"/>
        <c:axId val="2054217264"/>
      </c:barChart>
      <c:catAx>
        <c:axId val="214500046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crossAx val="2054217264"/>
        <c:crosses val="autoZero"/>
        <c:auto val="1"/>
        <c:lblAlgn val="ctr"/>
        <c:lblOffset val="100"/>
        <c:noMultiLvlLbl val="0"/>
      </c:catAx>
      <c:valAx>
        <c:axId val="205421726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crossAx val="214500046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legend>
    <c:plotVisOnly val="1"/>
    <c:dispBlanksAs val="gap"/>
    <c:showDLblsOverMax val="0"/>
    <c:extLst>
      <c:ext uri="{0b15fc19-7d7d-44ad-8c2d-2c3a37ce22c3}">
        <chartProps xmlns="https://web.wps.cn/et/2018/main" chartId="{1f8cd148-0ffe-431a-a265-690434dfce0d}"/>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en-IN"/>
              <a:t>Gearing Ratio</a:t>
            </a:r>
            <a:endParaRPr lang="en-IN"/>
          </a:p>
        </c:rich>
      </c:tx>
      <c:layout/>
      <c:overlay val="0"/>
      <c:spPr>
        <a:noFill/>
        <a:ln>
          <a:noFill/>
        </a:ln>
        <a:effectLst/>
      </c:spPr>
    </c:title>
    <c:autoTitleDeleted val="0"/>
    <c:plotArea>
      <c:layout/>
      <c:barChart>
        <c:barDir val="bar"/>
        <c:grouping val="clustered"/>
        <c:varyColors val="0"/>
        <c:ser>
          <c:idx val="0"/>
          <c:order val="0"/>
          <c:tx>
            <c:strRef>
              <c:f>Ratio!$M$15:$M$16</c:f>
              <c:strCache>
                <c:ptCount val="1"/>
                <c:pt idx="0">
                  <c:v>Gearing Ratio Analysis 2025 ($, millions)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(Ratio!$K$17,Ratio!$K$20)</c:f>
              <c:strCache>
                <c:ptCount val="2"/>
                <c:pt idx="0">
                  <c:v>Debt-to-Equity</c:v>
                </c:pt>
                <c:pt idx="1">
                  <c:v>Debt-to-Capital Ratio</c:v>
                </c:pt>
              </c:strCache>
            </c:strRef>
          </c:cat>
          <c:val>
            <c:numRef>
              <c:f>(Ratio!$M$17,Ratio!$M$20)</c:f>
              <c:numCache>
                <c:formatCode>0.00</c:formatCode>
                <c:ptCount val="2"/>
                <c:pt idx="0">
                  <c:v>-4.10541945063103</c:v>
                </c:pt>
                <c:pt idx="1">
                  <c:v>1.31973032635284</c:v>
                </c:pt>
              </c:numCache>
            </c:numRef>
          </c:val>
        </c:ser>
        <c:ser>
          <c:idx val="1"/>
          <c:order val="1"/>
          <c:tx>
            <c:strRef>
              <c:f>Ratio!$N$15:$N$16</c:f>
              <c:strCache>
                <c:ptCount val="1"/>
                <c:pt idx="0">
                  <c:v>Gearing Ratio Analysis 2024 ($, millions)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(Ratio!$K$17,Ratio!$K$20)</c:f>
              <c:strCache>
                <c:ptCount val="2"/>
                <c:pt idx="0">
                  <c:v>Debt-to-Equity</c:v>
                </c:pt>
                <c:pt idx="1">
                  <c:v>Debt-to-Capital Ratio</c:v>
                </c:pt>
              </c:strCache>
            </c:strRef>
          </c:cat>
          <c:val>
            <c:numRef>
              <c:f>(Ratio!$N$17,Ratio!$N$20)</c:f>
              <c:numCache>
                <c:formatCode>0.00</c:formatCode>
                <c:ptCount val="2"/>
                <c:pt idx="0">
                  <c:v>-5.42286020928361</c:v>
                </c:pt>
                <c:pt idx="1">
                  <c:v>1.22453801878219</c:v>
                </c:pt>
              </c:numCache>
            </c:numRef>
          </c:val>
        </c:ser>
        <c:ser>
          <c:idx val="2"/>
          <c:order val="2"/>
          <c:tx>
            <c:strRef>
              <c:f>Ratio!$O$15:$O$16</c:f>
              <c:strCache>
                <c:ptCount val="1"/>
                <c:pt idx="0">
                  <c:v>Gearing Ratio Analysis 2023 ($, millions)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(Ratio!$K$17,Ratio!$K$20)</c:f>
              <c:strCache>
                <c:ptCount val="2"/>
                <c:pt idx="0">
                  <c:v>Debt-to-Equity</c:v>
                </c:pt>
                <c:pt idx="1">
                  <c:v>Debt-to-Capital Ratio</c:v>
                </c:pt>
              </c:strCache>
            </c:strRef>
          </c:cat>
          <c:val>
            <c:numRef>
              <c:f>(Ratio!$O$17,Ratio!$O$20)</c:f>
              <c:numCache>
                <c:formatCode>0.00</c:formatCode>
                <c:ptCount val="2"/>
                <c:pt idx="0">
                  <c:v>-7.52033898305085</c:v>
                </c:pt>
                <c:pt idx="1">
                  <c:v>1.15239270177261</c:v>
                </c:pt>
              </c:numCache>
            </c:numRef>
          </c:val>
        </c:ser>
        <c:ser>
          <c:idx val="3"/>
          <c:order val="3"/>
          <c:tx>
            <c:strRef>
              <c:f>Ratio!$P$15:$P$16</c:f>
              <c:strCache>
                <c:ptCount val="1"/>
                <c:pt idx="0">
                  <c:v>Gearing Ratio Analysis 2022 ($, millions)</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(Ratio!$K$17,Ratio!$K$20)</c:f>
              <c:strCache>
                <c:ptCount val="2"/>
                <c:pt idx="0">
                  <c:v>Debt-to-Equity</c:v>
                </c:pt>
                <c:pt idx="1">
                  <c:v>Debt-to-Capital Ratio</c:v>
                </c:pt>
              </c:strCache>
            </c:strRef>
          </c:cat>
          <c:val>
            <c:numRef>
              <c:f>(Ratio!$P$17,Ratio!$P$20)</c:f>
              <c:numCache>
                <c:formatCode>0.00</c:formatCode>
                <c:ptCount val="2"/>
                <c:pt idx="0">
                  <c:v>-15.0725952813067</c:v>
                </c:pt>
                <c:pt idx="1">
                  <c:v>1.07078390923156</c:v>
                </c:pt>
              </c:numCache>
            </c:numRef>
          </c:val>
        </c:ser>
        <c:ser>
          <c:idx val="4"/>
          <c:order val="4"/>
          <c:tx>
            <c:strRef>
              <c:f>Ratio!$Q$15:$Q$16</c:f>
              <c:strCache>
                <c:ptCount val="1"/>
                <c:pt idx="0">
                  <c:v>Gearing Ratio Analysis 2021 ($, millions)</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(Ratio!$K$17,Ratio!$K$20)</c:f>
              <c:strCache>
                <c:ptCount val="2"/>
                <c:pt idx="0">
                  <c:v>Debt-to-Equity</c:v>
                </c:pt>
                <c:pt idx="1">
                  <c:v>Debt-to-Capital Ratio</c:v>
                </c:pt>
              </c:strCache>
            </c:strRef>
          </c:cat>
          <c:val>
            <c:numRef>
              <c:f>(Ratio!$Q$17,Ratio!$Q$20)</c:f>
              <c:numCache>
                <c:formatCode>0.00</c:formatCode>
                <c:ptCount val="2"/>
                <c:pt idx="0">
                  <c:v>-19.8051157125457</c:v>
                </c:pt>
                <c:pt idx="1">
                  <c:v>1.05304060617836</c:v>
                </c:pt>
              </c:numCache>
            </c:numRef>
          </c:val>
        </c:ser>
        <c:dLbls>
          <c:showLegendKey val="0"/>
          <c:showVal val="1"/>
          <c:showCatName val="0"/>
          <c:showSerName val="0"/>
          <c:showPercent val="0"/>
          <c:showBubbleSize val="0"/>
        </c:dLbls>
        <c:gapWidth val="115"/>
        <c:overlap val="-20"/>
        <c:axId val="2134178224"/>
        <c:axId val="2054215344"/>
      </c:barChart>
      <c:catAx>
        <c:axId val="213417822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054215344"/>
        <c:crosses val="autoZero"/>
        <c:auto val="1"/>
        <c:lblAlgn val="ctr"/>
        <c:lblOffset val="100"/>
        <c:noMultiLvlLbl val="0"/>
      </c:catAx>
      <c:valAx>
        <c:axId val="205421534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1341782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b839bcc-dfa3-4be7-a507-14addb784b19}"/>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lang="en-US" sz="1400" b="1" i="0" u="none" strike="noStrike" kern="1200" cap="none" baseline="0">
                <a:solidFill>
                  <a:schemeClr val="lt1">
                    <a:lumMod val="85000"/>
                  </a:schemeClr>
                </a:solidFill>
                <a:latin typeface="+mn-lt"/>
                <a:ea typeface="+mn-ea"/>
                <a:cs typeface="+mn-cs"/>
              </a:defRPr>
            </a:pPr>
            <a:r>
              <a:rPr lang="en-IN"/>
              <a:t>Cash flow  </a:t>
            </a:r>
            <a:endParaRPr lang="en-IN"/>
          </a:p>
        </c:rich>
      </c:tx>
      <c:layout/>
      <c:overlay val="0"/>
      <c:spPr>
        <a:noFill/>
        <a:ln>
          <a:noFill/>
        </a:ln>
        <a:effectLst/>
      </c:spPr>
    </c:title>
    <c:autoTitleDeleted val="0"/>
    <c:plotArea>
      <c:layout/>
      <c:lineChart>
        <c:grouping val="standard"/>
        <c:varyColors val="0"/>
        <c:ser>
          <c:idx val="0"/>
          <c:order val="0"/>
          <c:tx>
            <c:strRef>
              <c:f>Ratio!$M$29:$M$30</c:f>
              <c:strCache>
                <c:ptCount val="1"/>
                <c:pt idx="0">
                  <c:v>Cash flow  2025 ($, millions)</c:v>
                </c:pt>
              </c:strCache>
            </c:strRef>
          </c:tx>
          <c:spPr>
            <a:ln w="22225" cap="rnd">
              <a:solidFill>
                <a:schemeClr val="accent1">
                  <a:shade val="53000"/>
                </a:schemeClr>
              </a:solidFill>
            </a:ln>
            <a:effectLst>
              <a:glow rad="139700">
                <a:schemeClr val="accent1">
                  <a:shade val="53000"/>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(Ratio!$K$31,Ratio!$K$34)</c:f>
              <c:strCache>
                <c:ptCount val="2"/>
                <c:pt idx="0">
                  <c:v>Cash Flow Coverage Ratio</c:v>
                </c:pt>
                <c:pt idx="1">
                  <c:v>Operating Cash Flow Ratio</c:v>
                </c:pt>
              </c:strCache>
            </c:strRef>
          </c:cat>
          <c:val>
            <c:numRef>
              <c:f>(Ratio!$M$31,Ratio!$M$34)</c:f>
              <c:numCache>
                <c:formatCode>0.00</c:formatCode>
                <c:ptCount val="2"/>
                <c:pt idx="0">
                  <c:v>0.09624773960217</c:v>
                </c:pt>
                <c:pt idx="1">
                  <c:v>0.472271517302573</c:v>
                </c:pt>
              </c:numCache>
            </c:numRef>
          </c:val>
          <c:smooth val="0"/>
        </c:ser>
        <c:ser>
          <c:idx val="1"/>
          <c:order val="1"/>
          <c:tx>
            <c:strRef>
              <c:f>Ratio!$N$29:$N$30</c:f>
              <c:strCache>
                <c:ptCount val="1"/>
                <c:pt idx="0">
                  <c:v>Cash flow  2024 ($, millions)</c:v>
                </c:pt>
              </c:strCache>
            </c:strRef>
          </c:tx>
          <c:spPr>
            <a:ln w="22225" cap="rnd">
              <a:solidFill>
                <a:schemeClr val="accent1">
                  <a:shade val="76000"/>
                </a:schemeClr>
              </a:solidFill>
            </a:ln>
            <a:effectLst>
              <a:glow rad="139700">
                <a:schemeClr val="accent1">
                  <a:shade val="76000"/>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(Ratio!$K$31,Ratio!$K$34)</c:f>
              <c:strCache>
                <c:ptCount val="2"/>
                <c:pt idx="0">
                  <c:v>Cash Flow Coverage Ratio</c:v>
                </c:pt>
                <c:pt idx="1">
                  <c:v>Operating Cash Flow Ratio</c:v>
                </c:pt>
              </c:strCache>
            </c:strRef>
          </c:cat>
          <c:val>
            <c:numRef>
              <c:f>(Ratio!$N$31,Ratio!$N$34)</c:f>
              <c:numCache>
                <c:formatCode>0.00</c:formatCode>
                <c:ptCount val="2"/>
                <c:pt idx="0">
                  <c:v>0.0995992281430904</c:v>
                </c:pt>
                <c:pt idx="1">
                  <c:v>0.428297872340426</c:v>
                </c:pt>
              </c:numCache>
            </c:numRef>
          </c:val>
          <c:smooth val="0"/>
        </c:ser>
        <c:ser>
          <c:idx val="2"/>
          <c:order val="2"/>
          <c:tx>
            <c:strRef>
              <c:f>Ratio!$O$29:$O$30</c:f>
              <c:strCache>
                <c:ptCount val="1"/>
                <c:pt idx="0">
                  <c:v>Cash flow  2023 ($, millions)</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(Ratio!$K$31,Ratio!$K$34)</c:f>
              <c:strCache>
                <c:ptCount val="2"/>
                <c:pt idx="0">
                  <c:v>Cash Flow Coverage Ratio</c:v>
                </c:pt>
                <c:pt idx="1">
                  <c:v>Operating Cash Flow Ratio</c:v>
                </c:pt>
              </c:strCache>
            </c:strRef>
          </c:cat>
          <c:val>
            <c:numRef>
              <c:f>(Ratio!$O$31,Ratio!$O$34)</c:f>
              <c:numCache>
                <c:formatCode>0.00</c:formatCode>
                <c:ptCount val="2"/>
                <c:pt idx="0">
                  <c:v>0.1096461573135</c:v>
                </c:pt>
                <c:pt idx="1">
                  <c:v>0.522837184309511</c:v>
                </c:pt>
              </c:numCache>
            </c:numRef>
          </c:val>
          <c:smooth val="0"/>
        </c:ser>
        <c:ser>
          <c:idx val="3"/>
          <c:order val="3"/>
          <c:tx>
            <c:strRef>
              <c:f>Ratio!$P$29:$P$30</c:f>
              <c:strCache>
                <c:ptCount val="1"/>
                <c:pt idx="0">
                  <c:v>Cash flow  2022 ($, millions)</c:v>
                </c:pt>
              </c:strCache>
            </c:strRef>
          </c:tx>
          <c:spPr>
            <a:ln w="22225" cap="rnd">
              <a:solidFill>
                <a:schemeClr val="accent1">
                  <a:tint val="77000"/>
                </a:schemeClr>
              </a:solidFill>
            </a:ln>
            <a:effectLst>
              <a:glow rad="139700">
                <a:schemeClr val="accent1">
                  <a:tint val="77000"/>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(Ratio!$K$31,Ratio!$K$34)</c:f>
              <c:strCache>
                <c:ptCount val="2"/>
                <c:pt idx="0">
                  <c:v>Cash Flow Coverage Ratio</c:v>
                </c:pt>
                <c:pt idx="1">
                  <c:v>Operating Cash Flow Ratio</c:v>
                </c:pt>
              </c:strCache>
            </c:strRef>
          </c:cat>
          <c:val>
            <c:numRef>
              <c:f>(Ratio!$P$31,Ratio!$P$34)</c:f>
              <c:numCache>
                <c:formatCode>0.00</c:formatCode>
                <c:ptCount val="2"/>
                <c:pt idx="0">
                  <c:v>0.101204093919326</c:v>
                </c:pt>
                <c:pt idx="1">
                  <c:v>0.498517200474496</c:v>
                </c:pt>
              </c:numCache>
            </c:numRef>
          </c:val>
          <c:smooth val="0"/>
        </c:ser>
        <c:ser>
          <c:idx val="4"/>
          <c:order val="4"/>
          <c:tx>
            <c:strRef>
              <c:f>Ratio!$Q$29:$Q$30</c:f>
              <c:strCache>
                <c:ptCount val="1"/>
                <c:pt idx="0">
                  <c:v>Cash flow  2021 ($, millions)</c:v>
                </c:pt>
              </c:strCache>
            </c:strRef>
          </c:tx>
          <c:spPr>
            <a:ln w="22225" cap="rnd">
              <a:solidFill>
                <a:schemeClr val="accent1">
                  <a:tint val="54000"/>
                </a:schemeClr>
              </a:solidFill>
            </a:ln>
            <a:effectLst>
              <a:glow rad="139700">
                <a:schemeClr val="accent1">
                  <a:tint val="54000"/>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(Ratio!$K$31,Ratio!$K$34)</c:f>
              <c:strCache>
                <c:ptCount val="2"/>
                <c:pt idx="0">
                  <c:v>Cash Flow Coverage Ratio</c:v>
                </c:pt>
                <c:pt idx="1">
                  <c:v>Operating Cash Flow Ratio</c:v>
                </c:pt>
              </c:strCache>
            </c:strRef>
          </c:cat>
          <c:val>
            <c:numRef>
              <c:f>(Ratio!$Q$31,Ratio!$Q$34)</c:f>
              <c:numCache>
                <c:formatCode>0.00</c:formatCode>
                <c:ptCount val="2"/>
                <c:pt idx="0">
                  <c:v>0.00670356703567036</c:v>
                </c:pt>
                <c:pt idx="1">
                  <c:v>0.0361046704206691</c:v>
                </c:pt>
              </c:numCache>
            </c:numRef>
          </c:val>
          <c:smooth val="0"/>
        </c:ser>
        <c:dLbls>
          <c:showLegendKey val="0"/>
          <c:showVal val="1"/>
          <c:showCatName val="0"/>
          <c:showSerName val="0"/>
          <c:showPercent val="0"/>
          <c:showBubbleSize val="0"/>
        </c:dLbls>
        <c:marker val="0"/>
        <c:smooth val="0"/>
        <c:axId val="151600320"/>
        <c:axId val="2054175984"/>
      </c:lineChart>
      <c:catAx>
        <c:axId val="15160032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crossAx val="2054175984"/>
        <c:crosses val="autoZero"/>
        <c:auto val="1"/>
        <c:lblAlgn val="ctr"/>
        <c:lblOffset val="100"/>
        <c:noMultiLvlLbl val="0"/>
      </c:catAx>
      <c:valAx>
        <c:axId val="205417598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crossAx val="15160032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legend>
    <c:plotVisOnly val="1"/>
    <c:dispBlanksAs val="gap"/>
    <c:showDLblsOverMax val="0"/>
    <c:extLst>
      <c:ext uri="{0b15fc19-7d7d-44ad-8c2d-2c3a37ce22c3}">
        <chartProps xmlns="https://web.wps.cn/et/2018/main" chartId="{cc8a35e4-cff7-42de-8436-2df2ab7b1585}"/>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E0540-E51F-4AAC-830D-0CD613DF6C12}">
  <ds:schemaRefs/>
</ds:datastoreItem>
</file>

<file path=docProps/app.xml><?xml version="1.0" encoding="utf-8"?>
<Properties xmlns="http://schemas.openxmlformats.org/officeDocument/2006/extended-properties" xmlns:vt="http://schemas.openxmlformats.org/officeDocument/2006/docPropsVTypes">
  <Template>Normal</Template>
  <Pages>57</Pages>
  <Words>7905</Words>
  <Characters>43676</Characters>
  <Lines>385</Lines>
  <Paragraphs>108</Paragraphs>
  <TotalTime>4</TotalTime>
  <ScaleCrop>false</ScaleCrop>
  <LinksUpToDate>false</LinksUpToDate>
  <CharactersWithSpaces>50985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2026-08-13T08:43:00Z</dcterms:created>
  <dcterms:modified xsi:type="dcterms:W3CDTF">2026-08-13T10:13:21Z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eyJoZGlkIjoiNjc2Y2I4ZTQ1YjAxMzBjM2UzZDZjMGJkY2U3OTQ2NjAifQ==</vt:lpwstr>
  </property>
  <property fmtid="{D5CDD505-2E9C-101B-9397-08002B2CF9AE}" pid="3" name="KSOProductBuildVer">
    <vt:lpwstr>1033-12.1.0.28032</vt:lpwstr>
  </property>
  <property fmtid="{D5CDD505-2E9C-101B-9397-08002B2CF9AE}" pid="4" name="ICV">
    <vt:lpwstr>E0B3AC3B21C94569904A1EE3AFF6E71E_13</vt:lpwstr>
  </property>
</Properties>
</file>