
<file path=[Content_Types].xml><?xml version="1.0" encoding="utf-8"?>
<Types xmlns="http://schemas.openxmlformats.org/package/2006/content-types">
  <Default Extension="xlsx" ContentType="application/vnd.openxmlformats-officedocument.spreadsheetml.sheet"/>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281" w:firstLineChars="100"/>
        <w:jc w:val="both"/>
        <w:rPr>
          <w:rFonts w:hint="default" w:ascii="Times New Roman" w:hAnsi="Times New Roman" w:cs="Times New Roman" w:eastAsiaTheme="minorEastAsia"/>
          <w:b/>
          <w:bCs/>
          <w:sz w:val="28"/>
          <w:szCs w:val="28"/>
          <w:lang w:val="en-US" w:eastAsia="zh-CN"/>
        </w:rPr>
      </w:pPr>
      <w:r>
        <w:rPr>
          <w:rFonts w:hint="default" w:ascii="Times New Roman" w:hAnsi="Times New Roman" w:cs="Times New Roman"/>
          <w:b/>
          <w:bCs/>
          <w:sz w:val="28"/>
          <w:szCs w:val="28"/>
          <w:lang w:val="en-US" w:eastAsia="zh-CN"/>
        </w:rPr>
        <w:t>Difficulties in Implementing CLT in Chines English Classroom</w:t>
      </w:r>
    </w:p>
    <w:p>
      <w:pPr>
        <w:rPr>
          <w:rFonts w:hint="default" w:ascii="Times New Roman" w:hAnsi="Times New Roman" w:cs="Times New Roman"/>
          <w:b/>
          <w:bCs/>
          <w:sz w:val="24"/>
          <w:szCs w:val="24"/>
        </w:rPr>
      </w:pPr>
    </w:p>
    <w:p>
      <w:pPr>
        <w:rPr>
          <w:rFonts w:hint="default" w:ascii="Times New Roman" w:hAnsi="Times New Roman" w:cs="Times New Roman"/>
          <w:b/>
          <w:bCs/>
          <w:sz w:val="28"/>
          <w:szCs w:val="28"/>
        </w:rPr>
      </w:pPr>
      <w:r>
        <w:rPr>
          <w:rFonts w:hint="eastAsia" w:ascii="Times New Roman" w:hAnsi="Times New Roman" w:cs="Times New Roman"/>
          <w:b/>
          <w:bCs/>
          <w:sz w:val="28"/>
          <w:szCs w:val="28"/>
          <w:lang w:val="en-US" w:eastAsia="zh-CN"/>
        </w:rPr>
        <w:t>1.</w:t>
      </w:r>
      <w:r>
        <w:rPr>
          <w:rFonts w:hint="default" w:ascii="Times New Roman" w:hAnsi="Times New Roman" w:cs="Times New Roman"/>
          <w:b/>
          <w:bCs/>
          <w:sz w:val="28"/>
          <w:szCs w:val="28"/>
        </w:rPr>
        <w:t xml:space="preserve">Aims </w:t>
      </w: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 xml:space="preserve">1.1 </w:t>
      </w:r>
      <w:r>
        <w:rPr>
          <w:rFonts w:hint="default" w:ascii="Times New Roman" w:hAnsi="Times New Roman" w:cs="Times New Roman"/>
          <w:b/>
          <w:bCs/>
          <w:sz w:val="24"/>
          <w:szCs w:val="24"/>
        </w:rPr>
        <w:t>Make Chinese English classrooms more active and diverse</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Chinese English teachers have followed the previous grammar translation method in English teaching since the first grade of compulsory education. Grammar translation is an old teaching method, and its advantage is enabling students to read and understand quickly. Emphasis is placed on recognizing and grasping the overall structure of sentences and translating them. This teaching method is more suitable for students with a certain level of cognition, such as middle school students. In primary school, the age at which English is first introduced is more suitable for cultivating listening and speaking skills based on the second language acquisition theory. Introducing and initiating CLT will make the classroom more diverse and </w:t>
      </w:r>
      <w:r>
        <w:rPr>
          <w:rFonts w:hint="default" w:ascii="Times New Roman" w:hAnsi="Times New Roman" w:cs="Times New Roman"/>
          <w:sz w:val="24"/>
          <w:szCs w:val="24"/>
          <w:lang w:val="en-US" w:eastAsia="zh-CN"/>
        </w:rPr>
        <w:t>a</w:t>
      </w:r>
      <w:r>
        <w:rPr>
          <w:rFonts w:hint="default" w:ascii="Times New Roman" w:hAnsi="Times New Roman" w:cs="Times New Roman"/>
          <w:sz w:val="24"/>
          <w:szCs w:val="24"/>
        </w:rPr>
        <w:t>ctive.</w:t>
      </w: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 xml:space="preserve">1.2 </w:t>
      </w:r>
      <w:r>
        <w:rPr>
          <w:rFonts w:hint="default" w:ascii="Times New Roman" w:hAnsi="Times New Roman" w:cs="Times New Roman"/>
          <w:b/>
          <w:bCs/>
          <w:sz w:val="24"/>
          <w:szCs w:val="24"/>
        </w:rPr>
        <w:t>Make the CLT approach more widely used and professionally treated in China</w:t>
      </w:r>
    </w:p>
    <w:p>
      <w:pPr>
        <w:rPr>
          <w:rFonts w:hint="default" w:ascii="Times New Roman" w:hAnsi="Times New Roman" w:cs="Times New Roman"/>
          <w:sz w:val="24"/>
          <w:szCs w:val="24"/>
        </w:rPr>
      </w:pPr>
      <w:r>
        <w:rPr>
          <w:rFonts w:hint="default" w:ascii="Times New Roman" w:hAnsi="Times New Roman" w:cs="Times New Roman"/>
          <w:sz w:val="24"/>
          <w:szCs w:val="24"/>
        </w:rPr>
        <w:t>In China, teachers who teach traditional skill-based are more respected than those who teach oral skills because, in the context of the Chinese English national college entrance examination, communicative skills are not as crucial in the execution of the exam. Many parents in China prefer dogmatic teaching methods, and the lack of a</w:t>
      </w:r>
      <w:r>
        <w:rPr>
          <w:rFonts w:hint="default" w:ascii="Times New Roman" w:hAnsi="Times New Roman" w:cs="Times New Roman"/>
          <w:sz w:val="24"/>
          <w:szCs w:val="24"/>
          <w:lang w:val="en-US" w:eastAsia="zh-CN"/>
        </w:rPr>
        <w:t xml:space="preserve"> changeable</w:t>
      </w:r>
      <w:r>
        <w:rPr>
          <w:rFonts w:hint="default" w:ascii="Times New Roman" w:hAnsi="Times New Roman" w:cs="Times New Roman"/>
          <w:sz w:val="24"/>
          <w:szCs w:val="24"/>
        </w:rPr>
        <w:t xml:space="preserve"> teaching belief makes many activities introduced by CLT not recognized and promoted.</w:t>
      </w: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 xml:space="preserve">1.3 </w:t>
      </w:r>
      <w:r>
        <w:rPr>
          <w:rFonts w:hint="default" w:ascii="Times New Roman" w:hAnsi="Times New Roman" w:cs="Times New Roman"/>
          <w:b/>
          <w:bCs/>
          <w:sz w:val="24"/>
          <w:szCs w:val="24"/>
        </w:rPr>
        <w:t>Enhancing the Communicative Skills of Chinese Students</w:t>
      </w:r>
    </w:p>
    <w:p>
      <w:pPr>
        <w:rPr>
          <w:rFonts w:hint="default" w:ascii="Times New Roman" w:hAnsi="Times New Roman" w:cs="Times New Roman"/>
          <w:sz w:val="24"/>
          <w:szCs w:val="24"/>
        </w:rPr>
      </w:pPr>
      <w:r>
        <w:rPr>
          <w:rFonts w:hint="default" w:ascii="Times New Roman" w:hAnsi="Times New Roman" w:cs="Times New Roman"/>
          <w:sz w:val="24"/>
          <w:szCs w:val="24"/>
        </w:rPr>
        <w:t>Combining these internal factors. The cultural and historical reasons in China have led to students being highly obedient and hesitant to resist the authority of teachers, such as arguing, criticizing, and proposing different viewpoints, which are marginalized in China's cultural and educational environment. To improve Chinese students' speaking skills in the future, they should also enhance their communicative skills early during their second foreign language studies.</w:t>
      </w:r>
    </w:p>
    <w:p>
      <w:pPr>
        <w:numPr>
          <w:ilvl w:val="0"/>
          <w:numId w:val="1"/>
        </w:numPr>
        <w:rPr>
          <w:rFonts w:hint="default" w:ascii="Times New Roman" w:hAnsi="Times New Roman" w:cs="Times New Roman"/>
          <w:b/>
          <w:bCs/>
          <w:sz w:val="24"/>
          <w:szCs w:val="24"/>
        </w:rPr>
      </w:pPr>
      <w:r>
        <w:rPr>
          <w:rFonts w:hint="default" w:ascii="Times New Roman" w:hAnsi="Times New Roman" w:cs="Times New Roman"/>
          <w:b/>
          <w:bCs/>
          <w:sz w:val="24"/>
          <w:szCs w:val="24"/>
        </w:rPr>
        <w:t>Rationale and Background</w:t>
      </w:r>
    </w:p>
    <w:p>
      <w:pPr>
        <w:rPr>
          <w:rFonts w:hint="default" w:ascii="Times New Roman" w:hAnsi="Times New Roman" w:cs="Times New Roman"/>
          <w:sz w:val="24"/>
          <w:szCs w:val="24"/>
        </w:rPr>
      </w:pPr>
      <w:r>
        <w:rPr>
          <w:rFonts w:hint="default" w:ascii="Times New Roman" w:hAnsi="Times New Roman" w:cs="Times New Roman"/>
          <w:sz w:val="24"/>
          <w:szCs w:val="24"/>
        </w:rPr>
        <w:t>In previous studies, the most common focus was on applying CLT with a background of college students, including why it is not widely used in universities. Two changes have caused a sensation in Chinese universities in the past few decades. One is that more and more students are enrolling in universities, and the other is that the reform of English education has introduced the communicative approach into university classrooms. But these two factors are contradictory, with an increasing number of students leading to a lack of teacher resources and higher requirements for qualifications. The lack of funding has also led to stagnation in the introduction of CLT, and overall, the implementation of the communicative approach in China has not been better than expected.</w:t>
      </w:r>
    </w:p>
    <w:p>
      <w:pPr>
        <w:rPr>
          <w:rFonts w:hint="default" w:ascii="Times New Roman" w:hAnsi="Times New Roman" w:cs="Times New Roman"/>
          <w:sz w:val="24"/>
          <w:szCs w:val="24"/>
        </w:rPr>
      </w:pPr>
      <w:r>
        <w:rPr>
          <w:rFonts w:hint="default" w:ascii="Times New Roman" w:hAnsi="Times New Roman" w:cs="Times New Roman"/>
          <w:sz w:val="24"/>
          <w:szCs w:val="24"/>
        </w:rPr>
        <w:t>With the globalization of the economy, the importance of communication skills for Chinese students is also increasing. But it can be seen that students in the younger age group who are not college students are also trying to introduce CLT in EFL learning. In China's more developed education regions, there are also attempts to break through the previously spoken mute English. In the 21st century, there are also good ways to achieve the expected introduction of a communicative approach under different social education backgrounds of the younger age group, but it is rare</w:t>
      </w:r>
      <w:r>
        <w:rPr>
          <w:rFonts w:hint="default" w:ascii="Times New Roman" w:hAnsi="Times New Roman" w:cs="Times New Roman"/>
          <w:sz w:val="24"/>
          <w:szCs w:val="24"/>
          <w:lang w:val="en-US" w:eastAsia="zh-CN"/>
        </w:rPr>
        <w:t xml:space="preserve"> in China</w:t>
      </w:r>
      <w:r>
        <w:rPr>
          <w:rFonts w:hint="default" w:ascii="Times New Roman" w:hAnsi="Times New Roman" w:cs="Times New Roman"/>
          <w:sz w:val="24"/>
          <w:szCs w:val="24"/>
        </w:rPr>
        <w:t>.</w:t>
      </w:r>
    </w:p>
    <w:p>
      <w:pPr>
        <w:rPr>
          <w:rFonts w:hint="default" w:ascii="Times New Roman" w:hAnsi="Times New Roman" w:cs="Times New Roman"/>
          <w:sz w:val="24"/>
          <w:szCs w:val="24"/>
        </w:rPr>
      </w:pPr>
      <w:r>
        <w:rPr>
          <w:rFonts w:hint="default" w:ascii="Times New Roman" w:hAnsi="Times New Roman" w:cs="Times New Roman"/>
          <w:sz w:val="24"/>
          <w:szCs w:val="24"/>
        </w:rPr>
        <w:t>The second reason is that the cultural background of Chinese English teachers has led to the inheritance of some educational methods that are not innovative. People can look at the different perspectives on CLT in China and abroad.</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CETs believe CLT primarily applies in China only to students who plan to study abroad.</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The practice of CLT in the Chinese English classroom doesn't provide the expected results. A lack of knowledge rules of the target language causes the student's communicative skills to be deficient. But abroad, CLT first appeared in the late 1960s, and it is an excellent achievement in Western Countries. Various task-based and situational contains activities in the CLT approach.</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The main focus is to explore the factors that can successfully apply CLT in the classroom and what may hinder the further development of CLT.</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rPr>
        <w:t>Significance</w:t>
      </w:r>
    </w:p>
    <w:p>
      <w:pPr>
        <w:rPr>
          <w:rFonts w:hint="default" w:ascii="Times New Roman" w:hAnsi="Times New Roman" w:cs="Times New Roman"/>
          <w:sz w:val="24"/>
          <w:szCs w:val="24"/>
        </w:rPr>
      </w:pPr>
      <w:r>
        <w:rPr>
          <w:rFonts w:hint="default" w:ascii="Times New Roman" w:hAnsi="Times New Roman" w:cs="Times New Roman"/>
          <w:sz w:val="24"/>
          <w:szCs w:val="24"/>
        </w:rPr>
        <w:t>The primary purpose is to identify problems and explore the real issues encountered in CLT applications, thereby clarifying the relationship between pedagogy, teacher beliefs, and regulatory cooperation. But the main target of this survey is the opinions of students and parents who are receiving compulsory English education, Chinese English-</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peaking parents. Not directly interviewing Chinese English teachers is more to ensure the objectivity of the sample results. It's like asking the parties involved in a traffic accident; they all say it's not their fault. The best question and answer is to find the observer who watched the accident happen. Parents are good observers, while students receive the teacher's teaching methods. The increase in college enrollment and the increasing proportion of class teachers and students mentioned above have all led to conflicts. A large part of the escalation of contradictions is due to the negligence of regulators, who did not anticipate some of the challenges they faced after practice. CLT's teaching rules theory may often challenge Chinese English teachers' cultural beliefs, such as their absolute authority.</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4.</w:t>
      </w:r>
      <w:r>
        <w:rPr>
          <w:rFonts w:hint="default" w:ascii="Times New Roman" w:hAnsi="Times New Roman" w:cs="Times New Roman"/>
          <w:b/>
          <w:bCs/>
          <w:sz w:val="24"/>
          <w:szCs w:val="24"/>
        </w:rPr>
        <w:t>Method</w:t>
      </w:r>
    </w:p>
    <w:p>
      <w:pPr>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A questionnaire survey is used to determine possible outcomes and difficulties based on surveys with parents and students</w:t>
      </w:r>
      <w:r>
        <w:rPr>
          <w:rFonts w:hint="eastAsia" w:ascii="Times New Roman" w:hAnsi="Times New Roman" w:cs="Times New Roman"/>
          <w:sz w:val="24"/>
          <w:szCs w:val="24"/>
          <w:lang w:val="en-US" w:eastAsia="zh-CN"/>
        </w:rPr>
        <w:t>.</w:t>
      </w:r>
    </w:p>
    <w:p>
      <w:pPr>
        <w:rPr>
          <w:rFonts w:hint="default" w:ascii="Times New Roman" w:hAnsi="Times New Roman" w:cs="Times New Roman"/>
          <w:b/>
          <w:bCs/>
          <w:i/>
          <w:iCs/>
          <w:sz w:val="24"/>
          <w:szCs w:val="24"/>
        </w:rPr>
      </w:pP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The questionnaire survey on students is as follows:</w:t>
      </w: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Questionnaire For Ss(3-12yrs)</w:t>
      </w:r>
    </w:p>
    <w:p>
      <w:pPr>
        <w:numPr>
          <w:ilvl w:val="0"/>
          <w:numId w:val="2"/>
        </w:numPr>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Have you ever got some English jokes from your English class? </w:t>
      </w:r>
    </w:p>
    <w:p>
      <w:pPr>
        <w:numPr>
          <w:numId w:val="0"/>
        </w:numPr>
        <w:ind w:leftChars="0"/>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Never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Sometimes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rPr>
        <w:t>Often</w:t>
      </w:r>
    </w:p>
    <w:p>
      <w:pPr>
        <w:numPr>
          <w:ilvl w:val="0"/>
          <w:numId w:val="2"/>
        </w:numPr>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Do you have a deep impression of your Chinese English teacher?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Part of them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Most of them</w:t>
      </w:r>
    </w:p>
    <w:p>
      <w:pPr>
        <w:numPr>
          <w:ilvl w:val="0"/>
          <w:numId w:val="2"/>
        </w:numPr>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Are you happy with random questions from your  Chinese English teacher?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Sometimes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Often</w:t>
      </w:r>
    </w:p>
    <w:p>
      <w:pPr>
        <w:numPr>
          <w:ilvl w:val="0"/>
          <w:numId w:val="2"/>
        </w:numPr>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Are you worried when you are given a task or oral homework?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Often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Sometimes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w:t>
      </w:r>
    </w:p>
    <w:p>
      <w:pPr>
        <w:numPr>
          <w:ilvl w:val="0"/>
          <w:numId w:val="2"/>
        </w:numPr>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Are you bored with drilling and repeating in a language class?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Often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Sometimes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w:t>
      </w:r>
    </w:p>
    <w:p>
      <w:pPr>
        <w:numPr>
          <w:ilvl w:val="0"/>
          <w:numId w:val="2"/>
        </w:numPr>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Have you experienced an interactive language lesson?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rPr>
        <w:t>No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Sometimes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Often</w:t>
      </w:r>
    </w:p>
    <w:p>
      <w:pPr>
        <w:numPr>
          <w:ilvl w:val="0"/>
          <w:numId w:val="2"/>
        </w:numPr>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Are you happy with the immersion language learning situation?</w:t>
      </w:r>
    </w:p>
    <w:p>
      <w:pPr>
        <w:numPr>
          <w:numId w:val="0"/>
        </w:num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Sometimes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Often</w:t>
      </w:r>
    </w:p>
    <w:p>
      <w:pPr>
        <w:rPr>
          <w:rFonts w:hint="default" w:ascii="Times New Roman" w:hAnsi="Times New Roman" w:cs="Times New Roman"/>
          <w:sz w:val="24"/>
          <w:szCs w:val="24"/>
        </w:rPr>
      </w:pP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The questionnaire survey regarding parents is as follows:</w:t>
      </w: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Questionnaire for Ps</w:t>
      </w:r>
    </w:p>
    <w:p>
      <w:pPr>
        <w:numPr>
          <w:numId w:val="0"/>
        </w:numPr>
        <w:rPr>
          <w:rFonts w:hint="default" w:ascii="Times New Roman" w:hAnsi="Times New Roman" w:cs="Times New Roman"/>
          <w:sz w:val="24"/>
          <w:szCs w:val="24"/>
        </w:rPr>
      </w:pP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 xml:space="preserve">English communication skills are essential.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Disagree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 idea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Agree</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 xml:space="preserve">Children's freedom of speech will affect the authority of teachers.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Agree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 idea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Disagree</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3.</w:t>
      </w:r>
      <w:r>
        <w:rPr>
          <w:rFonts w:hint="default" w:ascii="Times New Roman" w:hAnsi="Times New Roman" w:cs="Times New Roman"/>
          <w:sz w:val="24"/>
          <w:szCs w:val="24"/>
        </w:rPr>
        <w:t xml:space="preserve">A strict teacher is better than an amiable teacher.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Agree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 idea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Disagree</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 xml:space="preserve">Students boldly point out the teacher's mistakes in class.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Disagree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 idea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Agree</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 xml:space="preserve">Children enjoy language classes.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Disagree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 idea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Agree</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6.</w:t>
      </w:r>
      <w:r>
        <w:rPr>
          <w:rFonts w:hint="default" w:ascii="Times New Roman" w:hAnsi="Times New Roman" w:cs="Times New Roman"/>
          <w:sz w:val="24"/>
          <w:szCs w:val="24"/>
        </w:rPr>
        <w:t xml:space="preserve">The child has achieved my expected standard of language communication.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Disagree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 idea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Agree</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t xml:space="preserve">Children and teachers have equal communication rights in class. </w:t>
      </w:r>
    </w:p>
    <w:p>
      <w:pPr>
        <w:rPr>
          <w:rFonts w:hint="default" w:ascii="Times New Roman" w:hAnsi="Times New Roman" w:cs="Times New Roman"/>
          <w:sz w:val="24"/>
          <w:szCs w:val="24"/>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Disagree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No idea </w:t>
      </w:r>
      <w:r>
        <w:rPr>
          <w:rFonts w:hint="default" w:ascii="Times New Roman" w:hAnsi="Times New Roman" w:cs="Times New Roman"/>
          <w:sz w:val="24"/>
          <w:szCs w:val="24"/>
          <w:lang w:val="en-US" w:eastAsia="zh-CN"/>
        </w:rPr>
        <w:sym w:font="Wingdings" w:char="00A8"/>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Agree</w:t>
      </w:r>
    </w:p>
    <w:p>
      <w:pPr>
        <w:numPr>
          <w:numId w:val="0"/>
        </w:numPr>
        <w:rPr>
          <w:rFonts w:hint="default" w:ascii="Times New Roman" w:hAnsi="Times New Roman" w:cs="Times New Roman"/>
          <w:sz w:val="24"/>
          <w:szCs w:val="24"/>
        </w:rPr>
      </w:pPr>
      <w:r>
        <w:rPr>
          <w:rFonts w:hint="eastAsia" w:ascii="Times New Roman" w:hAnsi="Times New Roman" w:cs="Times New Roman"/>
          <w:b/>
          <w:bCs/>
          <w:sz w:val="24"/>
          <w:szCs w:val="24"/>
          <w:lang w:val="en-US" w:eastAsia="zh-CN"/>
        </w:rPr>
        <w:t>5.</w:t>
      </w:r>
      <w:r>
        <w:rPr>
          <w:rFonts w:hint="default" w:ascii="Times New Roman" w:hAnsi="Times New Roman" w:cs="Times New Roman"/>
          <w:b/>
          <w:bCs/>
          <w:sz w:val="24"/>
          <w:szCs w:val="24"/>
        </w:rPr>
        <w:t>Date collecting and analysis:</w:t>
      </w:r>
    </w:p>
    <w:p>
      <w:pP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4247515" cy="3578225"/>
            <wp:effectExtent l="0" t="0" r="635" b="3175"/>
            <wp:docPr id="7" name="图表 6" descr="7b0a202020202263686172745265734964223a20223230343734333839220a7d0a"/>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pPr>
        <w:rPr>
          <w:rFonts w:hint="default" w:ascii="Times New Roman" w:hAnsi="Times New Roman" w:cs="Times New Roman"/>
          <w:sz w:val="24"/>
          <w:szCs w:val="24"/>
        </w:rPr>
      </w:pPr>
      <w:r>
        <w:rPr>
          <w:rFonts w:hint="default" w:ascii="Times New Roman" w:hAnsi="Times New Roman" w:cs="Times New Roman"/>
          <w:sz w:val="24"/>
          <w:szCs w:val="24"/>
        </w:rPr>
        <w:t>It is not the actual data to record but a framework. It will take four weeks to find 80 parents and two weeks to see the 40 students. The questionnaire attaches different points to every other choice. And it made different level points; there are three classes for them. The first is 0-7 points, the second is 7-14 points, and the third is 14-21.</w:t>
      </w:r>
    </w:p>
    <w:p>
      <w:pPr>
        <w:rPr>
          <w:rFonts w:hint="default" w:ascii="Times New Roman" w:hAnsi="Times New Roman" w:cs="Times New Roman"/>
          <w:sz w:val="24"/>
          <w:szCs w:val="24"/>
        </w:rPr>
      </w:pPr>
      <w:r>
        <w:rPr>
          <w:rFonts w:hint="default" w:ascii="Times New Roman" w:hAnsi="Times New Roman" w:cs="Times New Roman"/>
          <w:sz w:val="24"/>
          <w:szCs w:val="24"/>
        </w:rPr>
        <w:t>Horizontal to compare the students and parents. Vertical is to compare the single part. It's not a simple perspective but contains complicated choices.</w:t>
      </w:r>
    </w:p>
    <w:p>
      <w:pPr>
        <w:rPr>
          <w:rFonts w:hint="default" w:ascii="Times New Roman" w:hAnsi="Times New Roman" w:cs="Times New Roman"/>
          <w:sz w:val="24"/>
          <w:szCs w:val="24"/>
        </w:rPr>
      </w:pPr>
    </w:p>
    <w:p>
      <w:pPr>
        <w:numPr>
          <w:numId w:val="0"/>
        </w:num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6.</w:t>
      </w:r>
      <w:r>
        <w:rPr>
          <w:rFonts w:hint="default" w:ascii="Times New Roman" w:hAnsi="Times New Roman" w:cs="Times New Roman"/>
          <w:b/>
          <w:bCs/>
          <w:sz w:val="24"/>
          <w:szCs w:val="24"/>
        </w:rPr>
        <w:t>The limitations</w:t>
      </w:r>
    </w:p>
    <w:p>
      <w:pPr>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6.</w:t>
      </w:r>
      <w:r>
        <w:rPr>
          <w:rFonts w:hint="default" w:ascii="Times New Roman" w:hAnsi="Times New Roman" w:cs="Times New Roman"/>
          <w:b/>
          <w:bCs/>
          <w:sz w:val="24"/>
          <w:szCs w:val="24"/>
        </w:rPr>
        <w:t xml:space="preserve">1 </w:t>
      </w:r>
      <w:r>
        <w:rPr>
          <w:rFonts w:hint="default" w:ascii="Times New Roman" w:hAnsi="Times New Roman" w:cs="Times New Roman"/>
          <w:b/>
          <w:bCs/>
          <w:sz w:val="24"/>
          <w:szCs w:val="24"/>
          <w:lang w:val="en-US" w:eastAsia="zh-CN"/>
        </w:rPr>
        <w:t>Regional issue</w:t>
      </w:r>
    </w:p>
    <w:p>
      <w:pPr>
        <w:rPr>
          <w:rFonts w:hint="default" w:ascii="Times New Roman" w:hAnsi="Times New Roman" w:cs="Times New Roman"/>
          <w:sz w:val="24"/>
          <w:szCs w:val="24"/>
        </w:rPr>
      </w:pPr>
      <w:r>
        <w:rPr>
          <w:rFonts w:hint="default" w:ascii="Times New Roman" w:hAnsi="Times New Roman" w:cs="Times New Roman"/>
          <w:sz w:val="24"/>
          <w:szCs w:val="24"/>
        </w:rPr>
        <w:t>The sample data belongs to a minimal range, likely only to represent students from one region or city. Areas with more apparent advantages than regions, such as HK, and rooms with more disadvantages, such as mountainous areas;</w:t>
      </w:r>
    </w:p>
    <w:p>
      <w:pPr>
        <w:rPr>
          <w:rFonts w:hint="default" w:ascii="Times New Roman" w:hAnsi="Times New Roman" w:cs="Times New Roman"/>
          <w:sz w:val="24"/>
          <w:szCs w:val="24"/>
        </w:rPr>
      </w:pPr>
      <w:r>
        <w:rPr>
          <w:rFonts w:hint="eastAsia" w:ascii="Times New Roman" w:hAnsi="Times New Roman" w:cs="Times New Roman"/>
          <w:b/>
          <w:bCs/>
          <w:sz w:val="24"/>
          <w:szCs w:val="24"/>
          <w:lang w:val="en-US" w:eastAsia="zh-CN"/>
        </w:rPr>
        <w:t>6.2</w:t>
      </w:r>
      <w:r>
        <w:rPr>
          <w:rFonts w:hint="default" w:ascii="Times New Roman" w:hAnsi="Times New Roman" w:cs="Times New Roman"/>
          <w:b/>
          <w:bCs/>
          <w:sz w:val="24"/>
          <w:szCs w:val="24"/>
        </w:rPr>
        <w:t xml:space="preserve"> Participants' </w:t>
      </w:r>
      <w:r>
        <w:rPr>
          <w:rFonts w:hint="default" w:ascii="Times New Roman" w:hAnsi="Times New Roman" w:cs="Times New Roman"/>
          <w:b/>
          <w:bCs/>
          <w:sz w:val="24"/>
          <w:szCs w:val="24"/>
          <w:lang w:val="en-US" w:eastAsia="zh-CN"/>
        </w:rPr>
        <w:t>characteristic</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Some parents may feel that achieving a low expectation in English learning is enough, but specific questions in the questionnaire do not meet the standards of other students. The bars themselves are a problem. According to parents who take the exam absolutely, the introduction of </w:t>
      </w:r>
      <w:r>
        <w:rPr>
          <w:rFonts w:hint="default" w:ascii="Times New Roman" w:hAnsi="Times New Roman" w:cs="Times New Roman"/>
          <w:sz w:val="24"/>
          <w:szCs w:val="24"/>
          <w:lang w:val="en-US" w:eastAsia="zh-CN"/>
        </w:rPr>
        <w:t xml:space="preserve">CLT </w:t>
      </w:r>
      <w:r>
        <w:rPr>
          <w:rFonts w:hint="default" w:ascii="Times New Roman" w:hAnsi="Times New Roman" w:cs="Times New Roman"/>
          <w:sz w:val="24"/>
          <w:szCs w:val="24"/>
        </w:rPr>
        <w:t>itself is different from traditional grammar-translation methods;</w:t>
      </w:r>
    </w:p>
    <w:p>
      <w:pP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6.3 </w:t>
      </w:r>
      <w:r>
        <w:rPr>
          <w:rFonts w:hint="default" w:ascii="Times New Roman" w:hAnsi="Times New Roman" w:cs="Times New Roman"/>
          <w:b/>
          <w:bCs/>
          <w:sz w:val="24"/>
          <w:szCs w:val="24"/>
        </w:rPr>
        <w:t xml:space="preserve">Sample </w:t>
      </w:r>
      <w:r>
        <w:rPr>
          <w:rFonts w:hint="default" w:ascii="Times New Roman" w:hAnsi="Times New Roman" w:cs="Times New Roman"/>
          <w:b/>
          <w:bCs/>
          <w:sz w:val="24"/>
          <w:szCs w:val="24"/>
          <w:lang w:val="en-US" w:eastAsia="zh-CN"/>
        </w:rPr>
        <w:t>examination</w:t>
      </w:r>
    </w:p>
    <w:p>
      <w:pPr>
        <w:numPr>
          <w:numId w:val="0"/>
        </w:numPr>
        <w:rPr>
          <w:rFonts w:hint="default" w:ascii="Times New Roman" w:hAnsi="Times New Roman" w:cs="Times New Roman"/>
          <w:sz w:val="24"/>
          <w:szCs w:val="24"/>
        </w:rPr>
      </w:pPr>
      <w:r>
        <w:rPr>
          <w:rFonts w:hint="default" w:ascii="Times New Roman" w:hAnsi="Times New Roman" w:cs="Times New Roman"/>
          <w:sz w:val="24"/>
          <w:szCs w:val="24"/>
        </w:rPr>
        <w:t xml:space="preserve"> For sample </w:t>
      </w:r>
      <w:r>
        <w:rPr>
          <w:rFonts w:hint="default" w:ascii="Times New Roman" w:hAnsi="Times New Roman" w:cs="Times New Roman"/>
          <w:sz w:val="24"/>
          <w:szCs w:val="24"/>
          <w:lang w:val="en-US" w:eastAsia="zh-CN"/>
        </w:rPr>
        <w:t>examination</w:t>
      </w:r>
      <w:r>
        <w:rPr>
          <w:rFonts w:hint="default" w:ascii="Times New Roman" w:hAnsi="Times New Roman" w:cs="Times New Roman"/>
          <w:sz w:val="24"/>
          <w:szCs w:val="24"/>
        </w:rPr>
        <w:t>, it is necessary to maintain objectivity, rationality, and fairness. Existence is reasonable, and there should be no unfairness to achieve the desired outcome.</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rPr>
        <w:t>Possibly difficulties</w:t>
      </w: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7.1</w:t>
      </w:r>
      <w:r>
        <w:rPr>
          <w:rFonts w:hint="default" w:ascii="Times New Roman" w:hAnsi="Times New Roman" w:cs="Times New Roman"/>
          <w:b/>
          <w:bCs/>
          <w:sz w:val="24"/>
          <w:szCs w:val="24"/>
        </w:rPr>
        <w:t xml:space="preserve"> Lack of pedagogical awareness on CETs</w:t>
      </w:r>
    </w:p>
    <w:p>
      <w:pPr>
        <w:rPr>
          <w:rFonts w:hint="default" w:ascii="Times New Roman" w:hAnsi="Times New Roman" w:cs="Times New Roman"/>
          <w:sz w:val="24"/>
          <w:szCs w:val="24"/>
        </w:rPr>
      </w:pPr>
      <w:r>
        <w:rPr>
          <w:rFonts w:hint="default" w:ascii="Times New Roman" w:hAnsi="Times New Roman" w:cs="Times New Roman"/>
          <w:sz w:val="24"/>
          <w:szCs w:val="24"/>
        </w:rPr>
        <w:t>Lack of situational English construction ability. Many Chinese English teachers express that they cannot spontaneously ask various questions in class. Unable to provide immersive English exploration, it can only teach the next generation based on their previous English experience. In the classroom, it isn't easy to mobilize students' enthusiasm and participation, which is deeply influenced by dogmatism.</w:t>
      </w: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7.2</w:t>
      </w:r>
      <w:r>
        <w:rPr>
          <w:rFonts w:hint="default" w:ascii="Times New Roman" w:hAnsi="Times New Roman" w:cs="Times New Roman"/>
          <w:b/>
          <w:bCs/>
          <w:sz w:val="24"/>
          <w:szCs w:val="24"/>
        </w:rPr>
        <w:t xml:space="preserve"> Population restrictions</w:t>
      </w:r>
    </w:p>
    <w:p>
      <w:pPr>
        <w:rPr>
          <w:rFonts w:hint="default" w:ascii="Times New Roman" w:hAnsi="Times New Roman" w:cs="Times New Roman"/>
          <w:sz w:val="24"/>
          <w:szCs w:val="24"/>
        </w:rPr>
      </w:pPr>
      <w:r>
        <w:rPr>
          <w:rFonts w:hint="default" w:ascii="Times New Roman" w:hAnsi="Times New Roman" w:cs="Times New Roman"/>
          <w:sz w:val="24"/>
          <w:szCs w:val="24"/>
        </w:rPr>
        <w:t>The number of ordinary public students in Chinese classrooms generally reaches 40-50. Due to personnel restrictions, the answers and participants in the school cannot be changed for a long time. CLT cannot be achieved quickly and efficiently for group skill training, individual differences, curriculum requirements, etc.</w:t>
      </w: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 xml:space="preserve">7.3 </w:t>
      </w:r>
      <w:r>
        <w:rPr>
          <w:rFonts w:hint="default" w:ascii="Times New Roman" w:hAnsi="Times New Roman" w:cs="Times New Roman"/>
          <w:b/>
          <w:bCs/>
          <w:sz w:val="24"/>
          <w:szCs w:val="24"/>
        </w:rPr>
        <w:t>Regulators did not consider the practical background</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The background of curriculum planning, from the requirements of China's new curriculum standards, traces the introduction of CLT. However, due to the limited number of people and the low level of teachers, the introduction of </w:t>
      </w:r>
      <w:r>
        <w:rPr>
          <w:rFonts w:hint="default" w:ascii="Times New Roman" w:hAnsi="Times New Roman" w:cs="Times New Roman"/>
          <w:sz w:val="24"/>
          <w:szCs w:val="24"/>
          <w:lang w:val="en-US" w:eastAsia="zh-CN"/>
        </w:rPr>
        <w:t>CLT</w:t>
      </w:r>
      <w:r>
        <w:rPr>
          <w:rFonts w:hint="default" w:ascii="Times New Roman" w:hAnsi="Times New Roman" w:cs="Times New Roman"/>
          <w:sz w:val="24"/>
          <w:szCs w:val="24"/>
        </w:rPr>
        <w:t xml:space="preserve"> is just formalism when there is no significant amount of time input for reading and listening.</w:t>
      </w: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7.4</w:t>
      </w:r>
      <w:r>
        <w:rPr>
          <w:rFonts w:hint="default" w:ascii="Times New Roman" w:hAnsi="Times New Roman" w:cs="Times New Roman"/>
          <w:b/>
          <w:bCs/>
          <w:sz w:val="24"/>
          <w:szCs w:val="24"/>
        </w:rPr>
        <w:t xml:space="preserve"> Confusion of educational concepts by </w:t>
      </w:r>
      <w:r>
        <w:rPr>
          <w:rFonts w:hint="default" w:ascii="Times New Roman" w:hAnsi="Times New Roman" w:cs="Times New Roman"/>
          <w:b/>
          <w:bCs/>
          <w:sz w:val="24"/>
          <w:szCs w:val="24"/>
          <w:lang w:val="en-US"/>
        </w:rPr>
        <w:t>culture beliefs on CETs</w:t>
      </w:r>
    </w:p>
    <w:p>
      <w:pPr>
        <w:rPr>
          <w:rFonts w:hint="default" w:ascii="Times New Roman" w:hAnsi="Times New Roman" w:cs="Times New Roman"/>
          <w:sz w:val="24"/>
          <w:szCs w:val="24"/>
        </w:rPr>
      </w:pPr>
      <w:r>
        <w:rPr>
          <w:rFonts w:hint="default" w:ascii="Times New Roman" w:hAnsi="Times New Roman" w:cs="Times New Roman"/>
          <w:sz w:val="24"/>
          <w:szCs w:val="24"/>
        </w:rPr>
        <w:t>Many Chinese English teachers believe that questioning students is a challenge to authority, and it is not advisable for students to have the power to speak. Teachers play a leading role, while students play a passive role. In CLT, these concepts and rhetoric are very incorrect. The correct choice is for the teacher to provide the role of a helper, with students as the center of the classroom. Lead the classroom with student behavior rather than teachers. The teacher should withdraw from the stage of this performance and become the most loyal audience for the students. We should gradually break away from this teacher-centered classroom format and stimulate students' participation, innovation, etc.</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eastAsia" w:ascii="Times New Roman" w:hAnsi="Times New Roman" w:cs="Times New Roman"/>
          <w:b/>
          <w:bCs/>
          <w:sz w:val="24"/>
          <w:szCs w:val="24"/>
          <w:lang w:val="en-US" w:eastAsia="zh-CN"/>
        </w:rPr>
        <w:t>8.</w:t>
      </w:r>
      <w:r>
        <w:rPr>
          <w:rFonts w:hint="default" w:ascii="Times New Roman" w:hAnsi="Times New Roman" w:cs="Times New Roman"/>
          <w:b/>
          <w:bCs/>
          <w:sz w:val="24"/>
          <w:szCs w:val="24"/>
        </w:rPr>
        <w:t>Solution and Conclusion</w:t>
      </w:r>
    </w:p>
    <w:p>
      <w:pPr>
        <w:rPr>
          <w:rFonts w:hint="default" w:ascii="Times New Roman" w:hAnsi="Times New Roman" w:cs="Times New Roman"/>
          <w:sz w:val="24"/>
          <w:szCs w:val="24"/>
        </w:rPr>
      </w:pPr>
      <w:r>
        <w:rPr>
          <w:rFonts w:hint="default" w:ascii="Times New Roman" w:hAnsi="Times New Roman" w:cs="Times New Roman"/>
          <w:sz w:val="24"/>
          <w:szCs w:val="24"/>
        </w:rPr>
        <w:t>The weak awareness of education, the lack of practical experience of regulators, and the blank background of teachers' communication skills have all led to CLT not achieving the expected results. Faced with these difficulties, finding suitable methods to improve is necessary. By analyzing data from students and parents and estimating the cultural background of teachers' teaching, we can roughly analyze the overall situation of using CLT in Chinese primary school classrooms.</w:t>
      </w: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8.1</w:t>
      </w:r>
      <w:r>
        <w:rPr>
          <w:rFonts w:hint="default" w:ascii="Times New Roman" w:hAnsi="Times New Roman" w:cs="Times New Roman"/>
          <w:b/>
          <w:bCs/>
          <w:sz w:val="24"/>
          <w:szCs w:val="24"/>
        </w:rPr>
        <w:t>Teacher Mutual Aid Project</w:t>
      </w:r>
    </w:p>
    <w:p>
      <w:pPr>
        <w:rPr>
          <w:rFonts w:hint="default" w:ascii="Times New Roman" w:hAnsi="Times New Roman" w:cs="Times New Roman"/>
          <w:sz w:val="24"/>
          <w:szCs w:val="24"/>
        </w:rPr>
      </w:pPr>
      <w:r>
        <w:rPr>
          <w:rFonts w:hint="default" w:ascii="Times New Roman" w:hAnsi="Times New Roman" w:cs="Times New Roman"/>
          <w:sz w:val="24"/>
          <w:szCs w:val="24"/>
        </w:rPr>
        <w:t>Assist every Chinese English teacher in learning and exploring the teaching theory of CLT. Many C</w:t>
      </w:r>
      <w:r>
        <w:rPr>
          <w:rFonts w:hint="default" w:ascii="Times New Roman" w:hAnsi="Times New Roman" w:cs="Times New Roman"/>
          <w:sz w:val="24"/>
          <w:szCs w:val="24"/>
          <w:lang w:val="en-US" w:eastAsia="zh-CN"/>
        </w:rPr>
        <w:t>ET</w:t>
      </w:r>
      <w:r>
        <w:rPr>
          <w:rFonts w:hint="default" w:ascii="Times New Roman" w:hAnsi="Times New Roman" w:cs="Times New Roman"/>
          <w:sz w:val="24"/>
          <w:szCs w:val="24"/>
        </w:rPr>
        <w:t>s are paired with NSTs to help fill the gap and hold English teacher culture festivals to guide and participate in CLT classes. In the cultural salon, practical classroom problems are dissected and solved, gradually creating a quantifiable communication ability table to represent each teacher's classroom communication ability.</w:t>
      </w: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8.2</w:t>
      </w:r>
      <w:r>
        <w:rPr>
          <w:rFonts w:hint="default" w:ascii="Times New Roman" w:hAnsi="Times New Roman" w:cs="Times New Roman"/>
          <w:b/>
          <w:bCs/>
          <w:sz w:val="24"/>
          <w:szCs w:val="24"/>
        </w:rPr>
        <w:t>A student-centered classroom format</w:t>
      </w:r>
    </w:p>
    <w:p>
      <w:pPr>
        <w:rPr>
          <w:rFonts w:hint="default" w:ascii="Times New Roman" w:hAnsi="Times New Roman" w:cs="Times New Roman"/>
          <w:sz w:val="24"/>
          <w:szCs w:val="24"/>
        </w:rPr>
      </w:pPr>
      <w:r>
        <w:rPr>
          <w:rFonts w:hint="default" w:ascii="Times New Roman" w:hAnsi="Times New Roman" w:cs="Times New Roman"/>
          <w:sz w:val="24"/>
          <w:szCs w:val="24"/>
        </w:rPr>
        <w:t>In the context of traditional grammar-translation teaching, add more group activities that allow students to complete independently. Alternatively, in grammar teaching, one can think more about insights rather than simply imparting knowledge to the teacher. Change the mode of training students after listening to classes, gradually making the cultural forms of the classroom diverse and complex. For example, for students, teachers assist in providing suggestions. Spend more time on the TBLT approach instead of seeking fast</w:t>
      </w:r>
      <w:r>
        <w:rPr>
          <w:rFonts w:hint="default" w:ascii="Times New Roman" w:hAnsi="Times New Roman" w:cs="Times New Roman"/>
          <w:sz w:val="24"/>
          <w:szCs w:val="24"/>
          <w:lang w:val="en-US" w:eastAsia="zh-CN"/>
        </w:rPr>
        <w:t xml:space="preserve"> and </w:t>
      </w:r>
      <w:r>
        <w:rPr>
          <w:rFonts w:hint="default" w:ascii="Times New Roman" w:hAnsi="Times New Roman" w:cs="Times New Roman"/>
          <w:sz w:val="24"/>
          <w:szCs w:val="24"/>
        </w:rPr>
        <w:t>straightforward input.</w:t>
      </w: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8.3</w:t>
      </w:r>
      <w:r>
        <w:rPr>
          <w:rFonts w:hint="default" w:ascii="Times New Roman" w:hAnsi="Times New Roman" w:cs="Times New Roman"/>
          <w:b/>
          <w:bCs/>
          <w:sz w:val="24"/>
          <w:szCs w:val="24"/>
        </w:rPr>
        <w:t>Effective feedback and gentle error correction methods</w:t>
      </w:r>
    </w:p>
    <w:p>
      <w:pPr>
        <w:rPr>
          <w:rFonts w:hint="default" w:ascii="Times New Roman" w:hAnsi="Times New Roman" w:cs="Times New Roman"/>
          <w:sz w:val="24"/>
          <w:szCs w:val="24"/>
        </w:rPr>
      </w:pPr>
      <w:r>
        <w:rPr>
          <w:rFonts w:hint="default" w:ascii="Times New Roman" w:hAnsi="Times New Roman" w:cs="Times New Roman"/>
          <w:sz w:val="24"/>
          <w:szCs w:val="24"/>
        </w:rPr>
        <w:t>The language teaching method has a different purpose from other subjects to turn communicative ability into language ability. Communication and communication are necessary for everyone in their daily lives. In contact, it is essential to emphasize the appropriate and appropriate use of language to express meaning clearly. In the CLT approach application feedback, it is necessary always to mention appropriate appropriateness and avoid situations where words do not convey meaning. Focus on improving student performance in these two areas and avoid paying too much attention to minor mistakes. As for the error correction method, it is essential not to use the negative energy of the teacher's authority and coercion to learn. Correcting errors should not be so straightforward, but rather guide oneself to discover mistakes with reason and emotion.</w:t>
      </w: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For example</w:t>
      </w:r>
      <w:r>
        <w:rPr>
          <w:rFonts w:hint="default" w:ascii="Times New Roman" w:hAnsi="Times New Roman" w:cs="Times New Roman"/>
          <w:b/>
          <w:bCs/>
          <w:i/>
          <w:iCs/>
          <w:sz w:val="24"/>
          <w:szCs w:val="24"/>
          <w:lang w:val="en-US" w:eastAsia="zh-CN"/>
        </w:rPr>
        <w:t>:</w:t>
      </w:r>
      <w:r>
        <w:rPr>
          <w:rFonts w:hint="default" w:ascii="Times New Roman" w:hAnsi="Times New Roman" w:cs="Times New Roman"/>
          <w:b/>
          <w:bCs/>
          <w:i/>
          <w:iCs/>
          <w:sz w:val="24"/>
          <w:szCs w:val="24"/>
        </w:rPr>
        <w:t xml:space="preserve"> </w:t>
      </w: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S: Mike said he will go to McDonald's</w:t>
      </w: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T:  Mike said he would go to McDonald's.</w:t>
      </w: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S:  My father goes to home by car.</w:t>
      </w:r>
    </w:p>
    <w:p>
      <w:pPr>
        <w:rPr>
          <w:rFonts w:hint="default" w:ascii="Times New Roman" w:hAnsi="Times New Roman" w:cs="Times New Roman"/>
          <w:b/>
          <w:bCs/>
          <w:i/>
          <w:iCs/>
          <w:sz w:val="24"/>
          <w:szCs w:val="24"/>
        </w:rPr>
      </w:pPr>
      <w:r>
        <w:rPr>
          <w:rFonts w:hint="default" w:ascii="Times New Roman" w:hAnsi="Times New Roman" w:cs="Times New Roman"/>
          <w:b/>
          <w:bCs/>
          <w:i/>
          <w:iCs/>
          <w:sz w:val="24"/>
          <w:szCs w:val="24"/>
        </w:rPr>
        <w:t>T:</w:t>
      </w:r>
      <w:r>
        <w:rPr>
          <w:rFonts w:hint="eastAsia" w:ascii="Times New Roman" w:hAnsi="Times New Roman" w:cs="Times New Roman"/>
          <w:b/>
          <w:bCs/>
          <w:i/>
          <w:iCs/>
          <w:sz w:val="24"/>
          <w:szCs w:val="24"/>
          <w:lang w:val="en-US" w:eastAsia="zh-CN"/>
        </w:rPr>
        <w:t xml:space="preserve"> </w:t>
      </w:r>
      <w:r>
        <w:rPr>
          <w:rFonts w:hint="default" w:ascii="Times New Roman" w:hAnsi="Times New Roman" w:cs="Times New Roman"/>
          <w:b/>
          <w:bCs/>
          <w:i/>
          <w:iCs/>
          <w:sz w:val="24"/>
          <w:szCs w:val="24"/>
        </w:rPr>
        <w:t xml:space="preserve"> Tina goes to school by </w:t>
      </w:r>
      <w:r>
        <w:rPr>
          <w:rFonts w:hint="default" w:ascii="Times New Roman" w:hAnsi="Times New Roman" w:cs="Times New Roman"/>
          <w:b/>
          <w:bCs/>
          <w:i/>
          <w:iCs/>
          <w:sz w:val="24"/>
          <w:szCs w:val="24"/>
          <w:lang w:eastAsia="zh-CN"/>
        </w:rPr>
        <w:t>school bus</w:t>
      </w:r>
      <w:r>
        <w:rPr>
          <w:rFonts w:hint="default" w:ascii="Times New Roman" w:hAnsi="Times New Roman" w:cs="Times New Roman"/>
          <w:b/>
          <w:bCs/>
          <w:i/>
          <w:iCs/>
          <w:sz w:val="24"/>
          <w:szCs w:val="24"/>
        </w:rPr>
        <w:t>.</w:t>
      </w:r>
    </w:p>
    <w:p>
      <w:pPr>
        <w:ind w:firstLine="482" w:firstLineChars="200"/>
        <w:rPr>
          <w:rFonts w:hint="default" w:ascii="Times New Roman" w:hAnsi="Times New Roman" w:cs="Times New Roman"/>
          <w:b/>
          <w:bCs/>
          <w:i/>
          <w:iCs/>
          <w:sz w:val="24"/>
          <w:szCs w:val="24"/>
        </w:rPr>
      </w:pPr>
      <w:r>
        <w:rPr>
          <w:rFonts w:hint="default" w:ascii="Times New Roman" w:hAnsi="Times New Roman" w:cs="Times New Roman"/>
          <w:b/>
          <w:bCs/>
          <w:i/>
          <w:iCs/>
          <w:sz w:val="24"/>
          <w:szCs w:val="24"/>
        </w:rPr>
        <w:t xml:space="preserve">Tina goes home by </w:t>
      </w:r>
      <w:r>
        <w:rPr>
          <w:rFonts w:hint="default" w:ascii="Times New Roman" w:hAnsi="Times New Roman" w:cs="Times New Roman"/>
          <w:b/>
          <w:bCs/>
          <w:i/>
          <w:iCs/>
          <w:sz w:val="24"/>
          <w:szCs w:val="24"/>
          <w:lang w:eastAsia="zh-CN"/>
        </w:rPr>
        <w:t>school bus</w:t>
      </w:r>
      <w:r>
        <w:rPr>
          <w:rFonts w:hint="default" w:ascii="Times New Roman" w:hAnsi="Times New Roman" w:cs="Times New Roman"/>
          <w:b/>
          <w:bCs/>
          <w:i/>
          <w:iCs/>
          <w:sz w:val="24"/>
          <w:szCs w:val="24"/>
        </w:rPr>
        <w:t>.</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Effective feedback can mediated students learning and help students involved with new CLT activities.</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References:</w:t>
      </w:r>
    </w:p>
    <w:p>
      <w:pPr>
        <w:numPr>
          <w:numId w:val="0"/>
        </w:numPr>
        <w:ind w:leftChars="0"/>
        <w:rPr>
          <w:rFonts w:hint="eastAsia" w:ascii="Times New Roman" w:hAnsi="Times New Roman" w:cs="Times New Roman"/>
          <w:b w:val="0"/>
          <w:bCs w:val="0"/>
          <w:i w:val="0"/>
          <w:iCs w:val="0"/>
          <w:sz w:val="24"/>
          <w:szCs w:val="24"/>
          <w:lang w:val="en-US" w:eastAsia="zh-CN"/>
        </w:rPr>
      </w:pPr>
    </w:p>
    <w:p>
      <w:pPr>
        <w:numPr>
          <w:ilvl w:val="0"/>
          <w:numId w:val="3"/>
        </w:numPr>
        <w:ind w:left="420" w:leftChars="0" w:hanging="420" w:firstLineChars="0"/>
        <w:rPr>
          <w:rFonts w:hint="eastAsia" w:ascii="Times New Roman" w:hAnsi="Times New Roman" w:cs="Times New Roman"/>
          <w:b/>
          <w:bCs/>
          <w:i/>
          <w:iCs/>
          <w:sz w:val="24"/>
          <w:szCs w:val="24"/>
          <w:lang w:val="en-US" w:eastAsia="zh-CN"/>
        </w:rPr>
      </w:pPr>
      <w:r>
        <w:rPr>
          <w:rFonts w:hint="eastAsia" w:ascii="Times New Roman" w:hAnsi="Times New Roman" w:cs="Times New Roman"/>
          <w:b w:val="0"/>
          <w:bCs w:val="0"/>
          <w:i w:val="0"/>
          <w:iCs w:val="0"/>
          <w:sz w:val="24"/>
          <w:szCs w:val="24"/>
          <w:lang w:val="en-US" w:eastAsia="zh-CN"/>
        </w:rPr>
        <w:t xml:space="preserve">Hui, L. 1997. </w:t>
      </w:r>
      <w:r>
        <w:rPr>
          <w:rFonts w:hint="eastAsia" w:ascii="Times New Roman" w:hAnsi="Times New Roman" w:cs="Times New Roman"/>
          <w:b w:val="0"/>
          <w:bCs w:val="0"/>
          <w:i/>
          <w:iCs/>
          <w:sz w:val="24"/>
          <w:szCs w:val="24"/>
          <w:lang w:val="en-US" w:eastAsia="zh-CN"/>
        </w:rPr>
        <w:t>New bottles, old wine:</w:t>
      </w:r>
      <w:r>
        <w:rPr>
          <w:rFonts w:hint="eastAsia" w:ascii="Times New Roman" w:hAnsi="Times New Roman" w:cs="Times New Roman"/>
          <w:b w:val="0"/>
          <w:bCs w:val="0"/>
          <w:i w:val="0"/>
          <w:iCs w:val="0"/>
          <w:sz w:val="24"/>
          <w:szCs w:val="24"/>
          <w:lang w:val="en-US" w:eastAsia="zh-CN"/>
        </w:rPr>
        <w:t xml:space="preserve"> Communicative language teaching in China. In Forum,vol. 35, no. 4.</w:t>
      </w:r>
    </w:p>
    <w:p>
      <w:pPr>
        <w:rPr>
          <w:rFonts w:hint="eastAsia" w:ascii="Times New Roman" w:hAnsi="Times New Roman" w:cs="Times New Roman"/>
          <w:b/>
          <w:bCs/>
          <w:i/>
          <w:iCs/>
          <w:sz w:val="24"/>
          <w:szCs w:val="24"/>
          <w:lang w:val="en-US" w:eastAsia="zh-CN"/>
        </w:rPr>
      </w:pPr>
    </w:p>
    <w:p>
      <w:pPr>
        <w:numPr>
          <w:ilvl w:val="0"/>
          <w:numId w:val="4"/>
        </w:numPr>
        <w:ind w:left="420" w:leftChars="0" w:hanging="420" w:firstLineChars="0"/>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Hu, W. 2010. Communicative language teaching in the Chinese environment. Online Submission, </w:t>
      </w:r>
      <w:r>
        <w:rPr>
          <w:rFonts w:hint="eastAsia" w:ascii="Times New Roman" w:hAnsi="Times New Roman" w:cs="Times New Roman"/>
          <w:sz w:val="24"/>
          <w:szCs w:val="32"/>
          <w:lang w:val="en-US" w:eastAsia="zh-CN"/>
        </w:rPr>
        <w:t>vol.7</w:t>
      </w:r>
      <w:r>
        <w:rPr>
          <w:rFonts w:hint="eastAsia" w:ascii="Times New Roman" w:hAnsi="Times New Roman" w:cs="Times New Roman"/>
          <w:b w:val="0"/>
          <w:bCs w:val="0"/>
          <w:i w:val="0"/>
          <w:iCs w:val="0"/>
          <w:sz w:val="24"/>
          <w:szCs w:val="24"/>
          <w:lang w:val="en-US" w:eastAsia="zh-CN"/>
        </w:rPr>
        <w:t>,</w:t>
      </w:r>
      <w:r>
        <w:rPr>
          <w:rFonts w:hint="eastAsia" w:ascii="Times New Roman" w:hAnsi="Times New Roman" w:cs="Times New Roman"/>
          <w:sz w:val="24"/>
          <w:szCs w:val="32"/>
          <w:lang w:val="en-US" w:eastAsia="zh-CN"/>
        </w:rPr>
        <w:t>no.6</w:t>
      </w:r>
      <w:r>
        <w:rPr>
          <w:rFonts w:hint="eastAsia"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sz w:val="24"/>
          <w:szCs w:val="32"/>
          <w:lang w:val="en-US" w:eastAsia="zh-CN"/>
        </w:rPr>
        <w:t>pp.</w:t>
      </w:r>
      <w:r>
        <w:rPr>
          <w:rFonts w:hint="eastAsia" w:ascii="Times New Roman" w:hAnsi="Times New Roman" w:cs="Times New Roman"/>
          <w:b w:val="0"/>
          <w:bCs w:val="0"/>
          <w:i w:val="0"/>
          <w:iCs w:val="0"/>
          <w:sz w:val="24"/>
          <w:szCs w:val="24"/>
          <w:lang w:val="en-US" w:eastAsia="zh-CN"/>
        </w:rPr>
        <w:t>78-82.</w:t>
      </w:r>
    </w:p>
    <w:p>
      <w:pPr>
        <w:numPr>
          <w:numId w:val="0"/>
        </w:numPr>
        <w:ind w:leftChars="0"/>
        <w:rPr>
          <w:rFonts w:hint="eastAsia" w:ascii="Times New Roman" w:hAnsi="Times New Roman" w:cs="Times New Roman"/>
          <w:b w:val="0"/>
          <w:bCs w:val="0"/>
          <w:i w:val="0"/>
          <w:iCs w:val="0"/>
          <w:sz w:val="24"/>
          <w:szCs w:val="24"/>
          <w:lang w:val="en-US" w:eastAsia="zh-CN"/>
        </w:rPr>
      </w:pPr>
    </w:p>
    <w:p>
      <w:pPr>
        <w:numPr>
          <w:ilvl w:val="0"/>
          <w:numId w:val="4"/>
        </w:numPr>
        <w:ind w:left="420" w:leftChars="0" w:hanging="420" w:firstLineChars="0"/>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Fang, F. 2010. A discussion on developing students’ communicative competence in college English teaching in China. </w:t>
      </w:r>
      <w:r>
        <w:rPr>
          <w:rFonts w:hint="default" w:ascii="Times New Roman" w:hAnsi="Times New Roman" w:cs="Times New Roman"/>
          <w:b w:val="0"/>
          <w:bCs w:val="0"/>
          <w:i/>
          <w:iCs/>
          <w:sz w:val="24"/>
          <w:szCs w:val="24"/>
          <w:lang w:val="en-US" w:eastAsia="zh-CN"/>
        </w:rPr>
        <w:t>Journal of language teaching and research</w:t>
      </w:r>
      <w:r>
        <w:rPr>
          <w:rFonts w:hint="default"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sz w:val="24"/>
          <w:szCs w:val="32"/>
          <w:lang w:val="en-US" w:eastAsia="zh-CN"/>
        </w:rPr>
        <w:t>vol.1</w:t>
      </w:r>
      <w:r>
        <w:rPr>
          <w:rFonts w:hint="eastAsia" w:ascii="Times New Roman" w:hAnsi="Times New Roman" w:cs="Times New Roman"/>
          <w:b w:val="0"/>
          <w:bCs w:val="0"/>
          <w:i w:val="0"/>
          <w:iCs w:val="0"/>
          <w:sz w:val="24"/>
          <w:szCs w:val="24"/>
          <w:lang w:val="en-US" w:eastAsia="zh-CN"/>
        </w:rPr>
        <w:t>,</w:t>
      </w:r>
      <w:r>
        <w:rPr>
          <w:rFonts w:hint="eastAsia" w:ascii="Times New Roman" w:hAnsi="Times New Roman" w:cs="Times New Roman"/>
          <w:sz w:val="24"/>
          <w:szCs w:val="32"/>
          <w:lang w:val="en-US" w:eastAsia="zh-CN"/>
        </w:rPr>
        <w:t>no.2</w:t>
      </w:r>
      <w:r>
        <w:rPr>
          <w:rFonts w:hint="default" w:ascii="Times New Roman" w:hAnsi="Times New Roman" w:cs="Times New Roman"/>
          <w:b w:val="0"/>
          <w:bCs w:val="0"/>
          <w:i w:val="0"/>
          <w:iCs w:val="0"/>
          <w:sz w:val="24"/>
          <w:szCs w:val="24"/>
          <w:lang w:val="en-US" w:eastAsia="zh-CN"/>
        </w:rPr>
        <w:t>,</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pp.</w:t>
      </w:r>
      <w:r>
        <w:rPr>
          <w:rFonts w:hint="default" w:ascii="Times New Roman" w:hAnsi="Times New Roman" w:cs="Times New Roman"/>
          <w:b w:val="0"/>
          <w:bCs w:val="0"/>
          <w:i w:val="0"/>
          <w:iCs w:val="0"/>
          <w:sz w:val="24"/>
          <w:szCs w:val="24"/>
          <w:lang w:val="en-US" w:eastAsia="zh-CN"/>
        </w:rPr>
        <w:t>111-116.</w:t>
      </w:r>
    </w:p>
    <w:p>
      <w:pPr>
        <w:numPr>
          <w:numId w:val="0"/>
        </w:numPr>
        <w:ind w:leftChars="0"/>
        <w:rPr>
          <w:rFonts w:hint="default" w:ascii="Times New Roman" w:hAnsi="Times New Roman" w:cs="Times New Roman"/>
          <w:b w:val="0"/>
          <w:bCs w:val="0"/>
          <w:i w:val="0"/>
          <w:iCs w:val="0"/>
          <w:sz w:val="24"/>
          <w:szCs w:val="24"/>
          <w:lang w:val="en-US" w:eastAsia="zh-CN"/>
        </w:rPr>
      </w:pPr>
    </w:p>
    <w:p>
      <w:pPr>
        <w:numPr>
          <w:ilvl w:val="0"/>
          <w:numId w:val="4"/>
        </w:numPr>
        <w:ind w:left="420" w:leftChars="0" w:hanging="420" w:firstLineChars="0"/>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Rao, Z., &amp; Lei, C. 2014. </w:t>
      </w:r>
      <w:r>
        <w:rPr>
          <w:rFonts w:hint="default" w:ascii="Times New Roman" w:hAnsi="Times New Roman" w:cs="Times New Roman"/>
          <w:b w:val="0"/>
          <w:bCs w:val="0"/>
          <w:i/>
          <w:iCs/>
          <w:sz w:val="24"/>
          <w:szCs w:val="24"/>
          <w:lang w:val="en-US" w:eastAsia="zh-CN"/>
        </w:rPr>
        <w:t>Teaching English as a foreign language in Chinese universities:</w:t>
      </w:r>
      <w:r>
        <w:rPr>
          <w:rFonts w:hint="default" w:ascii="Times New Roman" w:hAnsi="Times New Roman" w:cs="Times New Roman"/>
          <w:b w:val="0"/>
          <w:bCs w:val="0"/>
          <w:i w:val="0"/>
          <w:iCs w:val="0"/>
          <w:sz w:val="24"/>
          <w:szCs w:val="24"/>
          <w:lang w:val="en-US" w:eastAsia="zh-CN"/>
        </w:rPr>
        <w:t xml:space="preserve"> The present and future: An appropriate way to teach English in China is to balance teaching activities for elaborating linguistic details and developing students’ communicative competence. English Today, </w:t>
      </w:r>
      <w:r>
        <w:rPr>
          <w:rFonts w:hint="eastAsia" w:ascii="Times New Roman" w:hAnsi="Times New Roman" w:cs="Times New Roman"/>
          <w:sz w:val="24"/>
          <w:szCs w:val="32"/>
          <w:lang w:val="en-US" w:eastAsia="zh-CN"/>
        </w:rPr>
        <w:t>vol.30, no.4</w:t>
      </w:r>
      <w:r>
        <w:rPr>
          <w:rFonts w:hint="default"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pp.</w:t>
      </w:r>
      <w:r>
        <w:rPr>
          <w:rFonts w:hint="default" w:ascii="Times New Roman" w:hAnsi="Times New Roman" w:cs="Times New Roman"/>
          <w:b w:val="0"/>
          <w:bCs w:val="0"/>
          <w:i w:val="0"/>
          <w:iCs w:val="0"/>
          <w:sz w:val="24"/>
          <w:szCs w:val="24"/>
          <w:lang w:val="en-US" w:eastAsia="zh-CN"/>
        </w:rPr>
        <w:t>40-45.</w:t>
      </w:r>
    </w:p>
    <w:p>
      <w:pPr>
        <w:numPr>
          <w:numId w:val="0"/>
        </w:numPr>
        <w:ind w:leftChars="0"/>
        <w:rPr>
          <w:rFonts w:hint="default" w:ascii="Times New Roman" w:hAnsi="Times New Roman" w:cs="Times New Roman"/>
          <w:b w:val="0"/>
          <w:bCs w:val="0"/>
          <w:i w:val="0"/>
          <w:iCs w:val="0"/>
          <w:sz w:val="24"/>
          <w:szCs w:val="24"/>
          <w:lang w:val="en-US" w:eastAsia="zh-CN"/>
        </w:rPr>
      </w:pPr>
    </w:p>
    <w:p>
      <w:pPr>
        <w:numPr>
          <w:ilvl w:val="0"/>
          <w:numId w:val="4"/>
        </w:numPr>
        <w:ind w:left="420" w:leftChars="0" w:hanging="420" w:firstLineChars="0"/>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Natsir, M., &amp; Sanjaya, D. 2014. Grammar translation method (GTM) versus communicative language teaching (CLT)</w:t>
      </w:r>
      <w:r>
        <w:rPr>
          <w:rFonts w:hint="default" w:ascii="Times New Roman" w:hAnsi="Times New Roman" w:cs="Times New Roman"/>
          <w:b w:val="0"/>
          <w:bCs w:val="0"/>
          <w:i/>
          <w:iCs/>
          <w:sz w:val="24"/>
          <w:szCs w:val="24"/>
          <w:lang w:val="en-US" w:eastAsia="zh-CN"/>
        </w:rPr>
        <w:t>; A review of literature. International Journal of Education and Literacy Studie</w:t>
      </w:r>
      <w:r>
        <w:rPr>
          <w:rFonts w:hint="default" w:ascii="Times New Roman" w:hAnsi="Times New Roman" w:cs="Times New Roman"/>
          <w:b w:val="0"/>
          <w:bCs w:val="0"/>
          <w:i w:val="0"/>
          <w:iCs w:val="0"/>
          <w:sz w:val="24"/>
          <w:szCs w:val="24"/>
          <w:lang w:val="en-US" w:eastAsia="zh-CN"/>
        </w:rPr>
        <w:t xml:space="preserve">s, </w:t>
      </w:r>
      <w:r>
        <w:rPr>
          <w:rFonts w:hint="eastAsia" w:ascii="Times New Roman" w:hAnsi="Times New Roman" w:cs="Times New Roman"/>
          <w:sz w:val="24"/>
          <w:szCs w:val="32"/>
          <w:lang w:val="en-US" w:eastAsia="zh-CN"/>
        </w:rPr>
        <w:t>vol.</w:t>
      </w:r>
      <w:r>
        <w:rPr>
          <w:rFonts w:hint="default" w:ascii="Times New Roman" w:hAnsi="Times New Roman" w:cs="Times New Roman"/>
          <w:b w:val="0"/>
          <w:bCs w:val="0"/>
          <w:i w:val="0"/>
          <w:iCs w:val="0"/>
          <w:sz w:val="24"/>
          <w:szCs w:val="24"/>
          <w:lang w:val="en-US" w:eastAsia="zh-CN"/>
        </w:rPr>
        <w:t>2</w:t>
      </w:r>
      <w:r>
        <w:rPr>
          <w:rFonts w:hint="eastAsia" w:ascii="Times New Roman" w:hAnsi="Times New Roman" w:cs="Times New Roman"/>
          <w:b w:val="0"/>
          <w:bCs w:val="0"/>
          <w:i w:val="0"/>
          <w:iCs w:val="0"/>
          <w:sz w:val="24"/>
          <w:szCs w:val="24"/>
          <w:lang w:val="en-US" w:eastAsia="zh-CN"/>
        </w:rPr>
        <w:t>,</w:t>
      </w:r>
      <w:r>
        <w:rPr>
          <w:rFonts w:hint="eastAsia" w:ascii="Times New Roman" w:hAnsi="Times New Roman" w:cs="Times New Roman"/>
          <w:sz w:val="24"/>
          <w:szCs w:val="32"/>
          <w:lang w:val="en-US" w:eastAsia="zh-CN"/>
        </w:rPr>
        <w:t>no.2</w:t>
      </w:r>
      <w:r>
        <w:rPr>
          <w:rFonts w:hint="default"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sz w:val="24"/>
          <w:szCs w:val="32"/>
          <w:lang w:val="en-US" w:eastAsia="zh-CN"/>
        </w:rPr>
        <w:t>pp.</w:t>
      </w:r>
      <w:r>
        <w:rPr>
          <w:rFonts w:hint="default" w:ascii="Times New Roman" w:hAnsi="Times New Roman" w:cs="Times New Roman"/>
          <w:sz w:val="24"/>
          <w:szCs w:val="32"/>
          <w:lang w:val="en-US" w:eastAsia="zh-CN"/>
        </w:rPr>
        <w:t xml:space="preserve"> </w:t>
      </w:r>
      <w:r>
        <w:rPr>
          <w:rFonts w:hint="default" w:ascii="Times New Roman" w:hAnsi="Times New Roman" w:cs="Times New Roman"/>
          <w:b w:val="0"/>
          <w:bCs w:val="0"/>
          <w:i w:val="0"/>
          <w:iCs w:val="0"/>
          <w:sz w:val="24"/>
          <w:szCs w:val="24"/>
          <w:lang w:val="en-US" w:eastAsia="zh-CN"/>
        </w:rPr>
        <w:t>58-62.</w:t>
      </w:r>
    </w:p>
    <w:p>
      <w:pPr>
        <w:widowControl w:val="0"/>
        <w:numPr>
          <w:numId w:val="0"/>
        </w:numPr>
        <w:jc w:val="both"/>
        <w:rPr>
          <w:rFonts w:hint="default" w:ascii="Times New Roman" w:hAnsi="Times New Roman" w:cs="Times New Roman"/>
          <w:b/>
          <w:bCs/>
          <w:i/>
          <w:iCs/>
          <w:sz w:val="24"/>
          <w:szCs w:val="24"/>
          <w:lang w:val="en-US" w:eastAsia="zh-CN"/>
        </w:rPr>
      </w:pPr>
    </w:p>
    <w:p>
      <w:pPr>
        <w:widowControl w:val="0"/>
        <w:numPr>
          <w:numId w:val="0"/>
        </w:numPr>
        <w:jc w:val="both"/>
        <w:rPr>
          <w:rFonts w:hint="default" w:ascii="Times New Roman" w:hAnsi="Times New Roman" w:cs="Times New Roman"/>
          <w:b/>
          <w:bCs/>
          <w:i/>
          <w:iCs/>
          <w:sz w:val="24"/>
          <w:szCs w:val="24"/>
          <w:lang w:val="en-US" w:eastAsia="zh-CN"/>
        </w:rPr>
      </w:pPr>
    </w:p>
    <w:p>
      <w:pPr>
        <w:widowControl w:val="0"/>
        <w:numPr>
          <w:numId w:val="0"/>
        </w:numPr>
        <w:jc w:val="both"/>
        <w:rPr>
          <w:rFonts w:hint="default" w:ascii="Times New Roman" w:hAnsi="Times New Roman" w:cs="Times New Roman"/>
          <w:b/>
          <w:bCs/>
          <w:i/>
          <w:iCs/>
          <w:sz w:val="24"/>
          <w:szCs w:val="24"/>
          <w:lang w:val="en-US" w:eastAsia="zh-CN"/>
        </w:rPr>
      </w:pPr>
    </w:p>
    <w:p>
      <w:pPr>
        <w:widowControl w:val="0"/>
        <w:numPr>
          <w:numId w:val="0"/>
        </w:numPr>
        <w:jc w:val="both"/>
        <w:rPr>
          <w:rFonts w:hint="default" w:ascii="Times New Roman" w:hAnsi="Times New Roman" w:cs="Times New Roman"/>
          <w:b/>
          <w:bCs/>
          <w:i/>
          <w:iCs/>
          <w:sz w:val="24"/>
          <w:szCs w:val="24"/>
          <w:lang w:val="en-US" w:eastAsia="zh-CN"/>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Wonder Arial">
    <w:panose1 w:val="00000500000000000000"/>
    <w:charset w:val="00"/>
    <w:family w:val="auto"/>
    <w:pitch w:val="default"/>
    <w:sig w:usb0="00000003" w:usb1="00000000" w:usb2="00000000" w:usb3="00000000" w:csb0="00000011" w:csb1="00000000"/>
  </w:font>
  <w:font w:name="汉仪旗黑-55简">
    <w:altName w:val="黑体"/>
    <w:panose1 w:val="00000000000000000000"/>
    <w:charset w:val="80"/>
    <w:family w:val="auto"/>
    <w:pitch w:val="default"/>
    <w:sig w:usb0="00000000" w:usb1="00000000" w:usb2="00000000" w:usb3="00000000" w:csb0="00000000" w:csb1="00000000"/>
  </w:font>
  <w:font w:name="PMingLiU">
    <w:panose1 w:val="02020500000000000000"/>
    <w:charset w:val="88"/>
    <w:family w:val="auto"/>
    <w:pitch w:val="default"/>
    <w:sig w:usb0="A00002FF" w:usb1="28CFFCFA" w:usb2="00000016" w:usb3="00000000" w:csb0="00100001"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E4809E2"/>
    <w:multiLevelType w:val="singleLevel"/>
    <w:tmpl w:val="AE4809E2"/>
    <w:lvl w:ilvl="0" w:tentative="0">
      <w:start w:val="1"/>
      <w:numFmt w:val="bullet"/>
      <w:lvlText w:val=""/>
      <w:lvlJc w:val="left"/>
      <w:pPr>
        <w:ind w:left="420" w:hanging="420"/>
      </w:pPr>
      <w:rPr>
        <w:rFonts w:hint="default" w:ascii="Wingdings" w:hAnsi="Wingdings"/>
      </w:rPr>
    </w:lvl>
  </w:abstractNum>
  <w:abstractNum w:abstractNumId="1">
    <w:nsid w:val="C46023C5"/>
    <w:multiLevelType w:val="singleLevel"/>
    <w:tmpl w:val="C46023C5"/>
    <w:lvl w:ilvl="0" w:tentative="0">
      <w:start w:val="1"/>
      <w:numFmt w:val="decimal"/>
      <w:lvlText w:val="%1."/>
      <w:lvlJc w:val="left"/>
      <w:pPr>
        <w:ind w:left="425" w:hanging="425"/>
      </w:pPr>
      <w:rPr>
        <w:rFonts w:hint="default"/>
      </w:rPr>
    </w:lvl>
  </w:abstractNum>
  <w:abstractNum w:abstractNumId="2">
    <w:nsid w:val="F968F816"/>
    <w:multiLevelType w:val="singleLevel"/>
    <w:tmpl w:val="F968F816"/>
    <w:lvl w:ilvl="0" w:tentative="0">
      <w:start w:val="1"/>
      <w:numFmt w:val="bullet"/>
      <w:lvlText w:val=""/>
      <w:lvlJc w:val="left"/>
      <w:pPr>
        <w:ind w:left="420" w:hanging="420"/>
      </w:pPr>
      <w:rPr>
        <w:rFonts w:hint="default" w:ascii="Wingdings" w:hAnsi="Wingdings"/>
      </w:rPr>
    </w:lvl>
  </w:abstractNum>
  <w:abstractNum w:abstractNumId="3">
    <w:nsid w:val="462366F6"/>
    <w:multiLevelType w:val="singleLevel"/>
    <w:tmpl w:val="462366F6"/>
    <w:lvl w:ilvl="0" w:tentative="0">
      <w:start w:val="2"/>
      <w:numFmt w:val="decimal"/>
      <w:suff w:val="space"/>
      <w:lvlText w:val="%1."/>
      <w:lvlJc w:val="left"/>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TNhYmMzMDQxNDJkNDNhOThlMmM3YjlkN2U2MGExNDcifQ=="/>
  </w:docVars>
  <w:rsids>
    <w:rsidRoot w:val="00000000"/>
    <w:rsid w:val="0F5628BD"/>
    <w:rsid w:val="1E6C3F37"/>
    <w:rsid w:val="482F4EC3"/>
    <w:rsid w:val="6BB362CE"/>
    <w:rsid w:val="6BB40298"/>
    <w:rsid w:val="6F571666"/>
    <w:rsid w:val="762D4EC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hart" Target="charts/chart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4" Type="http://schemas.microsoft.com/office/2011/relationships/chartColorStyle" Target="colors1.xml"/><Relationship Id="rId3" Type="http://schemas.microsoft.com/office/2011/relationships/chartStyle" Target="style1.xml"/><Relationship Id="rId2" Type="http://schemas.openxmlformats.org/officeDocument/2006/relationships/image" Target="../media/image1.png"/><Relationship Id="rId1" Type="http://schemas.openxmlformats.org/officeDocument/2006/relationships/package" Target="../embeddings/Workbook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defTabSz="914400">
              <a:defRPr lang="zh-CN" sz="1400" b="1" i="0" u="none" strike="noStrike" kern="1200" spc="0" baseline="0">
                <a:solidFill>
                  <a:srgbClr val="6C6C6C"/>
                </a:solidFill>
                <a:latin typeface="Calibri" panose="020F0502020204030204" pitchFamily="2" charset="0"/>
                <a:ea typeface="Calibri" panose="020F0502020204030204" pitchFamily="2" charset="0"/>
                <a:cs typeface="Calibri" panose="020F0502020204030204" pitchFamily="2" charset="0"/>
                <a:sym typeface="Calibri" panose="020F0502020204030204" pitchFamily="2" charset="0"/>
              </a:defRPr>
            </a:pPr>
            <a:r>
              <a:rPr lang="en-US" altLang="zh-CN" b="1" i="1">
                <a:latin typeface="Wonder Arial" panose="00000500000000000000" charset="0"/>
                <a:ea typeface="Calibri" panose="020F0502020204030204" pitchFamily="2" charset="0"/>
                <a:cs typeface="Wonder Arial" panose="00000500000000000000" charset="0"/>
                <a:sym typeface="Calibri" panose="020F0502020204030204" pitchFamily="2" charset="0"/>
              </a:rPr>
              <a:t>Different Opinions of Students  and Parents on possible factors of CLT implementation</a:t>
            </a:r>
            <a:endParaRPr lang="en-US" altLang="zh-CN" b="1" i="1">
              <a:latin typeface="Wonder Arial" panose="00000500000000000000" charset="0"/>
              <a:ea typeface="Calibri" panose="020F0502020204030204" pitchFamily="2" charset="0"/>
              <a:cs typeface="Wonder Arial" panose="00000500000000000000" charset="0"/>
              <a:sym typeface="Calibri" panose="020F0502020204030204" pitchFamily="2" charset="0"/>
            </a:endParaRPr>
          </a:p>
        </c:rich>
      </c:tx>
      <c:layout>
        <c:manualLayout>
          <c:xMode val="edge"/>
          <c:yMode val="edge"/>
          <c:x val="0.161150767899632"/>
          <c:y val="0.0397752476711519"/>
        </c:manualLayout>
      </c:layout>
      <c:overlay val="0"/>
      <c:spPr>
        <a:noFill/>
        <a:ln>
          <a:noFill/>
        </a:ln>
        <a:effectLst/>
      </c:spPr>
    </c:title>
    <c:autoTitleDeleted val="0"/>
    <c:plotArea>
      <c:layout>
        <c:manualLayout>
          <c:layoutTarget val="inner"/>
          <c:xMode val="edge"/>
          <c:yMode val="edge"/>
          <c:x val="0.143663443950875"/>
          <c:y val="0.25909592061742"/>
          <c:w val="0.734962111314345"/>
          <c:h val="0.588842337375965"/>
        </c:manualLayout>
      </c:layout>
      <c:barChart>
        <c:barDir val="col"/>
        <c:grouping val="clustered"/>
        <c:varyColors val="0"/>
        <c:ser>
          <c:idx val="0"/>
          <c:order val="0"/>
          <c:tx>
            <c:strRef>
              <c:f>Sheet1!$B$1</c:f>
              <c:strCache>
                <c:ptCount val="1"/>
                <c:pt idx="0">
                  <c:v>Ss</c:v>
                </c:pt>
              </c:strCache>
            </c:strRef>
          </c:tx>
          <c:spPr>
            <a:solidFill>
              <a:srgbClr val="6D63FF"/>
            </a:solidFill>
            <a:ln>
              <a:solidFill>
                <a:srgbClr val="FBFFFF"/>
              </a:solidFill>
            </a:ln>
            <a:effectLst/>
          </c:spPr>
          <c:invertIfNegative val="0"/>
          <c:dLbls>
            <c:delete val="1"/>
          </c:dLbls>
          <c:cat>
            <c:strRef>
              <c:f>Sheet1!$A$2:$A$5</c:f>
              <c:strCache>
                <c:ptCount val="4"/>
                <c:pt idx="0">
                  <c:v>1-7P</c:v>
                </c:pt>
                <c:pt idx="1">
                  <c:v>8-14P</c:v>
                </c:pt>
                <c:pt idx="2">
                  <c:v>15-21P</c:v>
                </c:pt>
              </c:strCache>
            </c:strRef>
          </c:cat>
          <c:val>
            <c:numRef>
              <c:f>Sheet1!$B$2:$B$5</c:f>
              <c:numCache>
                <c:formatCode>0%</c:formatCode>
                <c:ptCount val="4"/>
                <c:pt idx="0">
                  <c:v>0.1</c:v>
                </c:pt>
                <c:pt idx="1">
                  <c:v>0.4</c:v>
                </c:pt>
                <c:pt idx="2">
                  <c:v>0.5</c:v>
                </c:pt>
              </c:numCache>
            </c:numRef>
          </c:val>
        </c:ser>
        <c:ser>
          <c:idx val="1"/>
          <c:order val="1"/>
          <c:tx>
            <c:strRef>
              <c:f>Sheet1!$C$1</c:f>
              <c:strCache>
                <c:ptCount val="1"/>
                <c:pt idx="0">
                  <c:v>Ps</c:v>
                </c:pt>
              </c:strCache>
            </c:strRef>
          </c:tx>
          <c:spPr>
            <a:solidFill>
              <a:srgbClr val="4ECBA5"/>
            </a:solidFill>
            <a:ln>
              <a:solidFill>
                <a:srgbClr val="FBFFFF"/>
              </a:solidFill>
            </a:ln>
            <a:effectLst/>
          </c:spPr>
          <c:invertIfNegative val="0"/>
          <c:dLbls>
            <c:delete val="1"/>
          </c:dLbls>
          <c:cat>
            <c:strRef>
              <c:f>Sheet1!$A$2:$A$5</c:f>
              <c:strCache>
                <c:ptCount val="4"/>
                <c:pt idx="0">
                  <c:v>1-7P</c:v>
                </c:pt>
                <c:pt idx="1">
                  <c:v>8-14P</c:v>
                </c:pt>
                <c:pt idx="2">
                  <c:v>15-21P</c:v>
                </c:pt>
              </c:strCache>
            </c:strRef>
          </c:cat>
          <c:val>
            <c:numRef>
              <c:f>Sheet1!$C$2:$C$5</c:f>
              <c:numCache>
                <c:formatCode>0%</c:formatCode>
                <c:ptCount val="4"/>
                <c:pt idx="0">
                  <c:v>0.5</c:v>
                </c:pt>
                <c:pt idx="1">
                  <c:v>0.3</c:v>
                </c:pt>
                <c:pt idx="2">
                  <c:v>0.2</c:v>
                </c:pt>
              </c:numCache>
            </c:numRef>
          </c:val>
        </c:ser>
        <c:ser>
          <c:idx val="2"/>
          <c:order val="2"/>
          <c:tx>
            <c:strRef>
              <c:f>Sheet1!#REF!</c:f>
              <c:strCache>
                <c:ptCount val="1"/>
                <c:pt idx="0">
                  <c:v/>
                </c:pt>
              </c:strCache>
            </c:strRef>
          </c:tx>
          <c:spPr>
            <a:solidFill>
              <a:srgbClr val="FDDA36"/>
            </a:solidFill>
            <a:ln>
              <a:solidFill>
                <a:srgbClr val="FBFFFF"/>
              </a:solidFill>
            </a:ln>
            <a:effectLst/>
          </c:spPr>
          <c:invertIfNegative val="0"/>
          <c:dLbls>
            <c:delete val="1"/>
          </c:dLbls>
          <c:cat>
            <c:strRef>
              <c:f>Sheet1!$A$2:$A$5</c:f>
              <c:strCache>
                <c:ptCount val="4"/>
                <c:pt idx="0">
                  <c:v>1-7P</c:v>
                </c:pt>
                <c:pt idx="1">
                  <c:v>8-14P</c:v>
                </c:pt>
                <c:pt idx="2">
                  <c:v>15-21P</c:v>
                </c:pt>
              </c:strCache>
            </c:strRef>
          </c:cat>
          <c:val>
            <c:numRef>
              <c:f>Sheet1!$D$2:$D$5</c:f>
              <c:numCache>
                <c:formatCode>General</c:formatCode>
                <c:ptCount val="4"/>
              </c:numCache>
            </c:numRef>
          </c:val>
        </c:ser>
        <c:dLbls>
          <c:showLegendKey val="0"/>
          <c:showVal val="0"/>
          <c:showCatName val="0"/>
          <c:showSerName val="0"/>
          <c:showPercent val="0"/>
          <c:showBubbleSize val="0"/>
        </c:dLbls>
        <c:gapWidth val="219"/>
        <c:overlap val="-27"/>
        <c:axId val="975352636"/>
        <c:axId val="276735249"/>
      </c:barChart>
      <c:catAx>
        <c:axId val="975352636"/>
        <c:scaling>
          <c:orientation val="minMax"/>
        </c:scaling>
        <c:delete val="0"/>
        <c:axPos val="b"/>
        <c:numFmt formatCode="General" sourceLinked="1"/>
        <c:majorTickMark val="out"/>
        <c:minorTickMark val="none"/>
        <c:tickLblPos val="nextTo"/>
        <c:spPr>
          <a:noFill/>
          <a:ln w="9525" cap="flat" cmpd="sng" algn="ctr">
            <a:solidFill>
              <a:srgbClr val="949494"/>
            </a:solidFill>
            <a:round/>
          </a:ln>
          <a:effectLst/>
        </c:spPr>
        <c:txPr>
          <a:bodyPr rot="-60000000" spcFirstLastPara="0" vertOverflow="ellipsis" vert="horz" wrap="square" anchor="ctr" anchorCtr="1" forceAA="0"/>
          <a:lstStyle/>
          <a:p>
            <a:pPr>
              <a:defRPr lang="zh-CN" sz="900" b="0" i="0" u="none" strike="noStrike" kern="1200" cap="none" spc="0" normalizeH="0" baseline="0">
                <a:solidFill>
                  <a:srgbClr val="6C6C6C"/>
                </a:solidFill>
                <a:uFill>
                  <a:solidFill>
                    <a:schemeClr val="tx1">
                      <a:lumMod val="65000"/>
                      <a:lumOff val="35000"/>
                    </a:schemeClr>
                  </a:solidFill>
                </a:uFill>
                <a:latin typeface="汉仪旗黑-55简" charset="-128"/>
                <a:ea typeface="汉仪旗黑-55简" charset="-128"/>
                <a:cs typeface="汉仪旗黑-55简" charset="-128"/>
                <a:sym typeface="汉仪旗黑-55简" charset="-128"/>
              </a:defRPr>
            </a:pPr>
          </a:p>
        </c:txPr>
        <c:crossAx val="276735249"/>
        <c:crosses val="autoZero"/>
        <c:auto val="1"/>
        <c:lblAlgn val="ctr"/>
        <c:lblOffset val="100"/>
        <c:noMultiLvlLbl val="0"/>
      </c:catAx>
      <c:valAx>
        <c:axId val="276735249"/>
        <c:scaling>
          <c:orientation val="minMax"/>
        </c:scaling>
        <c:delete val="0"/>
        <c:axPos val="l"/>
        <c:majorGridlines>
          <c:spPr>
            <a:ln w="9525" cap="flat" cmpd="sng" algn="ctr">
              <a:solidFill>
                <a:srgbClr val="D7D7D7"/>
              </a:solidFill>
              <a:prstDash val="dash"/>
              <a:round/>
            </a:ln>
            <a:effectLst/>
          </c:spPr>
        </c:majorGridlines>
        <c:numFmt formatCode="0%" sourceLinked="1"/>
        <c:majorTickMark val="out"/>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6C6C6C"/>
                </a:solidFill>
                <a:latin typeface="汉仪旗黑-55简" charset="-128"/>
                <a:ea typeface="汉仪旗黑-55简" charset="-128"/>
                <a:cs typeface="汉仪旗黑-55简" charset="-128"/>
                <a:sym typeface="汉仪旗黑-55简" charset="-128"/>
              </a:defRPr>
            </a:pPr>
          </a:p>
        </c:txPr>
        <c:crossAx val="975352636"/>
        <c:crosses val="autoZero"/>
        <c:crossBetween val="between"/>
      </c:valAx>
      <c:spPr>
        <a:noFill/>
        <a:ln>
          <a:noFill/>
        </a:ln>
        <a:effectLst/>
      </c:spPr>
    </c:plotArea>
    <c:legend>
      <c:legendPos val="t"/>
      <c:legendEntry>
        <c:idx val="2"/>
        <c:delete val="1"/>
      </c:legendEntry>
      <c:layout>
        <c:manualLayout>
          <c:xMode val="edge"/>
          <c:yMode val="edge"/>
          <c:x val="0.434025524551157"/>
          <c:y val="0.173591601360343"/>
          <c:w val="0.115184944841012"/>
          <c:h val="0.0498299571196215"/>
        </c:manualLayout>
      </c:layout>
      <c:overlay val="0"/>
      <c:spPr>
        <a:noFill/>
        <a:ln>
          <a:noFill/>
        </a:ln>
        <a:effectLst/>
      </c:spPr>
      <c:txPr>
        <a:bodyPr rot="0" spcFirstLastPara="0" vertOverflow="ellipsis" vert="horz" wrap="square" anchor="ctr" anchorCtr="1" forceAA="0"/>
        <a:lstStyle/>
        <a:p>
          <a:pPr>
            <a:defRPr lang="zh-CN" sz="900" b="0" i="0" u="none" strike="noStrike" kern="1200" cap="none" spc="0" normalizeH="0" baseline="0">
              <a:solidFill>
                <a:srgbClr val="6C6C6C"/>
              </a:solidFill>
              <a:uFill>
                <a:solidFill>
                  <a:schemeClr val="tx1">
                    <a:lumMod val="65000"/>
                    <a:lumOff val="35000"/>
                  </a:schemeClr>
                </a:solidFill>
              </a:uFill>
              <a:latin typeface="汉仪旗黑-55简" charset="-128"/>
              <a:ea typeface="汉仪旗黑-55简" charset="-128"/>
              <a:cs typeface="汉仪旗黑-55简" charset="-128"/>
              <a:sym typeface="汉仪旗黑-55简" charset="-128"/>
            </a:defRPr>
          </a:pPr>
        </a:p>
      </c:txPr>
    </c:legend>
    <c:plotVisOnly val="1"/>
    <c:dispBlanksAs val="gap"/>
    <c:showDLblsOverMax val="0"/>
  </c:chart>
  <c:spPr>
    <a:blipFill rotWithShape="1">
      <a:blip xmlns:r="http://schemas.openxmlformats.org/officeDocument/2006/relationships" r:embed="rId2"/>
      <a:stretch>
        <a:fillRect/>
      </a:stretch>
    </a:blipFill>
    <a:ln w="9525" cap="flat" cmpd="sng" algn="ctr">
      <a:noFill/>
      <a:round/>
    </a:ln>
    <a:effectLst/>
  </c:spPr>
  <c:txPr>
    <a:bodyPr/>
    <a:lstStyle/>
    <a:p>
      <a:pPr>
        <a:defRPr lang="zh-CN">
          <a:solidFill>
            <a:srgbClr val="6C6C6C"/>
          </a:solidFill>
          <a:latin typeface="汉仪旗黑-55简" charset="-128"/>
          <a:ea typeface="汉仪旗黑-55简" charset="-128"/>
          <a:cs typeface="汉仪旗黑-55简" charset="-128"/>
          <a:sym typeface="汉仪旗黑-55简" charset="-128"/>
        </a:defRPr>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7</Pages>
  <Words>2143</Words>
  <Characters>11807</Characters>
  <Lines>0</Lines>
  <Paragraphs>0</Paragraphs>
  <TotalTime>1</TotalTime>
  <ScaleCrop>false</ScaleCrop>
  <LinksUpToDate>false</LinksUpToDate>
  <CharactersWithSpaces>13915</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2023-04-20T08:59:00Z</dcterms:created>
  <dc:creator>黄权念的iPad</dc:creator>
  <cp:lastModifiedBy>Sarah</cp:lastModifiedBy>
  <dcterms:modified xsi:type="dcterms:W3CDTF">2023-04-20T13:40:45Z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94E2BEDFE7694C96A26610084FA98EA8_13</vt:lpwstr>
  </property>
</Properties>
</file>