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241FEE" w14:textId="77777777" w:rsidR="00E500EC" w:rsidRPr="00DC537E" w:rsidRDefault="00E500EC" w:rsidP="00DC537E">
      <w:pPr>
        <w:spacing w:beforeAutospacing="0" w:afterAutospacing="0"/>
        <w:jc w:val="center"/>
        <w:rPr>
          <w:rFonts w:cs="Arial"/>
          <w:szCs w:val="22"/>
        </w:rPr>
      </w:pPr>
      <w:r w:rsidRPr="00DC537E">
        <w:rPr>
          <w:rFonts w:cs="Arial"/>
          <w:noProof/>
          <w:szCs w:val="22"/>
          <w:lang w:eastAsia="en-GB"/>
        </w:rPr>
        <w:drawing>
          <wp:anchor distT="0" distB="0" distL="114300" distR="114300" simplePos="0" relativeHeight="251659264" behindDoc="0" locked="0" layoutInCell="1" allowOverlap="1" wp14:anchorId="47ECE9B0" wp14:editId="66CDDF86">
            <wp:simplePos x="0" y="0"/>
            <wp:positionH relativeFrom="margin">
              <wp:align>center</wp:align>
            </wp:positionH>
            <wp:positionV relativeFrom="paragraph">
              <wp:posOffset>74354</wp:posOffset>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E9D04A" w14:textId="77777777" w:rsidR="00E500EC" w:rsidRPr="00DC537E" w:rsidRDefault="00E500EC" w:rsidP="00DC537E">
      <w:pPr>
        <w:spacing w:beforeAutospacing="0" w:afterAutospacing="0"/>
        <w:jc w:val="center"/>
        <w:rPr>
          <w:rFonts w:cs="Arial"/>
          <w:b/>
          <w:szCs w:val="22"/>
        </w:rPr>
      </w:pPr>
    </w:p>
    <w:p w14:paraId="1CE89721" w14:textId="77777777" w:rsidR="00E500EC" w:rsidRPr="00DC537E" w:rsidRDefault="00E500EC" w:rsidP="00DC537E">
      <w:pPr>
        <w:spacing w:beforeAutospacing="0" w:afterAutospacing="0"/>
        <w:jc w:val="center"/>
        <w:rPr>
          <w:rFonts w:cs="Arial"/>
          <w:b/>
          <w:szCs w:val="22"/>
        </w:rPr>
      </w:pPr>
    </w:p>
    <w:p w14:paraId="21FA8436" w14:textId="77777777" w:rsidR="00E500EC" w:rsidRPr="00DC537E" w:rsidRDefault="00E500EC" w:rsidP="00DC537E">
      <w:pPr>
        <w:spacing w:beforeAutospacing="0" w:afterAutospacing="0"/>
        <w:jc w:val="center"/>
        <w:rPr>
          <w:rFonts w:cs="Arial"/>
          <w:b/>
          <w:szCs w:val="22"/>
        </w:rPr>
      </w:pPr>
    </w:p>
    <w:p w14:paraId="22AEE070" w14:textId="77777777" w:rsidR="00E500EC" w:rsidRPr="00DC537E" w:rsidRDefault="00E500EC" w:rsidP="00DC537E">
      <w:pPr>
        <w:spacing w:beforeAutospacing="0" w:afterAutospacing="0"/>
        <w:jc w:val="center"/>
        <w:rPr>
          <w:rFonts w:cs="Arial"/>
          <w:b/>
          <w:szCs w:val="22"/>
        </w:rPr>
      </w:pPr>
    </w:p>
    <w:p w14:paraId="29E4F3D8" w14:textId="77777777" w:rsidR="00E500EC" w:rsidRPr="00DC537E" w:rsidRDefault="00E500EC" w:rsidP="00DC537E">
      <w:pPr>
        <w:spacing w:beforeAutospacing="0" w:afterAutospacing="0"/>
        <w:jc w:val="center"/>
        <w:rPr>
          <w:rFonts w:cs="Arial"/>
          <w:b/>
          <w:szCs w:val="22"/>
        </w:rPr>
      </w:pPr>
    </w:p>
    <w:p w14:paraId="4F6B6010" w14:textId="77777777" w:rsidR="00E500EC" w:rsidRPr="00DC537E" w:rsidRDefault="00E500EC" w:rsidP="00DC537E">
      <w:pPr>
        <w:spacing w:beforeAutospacing="0" w:afterAutospacing="0"/>
        <w:jc w:val="center"/>
        <w:rPr>
          <w:rFonts w:cs="Arial"/>
          <w:sz w:val="32"/>
          <w:szCs w:val="22"/>
        </w:rPr>
      </w:pPr>
      <w:r w:rsidRPr="00DC537E">
        <w:rPr>
          <w:rFonts w:cs="Arial"/>
          <w:b/>
          <w:sz w:val="32"/>
          <w:szCs w:val="22"/>
        </w:rPr>
        <w:t>Module code</w:t>
      </w:r>
      <w:r w:rsidRPr="00DC537E">
        <w:rPr>
          <w:rFonts w:cs="Arial"/>
          <w:sz w:val="32"/>
          <w:szCs w:val="22"/>
        </w:rPr>
        <w:t>: BMHP6029</w:t>
      </w:r>
    </w:p>
    <w:p w14:paraId="6551214C" w14:textId="77777777" w:rsidR="00E500EC" w:rsidRPr="00DC537E" w:rsidRDefault="00E500EC" w:rsidP="00DC537E">
      <w:pPr>
        <w:spacing w:beforeAutospacing="0" w:afterAutospacing="0"/>
        <w:jc w:val="center"/>
        <w:rPr>
          <w:rFonts w:cs="Arial"/>
          <w:sz w:val="32"/>
          <w:szCs w:val="22"/>
        </w:rPr>
      </w:pPr>
      <w:r w:rsidRPr="00DC537E">
        <w:rPr>
          <w:rFonts w:cs="Arial"/>
          <w:b/>
          <w:sz w:val="32"/>
          <w:szCs w:val="22"/>
        </w:rPr>
        <w:t>Module</w:t>
      </w:r>
      <w:r w:rsidRPr="00DC537E">
        <w:rPr>
          <w:rFonts w:cs="Arial"/>
          <w:sz w:val="32"/>
          <w:szCs w:val="22"/>
        </w:rPr>
        <w:t xml:space="preserve"> </w:t>
      </w:r>
      <w:r w:rsidRPr="00DC537E">
        <w:rPr>
          <w:rFonts w:cs="Arial"/>
          <w:b/>
          <w:sz w:val="32"/>
          <w:szCs w:val="22"/>
        </w:rPr>
        <w:t>Title</w:t>
      </w:r>
      <w:r w:rsidRPr="00DC537E">
        <w:rPr>
          <w:rFonts w:cs="Arial"/>
          <w:sz w:val="32"/>
          <w:szCs w:val="22"/>
        </w:rPr>
        <w:t xml:space="preserve">: </w:t>
      </w:r>
      <w:r w:rsidRPr="00DC537E">
        <w:rPr>
          <w:rFonts w:cs="Arial"/>
          <w:bCs/>
          <w:sz w:val="32"/>
          <w:szCs w:val="22"/>
        </w:rPr>
        <w:t>Psychological Classifications and Provisions</w:t>
      </w:r>
    </w:p>
    <w:p w14:paraId="7477587E" w14:textId="77777777" w:rsidR="00E500EC" w:rsidRPr="00DC537E" w:rsidRDefault="00E500EC" w:rsidP="00DC537E">
      <w:pPr>
        <w:spacing w:beforeAutospacing="0" w:afterAutospacing="0"/>
        <w:jc w:val="center"/>
        <w:rPr>
          <w:rFonts w:cs="Arial"/>
          <w:sz w:val="32"/>
          <w:szCs w:val="22"/>
        </w:rPr>
      </w:pPr>
    </w:p>
    <w:p w14:paraId="218ACB97" w14:textId="77777777" w:rsidR="00E500EC" w:rsidRPr="00DC537E" w:rsidRDefault="00E500EC" w:rsidP="00DC537E">
      <w:pPr>
        <w:spacing w:beforeAutospacing="0" w:afterAutospacing="0"/>
        <w:jc w:val="center"/>
        <w:rPr>
          <w:rFonts w:cs="Arial"/>
          <w:szCs w:val="22"/>
        </w:rPr>
      </w:pPr>
    </w:p>
    <w:p w14:paraId="64B13665" w14:textId="77777777" w:rsidR="00E500EC" w:rsidRPr="00DC537E" w:rsidRDefault="00E500EC" w:rsidP="00DC537E">
      <w:pPr>
        <w:spacing w:beforeAutospacing="0" w:afterAutospacing="0"/>
        <w:jc w:val="center"/>
        <w:rPr>
          <w:rFonts w:cs="Arial"/>
          <w:szCs w:val="22"/>
        </w:rPr>
      </w:pPr>
    </w:p>
    <w:p w14:paraId="7D80B906" w14:textId="77777777" w:rsidR="00E500EC" w:rsidRPr="00DC537E" w:rsidRDefault="00E500EC" w:rsidP="00DC537E">
      <w:pPr>
        <w:pStyle w:val="Title"/>
        <w:rPr>
          <w:rFonts w:cs="Arial"/>
        </w:rPr>
      </w:pPr>
      <w:r w:rsidRPr="00DC537E">
        <w:rPr>
          <w:rFonts w:cs="Arial"/>
        </w:rPr>
        <w:t>Assignment Title: Component 2: Written Assignment (Report)</w:t>
      </w:r>
    </w:p>
    <w:p w14:paraId="4E471071" w14:textId="77777777" w:rsidR="00E500EC" w:rsidRPr="00DC537E" w:rsidRDefault="00E500EC" w:rsidP="00DC537E">
      <w:pPr>
        <w:spacing w:beforeAutospacing="0" w:afterAutospacing="0"/>
        <w:jc w:val="center"/>
        <w:rPr>
          <w:rFonts w:cs="Arial"/>
          <w:b/>
          <w:szCs w:val="22"/>
        </w:rPr>
      </w:pPr>
    </w:p>
    <w:p w14:paraId="174EA33C" w14:textId="77777777" w:rsidR="00E500EC" w:rsidRPr="00DC537E" w:rsidRDefault="00E500EC" w:rsidP="00DC537E">
      <w:pPr>
        <w:spacing w:beforeAutospacing="0" w:afterAutospacing="0"/>
        <w:jc w:val="center"/>
        <w:rPr>
          <w:rFonts w:cs="Arial"/>
          <w:b/>
          <w:szCs w:val="22"/>
        </w:rPr>
      </w:pPr>
    </w:p>
    <w:p w14:paraId="3ED8E2A7" w14:textId="6252A88C" w:rsidR="00E500EC" w:rsidRPr="00DC537E" w:rsidRDefault="00135AB3" w:rsidP="00DC537E">
      <w:pPr>
        <w:spacing w:beforeAutospacing="0" w:afterAutospacing="0"/>
        <w:jc w:val="center"/>
        <w:rPr>
          <w:rFonts w:cs="Arial"/>
          <w:b/>
          <w:szCs w:val="22"/>
        </w:rPr>
      </w:pPr>
      <w:r>
        <w:rPr>
          <w:rFonts w:cs="Arial"/>
          <w:b/>
          <w:szCs w:val="22"/>
        </w:rPr>
        <w:t>L</w:t>
      </w:r>
      <w:r w:rsidR="007F0C9F">
        <w:rPr>
          <w:rFonts w:cs="Arial"/>
          <w:b/>
          <w:szCs w:val="22"/>
        </w:rPr>
        <w:t>e</w:t>
      </w:r>
      <w:r>
        <w:rPr>
          <w:rFonts w:cs="Arial"/>
          <w:b/>
          <w:szCs w:val="22"/>
        </w:rPr>
        <w:t>cturer Name Neale Haddon</w:t>
      </w:r>
    </w:p>
    <w:p w14:paraId="217C00CE" w14:textId="77777777" w:rsidR="00E500EC" w:rsidRPr="00DC537E" w:rsidRDefault="00E500EC" w:rsidP="00DC537E">
      <w:pPr>
        <w:spacing w:beforeAutospacing="0" w:afterAutospacing="0"/>
        <w:jc w:val="center"/>
        <w:rPr>
          <w:rFonts w:cs="Arial"/>
          <w:b/>
          <w:szCs w:val="22"/>
        </w:rPr>
      </w:pPr>
    </w:p>
    <w:p w14:paraId="2D379409" w14:textId="2A5B4DB0" w:rsidR="00E500EC" w:rsidRPr="00DC537E" w:rsidRDefault="00E500EC" w:rsidP="00DC537E">
      <w:pPr>
        <w:spacing w:beforeAutospacing="0" w:afterAutospacing="0"/>
        <w:jc w:val="center"/>
        <w:rPr>
          <w:rFonts w:cs="Arial"/>
          <w:sz w:val="24"/>
          <w:szCs w:val="22"/>
        </w:rPr>
      </w:pPr>
      <w:r w:rsidRPr="00DC537E">
        <w:rPr>
          <w:rFonts w:cs="Arial"/>
          <w:b/>
          <w:sz w:val="24"/>
          <w:szCs w:val="22"/>
        </w:rPr>
        <w:t>Student</w:t>
      </w:r>
      <w:r w:rsidRPr="00DC537E">
        <w:rPr>
          <w:rFonts w:cs="Arial"/>
          <w:sz w:val="24"/>
          <w:szCs w:val="22"/>
        </w:rPr>
        <w:t xml:space="preserve"> </w:t>
      </w:r>
      <w:r w:rsidRPr="00DC537E">
        <w:rPr>
          <w:rFonts w:cs="Arial"/>
          <w:b/>
          <w:sz w:val="24"/>
          <w:szCs w:val="22"/>
        </w:rPr>
        <w:t>Name</w:t>
      </w:r>
      <w:r w:rsidRPr="00DC537E">
        <w:rPr>
          <w:rFonts w:cs="Arial"/>
          <w:sz w:val="24"/>
          <w:szCs w:val="22"/>
        </w:rPr>
        <w:t xml:space="preserve">: </w:t>
      </w:r>
      <w:r w:rsidR="007F0C9F">
        <w:rPr>
          <w:rFonts w:cs="Arial"/>
          <w:sz w:val="24"/>
          <w:szCs w:val="22"/>
        </w:rPr>
        <w:t>Asteria</w:t>
      </w:r>
      <w:r w:rsidR="00135AB3">
        <w:rPr>
          <w:rFonts w:cs="Arial"/>
          <w:sz w:val="24"/>
          <w:szCs w:val="22"/>
        </w:rPr>
        <w:t xml:space="preserve"> joseph Nyamhanga</w:t>
      </w:r>
      <w:r w:rsidRPr="00DC537E">
        <w:rPr>
          <w:rFonts w:cs="Arial"/>
          <w:sz w:val="24"/>
          <w:szCs w:val="22"/>
        </w:rPr>
        <w:t xml:space="preserve"> Wilson</w:t>
      </w:r>
    </w:p>
    <w:p w14:paraId="4836F5C2" w14:textId="67F17DDC" w:rsidR="009C293F" w:rsidRPr="00DC537E" w:rsidRDefault="00E500EC" w:rsidP="00DC537E">
      <w:pPr>
        <w:spacing w:beforeAutospacing="0" w:afterAutospacing="0"/>
        <w:jc w:val="center"/>
        <w:rPr>
          <w:rFonts w:cs="Arial"/>
          <w:szCs w:val="22"/>
        </w:rPr>
      </w:pPr>
      <w:r w:rsidRPr="00DC537E">
        <w:rPr>
          <w:rFonts w:cs="Arial"/>
          <w:b/>
          <w:sz w:val="24"/>
          <w:szCs w:val="22"/>
        </w:rPr>
        <w:t>Student</w:t>
      </w:r>
      <w:r w:rsidRPr="00DC537E">
        <w:rPr>
          <w:rFonts w:cs="Arial"/>
          <w:sz w:val="24"/>
          <w:szCs w:val="22"/>
        </w:rPr>
        <w:t xml:space="preserve"> </w:t>
      </w:r>
      <w:r w:rsidRPr="00DC537E">
        <w:rPr>
          <w:rFonts w:cs="Arial"/>
          <w:b/>
          <w:sz w:val="24"/>
          <w:szCs w:val="22"/>
        </w:rPr>
        <w:t>ID</w:t>
      </w:r>
      <w:r w:rsidRPr="00DC537E">
        <w:rPr>
          <w:rFonts w:cs="Arial"/>
          <w:sz w:val="24"/>
          <w:szCs w:val="22"/>
        </w:rPr>
        <w:t>:</w:t>
      </w:r>
      <w:r w:rsidR="00135AB3">
        <w:rPr>
          <w:rFonts w:cs="Arial"/>
          <w:sz w:val="24"/>
          <w:szCs w:val="22"/>
        </w:rPr>
        <w:t>2311121</w:t>
      </w:r>
      <w:r w:rsidR="009C293F" w:rsidRPr="00DC537E">
        <w:rPr>
          <w:rFonts w:cs="Arial"/>
          <w:szCs w:val="22"/>
        </w:rPr>
        <w:br w:type="page"/>
      </w:r>
    </w:p>
    <w:sdt>
      <w:sdtPr>
        <w:rPr>
          <w:rFonts w:cs="Arial"/>
          <w:b/>
          <w:sz w:val="28"/>
          <w:szCs w:val="22"/>
        </w:rPr>
        <w:id w:val="-1571414013"/>
        <w:docPartObj>
          <w:docPartGallery w:val="Table of Contents"/>
          <w:docPartUnique/>
        </w:docPartObj>
      </w:sdtPr>
      <w:sdtEndPr>
        <w:rPr>
          <w:bCs/>
          <w:noProof/>
          <w:sz w:val="22"/>
        </w:rPr>
      </w:sdtEndPr>
      <w:sdtContent>
        <w:p w14:paraId="7F7F012B" w14:textId="77777777" w:rsidR="009C293F" w:rsidRPr="00DC537E" w:rsidRDefault="009C293F" w:rsidP="00DC537E">
          <w:pPr>
            <w:spacing w:beforeAutospacing="0" w:afterAutospacing="0"/>
            <w:jc w:val="center"/>
            <w:rPr>
              <w:rFonts w:cs="Arial"/>
              <w:b/>
              <w:sz w:val="28"/>
              <w:szCs w:val="22"/>
            </w:rPr>
          </w:pPr>
          <w:r w:rsidRPr="00DC537E">
            <w:rPr>
              <w:rFonts w:cs="Arial"/>
              <w:b/>
              <w:sz w:val="28"/>
              <w:szCs w:val="22"/>
            </w:rPr>
            <w:t>Table of Contents</w:t>
          </w:r>
        </w:p>
        <w:p w14:paraId="465CCBD4" w14:textId="77777777" w:rsidR="001E48D4" w:rsidRPr="00DC537E" w:rsidRDefault="009C293F" w:rsidP="00DC537E">
          <w:pPr>
            <w:pStyle w:val="TOC1"/>
            <w:tabs>
              <w:tab w:val="right" w:leader="dot" w:pos="9016"/>
            </w:tabs>
            <w:spacing w:beforeAutospacing="0" w:after="0" w:afterAutospacing="0"/>
            <w:rPr>
              <w:rFonts w:asciiTheme="minorHAnsi" w:eastAsiaTheme="minorEastAsia" w:hAnsiTheme="minorHAnsi" w:cstheme="minorBidi"/>
              <w:noProof/>
              <w:szCs w:val="22"/>
              <w:lang w:eastAsia="en-GB"/>
            </w:rPr>
          </w:pPr>
          <w:r w:rsidRPr="00DC537E">
            <w:rPr>
              <w:rFonts w:cs="Arial"/>
              <w:szCs w:val="22"/>
            </w:rPr>
            <w:fldChar w:fldCharType="begin"/>
          </w:r>
          <w:r w:rsidRPr="00DC537E">
            <w:rPr>
              <w:rFonts w:cs="Arial"/>
              <w:szCs w:val="22"/>
            </w:rPr>
            <w:instrText xml:space="preserve"> TOC \o "1-3" \h \z \u </w:instrText>
          </w:r>
          <w:r w:rsidRPr="00DC537E">
            <w:rPr>
              <w:rFonts w:cs="Arial"/>
              <w:szCs w:val="22"/>
            </w:rPr>
            <w:fldChar w:fldCharType="separate"/>
          </w:r>
          <w:hyperlink w:anchor="_Toc208935503" w:history="1">
            <w:r w:rsidR="001E48D4" w:rsidRPr="00DC537E">
              <w:rPr>
                <w:rStyle w:val="Hyperlink"/>
                <w:rFonts w:cs="Arial"/>
                <w:noProof/>
              </w:rPr>
              <w:t>1. Introduction</w:t>
            </w:r>
            <w:r w:rsidR="001E48D4" w:rsidRPr="00DC537E">
              <w:rPr>
                <w:noProof/>
                <w:webHidden/>
              </w:rPr>
              <w:tab/>
            </w:r>
            <w:r w:rsidR="001E48D4" w:rsidRPr="00DC537E">
              <w:rPr>
                <w:noProof/>
                <w:webHidden/>
              </w:rPr>
              <w:fldChar w:fldCharType="begin"/>
            </w:r>
            <w:r w:rsidR="001E48D4" w:rsidRPr="00DC537E">
              <w:rPr>
                <w:noProof/>
                <w:webHidden/>
              </w:rPr>
              <w:instrText xml:space="preserve"> PAGEREF _Toc208935503 \h </w:instrText>
            </w:r>
            <w:r w:rsidR="001E48D4" w:rsidRPr="00DC537E">
              <w:rPr>
                <w:noProof/>
                <w:webHidden/>
              </w:rPr>
            </w:r>
            <w:r w:rsidR="001E48D4" w:rsidRPr="00DC537E">
              <w:rPr>
                <w:noProof/>
                <w:webHidden/>
              </w:rPr>
              <w:fldChar w:fldCharType="separate"/>
            </w:r>
            <w:r w:rsidR="001E48D4" w:rsidRPr="00DC537E">
              <w:rPr>
                <w:noProof/>
                <w:webHidden/>
              </w:rPr>
              <w:t>3</w:t>
            </w:r>
            <w:r w:rsidR="001E48D4" w:rsidRPr="00DC537E">
              <w:rPr>
                <w:noProof/>
                <w:webHidden/>
              </w:rPr>
              <w:fldChar w:fldCharType="end"/>
            </w:r>
          </w:hyperlink>
        </w:p>
        <w:p w14:paraId="71044B92" w14:textId="77777777" w:rsidR="001E48D4" w:rsidRPr="00DC537E" w:rsidRDefault="001E48D4" w:rsidP="00DC537E">
          <w:pPr>
            <w:pStyle w:val="TOC1"/>
            <w:tabs>
              <w:tab w:val="right" w:leader="dot" w:pos="9016"/>
            </w:tabs>
            <w:spacing w:beforeAutospacing="0" w:after="0" w:afterAutospacing="0"/>
            <w:rPr>
              <w:rFonts w:asciiTheme="minorHAnsi" w:eastAsiaTheme="minorEastAsia" w:hAnsiTheme="minorHAnsi" w:cstheme="minorBidi"/>
              <w:noProof/>
              <w:szCs w:val="22"/>
              <w:lang w:eastAsia="en-GB"/>
            </w:rPr>
          </w:pPr>
          <w:hyperlink w:anchor="_Toc208935504" w:history="1">
            <w:r w:rsidRPr="00DC537E">
              <w:rPr>
                <w:rStyle w:val="Hyperlink"/>
                <w:rFonts w:cs="Arial"/>
                <w:noProof/>
              </w:rPr>
              <w:t>2. Classification and Diagnosis</w:t>
            </w:r>
            <w:r w:rsidRPr="00DC537E">
              <w:rPr>
                <w:noProof/>
                <w:webHidden/>
              </w:rPr>
              <w:tab/>
            </w:r>
            <w:r w:rsidRPr="00DC537E">
              <w:rPr>
                <w:noProof/>
                <w:webHidden/>
              </w:rPr>
              <w:fldChar w:fldCharType="begin"/>
            </w:r>
            <w:r w:rsidRPr="00DC537E">
              <w:rPr>
                <w:noProof/>
                <w:webHidden/>
              </w:rPr>
              <w:instrText xml:space="preserve"> PAGEREF _Toc208935504 \h </w:instrText>
            </w:r>
            <w:r w:rsidRPr="00DC537E">
              <w:rPr>
                <w:noProof/>
                <w:webHidden/>
              </w:rPr>
            </w:r>
            <w:r w:rsidRPr="00DC537E">
              <w:rPr>
                <w:noProof/>
                <w:webHidden/>
              </w:rPr>
              <w:fldChar w:fldCharType="separate"/>
            </w:r>
            <w:r w:rsidRPr="00DC537E">
              <w:rPr>
                <w:noProof/>
                <w:webHidden/>
              </w:rPr>
              <w:t>3</w:t>
            </w:r>
            <w:r w:rsidRPr="00DC537E">
              <w:rPr>
                <w:noProof/>
                <w:webHidden/>
              </w:rPr>
              <w:fldChar w:fldCharType="end"/>
            </w:r>
          </w:hyperlink>
        </w:p>
        <w:p w14:paraId="4CD40BC9" w14:textId="77777777" w:rsidR="001E48D4" w:rsidRPr="00DC537E" w:rsidRDefault="001E48D4" w:rsidP="00DC537E">
          <w:pPr>
            <w:pStyle w:val="TOC2"/>
            <w:tabs>
              <w:tab w:val="right" w:leader="dot" w:pos="9016"/>
            </w:tabs>
            <w:spacing w:beforeAutospacing="0" w:after="0" w:afterAutospacing="0"/>
            <w:rPr>
              <w:rFonts w:asciiTheme="minorHAnsi" w:eastAsiaTheme="minorEastAsia" w:hAnsiTheme="minorHAnsi" w:cstheme="minorBidi"/>
              <w:noProof/>
              <w:szCs w:val="22"/>
              <w:lang w:eastAsia="en-GB"/>
            </w:rPr>
          </w:pPr>
          <w:hyperlink w:anchor="_Toc208935505" w:history="1">
            <w:r w:rsidRPr="00DC537E">
              <w:rPr>
                <w:rStyle w:val="Hyperlink"/>
                <w:rFonts w:cs="Arial"/>
                <w:noProof/>
              </w:rPr>
              <w:t>2.1 Detailed analysis on the Feeding and Eating Disorder</w:t>
            </w:r>
            <w:r w:rsidRPr="00DC537E">
              <w:rPr>
                <w:noProof/>
                <w:webHidden/>
              </w:rPr>
              <w:tab/>
            </w:r>
            <w:r w:rsidRPr="00DC537E">
              <w:rPr>
                <w:noProof/>
                <w:webHidden/>
              </w:rPr>
              <w:fldChar w:fldCharType="begin"/>
            </w:r>
            <w:r w:rsidRPr="00DC537E">
              <w:rPr>
                <w:noProof/>
                <w:webHidden/>
              </w:rPr>
              <w:instrText xml:space="preserve"> PAGEREF _Toc208935505 \h </w:instrText>
            </w:r>
            <w:r w:rsidRPr="00DC537E">
              <w:rPr>
                <w:noProof/>
                <w:webHidden/>
              </w:rPr>
            </w:r>
            <w:r w:rsidRPr="00DC537E">
              <w:rPr>
                <w:noProof/>
                <w:webHidden/>
              </w:rPr>
              <w:fldChar w:fldCharType="separate"/>
            </w:r>
            <w:r w:rsidRPr="00DC537E">
              <w:rPr>
                <w:noProof/>
                <w:webHidden/>
              </w:rPr>
              <w:t>3</w:t>
            </w:r>
            <w:r w:rsidRPr="00DC537E">
              <w:rPr>
                <w:noProof/>
                <w:webHidden/>
              </w:rPr>
              <w:fldChar w:fldCharType="end"/>
            </w:r>
          </w:hyperlink>
        </w:p>
        <w:p w14:paraId="7DD4FFA6" w14:textId="77777777" w:rsidR="001E48D4" w:rsidRPr="00DC537E" w:rsidRDefault="001E48D4" w:rsidP="00DC537E">
          <w:pPr>
            <w:pStyle w:val="TOC2"/>
            <w:tabs>
              <w:tab w:val="right" w:leader="dot" w:pos="9016"/>
            </w:tabs>
            <w:spacing w:beforeAutospacing="0" w:after="0" w:afterAutospacing="0"/>
            <w:rPr>
              <w:rFonts w:asciiTheme="minorHAnsi" w:eastAsiaTheme="minorEastAsia" w:hAnsiTheme="minorHAnsi" w:cstheme="minorBidi"/>
              <w:noProof/>
              <w:szCs w:val="22"/>
              <w:lang w:eastAsia="en-GB"/>
            </w:rPr>
          </w:pPr>
          <w:hyperlink w:anchor="_Toc208935506" w:history="1">
            <w:r w:rsidRPr="00DC537E">
              <w:rPr>
                <w:rStyle w:val="Hyperlink"/>
                <w:rFonts w:cs="Arial"/>
                <w:noProof/>
              </w:rPr>
              <w:t>2.2 Diagnostic criteria and process associated with Feeding and Eating Disorder</w:t>
            </w:r>
            <w:r w:rsidRPr="00DC537E">
              <w:rPr>
                <w:noProof/>
                <w:webHidden/>
              </w:rPr>
              <w:tab/>
            </w:r>
            <w:r w:rsidRPr="00DC537E">
              <w:rPr>
                <w:noProof/>
                <w:webHidden/>
              </w:rPr>
              <w:fldChar w:fldCharType="begin"/>
            </w:r>
            <w:r w:rsidRPr="00DC537E">
              <w:rPr>
                <w:noProof/>
                <w:webHidden/>
              </w:rPr>
              <w:instrText xml:space="preserve"> PAGEREF _Toc208935506 \h </w:instrText>
            </w:r>
            <w:r w:rsidRPr="00DC537E">
              <w:rPr>
                <w:noProof/>
                <w:webHidden/>
              </w:rPr>
            </w:r>
            <w:r w:rsidRPr="00DC537E">
              <w:rPr>
                <w:noProof/>
                <w:webHidden/>
              </w:rPr>
              <w:fldChar w:fldCharType="separate"/>
            </w:r>
            <w:r w:rsidRPr="00DC537E">
              <w:rPr>
                <w:noProof/>
                <w:webHidden/>
              </w:rPr>
              <w:t>3</w:t>
            </w:r>
            <w:r w:rsidRPr="00DC537E">
              <w:rPr>
                <w:noProof/>
                <w:webHidden/>
              </w:rPr>
              <w:fldChar w:fldCharType="end"/>
            </w:r>
          </w:hyperlink>
        </w:p>
        <w:p w14:paraId="6F607724" w14:textId="77777777" w:rsidR="001E48D4" w:rsidRPr="00DC537E" w:rsidRDefault="001E48D4" w:rsidP="00DC537E">
          <w:pPr>
            <w:pStyle w:val="TOC2"/>
            <w:tabs>
              <w:tab w:val="right" w:leader="dot" w:pos="9016"/>
            </w:tabs>
            <w:spacing w:beforeAutospacing="0" w:after="0" w:afterAutospacing="0"/>
            <w:rPr>
              <w:rFonts w:asciiTheme="minorHAnsi" w:eastAsiaTheme="minorEastAsia" w:hAnsiTheme="minorHAnsi" w:cstheme="minorBidi"/>
              <w:noProof/>
              <w:szCs w:val="22"/>
              <w:lang w:eastAsia="en-GB"/>
            </w:rPr>
          </w:pPr>
          <w:hyperlink w:anchor="_Toc208935507" w:history="1">
            <w:r w:rsidRPr="00DC537E">
              <w:rPr>
                <w:rStyle w:val="Hyperlink"/>
                <w:rFonts w:cs="Arial"/>
                <w:noProof/>
              </w:rPr>
              <w:t>2.3 Language used in the classification and its justification</w:t>
            </w:r>
            <w:r w:rsidRPr="00DC537E">
              <w:rPr>
                <w:noProof/>
                <w:webHidden/>
              </w:rPr>
              <w:tab/>
            </w:r>
            <w:r w:rsidRPr="00DC537E">
              <w:rPr>
                <w:noProof/>
                <w:webHidden/>
              </w:rPr>
              <w:fldChar w:fldCharType="begin"/>
            </w:r>
            <w:r w:rsidRPr="00DC537E">
              <w:rPr>
                <w:noProof/>
                <w:webHidden/>
              </w:rPr>
              <w:instrText xml:space="preserve"> PAGEREF _Toc208935507 \h </w:instrText>
            </w:r>
            <w:r w:rsidRPr="00DC537E">
              <w:rPr>
                <w:noProof/>
                <w:webHidden/>
              </w:rPr>
            </w:r>
            <w:r w:rsidRPr="00DC537E">
              <w:rPr>
                <w:noProof/>
                <w:webHidden/>
              </w:rPr>
              <w:fldChar w:fldCharType="separate"/>
            </w:r>
            <w:r w:rsidRPr="00DC537E">
              <w:rPr>
                <w:noProof/>
                <w:webHidden/>
              </w:rPr>
              <w:t>4</w:t>
            </w:r>
            <w:r w:rsidRPr="00DC537E">
              <w:rPr>
                <w:noProof/>
                <w:webHidden/>
              </w:rPr>
              <w:fldChar w:fldCharType="end"/>
            </w:r>
          </w:hyperlink>
        </w:p>
        <w:p w14:paraId="62C79963" w14:textId="77777777" w:rsidR="001E48D4" w:rsidRPr="00DC537E" w:rsidRDefault="001E48D4" w:rsidP="00DC537E">
          <w:pPr>
            <w:pStyle w:val="TOC1"/>
            <w:tabs>
              <w:tab w:val="right" w:leader="dot" w:pos="9016"/>
            </w:tabs>
            <w:spacing w:beforeAutospacing="0" w:after="0" w:afterAutospacing="0"/>
            <w:rPr>
              <w:rFonts w:asciiTheme="minorHAnsi" w:eastAsiaTheme="minorEastAsia" w:hAnsiTheme="minorHAnsi" w:cstheme="minorBidi"/>
              <w:noProof/>
              <w:szCs w:val="22"/>
              <w:lang w:eastAsia="en-GB"/>
            </w:rPr>
          </w:pPr>
          <w:hyperlink w:anchor="_Toc208935508" w:history="1">
            <w:r w:rsidRPr="00DC537E">
              <w:rPr>
                <w:rStyle w:val="Hyperlink"/>
                <w:rFonts w:cs="Arial"/>
                <w:noProof/>
              </w:rPr>
              <w:t>3. Treatment and Rehabilitation</w:t>
            </w:r>
            <w:r w:rsidRPr="00DC537E">
              <w:rPr>
                <w:noProof/>
                <w:webHidden/>
              </w:rPr>
              <w:tab/>
            </w:r>
            <w:r w:rsidRPr="00DC537E">
              <w:rPr>
                <w:noProof/>
                <w:webHidden/>
              </w:rPr>
              <w:fldChar w:fldCharType="begin"/>
            </w:r>
            <w:r w:rsidRPr="00DC537E">
              <w:rPr>
                <w:noProof/>
                <w:webHidden/>
              </w:rPr>
              <w:instrText xml:space="preserve"> PAGEREF _Toc208935508 \h </w:instrText>
            </w:r>
            <w:r w:rsidRPr="00DC537E">
              <w:rPr>
                <w:noProof/>
                <w:webHidden/>
              </w:rPr>
            </w:r>
            <w:r w:rsidRPr="00DC537E">
              <w:rPr>
                <w:noProof/>
                <w:webHidden/>
              </w:rPr>
              <w:fldChar w:fldCharType="separate"/>
            </w:r>
            <w:r w:rsidRPr="00DC537E">
              <w:rPr>
                <w:noProof/>
                <w:webHidden/>
              </w:rPr>
              <w:t>5</w:t>
            </w:r>
            <w:r w:rsidRPr="00DC537E">
              <w:rPr>
                <w:noProof/>
                <w:webHidden/>
              </w:rPr>
              <w:fldChar w:fldCharType="end"/>
            </w:r>
          </w:hyperlink>
        </w:p>
        <w:p w14:paraId="1E5447CE" w14:textId="77777777" w:rsidR="001E48D4" w:rsidRPr="00DC537E" w:rsidRDefault="001E48D4" w:rsidP="00DC537E">
          <w:pPr>
            <w:pStyle w:val="TOC2"/>
            <w:tabs>
              <w:tab w:val="right" w:leader="dot" w:pos="9016"/>
            </w:tabs>
            <w:spacing w:beforeAutospacing="0" w:after="0" w:afterAutospacing="0"/>
            <w:rPr>
              <w:rFonts w:asciiTheme="minorHAnsi" w:eastAsiaTheme="minorEastAsia" w:hAnsiTheme="minorHAnsi" w:cstheme="minorBidi"/>
              <w:noProof/>
              <w:szCs w:val="22"/>
              <w:lang w:eastAsia="en-GB"/>
            </w:rPr>
          </w:pPr>
          <w:hyperlink w:anchor="_Toc208935509" w:history="1">
            <w:r w:rsidRPr="00DC537E">
              <w:rPr>
                <w:rStyle w:val="Hyperlink"/>
                <w:rFonts w:cs="Arial"/>
                <w:noProof/>
              </w:rPr>
              <w:t>3.1 Critical analysis on the treatment approaches for the Feeding and Eating Disorder</w:t>
            </w:r>
            <w:r w:rsidRPr="00DC537E">
              <w:rPr>
                <w:noProof/>
                <w:webHidden/>
              </w:rPr>
              <w:tab/>
            </w:r>
            <w:r w:rsidRPr="00DC537E">
              <w:rPr>
                <w:noProof/>
                <w:webHidden/>
              </w:rPr>
              <w:fldChar w:fldCharType="begin"/>
            </w:r>
            <w:r w:rsidRPr="00DC537E">
              <w:rPr>
                <w:noProof/>
                <w:webHidden/>
              </w:rPr>
              <w:instrText xml:space="preserve"> PAGEREF _Toc208935509 \h </w:instrText>
            </w:r>
            <w:r w:rsidRPr="00DC537E">
              <w:rPr>
                <w:noProof/>
                <w:webHidden/>
              </w:rPr>
            </w:r>
            <w:r w:rsidRPr="00DC537E">
              <w:rPr>
                <w:noProof/>
                <w:webHidden/>
              </w:rPr>
              <w:fldChar w:fldCharType="separate"/>
            </w:r>
            <w:r w:rsidRPr="00DC537E">
              <w:rPr>
                <w:noProof/>
                <w:webHidden/>
              </w:rPr>
              <w:t>5</w:t>
            </w:r>
            <w:r w:rsidRPr="00DC537E">
              <w:rPr>
                <w:noProof/>
                <w:webHidden/>
              </w:rPr>
              <w:fldChar w:fldCharType="end"/>
            </w:r>
          </w:hyperlink>
        </w:p>
        <w:p w14:paraId="22535F56" w14:textId="77777777" w:rsidR="001E48D4" w:rsidRPr="00DC537E" w:rsidRDefault="001E48D4" w:rsidP="00DC537E">
          <w:pPr>
            <w:pStyle w:val="TOC2"/>
            <w:tabs>
              <w:tab w:val="right" w:leader="dot" w:pos="9016"/>
            </w:tabs>
            <w:spacing w:beforeAutospacing="0" w:after="0" w:afterAutospacing="0"/>
            <w:rPr>
              <w:rFonts w:asciiTheme="minorHAnsi" w:eastAsiaTheme="minorEastAsia" w:hAnsiTheme="minorHAnsi" w:cstheme="minorBidi"/>
              <w:noProof/>
              <w:szCs w:val="22"/>
              <w:lang w:eastAsia="en-GB"/>
            </w:rPr>
          </w:pPr>
          <w:hyperlink w:anchor="_Toc208935510" w:history="1">
            <w:r w:rsidRPr="00DC537E">
              <w:rPr>
                <w:rStyle w:val="Hyperlink"/>
                <w:rFonts w:cs="Arial"/>
                <w:noProof/>
              </w:rPr>
              <w:t>3.2 Rehabilitation measures and practices included in the ICD-11</w:t>
            </w:r>
            <w:r w:rsidRPr="00DC537E">
              <w:rPr>
                <w:noProof/>
                <w:webHidden/>
              </w:rPr>
              <w:tab/>
            </w:r>
            <w:r w:rsidRPr="00DC537E">
              <w:rPr>
                <w:noProof/>
                <w:webHidden/>
              </w:rPr>
              <w:fldChar w:fldCharType="begin"/>
            </w:r>
            <w:r w:rsidRPr="00DC537E">
              <w:rPr>
                <w:noProof/>
                <w:webHidden/>
              </w:rPr>
              <w:instrText xml:space="preserve"> PAGEREF _Toc208935510 \h </w:instrText>
            </w:r>
            <w:r w:rsidRPr="00DC537E">
              <w:rPr>
                <w:noProof/>
                <w:webHidden/>
              </w:rPr>
            </w:r>
            <w:r w:rsidRPr="00DC537E">
              <w:rPr>
                <w:noProof/>
                <w:webHidden/>
              </w:rPr>
              <w:fldChar w:fldCharType="separate"/>
            </w:r>
            <w:r w:rsidRPr="00DC537E">
              <w:rPr>
                <w:noProof/>
                <w:webHidden/>
              </w:rPr>
              <w:t>6</w:t>
            </w:r>
            <w:r w:rsidRPr="00DC537E">
              <w:rPr>
                <w:noProof/>
                <w:webHidden/>
              </w:rPr>
              <w:fldChar w:fldCharType="end"/>
            </w:r>
          </w:hyperlink>
        </w:p>
        <w:p w14:paraId="737D343D" w14:textId="77777777" w:rsidR="001E48D4" w:rsidRPr="00DC537E" w:rsidRDefault="001E48D4" w:rsidP="00DC537E">
          <w:pPr>
            <w:pStyle w:val="TOC2"/>
            <w:tabs>
              <w:tab w:val="right" w:leader="dot" w:pos="9016"/>
            </w:tabs>
            <w:spacing w:beforeAutospacing="0" w:after="0" w:afterAutospacing="0"/>
            <w:rPr>
              <w:rFonts w:asciiTheme="minorHAnsi" w:eastAsiaTheme="minorEastAsia" w:hAnsiTheme="minorHAnsi" w:cstheme="minorBidi"/>
              <w:noProof/>
              <w:szCs w:val="22"/>
              <w:lang w:eastAsia="en-GB"/>
            </w:rPr>
          </w:pPr>
          <w:hyperlink w:anchor="_Toc208935511" w:history="1">
            <w:r w:rsidRPr="00DC537E">
              <w:rPr>
                <w:rStyle w:val="Hyperlink"/>
                <w:rFonts w:cs="Arial"/>
                <w:noProof/>
              </w:rPr>
              <w:t>3.3 Effectiveness and limitations of the practices</w:t>
            </w:r>
            <w:r w:rsidRPr="00DC537E">
              <w:rPr>
                <w:noProof/>
                <w:webHidden/>
              </w:rPr>
              <w:tab/>
            </w:r>
            <w:r w:rsidRPr="00DC537E">
              <w:rPr>
                <w:noProof/>
                <w:webHidden/>
              </w:rPr>
              <w:fldChar w:fldCharType="begin"/>
            </w:r>
            <w:r w:rsidRPr="00DC537E">
              <w:rPr>
                <w:noProof/>
                <w:webHidden/>
              </w:rPr>
              <w:instrText xml:space="preserve"> PAGEREF _Toc208935511 \h </w:instrText>
            </w:r>
            <w:r w:rsidRPr="00DC537E">
              <w:rPr>
                <w:noProof/>
                <w:webHidden/>
              </w:rPr>
            </w:r>
            <w:r w:rsidRPr="00DC537E">
              <w:rPr>
                <w:noProof/>
                <w:webHidden/>
              </w:rPr>
              <w:fldChar w:fldCharType="separate"/>
            </w:r>
            <w:r w:rsidRPr="00DC537E">
              <w:rPr>
                <w:noProof/>
                <w:webHidden/>
              </w:rPr>
              <w:t>7</w:t>
            </w:r>
            <w:r w:rsidRPr="00DC537E">
              <w:rPr>
                <w:noProof/>
                <w:webHidden/>
              </w:rPr>
              <w:fldChar w:fldCharType="end"/>
            </w:r>
          </w:hyperlink>
        </w:p>
        <w:p w14:paraId="254A0BBC" w14:textId="77777777" w:rsidR="001E48D4" w:rsidRPr="00DC537E" w:rsidRDefault="001E48D4" w:rsidP="00DC537E">
          <w:pPr>
            <w:pStyle w:val="TOC1"/>
            <w:tabs>
              <w:tab w:val="right" w:leader="dot" w:pos="9016"/>
            </w:tabs>
            <w:spacing w:beforeAutospacing="0" w:after="0" w:afterAutospacing="0"/>
            <w:rPr>
              <w:rFonts w:asciiTheme="minorHAnsi" w:eastAsiaTheme="minorEastAsia" w:hAnsiTheme="minorHAnsi" w:cstheme="minorBidi"/>
              <w:noProof/>
              <w:szCs w:val="22"/>
              <w:lang w:eastAsia="en-GB"/>
            </w:rPr>
          </w:pPr>
          <w:hyperlink w:anchor="_Toc208935512" w:history="1">
            <w:r w:rsidRPr="00DC537E">
              <w:rPr>
                <w:rStyle w:val="Hyperlink"/>
                <w:rFonts w:cs="Arial"/>
                <w:noProof/>
              </w:rPr>
              <w:t>4. Current Debates and Emerging Issues</w:t>
            </w:r>
            <w:r w:rsidRPr="00DC537E">
              <w:rPr>
                <w:noProof/>
                <w:webHidden/>
              </w:rPr>
              <w:tab/>
            </w:r>
            <w:r w:rsidRPr="00DC537E">
              <w:rPr>
                <w:noProof/>
                <w:webHidden/>
              </w:rPr>
              <w:fldChar w:fldCharType="begin"/>
            </w:r>
            <w:r w:rsidRPr="00DC537E">
              <w:rPr>
                <w:noProof/>
                <w:webHidden/>
              </w:rPr>
              <w:instrText xml:space="preserve"> PAGEREF _Toc208935512 \h </w:instrText>
            </w:r>
            <w:r w:rsidRPr="00DC537E">
              <w:rPr>
                <w:noProof/>
                <w:webHidden/>
              </w:rPr>
            </w:r>
            <w:r w:rsidRPr="00DC537E">
              <w:rPr>
                <w:noProof/>
                <w:webHidden/>
              </w:rPr>
              <w:fldChar w:fldCharType="separate"/>
            </w:r>
            <w:r w:rsidRPr="00DC537E">
              <w:rPr>
                <w:noProof/>
                <w:webHidden/>
              </w:rPr>
              <w:t>7</w:t>
            </w:r>
            <w:r w:rsidRPr="00DC537E">
              <w:rPr>
                <w:noProof/>
                <w:webHidden/>
              </w:rPr>
              <w:fldChar w:fldCharType="end"/>
            </w:r>
          </w:hyperlink>
        </w:p>
        <w:p w14:paraId="24B103A4" w14:textId="77777777" w:rsidR="001E48D4" w:rsidRPr="00DC537E" w:rsidRDefault="001E48D4" w:rsidP="00DC537E">
          <w:pPr>
            <w:pStyle w:val="TOC2"/>
            <w:tabs>
              <w:tab w:val="right" w:leader="dot" w:pos="9016"/>
            </w:tabs>
            <w:spacing w:beforeAutospacing="0" w:after="0" w:afterAutospacing="0"/>
            <w:rPr>
              <w:rFonts w:asciiTheme="minorHAnsi" w:eastAsiaTheme="minorEastAsia" w:hAnsiTheme="minorHAnsi" w:cstheme="minorBidi"/>
              <w:noProof/>
              <w:szCs w:val="22"/>
              <w:lang w:eastAsia="en-GB"/>
            </w:rPr>
          </w:pPr>
          <w:hyperlink w:anchor="_Toc208935513" w:history="1">
            <w:r w:rsidRPr="00DC537E">
              <w:rPr>
                <w:rStyle w:val="Hyperlink"/>
                <w:rFonts w:cs="Arial"/>
                <w:noProof/>
              </w:rPr>
              <w:t>4.1 Classification Debates</w:t>
            </w:r>
            <w:r w:rsidRPr="00DC537E">
              <w:rPr>
                <w:noProof/>
                <w:webHidden/>
              </w:rPr>
              <w:tab/>
            </w:r>
            <w:r w:rsidRPr="00DC537E">
              <w:rPr>
                <w:noProof/>
                <w:webHidden/>
              </w:rPr>
              <w:fldChar w:fldCharType="begin"/>
            </w:r>
            <w:r w:rsidRPr="00DC537E">
              <w:rPr>
                <w:noProof/>
                <w:webHidden/>
              </w:rPr>
              <w:instrText xml:space="preserve"> PAGEREF _Toc208935513 \h </w:instrText>
            </w:r>
            <w:r w:rsidRPr="00DC537E">
              <w:rPr>
                <w:noProof/>
                <w:webHidden/>
              </w:rPr>
            </w:r>
            <w:r w:rsidRPr="00DC537E">
              <w:rPr>
                <w:noProof/>
                <w:webHidden/>
              </w:rPr>
              <w:fldChar w:fldCharType="separate"/>
            </w:r>
            <w:r w:rsidRPr="00DC537E">
              <w:rPr>
                <w:noProof/>
                <w:webHidden/>
              </w:rPr>
              <w:t>7</w:t>
            </w:r>
            <w:r w:rsidRPr="00DC537E">
              <w:rPr>
                <w:noProof/>
                <w:webHidden/>
              </w:rPr>
              <w:fldChar w:fldCharType="end"/>
            </w:r>
          </w:hyperlink>
        </w:p>
        <w:p w14:paraId="35E563F9" w14:textId="77777777" w:rsidR="001E48D4" w:rsidRPr="00DC537E" w:rsidRDefault="001E48D4" w:rsidP="00DC537E">
          <w:pPr>
            <w:pStyle w:val="TOC2"/>
            <w:tabs>
              <w:tab w:val="right" w:leader="dot" w:pos="9016"/>
            </w:tabs>
            <w:spacing w:beforeAutospacing="0" w:after="0" w:afterAutospacing="0"/>
            <w:rPr>
              <w:rFonts w:asciiTheme="minorHAnsi" w:eastAsiaTheme="minorEastAsia" w:hAnsiTheme="minorHAnsi" w:cstheme="minorBidi"/>
              <w:noProof/>
              <w:szCs w:val="22"/>
              <w:lang w:eastAsia="en-GB"/>
            </w:rPr>
          </w:pPr>
          <w:hyperlink w:anchor="_Toc208935514" w:history="1">
            <w:r w:rsidRPr="00DC537E">
              <w:rPr>
                <w:rStyle w:val="Hyperlink"/>
                <w:rFonts w:cs="Arial"/>
                <w:noProof/>
              </w:rPr>
              <w:t>4.2 Role of Neurodivergence</w:t>
            </w:r>
            <w:r w:rsidRPr="00DC537E">
              <w:rPr>
                <w:noProof/>
                <w:webHidden/>
              </w:rPr>
              <w:tab/>
            </w:r>
            <w:r w:rsidRPr="00DC537E">
              <w:rPr>
                <w:noProof/>
                <w:webHidden/>
              </w:rPr>
              <w:fldChar w:fldCharType="begin"/>
            </w:r>
            <w:r w:rsidRPr="00DC537E">
              <w:rPr>
                <w:noProof/>
                <w:webHidden/>
              </w:rPr>
              <w:instrText xml:space="preserve"> PAGEREF _Toc208935514 \h </w:instrText>
            </w:r>
            <w:r w:rsidRPr="00DC537E">
              <w:rPr>
                <w:noProof/>
                <w:webHidden/>
              </w:rPr>
            </w:r>
            <w:r w:rsidRPr="00DC537E">
              <w:rPr>
                <w:noProof/>
                <w:webHidden/>
              </w:rPr>
              <w:fldChar w:fldCharType="separate"/>
            </w:r>
            <w:r w:rsidRPr="00DC537E">
              <w:rPr>
                <w:noProof/>
                <w:webHidden/>
              </w:rPr>
              <w:t>8</w:t>
            </w:r>
            <w:r w:rsidRPr="00DC537E">
              <w:rPr>
                <w:noProof/>
                <w:webHidden/>
              </w:rPr>
              <w:fldChar w:fldCharType="end"/>
            </w:r>
          </w:hyperlink>
        </w:p>
        <w:p w14:paraId="3C39268B" w14:textId="77777777" w:rsidR="001E48D4" w:rsidRPr="00DC537E" w:rsidRDefault="001E48D4" w:rsidP="00DC537E">
          <w:pPr>
            <w:pStyle w:val="TOC2"/>
            <w:tabs>
              <w:tab w:val="right" w:leader="dot" w:pos="9016"/>
            </w:tabs>
            <w:spacing w:beforeAutospacing="0" w:after="0" w:afterAutospacing="0"/>
            <w:rPr>
              <w:rFonts w:asciiTheme="minorHAnsi" w:eastAsiaTheme="minorEastAsia" w:hAnsiTheme="minorHAnsi" w:cstheme="minorBidi"/>
              <w:noProof/>
              <w:szCs w:val="22"/>
              <w:lang w:eastAsia="en-GB"/>
            </w:rPr>
          </w:pPr>
          <w:hyperlink w:anchor="_Toc208935515" w:history="1">
            <w:r w:rsidRPr="00DC537E">
              <w:rPr>
                <w:rStyle w:val="Hyperlink"/>
                <w:rFonts w:cs="Arial"/>
                <w:noProof/>
              </w:rPr>
              <w:t>4.3 Relevant Reclassification issues</w:t>
            </w:r>
            <w:r w:rsidRPr="00DC537E">
              <w:rPr>
                <w:noProof/>
                <w:webHidden/>
              </w:rPr>
              <w:tab/>
            </w:r>
            <w:r w:rsidRPr="00DC537E">
              <w:rPr>
                <w:noProof/>
                <w:webHidden/>
              </w:rPr>
              <w:fldChar w:fldCharType="begin"/>
            </w:r>
            <w:r w:rsidRPr="00DC537E">
              <w:rPr>
                <w:noProof/>
                <w:webHidden/>
              </w:rPr>
              <w:instrText xml:space="preserve"> PAGEREF _Toc208935515 \h </w:instrText>
            </w:r>
            <w:r w:rsidRPr="00DC537E">
              <w:rPr>
                <w:noProof/>
                <w:webHidden/>
              </w:rPr>
            </w:r>
            <w:r w:rsidRPr="00DC537E">
              <w:rPr>
                <w:noProof/>
                <w:webHidden/>
              </w:rPr>
              <w:fldChar w:fldCharType="separate"/>
            </w:r>
            <w:r w:rsidRPr="00DC537E">
              <w:rPr>
                <w:noProof/>
                <w:webHidden/>
              </w:rPr>
              <w:t>9</w:t>
            </w:r>
            <w:r w:rsidRPr="00DC537E">
              <w:rPr>
                <w:noProof/>
                <w:webHidden/>
              </w:rPr>
              <w:fldChar w:fldCharType="end"/>
            </w:r>
          </w:hyperlink>
        </w:p>
        <w:p w14:paraId="7788693A" w14:textId="77777777" w:rsidR="001E48D4" w:rsidRPr="00DC537E" w:rsidRDefault="001E48D4" w:rsidP="00DC537E">
          <w:pPr>
            <w:pStyle w:val="TOC2"/>
            <w:tabs>
              <w:tab w:val="right" w:leader="dot" w:pos="9016"/>
            </w:tabs>
            <w:spacing w:beforeAutospacing="0" w:after="0" w:afterAutospacing="0"/>
            <w:rPr>
              <w:rFonts w:asciiTheme="minorHAnsi" w:eastAsiaTheme="minorEastAsia" w:hAnsiTheme="minorHAnsi" w:cstheme="minorBidi"/>
              <w:noProof/>
              <w:szCs w:val="22"/>
              <w:lang w:eastAsia="en-GB"/>
            </w:rPr>
          </w:pPr>
          <w:hyperlink w:anchor="_Toc208935516" w:history="1">
            <w:r w:rsidRPr="00DC537E">
              <w:rPr>
                <w:rStyle w:val="Hyperlink"/>
                <w:rFonts w:cs="Arial"/>
                <w:noProof/>
                <w:shd w:val="clear" w:color="auto" w:fill="FFFFFF"/>
              </w:rPr>
              <w:t>4.4 Impact on Practice and Policy</w:t>
            </w:r>
            <w:r w:rsidRPr="00DC537E">
              <w:rPr>
                <w:noProof/>
                <w:webHidden/>
              </w:rPr>
              <w:tab/>
            </w:r>
            <w:r w:rsidRPr="00DC537E">
              <w:rPr>
                <w:noProof/>
                <w:webHidden/>
              </w:rPr>
              <w:fldChar w:fldCharType="begin"/>
            </w:r>
            <w:r w:rsidRPr="00DC537E">
              <w:rPr>
                <w:noProof/>
                <w:webHidden/>
              </w:rPr>
              <w:instrText xml:space="preserve"> PAGEREF _Toc208935516 \h </w:instrText>
            </w:r>
            <w:r w:rsidRPr="00DC537E">
              <w:rPr>
                <w:noProof/>
                <w:webHidden/>
              </w:rPr>
            </w:r>
            <w:r w:rsidRPr="00DC537E">
              <w:rPr>
                <w:noProof/>
                <w:webHidden/>
              </w:rPr>
              <w:fldChar w:fldCharType="separate"/>
            </w:r>
            <w:r w:rsidRPr="00DC537E">
              <w:rPr>
                <w:noProof/>
                <w:webHidden/>
              </w:rPr>
              <w:t>10</w:t>
            </w:r>
            <w:r w:rsidRPr="00DC537E">
              <w:rPr>
                <w:noProof/>
                <w:webHidden/>
              </w:rPr>
              <w:fldChar w:fldCharType="end"/>
            </w:r>
          </w:hyperlink>
        </w:p>
        <w:p w14:paraId="4739C1E4" w14:textId="77777777" w:rsidR="001E48D4" w:rsidRPr="00DC537E" w:rsidRDefault="001E48D4" w:rsidP="00DC537E">
          <w:pPr>
            <w:pStyle w:val="TOC2"/>
            <w:tabs>
              <w:tab w:val="right" w:leader="dot" w:pos="9016"/>
            </w:tabs>
            <w:spacing w:beforeAutospacing="0" w:after="0" w:afterAutospacing="0"/>
            <w:rPr>
              <w:rFonts w:asciiTheme="minorHAnsi" w:eastAsiaTheme="minorEastAsia" w:hAnsiTheme="minorHAnsi" w:cstheme="minorBidi"/>
              <w:noProof/>
              <w:szCs w:val="22"/>
              <w:lang w:eastAsia="en-GB"/>
            </w:rPr>
          </w:pPr>
          <w:hyperlink w:anchor="_Toc208935517" w:history="1">
            <w:r w:rsidRPr="00DC537E">
              <w:rPr>
                <w:rStyle w:val="Hyperlink"/>
                <w:rFonts w:cs="Arial"/>
                <w:noProof/>
              </w:rPr>
              <w:t>4.5 Critical Assessment</w:t>
            </w:r>
            <w:r w:rsidRPr="00DC537E">
              <w:rPr>
                <w:noProof/>
                <w:webHidden/>
              </w:rPr>
              <w:tab/>
            </w:r>
            <w:r w:rsidRPr="00DC537E">
              <w:rPr>
                <w:noProof/>
                <w:webHidden/>
              </w:rPr>
              <w:fldChar w:fldCharType="begin"/>
            </w:r>
            <w:r w:rsidRPr="00DC537E">
              <w:rPr>
                <w:noProof/>
                <w:webHidden/>
              </w:rPr>
              <w:instrText xml:space="preserve"> PAGEREF _Toc208935517 \h </w:instrText>
            </w:r>
            <w:r w:rsidRPr="00DC537E">
              <w:rPr>
                <w:noProof/>
                <w:webHidden/>
              </w:rPr>
            </w:r>
            <w:r w:rsidRPr="00DC537E">
              <w:rPr>
                <w:noProof/>
                <w:webHidden/>
              </w:rPr>
              <w:fldChar w:fldCharType="separate"/>
            </w:r>
            <w:r w:rsidRPr="00DC537E">
              <w:rPr>
                <w:noProof/>
                <w:webHidden/>
              </w:rPr>
              <w:t>10</w:t>
            </w:r>
            <w:r w:rsidRPr="00DC537E">
              <w:rPr>
                <w:noProof/>
                <w:webHidden/>
              </w:rPr>
              <w:fldChar w:fldCharType="end"/>
            </w:r>
          </w:hyperlink>
        </w:p>
        <w:p w14:paraId="0DD0305B" w14:textId="77777777" w:rsidR="001E48D4" w:rsidRPr="00DC537E" w:rsidRDefault="001E48D4" w:rsidP="00DC537E">
          <w:pPr>
            <w:pStyle w:val="TOC1"/>
            <w:tabs>
              <w:tab w:val="right" w:leader="dot" w:pos="9016"/>
            </w:tabs>
            <w:spacing w:beforeAutospacing="0" w:after="0" w:afterAutospacing="0"/>
            <w:rPr>
              <w:rFonts w:asciiTheme="minorHAnsi" w:eastAsiaTheme="minorEastAsia" w:hAnsiTheme="minorHAnsi" w:cstheme="minorBidi"/>
              <w:noProof/>
              <w:szCs w:val="22"/>
              <w:lang w:eastAsia="en-GB"/>
            </w:rPr>
          </w:pPr>
          <w:hyperlink w:anchor="_Toc208935518" w:history="1">
            <w:r w:rsidRPr="00DC537E">
              <w:rPr>
                <w:rStyle w:val="Hyperlink"/>
                <w:rFonts w:cs="Arial"/>
                <w:noProof/>
              </w:rPr>
              <w:t>5. Recommendations</w:t>
            </w:r>
            <w:r w:rsidRPr="00DC537E">
              <w:rPr>
                <w:noProof/>
                <w:webHidden/>
              </w:rPr>
              <w:tab/>
            </w:r>
            <w:r w:rsidRPr="00DC537E">
              <w:rPr>
                <w:noProof/>
                <w:webHidden/>
              </w:rPr>
              <w:fldChar w:fldCharType="begin"/>
            </w:r>
            <w:r w:rsidRPr="00DC537E">
              <w:rPr>
                <w:noProof/>
                <w:webHidden/>
              </w:rPr>
              <w:instrText xml:space="preserve"> PAGEREF _Toc208935518 \h </w:instrText>
            </w:r>
            <w:r w:rsidRPr="00DC537E">
              <w:rPr>
                <w:noProof/>
                <w:webHidden/>
              </w:rPr>
            </w:r>
            <w:r w:rsidRPr="00DC537E">
              <w:rPr>
                <w:noProof/>
                <w:webHidden/>
              </w:rPr>
              <w:fldChar w:fldCharType="separate"/>
            </w:r>
            <w:r w:rsidRPr="00DC537E">
              <w:rPr>
                <w:noProof/>
                <w:webHidden/>
              </w:rPr>
              <w:t>11</w:t>
            </w:r>
            <w:r w:rsidRPr="00DC537E">
              <w:rPr>
                <w:noProof/>
                <w:webHidden/>
              </w:rPr>
              <w:fldChar w:fldCharType="end"/>
            </w:r>
          </w:hyperlink>
        </w:p>
        <w:p w14:paraId="06DBD573" w14:textId="77777777" w:rsidR="001E48D4" w:rsidRPr="00DC537E" w:rsidRDefault="001E48D4" w:rsidP="00DC537E">
          <w:pPr>
            <w:pStyle w:val="TOC2"/>
            <w:tabs>
              <w:tab w:val="right" w:leader="dot" w:pos="9016"/>
            </w:tabs>
            <w:spacing w:beforeAutospacing="0" w:after="0" w:afterAutospacing="0"/>
            <w:rPr>
              <w:rFonts w:asciiTheme="minorHAnsi" w:eastAsiaTheme="minorEastAsia" w:hAnsiTheme="minorHAnsi" w:cstheme="minorBidi"/>
              <w:noProof/>
              <w:szCs w:val="22"/>
              <w:lang w:eastAsia="en-GB"/>
            </w:rPr>
          </w:pPr>
          <w:hyperlink w:anchor="_Toc208935519" w:history="1">
            <w:r w:rsidRPr="00DC537E">
              <w:rPr>
                <w:rStyle w:val="Hyperlink"/>
                <w:rFonts w:cs="Arial"/>
                <w:noProof/>
              </w:rPr>
              <w:t>5.1 Recommendations concerning the Feeding or eating disorders</w:t>
            </w:r>
            <w:r w:rsidRPr="00DC537E">
              <w:rPr>
                <w:noProof/>
                <w:webHidden/>
              </w:rPr>
              <w:tab/>
            </w:r>
            <w:r w:rsidRPr="00DC537E">
              <w:rPr>
                <w:noProof/>
                <w:webHidden/>
              </w:rPr>
              <w:fldChar w:fldCharType="begin"/>
            </w:r>
            <w:r w:rsidRPr="00DC537E">
              <w:rPr>
                <w:noProof/>
                <w:webHidden/>
              </w:rPr>
              <w:instrText xml:space="preserve"> PAGEREF _Toc208935519 \h </w:instrText>
            </w:r>
            <w:r w:rsidRPr="00DC537E">
              <w:rPr>
                <w:noProof/>
                <w:webHidden/>
              </w:rPr>
            </w:r>
            <w:r w:rsidRPr="00DC537E">
              <w:rPr>
                <w:noProof/>
                <w:webHidden/>
              </w:rPr>
              <w:fldChar w:fldCharType="separate"/>
            </w:r>
            <w:r w:rsidRPr="00DC537E">
              <w:rPr>
                <w:noProof/>
                <w:webHidden/>
              </w:rPr>
              <w:t>11</w:t>
            </w:r>
            <w:r w:rsidRPr="00DC537E">
              <w:rPr>
                <w:noProof/>
                <w:webHidden/>
              </w:rPr>
              <w:fldChar w:fldCharType="end"/>
            </w:r>
          </w:hyperlink>
        </w:p>
        <w:p w14:paraId="3A984DB5" w14:textId="77777777" w:rsidR="001E48D4" w:rsidRPr="00DC537E" w:rsidRDefault="001E48D4" w:rsidP="00DC537E">
          <w:pPr>
            <w:pStyle w:val="TOC2"/>
            <w:tabs>
              <w:tab w:val="right" w:leader="dot" w:pos="9016"/>
            </w:tabs>
            <w:spacing w:beforeAutospacing="0" w:after="0" w:afterAutospacing="0"/>
            <w:rPr>
              <w:rFonts w:asciiTheme="minorHAnsi" w:eastAsiaTheme="minorEastAsia" w:hAnsiTheme="minorHAnsi" w:cstheme="minorBidi"/>
              <w:noProof/>
              <w:szCs w:val="22"/>
              <w:lang w:eastAsia="en-GB"/>
            </w:rPr>
          </w:pPr>
          <w:hyperlink w:anchor="_Toc208935520" w:history="1">
            <w:r w:rsidRPr="00DC537E">
              <w:rPr>
                <w:rStyle w:val="Hyperlink"/>
                <w:rFonts w:cs="Arial"/>
                <w:noProof/>
              </w:rPr>
              <w:t>5.2 Implication: Practice, policy and Research</w:t>
            </w:r>
            <w:r w:rsidRPr="00DC537E">
              <w:rPr>
                <w:noProof/>
                <w:webHidden/>
              </w:rPr>
              <w:tab/>
            </w:r>
            <w:r w:rsidRPr="00DC537E">
              <w:rPr>
                <w:noProof/>
                <w:webHidden/>
              </w:rPr>
              <w:fldChar w:fldCharType="begin"/>
            </w:r>
            <w:r w:rsidRPr="00DC537E">
              <w:rPr>
                <w:noProof/>
                <w:webHidden/>
              </w:rPr>
              <w:instrText xml:space="preserve"> PAGEREF _Toc208935520 \h </w:instrText>
            </w:r>
            <w:r w:rsidRPr="00DC537E">
              <w:rPr>
                <w:noProof/>
                <w:webHidden/>
              </w:rPr>
            </w:r>
            <w:r w:rsidRPr="00DC537E">
              <w:rPr>
                <w:noProof/>
                <w:webHidden/>
              </w:rPr>
              <w:fldChar w:fldCharType="separate"/>
            </w:r>
            <w:r w:rsidRPr="00DC537E">
              <w:rPr>
                <w:noProof/>
                <w:webHidden/>
              </w:rPr>
              <w:t>11</w:t>
            </w:r>
            <w:r w:rsidRPr="00DC537E">
              <w:rPr>
                <w:noProof/>
                <w:webHidden/>
              </w:rPr>
              <w:fldChar w:fldCharType="end"/>
            </w:r>
          </w:hyperlink>
        </w:p>
        <w:p w14:paraId="7FE9E3AE" w14:textId="77777777" w:rsidR="001E48D4" w:rsidRPr="00DC537E" w:rsidRDefault="001E48D4" w:rsidP="00DC537E">
          <w:pPr>
            <w:pStyle w:val="TOC1"/>
            <w:tabs>
              <w:tab w:val="right" w:leader="dot" w:pos="9016"/>
            </w:tabs>
            <w:spacing w:beforeAutospacing="0" w:after="0" w:afterAutospacing="0"/>
            <w:rPr>
              <w:rFonts w:asciiTheme="minorHAnsi" w:eastAsiaTheme="minorEastAsia" w:hAnsiTheme="minorHAnsi" w:cstheme="minorBidi"/>
              <w:noProof/>
              <w:szCs w:val="22"/>
              <w:lang w:eastAsia="en-GB"/>
            </w:rPr>
          </w:pPr>
          <w:hyperlink w:anchor="_Toc208935521" w:history="1">
            <w:r w:rsidRPr="00DC537E">
              <w:rPr>
                <w:rStyle w:val="Hyperlink"/>
                <w:rFonts w:cs="Arial"/>
                <w:noProof/>
              </w:rPr>
              <w:t>6. Conclusion</w:t>
            </w:r>
            <w:r w:rsidRPr="00DC537E">
              <w:rPr>
                <w:noProof/>
                <w:webHidden/>
              </w:rPr>
              <w:tab/>
            </w:r>
            <w:r w:rsidRPr="00DC537E">
              <w:rPr>
                <w:noProof/>
                <w:webHidden/>
              </w:rPr>
              <w:fldChar w:fldCharType="begin"/>
            </w:r>
            <w:r w:rsidRPr="00DC537E">
              <w:rPr>
                <w:noProof/>
                <w:webHidden/>
              </w:rPr>
              <w:instrText xml:space="preserve"> PAGEREF _Toc208935521 \h </w:instrText>
            </w:r>
            <w:r w:rsidRPr="00DC537E">
              <w:rPr>
                <w:noProof/>
                <w:webHidden/>
              </w:rPr>
            </w:r>
            <w:r w:rsidRPr="00DC537E">
              <w:rPr>
                <w:noProof/>
                <w:webHidden/>
              </w:rPr>
              <w:fldChar w:fldCharType="separate"/>
            </w:r>
            <w:r w:rsidRPr="00DC537E">
              <w:rPr>
                <w:noProof/>
                <w:webHidden/>
              </w:rPr>
              <w:t>13</w:t>
            </w:r>
            <w:r w:rsidRPr="00DC537E">
              <w:rPr>
                <w:noProof/>
                <w:webHidden/>
              </w:rPr>
              <w:fldChar w:fldCharType="end"/>
            </w:r>
          </w:hyperlink>
        </w:p>
        <w:p w14:paraId="4AD07CA0" w14:textId="77777777" w:rsidR="001E48D4" w:rsidRPr="00DC537E" w:rsidRDefault="001E48D4" w:rsidP="00DC537E">
          <w:pPr>
            <w:pStyle w:val="TOC1"/>
            <w:tabs>
              <w:tab w:val="right" w:leader="dot" w:pos="9016"/>
            </w:tabs>
            <w:spacing w:beforeAutospacing="0" w:after="0" w:afterAutospacing="0"/>
            <w:rPr>
              <w:rFonts w:asciiTheme="minorHAnsi" w:eastAsiaTheme="minorEastAsia" w:hAnsiTheme="minorHAnsi" w:cstheme="minorBidi"/>
              <w:noProof/>
              <w:szCs w:val="22"/>
              <w:lang w:eastAsia="en-GB"/>
            </w:rPr>
          </w:pPr>
          <w:hyperlink w:anchor="_Toc208935522" w:history="1">
            <w:r w:rsidRPr="00DC537E">
              <w:rPr>
                <w:rStyle w:val="Hyperlink"/>
                <w:rFonts w:cs="Arial"/>
                <w:noProof/>
              </w:rPr>
              <w:t>References</w:t>
            </w:r>
            <w:r w:rsidRPr="00DC537E">
              <w:rPr>
                <w:noProof/>
                <w:webHidden/>
              </w:rPr>
              <w:tab/>
            </w:r>
            <w:r w:rsidRPr="00DC537E">
              <w:rPr>
                <w:noProof/>
                <w:webHidden/>
              </w:rPr>
              <w:fldChar w:fldCharType="begin"/>
            </w:r>
            <w:r w:rsidRPr="00DC537E">
              <w:rPr>
                <w:noProof/>
                <w:webHidden/>
              </w:rPr>
              <w:instrText xml:space="preserve"> PAGEREF _Toc208935522 \h </w:instrText>
            </w:r>
            <w:r w:rsidRPr="00DC537E">
              <w:rPr>
                <w:noProof/>
                <w:webHidden/>
              </w:rPr>
            </w:r>
            <w:r w:rsidRPr="00DC537E">
              <w:rPr>
                <w:noProof/>
                <w:webHidden/>
              </w:rPr>
              <w:fldChar w:fldCharType="separate"/>
            </w:r>
            <w:r w:rsidRPr="00DC537E">
              <w:rPr>
                <w:noProof/>
                <w:webHidden/>
              </w:rPr>
              <w:t>14</w:t>
            </w:r>
            <w:r w:rsidRPr="00DC537E">
              <w:rPr>
                <w:noProof/>
                <w:webHidden/>
              </w:rPr>
              <w:fldChar w:fldCharType="end"/>
            </w:r>
          </w:hyperlink>
        </w:p>
        <w:p w14:paraId="3B49EE0D" w14:textId="77777777" w:rsidR="009C293F" w:rsidRPr="00DC537E" w:rsidRDefault="009C293F" w:rsidP="00DC537E">
          <w:pPr>
            <w:spacing w:beforeAutospacing="0" w:afterAutospacing="0"/>
            <w:rPr>
              <w:rFonts w:cs="Arial"/>
              <w:szCs w:val="22"/>
            </w:rPr>
          </w:pPr>
          <w:r w:rsidRPr="00DC537E">
            <w:rPr>
              <w:rFonts w:cs="Arial"/>
              <w:b/>
              <w:bCs/>
              <w:noProof/>
              <w:szCs w:val="22"/>
            </w:rPr>
            <w:fldChar w:fldCharType="end"/>
          </w:r>
        </w:p>
      </w:sdtContent>
    </w:sdt>
    <w:p w14:paraId="1E3E4017" w14:textId="77777777" w:rsidR="009C293F" w:rsidRPr="00DC537E" w:rsidRDefault="009C293F" w:rsidP="00DC537E">
      <w:pPr>
        <w:spacing w:beforeAutospacing="0" w:afterAutospacing="0"/>
        <w:rPr>
          <w:rFonts w:cs="Arial"/>
          <w:szCs w:val="22"/>
        </w:rPr>
      </w:pPr>
      <w:r w:rsidRPr="00DC537E">
        <w:rPr>
          <w:rFonts w:cs="Arial"/>
          <w:szCs w:val="22"/>
        </w:rPr>
        <w:br w:type="page"/>
      </w:r>
    </w:p>
    <w:p w14:paraId="552D8440" w14:textId="77777777" w:rsidR="009C293F" w:rsidRPr="00DC537E" w:rsidRDefault="009C293F" w:rsidP="00DC537E">
      <w:pPr>
        <w:pStyle w:val="Heading1"/>
        <w:rPr>
          <w:rFonts w:cs="Arial"/>
        </w:rPr>
      </w:pPr>
      <w:bookmarkStart w:id="0" w:name="_Toc208935503"/>
      <w:r w:rsidRPr="00DC537E">
        <w:rPr>
          <w:rFonts w:cs="Arial"/>
        </w:rPr>
        <w:lastRenderedPageBreak/>
        <w:t>1. Introduction</w:t>
      </w:r>
      <w:bookmarkEnd w:id="0"/>
      <w:r w:rsidRPr="00DC537E">
        <w:rPr>
          <w:rFonts w:cs="Arial"/>
        </w:rPr>
        <w:t> </w:t>
      </w:r>
    </w:p>
    <w:p w14:paraId="4E37798B" w14:textId="77777777" w:rsidR="009C293F" w:rsidRPr="00DC537E" w:rsidRDefault="009C293F" w:rsidP="00DC537E">
      <w:pPr>
        <w:rPr>
          <w:rFonts w:cs="Arial"/>
          <w:szCs w:val="22"/>
        </w:rPr>
      </w:pPr>
      <w:r w:rsidRPr="00DC537E">
        <w:rPr>
          <w:rFonts w:cs="Arial"/>
          <w:szCs w:val="22"/>
        </w:rPr>
        <w:t>This report will look at the classification, diagnosis, treatment and rehabilitation of the feeding as well as eating disorders in the ICD-11 context. It will give an elaborate discussion of the diagnostic criteria, terms, and trends of prevalence. Moreover, the purpose of the report will also be critical of conventional treatment methods, examine rehabilitation measures as described by the ICD-11, and determine their efficacy and shortcomings. In such a way, the report will bring out the clinical and systemic difficulties in managing the conditions.</w:t>
      </w:r>
    </w:p>
    <w:p w14:paraId="413EB1B9" w14:textId="77777777" w:rsidR="009C293F" w:rsidRPr="00DC537E" w:rsidRDefault="009C293F" w:rsidP="00DC537E">
      <w:pPr>
        <w:pStyle w:val="Heading1"/>
        <w:rPr>
          <w:rFonts w:cs="Arial"/>
        </w:rPr>
      </w:pPr>
      <w:bookmarkStart w:id="1" w:name="_Toc208935504"/>
      <w:r w:rsidRPr="00DC537E">
        <w:rPr>
          <w:rFonts w:cs="Arial"/>
        </w:rPr>
        <w:t>2. Classification and Diagnosis</w:t>
      </w:r>
      <w:bookmarkEnd w:id="1"/>
      <w:r w:rsidRPr="00DC537E">
        <w:rPr>
          <w:rFonts w:cs="Arial"/>
        </w:rPr>
        <w:t> </w:t>
      </w:r>
    </w:p>
    <w:p w14:paraId="1D34D316" w14:textId="77777777" w:rsidR="009C293F" w:rsidRPr="00DC537E" w:rsidRDefault="009C293F" w:rsidP="00DC537E">
      <w:pPr>
        <w:pStyle w:val="Heading2"/>
        <w:spacing w:line="360" w:lineRule="auto"/>
        <w:rPr>
          <w:rFonts w:cs="Arial"/>
        </w:rPr>
      </w:pPr>
      <w:bookmarkStart w:id="2" w:name="_Toc208935505"/>
      <w:r w:rsidRPr="00DC537E">
        <w:rPr>
          <w:rFonts w:cs="Arial"/>
        </w:rPr>
        <w:t>2.1 Detailed analysis on the Feeding and Eating Disorder</w:t>
      </w:r>
      <w:bookmarkEnd w:id="2"/>
    </w:p>
    <w:p w14:paraId="0E92B468" w14:textId="77777777" w:rsidR="009C293F" w:rsidRPr="00DC537E" w:rsidRDefault="009C293F" w:rsidP="00DC537E">
      <w:pPr>
        <w:rPr>
          <w:rFonts w:cs="Arial"/>
          <w:szCs w:val="22"/>
        </w:rPr>
      </w:pPr>
      <w:r w:rsidRPr="00DC537E">
        <w:rPr>
          <w:rFonts w:cs="Arial"/>
          <w:szCs w:val="22"/>
        </w:rPr>
        <w:t xml:space="preserve">The chosen condition represents the conditions of the feeding and the eating disorders under ICF-11 under Block 6B8, where the separation from the feeding disorders and the eating disorders are mainly observed. The weight/shape concerns such as pica and the shape preoccupation are mainly differentiated through the use of specific terms (INTERNATIONAL CLASSIFICATION OF DISEASES, 2025). The disorders in the block mainly consist of </w:t>
      </w:r>
      <w:r w:rsidRPr="00DC537E">
        <w:rPr>
          <w:rFonts w:cs="Arial"/>
          <w:b/>
          <w:bCs/>
          <w:i/>
          <w:iCs/>
          <w:szCs w:val="22"/>
        </w:rPr>
        <w:t>anorexia nervosa, binge eating disorder, bulimia nervosa and avoidant/restrictive intake disorder</w:t>
      </w:r>
      <w:r w:rsidRPr="00DC537E">
        <w:rPr>
          <w:rFonts w:cs="Arial"/>
          <w:szCs w:val="22"/>
        </w:rPr>
        <w:t>. These are considered to be the leading health and the defined behavioral conditions observed. UK prevalence is estimated to be around 1.25 million people affected with the conditions where the ratio of female and male is around 3:1 (ONS, 2022).</w:t>
      </w:r>
    </w:p>
    <w:p w14:paraId="2D1FC336" w14:textId="77777777" w:rsidR="009C293F" w:rsidRPr="00DC537E" w:rsidRDefault="009C293F" w:rsidP="00DC537E">
      <w:pPr>
        <w:pStyle w:val="Heading2"/>
        <w:spacing w:line="360" w:lineRule="auto"/>
        <w:rPr>
          <w:rFonts w:cs="Arial"/>
        </w:rPr>
      </w:pPr>
      <w:bookmarkStart w:id="3" w:name="_Toc208935506"/>
      <w:r w:rsidRPr="00DC537E">
        <w:rPr>
          <w:rFonts w:cs="Arial"/>
        </w:rPr>
        <w:t>2.2 Diagnostic criteria and process associated with Feeding and Eating Disorder</w:t>
      </w:r>
      <w:bookmarkEnd w:id="3"/>
    </w:p>
    <w:p w14:paraId="3690C8C2" w14:textId="77777777" w:rsidR="009C293F" w:rsidRPr="00DC537E" w:rsidRDefault="009C293F" w:rsidP="00DC537E">
      <w:pPr>
        <w:rPr>
          <w:rFonts w:cs="Arial"/>
          <w:szCs w:val="22"/>
        </w:rPr>
      </w:pPr>
      <w:r w:rsidRPr="00DC537E">
        <w:rPr>
          <w:rFonts w:cs="Arial"/>
          <w:szCs w:val="22"/>
        </w:rPr>
        <w:t xml:space="preserve">Different kinds of the diagnostic processes are mainly involved in the processes of the identification and eradication. The eating disorder rose in England to 24300 in 2020/2021 which is nearly double than that of 2015-2016 (Harbottle, 2023). The application of the key diagnostic processes like </w:t>
      </w:r>
      <w:r w:rsidRPr="00DC537E">
        <w:rPr>
          <w:rFonts w:cs="Arial"/>
          <w:b/>
          <w:bCs/>
          <w:i/>
          <w:iCs/>
          <w:szCs w:val="22"/>
        </w:rPr>
        <w:t xml:space="preserve">anorexia </w:t>
      </w:r>
      <w:r w:rsidR="00E500EC" w:rsidRPr="00DC537E">
        <w:rPr>
          <w:rFonts w:cs="Arial"/>
          <w:b/>
          <w:bCs/>
          <w:i/>
          <w:iCs/>
          <w:szCs w:val="22"/>
        </w:rPr>
        <w:t>nervosa</w:t>
      </w:r>
      <w:r w:rsidR="00E500EC" w:rsidRPr="00DC537E">
        <w:rPr>
          <w:rFonts w:cs="Arial"/>
          <w:i/>
          <w:iCs/>
          <w:szCs w:val="22"/>
        </w:rPr>
        <w:t xml:space="preserve"> </w:t>
      </w:r>
      <w:r w:rsidR="00E500EC" w:rsidRPr="00DC537E">
        <w:rPr>
          <w:rFonts w:cs="Arial"/>
          <w:szCs w:val="22"/>
        </w:rPr>
        <w:t>is</w:t>
      </w:r>
      <w:r w:rsidRPr="00DC537E">
        <w:rPr>
          <w:rFonts w:cs="Arial"/>
          <w:szCs w:val="22"/>
        </w:rPr>
        <w:t xml:space="preserve"> considered to be significantly low weight with BMI lower than 18.5 in adults. On the other hand, the </w:t>
      </w:r>
      <w:r w:rsidRPr="00DC537E">
        <w:rPr>
          <w:rFonts w:cs="Arial"/>
          <w:b/>
          <w:bCs/>
          <w:i/>
          <w:iCs/>
          <w:szCs w:val="22"/>
        </w:rPr>
        <w:t xml:space="preserve">bulimia nervosa </w:t>
      </w:r>
      <w:r w:rsidRPr="00DC537E">
        <w:rPr>
          <w:rFonts w:cs="Arial"/>
          <w:szCs w:val="22"/>
        </w:rPr>
        <w:t xml:space="preserve">represents the eating where the compensatory </w:t>
      </w:r>
      <w:r w:rsidR="00DC537E" w:rsidRPr="00DC537E">
        <w:rPr>
          <w:rFonts w:cs="Arial"/>
          <w:szCs w:val="22"/>
        </w:rPr>
        <w:t>behaviours</w:t>
      </w:r>
      <w:r w:rsidRPr="00DC537E">
        <w:rPr>
          <w:rFonts w:cs="Arial"/>
          <w:szCs w:val="22"/>
        </w:rPr>
        <w:t xml:space="preserve"> (Mohajan and Mohajan, 2023). </w:t>
      </w:r>
    </w:p>
    <w:p w14:paraId="6B7281A8" w14:textId="77777777" w:rsidR="009C293F" w:rsidRPr="00DC537E" w:rsidRDefault="009C293F" w:rsidP="00DC537E">
      <w:pPr>
        <w:spacing w:beforeAutospacing="0" w:afterAutospacing="0"/>
        <w:jc w:val="center"/>
        <w:rPr>
          <w:rFonts w:cs="Arial"/>
          <w:szCs w:val="22"/>
        </w:rPr>
      </w:pPr>
      <w:r w:rsidRPr="00DC537E">
        <w:rPr>
          <w:rFonts w:eastAsia="Arial" w:cs="Arial"/>
          <w:noProof/>
          <w:szCs w:val="22"/>
          <w:lang w:eastAsia="en-GB"/>
        </w:rPr>
        <w:lastRenderedPageBreak/>
        <w:drawing>
          <wp:inline distT="114300" distB="114300" distL="114300" distR="114300" wp14:anchorId="03051424" wp14:editId="74E2513D">
            <wp:extent cx="5731510" cy="3441355"/>
            <wp:effectExtent l="0" t="0" r="2540" b="698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510" cy="3441355"/>
                    </a:xfrm>
                    <a:prstGeom prst="rect">
                      <a:avLst/>
                    </a:prstGeom>
                    <a:ln/>
                  </pic:spPr>
                </pic:pic>
              </a:graphicData>
            </a:graphic>
          </wp:inline>
        </w:drawing>
      </w:r>
    </w:p>
    <w:p w14:paraId="22E4F94D" w14:textId="77777777" w:rsidR="009C293F" w:rsidRPr="00DC537E" w:rsidRDefault="009C293F" w:rsidP="00DC537E">
      <w:pPr>
        <w:spacing w:beforeAutospacing="0" w:afterAutospacing="0"/>
        <w:jc w:val="center"/>
        <w:rPr>
          <w:rFonts w:cs="Arial"/>
          <w:szCs w:val="22"/>
        </w:rPr>
      </w:pPr>
      <w:r w:rsidRPr="00DC537E">
        <w:rPr>
          <w:rFonts w:cs="Arial"/>
          <w:b/>
          <w:bCs/>
          <w:szCs w:val="22"/>
        </w:rPr>
        <w:t>Figure 1: Obesity issues considered in the UK</w:t>
      </w:r>
    </w:p>
    <w:p w14:paraId="453CCEC5" w14:textId="366EBA02" w:rsidR="009C293F" w:rsidRPr="00DC537E" w:rsidRDefault="009C293F" w:rsidP="00DC537E">
      <w:pPr>
        <w:spacing w:beforeAutospacing="0" w:afterAutospacing="0"/>
        <w:jc w:val="center"/>
        <w:rPr>
          <w:rFonts w:cs="Arial"/>
          <w:szCs w:val="22"/>
        </w:rPr>
      </w:pPr>
      <w:r w:rsidRPr="00DC537E">
        <w:rPr>
          <w:rFonts w:cs="Arial"/>
          <w:szCs w:val="22"/>
        </w:rPr>
        <w:t>(Source: Statista, 2025)</w:t>
      </w:r>
      <w:r w:rsidR="007F0C9F">
        <w:rPr>
          <w:rFonts w:cs="Arial"/>
          <w:szCs w:val="22"/>
        </w:rPr>
        <w:t>.</w:t>
      </w:r>
    </w:p>
    <w:p w14:paraId="48D54690" w14:textId="77777777" w:rsidR="009C293F" w:rsidRPr="00DC537E" w:rsidRDefault="009C293F" w:rsidP="00DC537E">
      <w:pPr>
        <w:rPr>
          <w:rFonts w:cs="Arial"/>
          <w:szCs w:val="22"/>
        </w:rPr>
      </w:pPr>
      <w:r w:rsidRPr="00DC537E">
        <w:rPr>
          <w:rFonts w:cs="Arial"/>
          <w:szCs w:val="22"/>
        </w:rPr>
        <w:t xml:space="preserve">It is noted that the overweight prevalence in the UK has reached 43% and 32% among the men and women which is significantly high as compared to previous years (Statista, 2025). Therefore, the problems considering the feeding and eating disorder diagnosis are considered to be not productive as considered in the UK as well. </w:t>
      </w:r>
    </w:p>
    <w:p w14:paraId="3900EAD7" w14:textId="77777777" w:rsidR="009C293F" w:rsidRPr="00DC537E" w:rsidRDefault="009C293F" w:rsidP="00DC537E">
      <w:pPr>
        <w:pStyle w:val="Heading2"/>
        <w:spacing w:line="360" w:lineRule="auto"/>
        <w:rPr>
          <w:rFonts w:cs="Arial"/>
        </w:rPr>
      </w:pPr>
      <w:bookmarkStart w:id="4" w:name="_Toc208935507"/>
      <w:r w:rsidRPr="00DC537E">
        <w:rPr>
          <w:rFonts w:cs="Arial"/>
        </w:rPr>
        <w:t>2.3 Language used in the classification and its justification</w:t>
      </w:r>
      <w:bookmarkEnd w:id="4"/>
    </w:p>
    <w:p w14:paraId="733DFC7D" w14:textId="77777777" w:rsidR="009C293F" w:rsidRPr="00DC537E" w:rsidRDefault="009C293F" w:rsidP="00DC537E">
      <w:pPr>
        <w:rPr>
          <w:rFonts w:cs="Arial"/>
          <w:szCs w:val="22"/>
        </w:rPr>
      </w:pPr>
      <w:r w:rsidRPr="00DC537E">
        <w:rPr>
          <w:rFonts w:cs="Arial"/>
          <w:szCs w:val="22"/>
        </w:rPr>
        <w:t xml:space="preserve">In the case of eating and feeding habit disorientation the term “disorder” is mainly considered as per the ICD-11. Some of the key processes like the stress chronicity, clinical severity and the functional impairment are considered to be the leading causes which are responsible for the same (INTERNATIONAL CLASSIFICATION OF DISEASES, 2025). The application of specific diseases like the purely biological pathology and the psychological and cultural drivers are primarily responsible for the issues. </w:t>
      </w:r>
    </w:p>
    <w:p w14:paraId="2C0C4511" w14:textId="77777777" w:rsidR="009C293F" w:rsidRPr="00DC537E" w:rsidRDefault="009C293F" w:rsidP="00DC537E">
      <w:pPr>
        <w:pStyle w:val="Heading1"/>
        <w:rPr>
          <w:rFonts w:cs="Arial"/>
        </w:rPr>
      </w:pPr>
      <w:bookmarkStart w:id="5" w:name="_Toc208935508"/>
      <w:r w:rsidRPr="00DC537E">
        <w:rPr>
          <w:rFonts w:cs="Arial"/>
        </w:rPr>
        <w:lastRenderedPageBreak/>
        <w:t>3. Treatment and Rehabilitation</w:t>
      </w:r>
      <w:bookmarkEnd w:id="5"/>
      <w:r w:rsidRPr="00DC537E">
        <w:rPr>
          <w:rFonts w:cs="Arial"/>
        </w:rPr>
        <w:t> </w:t>
      </w:r>
    </w:p>
    <w:p w14:paraId="6DC2682D" w14:textId="77777777" w:rsidR="009C293F" w:rsidRPr="00DC537E" w:rsidRDefault="009C293F" w:rsidP="00DC537E">
      <w:pPr>
        <w:pStyle w:val="Heading2"/>
        <w:spacing w:line="360" w:lineRule="auto"/>
        <w:rPr>
          <w:rFonts w:cs="Arial"/>
        </w:rPr>
      </w:pPr>
      <w:bookmarkStart w:id="6" w:name="_Toc208935509"/>
      <w:r w:rsidRPr="00DC537E">
        <w:rPr>
          <w:rFonts w:cs="Arial"/>
        </w:rPr>
        <w:t>3.1 Critical analysis on the treatment approaches for the Feeding and Eating Disorder</w:t>
      </w:r>
      <w:bookmarkEnd w:id="6"/>
    </w:p>
    <w:p w14:paraId="56237FBB" w14:textId="77777777" w:rsidR="009C293F" w:rsidRPr="00DC537E" w:rsidRDefault="009C293F" w:rsidP="00DC537E">
      <w:pPr>
        <w:rPr>
          <w:rFonts w:cs="Arial"/>
          <w:szCs w:val="22"/>
        </w:rPr>
      </w:pPr>
      <w:r w:rsidRPr="00DC537E">
        <w:rPr>
          <w:rFonts w:cs="Arial"/>
          <w:szCs w:val="22"/>
        </w:rPr>
        <w:t xml:space="preserve">The process of the treatment of feeding and eating disorders is complex in nature since the condition is psychological, biological, and social in nature. The ICD-11 acknowledges the implementation of multi-modal interventions which involve nutritional restoration, psychological therapy, and medical monitoring (INTERNATIONAL CLASSIFICATION OF DISEASES, 2025). Practically, evidence-based interventions enforced by the NHS include Cognitive Behavioural Therapy (Enhanced CBT or CBT-E) to address bulimia nervosa and binge eating disorder. The approach assists the individual to deal with distorted beliefs related to food, body image, and control and binge-purge cycles are also minimized. In the case of anorexia nervosa in adolescents, Family-Based Therapy (FBT) is given priority where the parents are put in charge of overseeing the meals and restoring control to the youth overtime (Stewart and Baumann, 2024). </w:t>
      </w:r>
    </w:p>
    <w:p w14:paraId="2AE80CAA" w14:textId="77777777" w:rsidR="009C293F" w:rsidRPr="00DC537E" w:rsidRDefault="009C293F" w:rsidP="00DC537E">
      <w:pPr>
        <w:rPr>
          <w:rFonts w:cs="Arial"/>
          <w:szCs w:val="22"/>
        </w:rPr>
      </w:pPr>
      <w:r w:rsidRPr="00DC537E">
        <w:rPr>
          <w:rFonts w:cs="Arial"/>
          <w:szCs w:val="22"/>
        </w:rPr>
        <w:t>Regardless of these interventions, the results of treatment are inconsistent. Not more than half of the anorexia nervosa patients recover completely, and the recovery rate is estimated at around 46% (Statista, 2025). </w:t>
      </w:r>
    </w:p>
    <w:p w14:paraId="233AA688" w14:textId="77777777" w:rsidR="009C293F" w:rsidRPr="00DC537E" w:rsidRDefault="009C293F" w:rsidP="00DC537E">
      <w:pPr>
        <w:spacing w:beforeAutospacing="0" w:afterAutospacing="0"/>
        <w:jc w:val="center"/>
        <w:rPr>
          <w:rFonts w:cs="Arial"/>
          <w:szCs w:val="22"/>
        </w:rPr>
      </w:pPr>
      <w:r w:rsidRPr="00DC537E">
        <w:rPr>
          <w:rFonts w:eastAsia="Arial" w:cs="Arial"/>
          <w:noProof/>
          <w:szCs w:val="22"/>
          <w:lang w:eastAsia="en-GB"/>
        </w:rPr>
        <w:drawing>
          <wp:inline distT="114300" distB="114300" distL="114300" distR="114300" wp14:anchorId="295378CA" wp14:editId="024DAFE2">
            <wp:extent cx="5731510" cy="3551577"/>
            <wp:effectExtent l="0" t="0" r="254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31510" cy="3551577"/>
                    </a:xfrm>
                    <a:prstGeom prst="rect">
                      <a:avLst/>
                    </a:prstGeom>
                    <a:ln/>
                  </pic:spPr>
                </pic:pic>
              </a:graphicData>
            </a:graphic>
          </wp:inline>
        </w:drawing>
      </w:r>
    </w:p>
    <w:p w14:paraId="1C1381E8" w14:textId="77777777" w:rsidR="009C293F" w:rsidRPr="00DC537E" w:rsidRDefault="009C293F" w:rsidP="00DC537E">
      <w:pPr>
        <w:spacing w:beforeAutospacing="0" w:afterAutospacing="0"/>
        <w:jc w:val="center"/>
        <w:rPr>
          <w:rFonts w:cs="Arial"/>
          <w:szCs w:val="22"/>
        </w:rPr>
      </w:pPr>
      <w:r w:rsidRPr="00DC537E">
        <w:rPr>
          <w:rFonts w:cs="Arial"/>
          <w:b/>
          <w:bCs/>
          <w:szCs w:val="22"/>
        </w:rPr>
        <w:lastRenderedPageBreak/>
        <w:t>Figure 2: Recovery rate of anorexia nervosa and bulimia nervosa</w:t>
      </w:r>
    </w:p>
    <w:p w14:paraId="336B543C" w14:textId="50E2B69E" w:rsidR="009C293F" w:rsidRPr="00DC537E" w:rsidRDefault="009C293F" w:rsidP="00DC537E">
      <w:pPr>
        <w:spacing w:beforeAutospacing="0" w:afterAutospacing="0"/>
        <w:jc w:val="center"/>
        <w:rPr>
          <w:rFonts w:cs="Arial"/>
          <w:szCs w:val="22"/>
        </w:rPr>
      </w:pPr>
      <w:r w:rsidRPr="00DC537E">
        <w:rPr>
          <w:rFonts w:cs="Arial"/>
          <w:szCs w:val="22"/>
        </w:rPr>
        <w:t>(Source: Statista, 2025)</w:t>
      </w:r>
      <w:r w:rsidR="007F0C9F">
        <w:rPr>
          <w:rFonts w:cs="Arial"/>
          <w:szCs w:val="22"/>
        </w:rPr>
        <w:t>.</w:t>
      </w:r>
    </w:p>
    <w:p w14:paraId="378B490E" w14:textId="77777777" w:rsidR="009C293F" w:rsidRDefault="009C293F" w:rsidP="00DC537E">
      <w:pPr>
        <w:rPr>
          <w:rFonts w:cs="Arial"/>
          <w:szCs w:val="22"/>
        </w:rPr>
      </w:pPr>
      <w:r w:rsidRPr="00DC537E">
        <w:rPr>
          <w:rFonts w:cs="Arial"/>
          <w:szCs w:val="22"/>
        </w:rPr>
        <w:t xml:space="preserve">Besides, there was </w:t>
      </w:r>
      <w:r w:rsidR="00DC537E" w:rsidRPr="00DC537E">
        <w:rPr>
          <w:rFonts w:cs="Arial"/>
          <w:szCs w:val="22"/>
        </w:rPr>
        <w:t>an</w:t>
      </w:r>
      <w:r w:rsidRPr="00DC537E">
        <w:rPr>
          <w:rFonts w:cs="Arial"/>
          <w:szCs w:val="22"/>
        </w:rPr>
        <w:t xml:space="preserve"> 84% rise in hospital admissions related to eating disorders in England during the last five years, which is an indication of both increasing prevalence and late detection (Royal College of Psychiatrists, 2022). Instead, early intervention services have proven to yield better results with better remission in situations where the patients undergo specialist treatment within three years of sickness onset. </w:t>
      </w:r>
    </w:p>
    <w:p w14:paraId="757E6DF5" w14:textId="77777777" w:rsidR="00DC537E" w:rsidRPr="00EE1880" w:rsidRDefault="00DC537E" w:rsidP="00DC537E">
      <w:pPr>
        <w:rPr>
          <w:rFonts w:cs="Arial"/>
          <w:szCs w:val="22"/>
        </w:rPr>
      </w:pPr>
      <w:r w:rsidRPr="00EE1880">
        <w:rPr>
          <w:rFonts w:cs="Arial"/>
          <w:szCs w:val="22"/>
        </w:rPr>
        <w:t>The application of the Pharmacological interventions like the Selective Serotonin Reuptake Inhibitors (SSRIs) can also be applied in the treatment process to enhance the operational activities. The controlling of fluoxetine to enhance the binge food intake can be addressed in the process that can reduce the patient enhancement as per the necessities (Muratore and Attia, 2022). Therefore, the process can be adopted to improve the key analysis and the development as per the necessities.</w:t>
      </w:r>
    </w:p>
    <w:p w14:paraId="0E4D41F9" w14:textId="77777777" w:rsidR="009C293F" w:rsidRPr="00DC537E" w:rsidRDefault="009C293F" w:rsidP="00DC537E">
      <w:pPr>
        <w:pStyle w:val="Heading2"/>
        <w:spacing w:line="360" w:lineRule="auto"/>
        <w:rPr>
          <w:rFonts w:cs="Arial"/>
        </w:rPr>
      </w:pPr>
      <w:bookmarkStart w:id="7" w:name="_Toc208935510"/>
      <w:r w:rsidRPr="00DC537E">
        <w:rPr>
          <w:rFonts w:cs="Arial"/>
        </w:rPr>
        <w:t>3.2 Rehabilitation measures and practices included in the ICD-11</w:t>
      </w:r>
      <w:bookmarkEnd w:id="7"/>
    </w:p>
    <w:p w14:paraId="44E8AB93" w14:textId="77777777" w:rsidR="009C293F" w:rsidRPr="00DC537E" w:rsidRDefault="009C293F" w:rsidP="00DC537E">
      <w:pPr>
        <w:rPr>
          <w:rFonts w:cs="Arial"/>
          <w:szCs w:val="22"/>
        </w:rPr>
      </w:pPr>
      <w:r w:rsidRPr="00DC537E">
        <w:rPr>
          <w:rFonts w:cs="Arial"/>
          <w:szCs w:val="22"/>
        </w:rPr>
        <w:t xml:space="preserve">In ICD-11, rehabilitation has been termed as a multi-dimensional process that does not end with acute treatment. It involves nutritional education, protracted psychotherapy, relapse prevention, and back into normal social and occupational functioning. The ICD-11 framework focuses on functional recovery and not on symptom remission, but on holistic approach (International Classification of Diseases, 2025). </w:t>
      </w:r>
    </w:p>
    <w:p w14:paraId="2D0AF022" w14:textId="7F277660" w:rsidR="009C293F" w:rsidRDefault="009C293F" w:rsidP="00DC537E">
      <w:pPr>
        <w:spacing w:before="100" w:after="100"/>
        <w:rPr>
          <w:rFonts w:cs="Arial"/>
          <w:szCs w:val="22"/>
        </w:rPr>
      </w:pPr>
      <w:r w:rsidRPr="00DC537E">
        <w:rPr>
          <w:rFonts w:cs="Arial"/>
          <w:szCs w:val="22"/>
        </w:rPr>
        <w:t xml:space="preserve">Rehabilitation measures in the UK are consistent with these recommendations and place a lot of strain on it. According to NHS statistics, hospitalizations of under-18s with eating disorders have increased since 3,541 cases were recorded in 2015/16 to 7,719 cases in 2021/22 (NHS, 2022). This indicates that the number of patients needing inpatient rehabilitation services is growing. The targets set by the NHS long-term plan were that 95 percent of urgent cases ought to be attended to within a period of one week and 95 percent of routine cases within a period of four weeks (NHS, 2025). Nevertheless, in 2022/23 only 68% of urgent referrals and 78.7% of urgent eating disorder cases started treatment within these timeframes (NHS, 2023). These statistics reveal on one hand limitations of services and </w:t>
      </w:r>
      <w:proofErr w:type="gramStart"/>
      <w:r w:rsidRPr="00DC537E">
        <w:rPr>
          <w:rFonts w:cs="Arial"/>
          <w:szCs w:val="22"/>
        </w:rPr>
        <w:t>needs</w:t>
      </w:r>
      <w:proofErr w:type="gramEnd"/>
      <w:r w:rsidRPr="00DC537E">
        <w:rPr>
          <w:rFonts w:cs="Arial"/>
          <w:szCs w:val="22"/>
        </w:rPr>
        <w:t xml:space="preserve"> that are not met, and on the other hand, the fact that the NHS has identified timeliness as an important rehabilitative </w:t>
      </w:r>
      <w:r w:rsidR="00EE1880" w:rsidRPr="00DC537E">
        <w:rPr>
          <w:rFonts w:cs="Arial"/>
          <w:szCs w:val="22"/>
        </w:rPr>
        <w:t>factor and</w:t>
      </w:r>
      <w:r w:rsidRPr="00DC537E">
        <w:rPr>
          <w:rFonts w:cs="Arial"/>
          <w:szCs w:val="22"/>
        </w:rPr>
        <w:t xml:space="preserve"> has developed clear standards.</w:t>
      </w:r>
    </w:p>
    <w:p w14:paraId="17AB1801" w14:textId="77777777" w:rsidR="00427D98" w:rsidRDefault="00427D98" w:rsidP="00427D98">
      <w:pPr>
        <w:spacing w:before="100" w:after="100"/>
        <w:jc w:val="center"/>
        <w:rPr>
          <w:rFonts w:cs="Arial"/>
          <w:szCs w:val="22"/>
        </w:rPr>
      </w:pPr>
      <w:r>
        <w:rPr>
          <w:rFonts w:cs="Arial"/>
          <w:noProof/>
          <w:szCs w:val="22"/>
          <w:lang w:eastAsia="en-GB"/>
        </w:rPr>
        <w:lastRenderedPageBreak/>
        <w:drawing>
          <wp:inline distT="0" distB="0" distL="0" distR="0" wp14:anchorId="7961240D" wp14:editId="1EB0F459">
            <wp:extent cx="2943225" cy="3200400"/>
            <wp:effectExtent l="0" t="0" r="0" b="190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19C49510" w14:textId="77777777" w:rsidR="00427D98" w:rsidRPr="00427D98" w:rsidRDefault="00427D98" w:rsidP="00427D98">
      <w:pPr>
        <w:spacing w:before="100" w:after="100"/>
        <w:jc w:val="center"/>
        <w:rPr>
          <w:rFonts w:cs="Arial"/>
          <w:b/>
          <w:szCs w:val="22"/>
        </w:rPr>
      </w:pPr>
      <w:r w:rsidRPr="00427D98">
        <w:rPr>
          <w:rFonts w:cs="Arial"/>
          <w:b/>
          <w:szCs w:val="22"/>
        </w:rPr>
        <w:t>Figure 3: DBT and ACT application in rehabilitation</w:t>
      </w:r>
    </w:p>
    <w:p w14:paraId="25975138" w14:textId="77777777" w:rsidR="00427D98" w:rsidRDefault="00427D98" w:rsidP="00427D98">
      <w:pPr>
        <w:spacing w:before="100" w:after="100"/>
        <w:jc w:val="center"/>
        <w:rPr>
          <w:rFonts w:cs="Arial"/>
          <w:szCs w:val="22"/>
        </w:rPr>
      </w:pPr>
      <w:r>
        <w:rPr>
          <w:rFonts w:cs="Arial"/>
          <w:szCs w:val="22"/>
        </w:rPr>
        <w:t>(Source: Author)</w:t>
      </w:r>
    </w:p>
    <w:p w14:paraId="391392FB" w14:textId="77777777" w:rsidR="00DC537E" w:rsidRPr="00EE1880" w:rsidRDefault="00DC537E" w:rsidP="00DC537E">
      <w:pPr>
        <w:spacing w:before="100" w:after="100"/>
        <w:rPr>
          <w:rFonts w:cs="Arial"/>
          <w:szCs w:val="22"/>
        </w:rPr>
      </w:pPr>
      <w:r w:rsidRPr="00EE1880">
        <w:rPr>
          <w:rFonts w:cs="Arial"/>
          <w:szCs w:val="22"/>
        </w:rPr>
        <w:t xml:space="preserve">On the account of rehabilitation psychologically and the nutritionally, analysis of the metabolic complications in the refeeding syndrome can be applied to offer the critical enhancement as per the requirement. Dialectical Behaviour Therapy (DBT) and Acceptance and Commitment Therapy (ACT) are the critical processes that can be incorporated in the methods of applying the change and addressing both the behavioural and the pharmacological absence in the patient medical record (Vogel </w:t>
      </w:r>
      <w:r w:rsidRPr="00EE1880">
        <w:rPr>
          <w:rFonts w:cs="Arial"/>
          <w:i/>
          <w:szCs w:val="22"/>
        </w:rPr>
        <w:t xml:space="preserve">et al., </w:t>
      </w:r>
      <w:r w:rsidRPr="00EE1880">
        <w:rPr>
          <w:rFonts w:cs="Arial"/>
          <w:szCs w:val="22"/>
        </w:rPr>
        <w:t>2021).</w:t>
      </w:r>
    </w:p>
    <w:p w14:paraId="3EFA8585" w14:textId="77777777" w:rsidR="009C293F" w:rsidRPr="00DC537E" w:rsidRDefault="009C293F" w:rsidP="00DC537E">
      <w:pPr>
        <w:pStyle w:val="Heading2"/>
        <w:spacing w:line="360" w:lineRule="auto"/>
        <w:rPr>
          <w:rFonts w:cs="Arial"/>
        </w:rPr>
      </w:pPr>
      <w:bookmarkStart w:id="8" w:name="_Toc208935511"/>
      <w:r w:rsidRPr="00DC537E">
        <w:rPr>
          <w:rFonts w:cs="Arial"/>
        </w:rPr>
        <w:t>3.3 Effectiveness and limitations of the practices</w:t>
      </w:r>
      <w:bookmarkEnd w:id="8"/>
    </w:p>
    <w:p w14:paraId="2BE10D18" w14:textId="77777777" w:rsidR="009C293F" w:rsidRPr="00DC537E" w:rsidRDefault="009C293F" w:rsidP="00DC537E">
      <w:pPr>
        <w:rPr>
          <w:rFonts w:cs="Arial"/>
          <w:szCs w:val="22"/>
        </w:rPr>
      </w:pPr>
      <w:r w:rsidRPr="00DC537E">
        <w:rPr>
          <w:rFonts w:cs="Arial"/>
          <w:szCs w:val="22"/>
        </w:rPr>
        <w:t xml:space="preserve">Rehabilitation has variable efficacy in various eating disorders. CBT-E has demonstrated superior remission rates of over 60% in binge eating disorder, and thus, its usefulness in practice (Vrabel </w:t>
      </w:r>
      <w:r w:rsidRPr="00DC537E">
        <w:rPr>
          <w:rFonts w:cs="Arial"/>
          <w:i/>
          <w:iCs/>
          <w:szCs w:val="22"/>
        </w:rPr>
        <w:t>et al.</w:t>
      </w:r>
      <w:r w:rsidRPr="00DC537E">
        <w:rPr>
          <w:rFonts w:cs="Arial"/>
          <w:szCs w:val="22"/>
        </w:rPr>
        <w:t>, 2024). In a similar fashion, FBT has also been very effective especially among adolescents where it helps in the decrease of relapses as compared to individual therapy. Nevertheless, there is a severe limitation of relapse. The persistent nature of the illness is manifested in up to 20% relapses in one year of discharge in anorexia nervosa.</w:t>
      </w:r>
    </w:p>
    <w:p w14:paraId="73C01A06" w14:textId="77777777" w:rsidR="009C293F" w:rsidRPr="00DC537E" w:rsidRDefault="009C293F" w:rsidP="00DC537E">
      <w:pPr>
        <w:rPr>
          <w:rFonts w:cs="Arial"/>
          <w:szCs w:val="22"/>
        </w:rPr>
      </w:pPr>
      <w:r w:rsidRPr="00DC537E">
        <w:rPr>
          <w:rFonts w:cs="Arial"/>
          <w:szCs w:val="22"/>
        </w:rPr>
        <w:t xml:space="preserve">The prevalence and admissions have gone higher, the funding of eating disorders services has not been kept up. Delays in intervention through long queues, the broken nature of care </w:t>
      </w:r>
      <w:r w:rsidRPr="00DC537E">
        <w:rPr>
          <w:rFonts w:cs="Arial"/>
          <w:szCs w:val="22"/>
        </w:rPr>
        <w:lastRenderedPageBreak/>
        <w:t xml:space="preserve">pathways usually results in the patient having to cut across mental and physical health care services with minimal integration (Noorain </w:t>
      </w:r>
      <w:r w:rsidRPr="00DC537E">
        <w:rPr>
          <w:rFonts w:cs="Arial"/>
          <w:i/>
          <w:iCs/>
          <w:szCs w:val="22"/>
        </w:rPr>
        <w:t>et al.</w:t>
      </w:r>
      <w:r w:rsidRPr="00DC537E">
        <w:rPr>
          <w:rFonts w:cs="Arial"/>
          <w:szCs w:val="22"/>
        </w:rPr>
        <w:t>, 2022).</w:t>
      </w:r>
    </w:p>
    <w:p w14:paraId="2BB33CE3" w14:textId="77777777" w:rsidR="00330FEA" w:rsidRPr="00DC537E" w:rsidRDefault="00330FEA" w:rsidP="00DC537E">
      <w:pPr>
        <w:pStyle w:val="Heading1"/>
        <w:rPr>
          <w:rFonts w:cs="Arial"/>
        </w:rPr>
      </w:pPr>
      <w:bookmarkStart w:id="9" w:name="_Toc208932870"/>
      <w:bookmarkStart w:id="10" w:name="_Toc208935512"/>
      <w:r w:rsidRPr="00DC537E">
        <w:rPr>
          <w:rFonts w:cs="Arial"/>
        </w:rPr>
        <w:t>4. Current Debates and Emerging Issues</w:t>
      </w:r>
      <w:bookmarkEnd w:id="9"/>
      <w:bookmarkEnd w:id="10"/>
      <w:r w:rsidRPr="00DC537E">
        <w:rPr>
          <w:rFonts w:cs="Arial"/>
        </w:rPr>
        <w:t xml:space="preserve"> </w:t>
      </w:r>
    </w:p>
    <w:p w14:paraId="163388BD" w14:textId="77777777" w:rsidR="00330FEA" w:rsidRPr="00DC537E" w:rsidRDefault="00330FEA" w:rsidP="00DC537E">
      <w:pPr>
        <w:pStyle w:val="Heading2"/>
        <w:spacing w:line="360" w:lineRule="auto"/>
        <w:rPr>
          <w:rFonts w:cs="Arial"/>
        </w:rPr>
      </w:pPr>
      <w:bookmarkStart w:id="11" w:name="_Toc208932871"/>
      <w:bookmarkStart w:id="12" w:name="_Toc208935513"/>
      <w:r w:rsidRPr="00DC537E">
        <w:rPr>
          <w:rFonts w:cs="Arial"/>
        </w:rPr>
        <w:t xml:space="preserve">4.1 </w:t>
      </w:r>
      <w:bookmarkEnd w:id="11"/>
      <w:bookmarkEnd w:id="12"/>
      <w:r w:rsidR="001F59BC" w:rsidRPr="00DC537E">
        <w:rPr>
          <w:rFonts w:cs="Arial"/>
        </w:rPr>
        <w:t>Debates surrounding the classification and treatment</w:t>
      </w:r>
    </w:p>
    <w:p w14:paraId="52117DF2" w14:textId="77777777" w:rsidR="00330FEA" w:rsidRPr="00DC537E" w:rsidRDefault="00330FEA" w:rsidP="00DC537E">
      <w:pPr>
        <w:rPr>
          <w:rFonts w:cs="Arial"/>
          <w:color w:val="222222"/>
          <w:szCs w:val="22"/>
        </w:rPr>
      </w:pPr>
      <w:r w:rsidRPr="00DC537E">
        <w:rPr>
          <w:rFonts w:cs="Arial"/>
          <w:b/>
          <w:color w:val="222222"/>
          <w:szCs w:val="22"/>
        </w:rPr>
        <w:t>Inclusion of new diagnoses in ICD-11:</w:t>
      </w:r>
      <w:r w:rsidRPr="00DC537E">
        <w:rPr>
          <w:rFonts w:cs="Arial"/>
          <w:color w:val="222222"/>
          <w:szCs w:val="22"/>
        </w:rPr>
        <w:t xml:space="preserve"> The secondary controversy has been whether Avoidant/Restrictive Food Intake Disorder (ARFID) and Binge Eating Disorder (BED) should be a category of their own under ICD-11 (</w:t>
      </w:r>
      <w:r w:rsidRPr="00DC537E">
        <w:rPr>
          <w:rFonts w:cs="Arial"/>
          <w:szCs w:val="22"/>
        </w:rPr>
        <w:t>Uher and Rutter, 2022)</w:t>
      </w:r>
      <w:r w:rsidRPr="00DC537E">
        <w:rPr>
          <w:rFonts w:cs="Arial"/>
          <w:color w:val="222222"/>
          <w:szCs w:val="22"/>
        </w:rPr>
        <w:t xml:space="preserve">. </w:t>
      </w:r>
    </w:p>
    <w:p w14:paraId="04198B1A" w14:textId="77777777" w:rsidR="00330FEA" w:rsidRPr="00DC537E" w:rsidRDefault="00330FEA" w:rsidP="00DC537E">
      <w:pPr>
        <w:rPr>
          <w:rFonts w:cs="Arial"/>
          <w:color w:val="222222"/>
          <w:szCs w:val="22"/>
        </w:rPr>
      </w:pPr>
      <w:r w:rsidRPr="00DC537E">
        <w:rPr>
          <w:rFonts w:cs="Arial"/>
          <w:b/>
          <w:color w:val="222222"/>
          <w:szCs w:val="22"/>
        </w:rPr>
        <w:t>Thresholds, severity qualifiers, and cultural/contextual factors</w:t>
      </w:r>
      <w:r w:rsidRPr="00DC537E">
        <w:rPr>
          <w:rFonts w:cs="Arial"/>
          <w:color w:val="222222"/>
          <w:szCs w:val="22"/>
        </w:rPr>
        <w:t>: There is disagreement on how strict diagnostic criteria should be (e.g. how low the weight should be for anorexia nervosa), about amenorrhoea status (which ICD-11 excludes), on how often behaviour should happen, and how cultural or developmental variation should be handled (</w:t>
      </w:r>
      <w:r w:rsidRPr="00DC537E">
        <w:rPr>
          <w:rFonts w:cs="Arial"/>
          <w:szCs w:val="22"/>
        </w:rPr>
        <w:t>Shetty, 2012)</w:t>
      </w:r>
      <w:r w:rsidRPr="00DC537E">
        <w:rPr>
          <w:rFonts w:cs="Arial"/>
          <w:color w:val="222222"/>
          <w:szCs w:val="22"/>
        </w:rPr>
        <w:t>.</w:t>
      </w:r>
    </w:p>
    <w:p w14:paraId="62FA2448" w14:textId="77777777" w:rsidR="00330FEA" w:rsidRPr="00DC537E" w:rsidRDefault="00330FEA" w:rsidP="00DC537E">
      <w:pPr>
        <w:pStyle w:val="Heading2"/>
        <w:spacing w:line="360" w:lineRule="auto"/>
        <w:rPr>
          <w:rFonts w:cs="Arial"/>
        </w:rPr>
      </w:pPr>
      <w:bookmarkStart w:id="13" w:name="_Toc208932872"/>
      <w:bookmarkStart w:id="14" w:name="_Toc208935514"/>
      <w:r w:rsidRPr="00DC537E">
        <w:rPr>
          <w:rFonts w:cs="Arial"/>
        </w:rPr>
        <w:t>4.2 Role of Neurodivergence</w:t>
      </w:r>
      <w:bookmarkEnd w:id="13"/>
      <w:bookmarkEnd w:id="14"/>
      <w:r w:rsidR="001F59BC" w:rsidRPr="00DC537E">
        <w:rPr>
          <w:rFonts w:cs="Arial"/>
        </w:rPr>
        <w:t xml:space="preserve"> and </w:t>
      </w:r>
      <w:bookmarkStart w:id="15" w:name="_Toc208932873"/>
      <w:bookmarkStart w:id="16" w:name="_Toc208935515"/>
      <w:r w:rsidR="001F59BC" w:rsidRPr="00DC537E">
        <w:rPr>
          <w:rFonts w:cs="Arial"/>
        </w:rPr>
        <w:t>Relevant Reclassification issues</w:t>
      </w:r>
      <w:bookmarkEnd w:id="15"/>
      <w:bookmarkEnd w:id="16"/>
      <w:r w:rsidR="001F59BC" w:rsidRPr="00DC537E">
        <w:rPr>
          <w:rFonts w:cs="Arial"/>
        </w:rPr>
        <w:t xml:space="preserve"> </w:t>
      </w:r>
    </w:p>
    <w:p w14:paraId="314ED512" w14:textId="77777777" w:rsidR="001F59BC" w:rsidRPr="00DC537E" w:rsidRDefault="00330FEA" w:rsidP="00DC537E">
      <w:pPr>
        <w:rPr>
          <w:rFonts w:cs="Arial"/>
          <w:b/>
          <w:color w:val="222222"/>
        </w:rPr>
      </w:pPr>
      <w:r w:rsidRPr="00DC537E">
        <w:rPr>
          <w:rFonts w:cs="Arial"/>
          <w:b/>
          <w:color w:val="222222"/>
          <w:szCs w:val="22"/>
        </w:rPr>
        <w:t>Prevalence and Co-occurrence:</w:t>
      </w:r>
      <w:r w:rsidRPr="00DC537E">
        <w:rPr>
          <w:rFonts w:cs="Arial"/>
          <w:szCs w:val="22"/>
        </w:rPr>
        <w:t xml:space="preserve"> </w:t>
      </w:r>
      <w:r w:rsidRPr="00DC537E">
        <w:rPr>
          <w:rFonts w:cs="Arial"/>
          <w:color w:val="222222"/>
          <w:szCs w:val="22"/>
        </w:rPr>
        <w:t>UK evidence currently presents comorbidity between eating disorders and neurodivergent conditions (with autism spectrum disorder (ASD) and ADHD as especially relevant).</w:t>
      </w:r>
      <w:r w:rsidR="001F59BC" w:rsidRPr="00DC537E">
        <w:rPr>
          <w:rFonts w:cs="Arial"/>
          <w:color w:val="222222"/>
          <w:szCs w:val="22"/>
        </w:rPr>
        <w:t xml:space="preserve"> </w:t>
      </w:r>
      <w:r w:rsidR="001F59BC" w:rsidRPr="00DC537E">
        <w:rPr>
          <w:rFonts w:cs="Arial"/>
          <w:b/>
          <w:color w:val="222222"/>
          <w:szCs w:val="22"/>
        </w:rPr>
        <w:t xml:space="preserve">For example, </w:t>
      </w:r>
      <w:r w:rsidR="001F59BC" w:rsidRPr="00DC537E">
        <w:rPr>
          <w:rFonts w:cs="Arial"/>
          <w:color w:val="222222"/>
        </w:rPr>
        <w:t>in populations of anorexia nervosa, research records that its patients, 20-40 percent, are also autistic (research.co.uk, 2025).</w:t>
      </w:r>
    </w:p>
    <w:p w14:paraId="3850D122" w14:textId="77777777" w:rsidR="00330FEA" w:rsidRPr="00DC537E" w:rsidRDefault="00330FEA" w:rsidP="00DC537E">
      <w:pPr>
        <w:rPr>
          <w:rFonts w:cs="Arial"/>
          <w:color w:val="222222"/>
          <w:szCs w:val="22"/>
        </w:rPr>
      </w:pPr>
      <w:r w:rsidRPr="00DC537E">
        <w:rPr>
          <w:rFonts w:cs="Arial"/>
          <w:b/>
          <w:color w:val="222222"/>
          <w:szCs w:val="22"/>
        </w:rPr>
        <w:t>Clinical Presentation Differences:</w:t>
      </w:r>
      <w:r w:rsidRPr="00DC537E">
        <w:rPr>
          <w:rFonts w:cs="Arial"/>
          <w:color w:val="222222"/>
          <w:szCs w:val="22"/>
        </w:rPr>
        <w:t xml:space="preserve"> Neurodivergent individuals manifest differently, such as avoidance of food may be occasioned by sensory hypersensitivity, fear of a bad outcome (vomiting, c</w:t>
      </w:r>
      <w:r w:rsidR="001F59BC" w:rsidRPr="00DC537E">
        <w:rPr>
          <w:rFonts w:cs="Arial"/>
          <w:color w:val="222222"/>
          <w:szCs w:val="22"/>
        </w:rPr>
        <w:t xml:space="preserve">hoking), or no interest in food </w:t>
      </w:r>
      <w:r w:rsidRPr="00DC537E">
        <w:rPr>
          <w:rFonts w:cs="Arial"/>
          <w:color w:val="222222"/>
          <w:szCs w:val="22"/>
        </w:rPr>
        <w:t>(</w:t>
      </w:r>
      <w:r w:rsidRPr="00DC537E">
        <w:rPr>
          <w:rFonts w:cs="Arial"/>
          <w:szCs w:val="22"/>
        </w:rPr>
        <w:t xml:space="preserve">Watts </w:t>
      </w:r>
      <w:r w:rsidRPr="00DC537E">
        <w:rPr>
          <w:rFonts w:cs="Arial"/>
          <w:i/>
          <w:szCs w:val="22"/>
        </w:rPr>
        <w:t>et al</w:t>
      </w:r>
      <w:r w:rsidRPr="00DC537E">
        <w:rPr>
          <w:rFonts w:cs="Arial"/>
          <w:szCs w:val="22"/>
        </w:rPr>
        <w:t>., 2023)</w:t>
      </w:r>
      <w:r w:rsidRPr="00DC537E">
        <w:rPr>
          <w:rFonts w:cs="Arial"/>
          <w:color w:val="222222"/>
          <w:szCs w:val="22"/>
        </w:rPr>
        <w:t xml:space="preserve">. </w:t>
      </w:r>
      <w:r w:rsidRPr="00DC537E">
        <w:rPr>
          <w:rFonts w:cs="Arial"/>
          <w:b/>
          <w:color w:val="222222"/>
          <w:szCs w:val="22"/>
        </w:rPr>
        <w:t>For example</w:t>
      </w:r>
      <w:r w:rsidRPr="00DC537E">
        <w:rPr>
          <w:rFonts w:cs="Arial"/>
          <w:color w:val="222222"/>
          <w:szCs w:val="22"/>
        </w:rPr>
        <w:t xml:space="preserve">, Autistic patients report inpatient, dietetic as well as CBT treatments as significantly less beneficial compared to non- autistic ED patients. </w:t>
      </w:r>
    </w:p>
    <w:p w14:paraId="0F73C4AB" w14:textId="77777777" w:rsidR="00330FEA" w:rsidRPr="00DC537E" w:rsidRDefault="00330FEA" w:rsidP="00DC537E">
      <w:pPr>
        <w:rPr>
          <w:rFonts w:cs="Arial"/>
          <w:b/>
          <w:color w:val="222222"/>
          <w:szCs w:val="22"/>
        </w:rPr>
      </w:pPr>
      <w:r w:rsidRPr="00DC537E">
        <w:rPr>
          <w:rFonts w:cs="Arial"/>
          <w:b/>
          <w:color w:val="222222"/>
          <w:szCs w:val="22"/>
        </w:rPr>
        <w:t xml:space="preserve">Challenges and Implications </w:t>
      </w:r>
    </w:p>
    <w:p w14:paraId="674C9A40" w14:textId="77777777" w:rsidR="00330FEA" w:rsidRPr="00DC537E" w:rsidRDefault="00330FEA" w:rsidP="00DC537E">
      <w:pPr>
        <w:pStyle w:val="ListParagraph"/>
        <w:numPr>
          <w:ilvl w:val="0"/>
          <w:numId w:val="2"/>
        </w:numPr>
        <w:rPr>
          <w:rFonts w:cs="Arial"/>
          <w:color w:val="222222"/>
          <w:lang w:val="en-GB"/>
        </w:rPr>
      </w:pPr>
      <w:r w:rsidRPr="00DC537E">
        <w:rPr>
          <w:rFonts w:cs="Arial"/>
          <w:b/>
          <w:color w:val="222222"/>
          <w:lang w:val="en-GB"/>
        </w:rPr>
        <w:t>Misdiagnosis/Underdiagnosis:</w:t>
      </w:r>
      <w:r w:rsidRPr="00DC537E">
        <w:rPr>
          <w:rFonts w:cs="Arial"/>
          <w:color w:val="222222"/>
          <w:lang w:val="en-GB"/>
        </w:rPr>
        <w:t xml:space="preserve"> Certain individuals with autism can also be wrongfull</w:t>
      </w:r>
      <w:r w:rsidR="001F59BC" w:rsidRPr="00DC537E">
        <w:rPr>
          <w:rFonts w:cs="Arial"/>
          <w:color w:val="222222"/>
          <w:lang w:val="en-GB"/>
        </w:rPr>
        <w:t xml:space="preserve">y diagnosed (e.g. ARFID vs AN) </w:t>
      </w:r>
      <w:r w:rsidRPr="00DC537E">
        <w:rPr>
          <w:rFonts w:cs="Arial"/>
          <w:color w:val="222222"/>
          <w:lang w:val="en-GB"/>
        </w:rPr>
        <w:t>(</w:t>
      </w:r>
      <w:r w:rsidRPr="00DC537E">
        <w:rPr>
          <w:rFonts w:cs="Arial"/>
          <w:lang w:val="en-GB"/>
        </w:rPr>
        <w:t>autistica.org.uk, 2025)</w:t>
      </w:r>
      <w:r w:rsidRPr="00DC537E">
        <w:rPr>
          <w:rFonts w:cs="Arial"/>
          <w:color w:val="222222"/>
          <w:lang w:val="en-GB"/>
        </w:rPr>
        <w:t xml:space="preserve">. </w:t>
      </w:r>
    </w:p>
    <w:p w14:paraId="00C68A0E" w14:textId="77777777" w:rsidR="00330FEA" w:rsidRPr="00DC537E" w:rsidRDefault="00330FEA" w:rsidP="00DC537E">
      <w:pPr>
        <w:pStyle w:val="ListParagraph"/>
        <w:numPr>
          <w:ilvl w:val="0"/>
          <w:numId w:val="2"/>
        </w:numPr>
        <w:rPr>
          <w:rFonts w:eastAsia="Times New Roman" w:cs="Arial"/>
          <w:color w:val="222222"/>
          <w:lang w:val="en-GB" w:eastAsia="en-IN"/>
        </w:rPr>
      </w:pPr>
      <w:r w:rsidRPr="00DC537E">
        <w:rPr>
          <w:rFonts w:cs="Arial"/>
          <w:b/>
          <w:color w:val="222222"/>
          <w:lang w:val="en-GB"/>
        </w:rPr>
        <w:t>Treatment mismatch:</w:t>
      </w:r>
      <w:r w:rsidRPr="00DC537E">
        <w:rPr>
          <w:rFonts w:cs="Arial"/>
          <w:color w:val="222222"/>
          <w:lang w:val="en-GB"/>
        </w:rPr>
        <w:t xml:space="preserve"> Neuro</w:t>
      </w:r>
      <w:r w:rsidR="002A5064" w:rsidRPr="00DC537E">
        <w:rPr>
          <w:rFonts w:cs="Arial"/>
          <w:color w:val="222222"/>
          <w:lang w:val="en-GB"/>
        </w:rPr>
        <w:t>-</w:t>
      </w:r>
      <w:r w:rsidRPr="00DC537E">
        <w:rPr>
          <w:rFonts w:cs="Arial"/>
          <w:color w:val="222222"/>
          <w:lang w:val="en-GB"/>
        </w:rPr>
        <w:t xml:space="preserve">typical presumption-based interventions (social interaction, emotional expression, tolerance for sensory input) may not be as effective for neurodivergent people. </w:t>
      </w:r>
    </w:p>
    <w:p w14:paraId="5BAAF7C7" w14:textId="77777777" w:rsidR="00330FEA" w:rsidRPr="00DC537E" w:rsidRDefault="00330FEA" w:rsidP="00DC537E">
      <w:pPr>
        <w:rPr>
          <w:rFonts w:cs="Arial"/>
          <w:b/>
          <w:color w:val="222222"/>
          <w:szCs w:val="22"/>
        </w:rPr>
      </w:pPr>
      <w:r w:rsidRPr="00DC537E">
        <w:rPr>
          <w:rFonts w:cs="Arial"/>
          <w:b/>
          <w:color w:val="222222"/>
          <w:szCs w:val="22"/>
        </w:rPr>
        <w:lastRenderedPageBreak/>
        <w:t>Pros and Cons</w:t>
      </w:r>
    </w:p>
    <w:tbl>
      <w:tblPr>
        <w:tblStyle w:val="TableGrid"/>
        <w:tblW w:w="0" w:type="auto"/>
        <w:tblLook w:val="04A0" w:firstRow="1" w:lastRow="0" w:firstColumn="1" w:lastColumn="0" w:noHBand="0" w:noVBand="1"/>
      </w:tblPr>
      <w:tblGrid>
        <w:gridCol w:w="4508"/>
        <w:gridCol w:w="4508"/>
      </w:tblGrid>
      <w:tr w:rsidR="00330FEA" w:rsidRPr="00DC537E" w14:paraId="22F6B991" w14:textId="77777777" w:rsidTr="00320C46">
        <w:tc>
          <w:tcPr>
            <w:tcW w:w="4508" w:type="dxa"/>
          </w:tcPr>
          <w:p w14:paraId="48F06C14" w14:textId="77777777" w:rsidR="00330FEA" w:rsidRPr="00DC537E" w:rsidRDefault="00330FEA" w:rsidP="00DC537E">
            <w:pPr>
              <w:spacing w:line="360" w:lineRule="auto"/>
              <w:jc w:val="center"/>
              <w:rPr>
                <w:rFonts w:cs="Arial"/>
                <w:b/>
                <w:color w:val="222222"/>
              </w:rPr>
            </w:pPr>
            <w:r w:rsidRPr="00DC537E">
              <w:rPr>
                <w:rFonts w:cs="Arial"/>
                <w:b/>
                <w:color w:val="222222"/>
              </w:rPr>
              <w:t>Pros of acknowledging neurodivergence</w:t>
            </w:r>
          </w:p>
        </w:tc>
        <w:tc>
          <w:tcPr>
            <w:tcW w:w="4508" w:type="dxa"/>
          </w:tcPr>
          <w:p w14:paraId="4A6F17F4" w14:textId="77777777" w:rsidR="00330FEA" w:rsidRPr="00DC537E" w:rsidRDefault="00330FEA" w:rsidP="00DC537E">
            <w:pPr>
              <w:spacing w:line="360" w:lineRule="auto"/>
              <w:jc w:val="center"/>
              <w:rPr>
                <w:rFonts w:cs="Arial"/>
                <w:b/>
                <w:color w:val="222222"/>
              </w:rPr>
            </w:pPr>
            <w:r w:rsidRPr="00DC537E">
              <w:rPr>
                <w:rFonts w:cs="Arial"/>
                <w:b/>
                <w:color w:val="222222"/>
              </w:rPr>
              <w:t>Cons</w:t>
            </w:r>
          </w:p>
        </w:tc>
      </w:tr>
      <w:tr w:rsidR="00330FEA" w:rsidRPr="00DC537E" w14:paraId="4B425EEA" w14:textId="77777777" w:rsidTr="00320C46">
        <w:tc>
          <w:tcPr>
            <w:tcW w:w="4508" w:type="dxa"/>
          </w:tcPr>
          <w:p w14:paraId="6E39C5EA" w14:textId="77777777" w:rsidR="00330FEA" w:rsidRPr="00DC537E" w:rsidRDefault="00330FEA" w:rsidP="00DC537E">
            <w:pPr>
              <w:pStyle w:val="ListParagraph"/>
              <w:numPr>
                <w:ilvl w:val="0"/>
                <w:numId w:val="5"/>
              </w:numPr>
              <w:spacing w:after="0" w:line="360" w:lineRule="auto"/>
              <w:jc w:val="both"/>
              <w:rPr>
                <w:rFonts w:cs="Arial"/>
                <w:color w:val="222222"/>
                <w:lang w:val="en-GB"/>
              </w:rPr>
            </w:pPr>
            <w:r w:rsidRPr="00DC537E">
              <w:rPr>
                <w:rFonts w:cs="Arial"/>
                <w:color w:val="222222"/>
                <w:lang w:val="en-GB"/>
              </w:rPr>
              <w:t>More personalised care (adapting interventions to sensory, routine, cognitive styles</w:t>
            </w:r>
            <w:r w:rsidR="001F59BC" w:rsidRPr="00DC537E">
              <w:rPr>
                <w:rFonts w:cs="Arial"/>
                <w:color w:val="222222"/>
                <w:lang w:val="en-GB"/>
              </w:rPr>
              <w:t>)</w:t>
            </w:r>
          </w:p>
        </w:tc>
        <w:tc>
          <w:tcPr>
            <w:tcW w:w="4508" w:type="dxa"/>
          </w:tcPr>
          <w:p w14:paraId="396AA4D5" w14:textId="77777777" w:rsidR="00330FEA" w:rsidRPr="00DC537E" w:rsidRDefault="00330FEA" w:rsidP="00DC537E">
            <w:pPr>
              <w:pStyle w:val="ListParagraph"/>
              <w:numPr>
                <w:ilvl w:val="0"/>
                <w:numId w:val="4"/>
              </w:numPr>
              <w:spacing w:after="0" w:line="360" w:lineRule="auto"/>
              <w:jc w:val="both"/>
              <w:rPr>
                <w:rFonts w:cs="Arial"/>
                <w:color w:val="222222"/>
                <w:lang w:val="en-GB"/>
              </w:rPr>
            </w:pPr>
            <w:r w:rsidRPr="00DC537E">
              <w:rPr>
                <w:rFonts w:cs="Arial"/>
                <w:color w:val="222222"/>
                <w:lang w:val="en-GB"/>
              </w:rPr>
              <w:t>Risk of overemphasising neurodivergence a</w:t>
            </w:r>
            <w:r w:rsidR="001F59BC" w:rsidRPr="00DC537E">
              <w:rPr>
                <w:rFonts w:cs="Arial"/>
                <w:color w:val="222222"/>
                <w:lang w:val="en-GB"/>
              </w:rPr>
              <w:t>nd therapy adjustment blindness.</w:t>
            </w:r>
          </w:p>
        </w:tc>
      </w:tr>
      <w:tr w:rsidR="00330FEA" w:rsidRPr="00DC537E" w14:paraId="47FC891B" w14:textId="77777777" w:rsidTr="00320C46">
        <w:tc>
          <w:tcPr>
            <w:tcW w:w="4508" w:type="dxa"/>
          </w:tcPr>
          <w:p w14:paraId="4C400130" w14:textId="77777777" w:rsidR="00330FEA" w:rsidRPr="00DC537E" w:rsidRDefault="00330FEA" w:rsidP="00DC537E">
            <w:pPr>
              <w:pStyle w:val="ListParagraph"/>
              <w:numPr>
                <w:ilvl w:val="0"/>
                <w:numId w:val="4"/>
              </w:numPr>
              <w:spacing w:after="0" w:line="360" w:lineRule="auto"/>
              <w:jc w:val="both"/>
              <w:rPr>
                <w:rFonts w:cs="Arial"/>
                <w:color w:val="222222"/>
                <w:lang w:val="en-GB"/>
              </w:rPr>
            </w:pPr>
            <w:r w:rsidRPr="00DC537E">
              <w:rPr>
                <w:rFonts w:cs="Arial"/>
                <w:color w:val="222222"/>
                <w:lang w:val="en-GB"/>
              </w:rPr>
              <w:t xml:space="preserve">Encouraging inclusion of lived experience in the design of services as well as guidelines. </w:t>
            </w:r>
          </w:p>
        </w:tc>
        <w:tc>
          <w:tcPr>
            <w:tcW w:w="4508" w:type="dxa"/>
          </w:tcPr>
          <w:p w14:paraId="4E7A6188" w14:textId="77777777" w:rsidR="00330FEA" w:rsidRPr="00DC537E" w:rsidRDefault="00330FEA" w:rsidP="00DC537E">
            <w:pPr>
              <w:pStyle w:val="ListParagraph"/>
              <w:numPr>
                <w:ilvl w:val="0"/>
                <w:numId w:val="3"/>
              </w:numPr>
              <w:spacing w:after="0" w:line="360" w:lineRule="auto"/>
              <w:jc w:val="both"/>
              <w:rPr>
                <w:rFonts w:cs="Arial"/>
                <w:color w:val="222222"/>
                <w:lang w:val="en-GB"/>
              </w:rPr>
            </w:pPr>
            <w:r w:rsidRPr="00DC537E">
              <w:rPr>
                <w:rFonts w:cs="Arial"/>
                <w:color w:val="222222"/>
                <w:lang w:val="en-GB"/>
              </w:rPr>
              <w:t>Strain in the health system resources: adaptation costs; training, diagnostic capability of neurodevelopmental are already limited.</w:t>
            </w:r>
          </w:p>
        </w:tc>
      </w:tr>
    </w:tbl>
    <w:p w14:paraId="3E249D76" w14:textId="77777777" w:rsidR="00330FEA" w:rsidRPr="00DC537E" w:rsidRDefault="001F59BC" w:rsidP="00DC537E">
      <w:pPr>
        <w:rPr>
          <w:rFonts w:cs="Arial"/>
          <w:b/>
          <w:color w:val="222222"/>
          <w:szCs w:val="22"/>
        </w:rPr>
      </w:pPr>
      <w:r w:rsidRPr="00DC537E">
        <w:rPr>
          <w:rFonts w:cs="Arial"/>
          <w:b/>
          <w:color w:val="222222"/>
          <w:szCs w:val="22"/>
        </w:rPr>
        <w:t>Reclassification issues</w:t>
      </w:r>
    </w:p>
    <w:p w14:paraId="1DB98ABE" w14:textId="77777777" w:rsidR="00A15A9B" w:rsidRPr="00DC537E" w:rsidRDefault="00330FEA" w:rsidP="00DC537E">
      <w:pPr>
        <w:pStyle w:val="ListParagraph"/>
        <w:numPr>
          <w:ilvl w:val="0"/>
          <w:numId w:val="3"/>
        </w:numPr>
        <w:rPr>
          <w:rFonts w:cs="Arial"/>
          <w:color w:val="222222"/>
          <w:lang w:val="en-GB"/>
        </w:rPr>
      </w:pPr>
      <w:r w:rsidRPr="00DC537E">
        <w:rPr>
          <w:rFonts w:cs="Arial"/>
          <w:b/>
          <w:color w:val="222222"/>
          <w:lang w:val="en-GB"/>
        </w:rPr>
        <w:t xml:space="preserve">ICD-11 Changes and Their Implications: </w:t>
      </w:r>
      <w:r w:rsidRPr="00DC537E">
        <w:rPr>
          <w:rFonts w:cs="Arial"/>
          <w:color w:val="222222"/>
          <w:lang w:val="en-GB"/>
        </w:rPr>
        <w:t xml:space="preserve">ARFID and BED (Binge Eating Disorder) bifurcated as diagnoses from under the simple Feeding or Eating Disorders </w:t>
      </w:r>
      <w:r w:rsidR="009968D2" w:rsidRPr="00DC537E">
        <w:rPr>
          <w:rFonts w:cs="Arial"/>
          <w:color w:val="222222"/>
          <w:lang w:val="en-GB"/>
        </w:rPr>
        <w:t>over diagnosis</w:t>
      </w:r>
      <w:r w:rsidRPr="00DC537E">
        <w:rPr>
          <w:rFonts w:cs="Arial"/>
          <w:color w:val="222222"/>
          <w:lang w:val="en-GB"/>
        </w:rPr>
        <w:t xml:space="preserve"> in ICD-11 </w:t>
      </w:r>
      <w:r w:rsidRPr="00DC537E">
        <w:rPr>
          <w:rFonts w:cs="Arial"/>
          <w:lang w:val="en-GB"/>
        </w:rPr>
        <w:t>(Uher and Rutter, 2012)</w:t>
      </w:r>
      <w:r w:rsidRPr="00DC537E">
        <w:rPr>
          <w:rFonts w:cs="Arial"/>
          <w:color w:val="222222"/>
          <w:lang w:val="en-GB"/>
        </w:rPr>
        <w:t xml:space="preserve">. </w:t>
      </w:r>
    </w:p>
    <w:p w14:paraId="720C4A73" w14:textId="77777777" w:rsidR="00330FEA" w:rsidRPr="00DC537E" w:rsidRDefault="00330FEA" w:rsidP="00DC537E">
      <w:pPr>
        <w:pStyle w:val="ListParagraph"/>
        <w:numPr>
          <w:ilvl w:val="0"/>
          <w:numId w:val="3"/>
        </w:numPr>
        <w:rPr>
          <w:rFonts w:cs="Arial"/>
          <w:color w:val="222222"/>
          <w:lang w:val="en-GB"/>
        </w:rPr>
      </w:pPr>
      <w:r w:rsidRPr="00DC537E">
        <w:rPr>
          <w:rFonts w:cs="Arial"/>
          <w:b/>
          <w:color w:val="222222"/>
          <w:lang w:val="en-GB"/>
        </w:rPr>
        <w:t>Residual and Unspecified Categories:</w:t>
      </w:r>
      <w:r w:rsidRPr="00DC537E">
        <w:rPr>
          <w:rFonts w:cs="Arial"/>
          <w:color w:val="222222"/>
          <w:lang w:val="en-GB"/>
        </w:rPr>
        <w:t xml:space="preserve"> </w:t>
      </w:r>
      <w:r w:rsidR="00A15A9B" w:rsidRPr="00DC537E">
        <w:rPr>
          <w:lang w:val="en-GB"/>
        </w:rPr>
        <w:t>ICD-11 includes a residual category for unspecified feeding or eating disorders, yet some clinicians and researchers argue that this</w:t>
      </w:r>
      <w:r w:rsidR="001F59BC" w:rsidRPr="00DC537E">
        <w:rPr>
          <w:lang w:val="en-GB"/>
        </w:rPr>
        <w:t xml:space="preserve"> classification is insufficient</w:t>
      </w:r>
      <w:r w:rsidR="00A15A9B" w:rsidRPr="00DC537E">
        <w:rPr>
          <w:rFonts w:cs="Arial"/>
          <w:color w:val="222222"/>
          <w:lang w:val="en-GB"/>
        </w:rPr>
        <w:t xml:space="preserve"> </w:t>
      </w:r>
      <w:r w:rsidRPr="00DC537E">
        <w:rPr>
          <w:rFonts w:cs="Arial"/>
          <w:color w:val="222222"/>
          <w:lang w:val="en-GB"/>
        </w:rPr>
        <w:t>(</w:t>
      </w:r>
      <w:r w:rsidRPr="00DC537E">
        <w:rPr>
          <w:rFonts w:cs="Arial"/>
          <w:lang w:val="en-GB"/>
        </w:rPr>
        <w:t>academic.oup.com, 2025)</w:t>
      </w:r>
      <w:r w:rsidRPr="00DC537E">
        <w:rPr>
          <w:rFonts w:cs="Arial"/>
          <w:color w:val="222222"/>
          <w:lang w:val="en-GB"/>
        </w:rPr>
        <w:t>.</w:t>
      </w:r>
    </w:p>
    <w:p w14:paraId="5C911D27" w14:textId="77777777" w:rsidR="00330FEA" w:rsidRPr="00DC537E" w:rsidRDefault="00330FEA" w:rsidP="00DC537E">
      <w:pPr>
        <w:rPr>
          <w:rFonts w:cs="Arial"/>
          <w:b/>
          <w:szCs w:val="22"/>
          <w:shd w:val="clear" w:color="auto" w:fill="FFFFFF"/>
        </w:rPr>
      </w:pPr>
      <w:r w:rsidRPr="00DC537E">
        <w:rPr>
          <w:rFonts w:cs="Arial"/>
          <w:b/>
          <w:szCs w:val="22"/>
          <w:shd w:val="clear" w:color="auto" w:fill="FFFFFF"/>
        </w:rPr>
        <w:t>Proposal for Further Reclassification</w:t>
      </w:r>
    </w:p>
    <w:p w14:paraId="46185947" w14:textId="77777777" w:rsidR="00330FEA" w:rsidRPr="00DC537E" w:rsidRDefault="00330FEA" w:rsidP="00DC537E">
      <w:pPr>
        <w:pStyle w:val="ListParagraph"/>
        <w:numPr>
          <w:ilvl w:val="0"/>
          <w:numId w:val="6"/>
        </w:numPr>
        <w:rPr>
          <w:rFonts w:cs="Arial"/>
          <w:shd w:val="clear" w:color="auto" w:fill="FFFFFF"/>
          <w:lang w:val="en-GB"/>
        </w:rPr>
      </w:pPr>
      <w:r w:rsidRPr="00DC537E">
        <w:rPr>
          <w:rFonts w:cs="Arial"/>
          <w:shd w:val="clear" w:color="auto" w:fill="FFFFFF"/>
          <w:lang w:val="en-GB"/>
        </w:rPr>
        <w:t xml:space="preserve">The proposal of "Restrictive Eating Disorder" has also been discussed </w:t>
      </w:r>
      <w:proofErr w:type="gramStart"/>
      <w:r w:rsidRPr="00DC537E">
        <w:rPr>
          <w:rFonts w:cs="Arial"/>
          <w:shd w:val="clear" w:color="auto" w:fill="FFFFFF"/>
          <w:lang w:val="en-GB"/>
        </w:rPr>
        <w:t>as a way to</w:t>
      </w:r>
      <w:proofErr w:type="gramEnd"/>
      <w:r w:rsidRPr="00DC537E">
        <w:rPr>
          <w:rFonts w:cs="Arial"/>
          <w:shd w:val="clear" w:color="auto" w:fill="FFFFFF"/>
          <w:lang w:val="en-GB"/>
        </w:rPr>
        <w:t xml:space="preserve"> encompass a range of restrictive attitudes that cross the diagnoses outlined, as well as to avoid stigma. </w:t>
      </w:r>
    </w:p>
    <w:p w14:paraId="2F25D927" w14:textId="77777777" w:rsidR="00330FEA" w:rsidRPr="00DC537E" w:rsidRDefault="00330FEA" w:rsidP="00DC537E">
      <w:pPr>
        <w:pStyle w:val="ListParagraph"/>
        <w:numPr>
          <w:ilvl w:val="0"/>
          <w:numId w:val="6"/>
        </w:numPr>
        <w:rPr>
          <w:rFonts w:cs="Arial"/>
          <w:shd w:val="clear" w:color="auto" w:fill="FFFFFF"/>
          <w:lang w:val="en-GB"/>
        </w:rPr>
      </w:pPr>
      <w:r w:rsidRPr="00DC537E">
        <w:rPr>
          <w:rFonts w:cs="Arial"/>
          <w:shd w:val="clear" w:color="auto" w:fill="FFFFFF"/>
          <w:lang w:val="en-GB"/>
        </w:rPr>
        <w:t>It is suggested that further subtyping of ARFID is required to define its various drivers as they may influence response to treatment.</w:t>
      </w:r>
    </w:p>
    <w:p w14:paraId="5A087745" w14:textId="77777777" w:rsidR="00330FEA" w:rsidRPr="00DC537E" w:rsidRDefault="001F59BC" w:rsidP="00DC537E">
      <w:pPr>
        <w:pStyle w:val="Heading2"/>
        <w:spacing w:line="360" w:lineRule="auto"/>
        <w:rPr>
          <w:rFonts w:cs="Arial"/>
          <w:shd w:val="clear" w:color="auto" w:fill="FFFFFF"/>
        </w:rPr>
      </w:pPr>
      <w:bookmarkStart w:id="17" w:name="_Toc208932874"/>
      <w:bookmarkStart w:id="18" w:name="_Toc208935516"/>
      <w:r w:rsidRPr="00DC537E">
        <w:rPr>
          <w:rFonts w:cs="Arial"/>
          <w:shd w:val="clear" w:color="auto" w:fill="FFFFFF"/>
        </w:rPr>
        <w:t>4.3</w:t>
      </w:r>
      <w:r w:rsidR="00330FEA" w:rsidRPr="00DC537E">
        <w:rPr>
          <w:rFonts w:cs="Arial"/>
          <w:shd w:val="clear" w:color="auto" w:fill="FFFFFF"/>
        </w:rPr>
        <w:t xml:space="preserve"> Impact on Practice and Policy</w:t>
      </w:r>
      <w:bookmarkEnd w:id="17"/>
      <w:bookmarkEnd w:id="18"/>
      <w:r w:rsidR="00330FEA" w:rsidRPr="00DC537E">
        <w:rPr>
          <w:rFonts w:cs="Arial"/>
          <w:shd w:val="clear" w:color="auto" w:fill="FFFFFF"/>
        </w:rPr>
        <w:t xml:space="preserve"> </w:t>
      </w:r>
    </w:p>
    <w:p w14:paraId="11D4848F" w14:textId="77777777" w:rsidR="00D8447A" w:rsidRPr="00EE1880" w:rsidRDefault="00D8447A" w:rsidP="00DC537E">
      <w:r w:rsidRPr="00EE1880">
        <w:t>The growing awareness of Avoidant/Restrictive Food Intake Disorder (ARFID) has made a tremendous impact on service delivery as well as policy formulation. The increased awareness has led to an increase in public interaction and referral rates; in the example of Beat (UK charity), calls associated with ARFID have grown seven times in five years (Campbell, 2024). Nevertheless, the NHS still experiences the problem of uneven service provision</w:t>
      </w:r>
      <w:r w:rsidRPr="00135AB3">
        <w:t xml:space="preserve">, </w:t>
      </w:r>
      <w:r w:rsidRPr="00EE1880">
        <w:lastRenderedPageBreak/>
        <w:t>discrepancies in accessing and spreads the specialists over the regions, and protracted waiting time, which postpones intervention and treatment outcomes.</w:t>
      </w:r>
    </w:p>
    <w:p w14:paraId="20EE2A68" w14:textId="77777777" w:rsidR="00D8447A" w:rsidRPr="00DC537E" w:rsidRDefault="00D8447A" w:rsidP="00DC537E">
      <w:r w:rsidRPr="00EE1880">
        <w:t>In return, the increased interest in making certain that national frameworks, including the NICE guidelines (NG69) represent a more diverse group of clinical presentations and consider neurodivergent individuals who might have a different experience of ARFID (Nice.org.uk, 2020). This has led to the demand of increased training of clinicians, multidisciplinary assessment model, and primary care and school-based screening earlier. It is also suggested that policy makers should provide specific funding to research and development of local services in order to decrease inequities. Greater data gathering and incorporation of service user replies contribute further to the creation of individualized, available path-ways of care</w:t>
      </w:r>
      <w:r w:rsidRPr="00DC537E">
        <w:t>.</w:t>
      </w:r>
    </w:p>
    <w:p w14:paraId="6BDDA40E" w14:textId="77777777" w:rsidR="00330FEA" w:rsidRPr="00DC537E" w:rsidRDefault="00330FEA" w:rsidP="00DC537E">
      <w:pPr>
        <w:pStyle w:val="Heading1"/>
        <w:rPr>
          <w:rFonts w:cs="Arial"/>
        </w:rPr>
      </w:pPr>
      <w:bookmarkStart w:id="19" w:name="_Toc208932876"/>
      <w:bookmarkStart w:id="20" w:name="_Toc208935518"/>
      <w:r w:rsidRPr="00DC537E">
        <w:rPr>
          <w:rFonts w:cs="Arial"/>
        </w:rPr>
        <w:t>5. Recommendations</w:t>
      </w:r>
      <w:bookmarkEnd w:id="19"/>
      <w:bookmarkEnd w:id="20"/>
      <w:r w:rsidRPr="00DC537E">
        <w:rPr>
          <w:rFonts w:cs="Arial"/>
        </w:rPr>
        <w:t xml:space="preserve"> </w:t>
      </w:r>
    </w:p>
    <w:p w14:paraId="30EBA9D8" w14:textId="77777777" w:rsidR="00330FEA" w:rsidRPr="00DC537E" w:rsidRDefault="00330FEA" w:rsidP="00DC537E">
      <w:pPr>
        <w:pStyle w:val="Heading2"/>
        <w:spacing w:line="360" w:lineRule="auto"/>
        <w:rPr>
          <w:rFonts w:cs="Arial"/>
        </w:rPr>
      </w:pPr>
      <w:bookmarkStart w:id="21" w:name="_Toc208932877"/>
      <w:bookmarkStart w:id="22" w:name="_Toc208935519"/>
      <w:r w:rsidRPr="00DC537E">
        <w:rPr>
          <w:rFonts w:cs="Arial"/>
        </w:rPr>
        <w:t xml:space="preserve">5.1 Recommendations </w:t>
      </w:r>
      <w:r w:rsidR="00372DD8" w:rsidRPr="00DC537E">
        <w:rPr>
          <w:rFonts w:cs="Arial"/>
        </w:rPr>
        <w:t>concerning</w:t>
      </w:r>
      <w:r w:rsidRPr="00DC537E">
        <w:rPr>
          <w:rFonts w:cs="Arial"/>
        </w:rPr>
        <w:t xml:space="preserve"> the Feeding or eating disorders</w:t>
      </w:r>
      <w:bookmarkEnd w:id="21"/>
      <w:bookmarkEnd w:id="22"/>
    </w:p>
    <w:tbl>
      <w:tblPr>
        <w:tblStyle w:val="TableGrid"/>
        <w:tblW w:w="0" w:type="auto"/>
        <w:tblLook w:val="04A0" w:firstRow="1" w:lastRow="0" w:firstColumn="1" w:lastColumn="0" w:noHBand="0" w:noVBand="1"/>
      </w:tblPr>
      <w:tblGrid>
        <w:gridCol w:w="3114"/>
        <w:gridCol w:w="5902"/>
      </w:tblGrid>
      <w:tr w:rsidR="00330FEA" w:rsidRPr="00DC537E" w14:paraId="0CB76E9D" w14:textId="77777777" w:rsidTr="00320C46">
        <w:tc>
          <w:tcPr>
            <w:tcW w:w="3114" w:type="dxa"/>
          </w:tcPr>
          <w:p w14:paraId="5BDF8794" w14:textId="0666F2AC" w:rsidR="00330FEA" w:rsidRPr="00DC537E" w:rsidRDefault="00EE1880" w:rsidP="00DC537E">
            <w:pPr>
              <w:spacing w:line="360" w:lineRule="auto"/>
              <w:rPr>
                <w:rFonts w:cs="Arial"/>
                <w:b/>
              </w:rPr>
            </w:pPr>
            <w:r w:rsidRPr="00DC537E">
              <w:rPr>
                <w:rFonts w:cs="Arial"/>
                <w:b/>
              </w:rPr>
              <w:t>Improving early</w:t>
            </w:r>
            <w:r w:rsidR="00330FEA" w:rsidRPr="00DC537E">
              <w:rPr>
                <w:rFonts w:cs="Arial"/>
                <w:b/>
              </w:rPr>
              <w:t xml:space="preserve"> identification and assessment </w:t>
            </w:r>
          </w:p>
        </w:tc>
        <w:tc>
          <w:tcPr>
            <w:tcW w:w="5902" w:type="dxa"/>
          </w:tcPr>
          <w:p w14:paraId="296116E1" w14:textId="77777777" w:rsidR="00330FEA" w:rsidRPr="00DC537E" w:rsidRDefault="00330FEA" w:rsidP="00DC537E">
            <w:pPr>
              <w:spacing w:line="360" w:lineRule="auto"/>
              <w:rPr>
                <w:rFonts w:cs="Arial"/>
              </w:rPr>
            </w:pPr>
            <w:r w:rsidRPr="00DC537E">
              <w:rPr>
                <w:rFonts w:cs="Arial"/>
              </w:rPr>
              <w:t>Require multidisciplinary assessments (dietitians, psychology/ psychiatry, speech and language therapy, OT where appropriate), particularly for children/youth. The British Dietetic Association explains that specialist dietitian intervention is needed since diagnosis (bda.uk.com, 2025).</w:t>
            </w:r>
          </w:p>
        </w:tc>
      </w:tr>
      <w:tr w:rsidR="00330FEA" w:rsidRPr="00DC537E" w14:paraId="19C0D05A" w14:textId="77777777" w:rsidTr="00320C46">
        <w:tc>
          <w:tcPr>
            <w:tcW w:w="3114" w:type="dxa"/>
          </w:tcPr>
          <w:p w14:paraId="741B2B57" w14:textId="77777777" w:rsidR="00330FEA" w:rsidRPr="00DC537E" w:rsidRDefault="00330FEA" w:rsidP="00DC537E">
            <w:pPr>
              <w:spacing w:line="360" w:lineRule="auto"/>
              <w:rPr>
                <w:rFonts w:cs="Arial"/>
                <w:b/>
              </w:rPr>
            </w:pPr>
            <w:r w:rsidRPr="00DC537E">
              <w:rPr>
                <w:rFonts w:cs="Arial"/>
                <w:b/>
              </w:rPr>
              <w:t>Tailoring  treatment to neuro</w:t>
            </w:r>
            <w:r w:rsidR="00BA0890" w:rsidRPr="00DC537E">
              <w:rPr>
                <w:rFonts w:cs="Arial"/>
                <w:b/>
              </w:rPr>
              <w:t>-</w:t>
            </w:r>
            <w:r w:rsidRPr="00DC537E">
              <w:rPr>
                <w:rFonts w:cs="Arial"/>
                <w:b/>
              </w:rPr>
              <w:t xml:space="preserve">divergent needs </w:t>
            </w:r>
          </w:p>
        </w:tc>
        <w:tc>
          <w:tcPr>
            <w:tcW w:w="5902" w:type="dxa"/>
          </w:tcPr>
          <w:p w14:paraId="515A8C2F" w14:textId="77777777" w:rsidR="00330FEA" w:rsidRPr="00DC537E" w:rsidRDefault="00330FEA" w:rsidP="00DC537E">
            <w:pPr>
              <w:spacing w:line="360" w:lineRule="auto"/>
              <w:rPr>
                <w:rFonts w:cs="Arial"/>
              </w:rPr>
            </w:pPr>
            <w:r w:rsidRPr="00DC537E">
              <w:rPr>
                <w:rFonts w:cs="Arial"/>
              </w:rPr>
              <w:t>Expanding the use of adaptive pathways like the PEACE+ toolkit to include ADHD as well as sensory processing</w:t>
            </w:r>
            <w:r w:rsidR="001F59BC" w:rsidRPr="00DC537E">
              <w:rPr>
                <w:rFonts w:cs="Arial"/>
              </w:rPr>
              <w:t xml:space="preserve"> differences (kcl.ac.uk, 2021)</w:t>
            </w:r>
            <w:r w:rsidRPr="00DC537E">
              <w:rPr>
                <w:rFonts w:cs="Arial"/>
              </w:rPr>
              <w:t>.</w:t>
            </w:r>
          </w:p>
        </w:tc>
      </w:tr>
      <w:tr w:rsidR="00330FEA" w:rsidRPr="00DC537E" w14:paraId="0DEE59F2" w14:textId="77777777" w:rsidTr="00320C46">
        <w:tc>
          <w:tcPr>
            <w:tcW w:w="3114" w:type="dxa"/>
          </w:tcPr>
          <w:p w14:paraId="1505C80B" w14:textId="77777777" w:rsidR="00330FEA" w:rsidRPr="00DC537E" w:rsidRDefault="00330FEA" w:rsidP="00DC537E">
            <w:pPr>
              <w:spacing w:line="360" w:lineRule="auto"/>
              <w:rPr>
                <w:rFonts w:cs="Arial"/>
                <w:b/>
              </w:rPr>
            </w:pPr>
            <w:r w:rsidRPr="00DC537E">
              <w:rPr>
                <w:rFonts w:cs="Arial"/>
                <w:b/>
              </w:rPr>
              <w:t xml:space="preserve">Expanding programme-led and focused interventions and service capacity </w:t>
            </w:r>
          </w:p>
        </w:tc>
        <w:tc>
          <w:tcPr>
            <w:tcW w:w="5902" w:type="dxa"/>
          </w:tcPr>
          <w:p w14:paraId="19D7FC14" w14:textId="77777777" w:rsidR="00330FEA" w:rsidRPr="00DC537E" w:rsidRDefault="00330FEA" w:rsidP="00DC537E">
            <w:pPr>
              <w:spacing w:line="360" w:lineRule="auto"/>
              <w:rPr>
                <w:rFonts w:cs="Arial"/>
              </w:rPr>
            </w:pPr>
            <w:r w:rsidRPr="00DC537E">
              <w:rPr>
                <w:rFonts w:cs="Arial"/>
              </w:rPr>
              <w:t xml:space="preserve">Enhancing high-volume / targeted programmes (guided self-help, short-term psychological interventions) to decrease waiting time (Davey </w:t>
            </w:r>
            <w:r w:rsidRPr="00DC537E">
              <w:rPr>
                <w:rFonts w:cs="Arial"/>
                <w:i/>
              </w:rPr>
              <w:t>et al.,</w:t>
            </w:r>
            <w:r w:rsidR="001F59BC" w:rsidRPr="00DC537E">
              <w:rPr>
                <w:rFonts w:cs="Arial"/>
              </w:rPr>
              <w:t xml:space="preserve"> 2021).</w:t>
            </w:r>
          </w:p>
        </w:tc>
      </w:tr>
    </w:tbl>
    <w:p w14:paraId="0BFD41C1" w14:textId="77777777" w:rsidR="00330FEA" w:rsidRPr="00DC537E" w:rsidRDefault="00330FEA" w:rsidP="00DC537E">
      <w:pPr>
        <w:rPr>
          <w:rFonts w:cs="Arial"/>
          <w:szCs w:val="22"/>
        </w:rPr>
      </w:pPr>
    </w:p>
    <w:p w14:paraId="0DD03C5E" w14:textId="77777777" w:rsidR="00330FEA" w:rsidRPr="00DC537E" w:rsidRDefault="00330FEA" w:rsidP="00DC537E">
      <w:pPr>
        <w:pStyle w:val="Heading2"/>
        <w:spacing w:line="360" w:lineRule="auto"/>
        <w:rPr>
          <w:rFonts w:cs="Arial"/>
        </w:rPr>
      </w:pPr>
      <w:bookmarkStart w:id="23" w:name="_Toc208932878"/>
      <w:bookmarkStart w:id="24" w:name="_Toc208935520"/>
      <w:r w:rsidRPr="00DC537E">
        <w:rPr>
          <w:rFonts w:cs="Arial"/>
        </w:rPr>
        <w:t>5.2 Implication: Practice, policy and Research</w:t>
      </w:r>
      <w:bookmarkEnd w:id="23"/>
      <w:bookmarkEnd w:id="24"/>
      <w:r w:rsidRPr="00DC537E">
        <w:rPr>
          <w:rFonts w:cs="Arial"/>
        </w:rPr>
        <w:t xml:space="preserve"> </w:t>
      </w:r>
    </w:p>
    <w:tbl>
      <w:tblPr>
        <w:tblStyle w:val="TableGrid"/>
        <w:tblW w:w="0" w:type="auto"/>
        <w:tblLook w:val="04A0" w:firstRow="1" w:lastRow="0" w:firstColumn="1" w:lastColumn="0" w:noHBand="0" w:noVBand="1"/>
      </w:tblPr>
      <w:tblGrid>
        <w:gridCol w:w="2830"/>
        <w:gridCol w:w="6186"/>
      </w:tblGrid>
      <w:tr w:rsidR="00330FEA" w:rsidRPr="00DC537E" w14:paraId="452471F1" w14:textId="77777777" w:rsidTr="00FA69CD">
        <w:tc>
          <w:tcPr>
            <w:tcW w:w="2830" w:type="dxa"/>
          </w:tcPr>
          <w:p w14:paraId="08A89EEB" w14:textId="77777777" w:rsidR="00330FEA" w:rsidRPr="00DC537E" w:rsidRDefault="00330FEA" w:rsidP="00DC537E">
            <w:pPr>
              <w:spacing w:line="360" w:lineRule="auto"/>
              <w:jc w:val="center"/>
              <w:rPr>
                <w:rFonts w:cs="Arial"/>
                <w:b/>
              </w:rPr>
            </w:pPr>
            <w:r w:rsidRPr="00DC537E">
              <w:rPr>
                <w:rFonts w:cs="Arial"/>
                <w:b/>
              </w:rPr>
              <w:t>Domain</w:t>
            </w:r>
          </w:p>
        </w:tc>
        <w:tc>
          <w:tcPr>
            <w:tcW w:w="6186" w:type="dxa"/>
          </w:tcPr>
          <w:p w14:paraId="47E55CC3" w14:textId="77777777" w:rsidR="00330FEA" w:rsidRPr="00DC537E" w:rsidRDefault="00330FEA" w:rsidP="00DC537E">
            <w:pPr>
              <w:spacing w:line="360" w:lineRule="auto"/>
              <w:jc w:val="center"/>
              <w:rPr>
                <w:rFonts w:cs="Arial"/>
                <w:b/>
              </w:rPr>
            </w:pPr>
            <w:r w:rsidRPr="00DC537E">
              <w:rPr>
                <w:rFonts w:cs="Arial"/>
                <w:b/>
              </w:rPr>
              <w:t>Implications</w:t>
            </w:r>
          </w:p>
        </w:tc>
      </w:tr>
      <w:tr w:rsidR="00330FEA" w:rsidRPr="00DC537E" w14:paraId="618895FE" w14:textId="77777777" w:rsidTr="00FA69CD">
        <w:tc>
          <w:tcPr>
            <w:tcW w:w="2830" w:type="dxa"/>
          </w:tcPr>
          <w:p w14:paraId="223400DF" w14:textId="77777777" w:rsidR="00330FEA" w:rsidRPr="00DC537E" w:rsidRDefault="00330FEA" w:rsidP="00DC537E">
            <w:pPr>
              <w:spacing w:line="360" w:lineRule="auto"/>
              <w:rPr>
                <w:rFonts w:cs="Arial"/>
              </w:rPr>
            </w:pPr>
            <w:r w:rsidRPr="00DC537E">
              <w:rPr>
                <w:rFonts w:cs="Arial"/>
              </w:rPr>
              <w:t xml:space="preserve">Practice </w:t>
            </w:r>
          </w:p>
        </w:tc>
        <w:tc>
          <w:tcPr>
            <w:tcW w:w="6186" w:type="dxa"/>
          </w:tcPr>
          <w:p w14:paraId="40122814" w14:textId="43D64395" w:rsidR="00330FEA" w:rsidRPr="00DC537E" w:rsidRDefault="00330FEA" w:rsidP="00DC537E">
            <w:pPr>
              <w:pStyle w:val="ListParagraph"/>
              <w:numPr>
                <w:ilvl w:val="0"/>
                <w:numId w:val="11"/>
              </w:numPr>
              <w:spacing w:after="0" w:line="360" w:lineRule="auto"/>
              <w:jc w:val="both"/>
              <w:rPr>
                <w:rFonts w:cs="Arial"/>
                <w:lang w:val="en-GB"/>
              </w:rPr>
            </w:pPr>
            <w:r w:rsidRPr="00DC537E">
              <w:rPr>
                <w:rFonts w:cs="Arial"/>
                <w:lang w:val="en-GB"/>
              </w:rPr>
              <w:t xml:space="preserve">Training for clinicians (GPs) to understand non-typical ED </w:t>
            </w:r>
            <w:r w:rsidR="00EE1880" w:rsidRPr="00DC537E">
              <w:rPr>
                <w:rFonts w:cs="Arial"/>
                <w:lang w:val="en-GB"/>
              </w:rPr>
              <w:t>presentations.</w:t>
            </w:r>
          </w:p>
          <w:p w14:paraId="13986288" w14:textId="77777777" w:rsidR="00330FEA" w:rsidRPr="00DC537E" w:rsidRDefault="00330FEA" w:rsidP="00DC537E">
            <w:pPr>
              <w:pStyle w:val="ListParagraph"/>
              <w:numPr>
                <w:ilvl w:val="0"/>
                <w:numId w:val="11"/>
              </w:numPr>
              <w:spacing w:after="0" w:line="360" w:lineRule="auto"/>
              <w:jc w:val="both"/>
              <w:rPr>
                <w:rFonts w:cs="Arial"/>
                <w:lang w:val="en-GB"/>
              </w:rPr>
            </w:pPr>
            <w:r w:rsidRPr="00DC537E">
              <w:rPr>
                <w:rFonts w:cs="Arial"/>
                <w:lang w:val="en-GB"/>
              </w:rPr>
              <w:lastRenderedPageBreak/>
              <w:t>Developing reasonable adjustments for CYP (sensory-friendly clinics, adapted meal support)</w:t>
            </w:r>
          </w:p>
          <w:p w14:paraId="5808B806" w14:textId="77777777" w:rsidR="00330FEA" w:rsidRPr="00DC537E" w:rsidRDefault="00330FEA" w:rsidP="00DC537E">
            <w:pPr>
              <w:pStyle w:val="ListParagraph"/>
              <w:numPr>
                <w:ilvl w:val="0"/>
                <w:numId w:val="11"/>
              </w:numPr>
              <w:spacing w:after="0" w:line="360" w:lineRule="auto"/>
              <w:jc w:val="both"/>
              <w:rPr>
                <w:rFonts w:cs="Arial"/>
                <w:lang w:val="en-GB"/>
              </w:rPr>
            </w:pPr>
            <w:r w:rsidRPr="00DC537E">
              <w:rPr>
                <w:rFonts w:cs="Arial"/>
                <w:lang w:val="en-GB"/>
              </w:rPr>
              <w:t xml:space="preserve">Improving the neurodivergent-friendly treatment settings.   </w:t>
            </w:r>
          </w:p>
        </w:tc>
      </w:tr>
      <w:tr w:rsidR="00330FEA" w:rsidRPr="00DC537E" w14:paraId="6E114F28" w14:textId="77777777" w:rsidTr="00FA69CD">
        <w:tc>
          <w:tcPr>
            <w:tcW w:w="2830" w:type="dxa"/>
          </w:tcPr>
          <w:p w14:paraId="4FEF2CFB" w14:textId="77777777" w:rsidR="00330FEA" w:rsidRPr="00DC537E" w:rsidRDefault="00330FEA" w:rsidP="00DC537E">
            <w:pPr>
              <w:spacing w:line="360" w:lineRule="auto"/>
              <w:rPr>
                <w:rFonts w:cs="Arial"/>
              </w:rPr>
            </w:pPr>
            <w:r w:rsidRPr="00DC537E">
              <w:rPr>
                <w:rFonts w:cs="Arial"/>
              </w:rPr>
              <w:lastRenderedPageBreak/>
              <w:t xml:space="preserve">Policy </w:t>
            </w:r>
          </w:p>
        </w:tc>
        <w:tc>
          <w:tcPr>
            <w:tcW w:w="6186" w:type="dxa"/>
          </w:tcPr>
          <w:p w14:paraId="259D6EC1" w14:textId="77777777" w:rsidR="00330FEA" w:rsidRPr="00DC537E" w:rsidRDefault="00330FEA" w:rsidP="00DC537E">
            <w:pPr>
              <w:pStyle w:val="ListParagraph"/>
              <w:numPr>
                <w:ilvl w:val="0"/>
                <w:numId w:val="12"/>
              </w:numPr>
              <w:spacing w:after="0" w:line="360" w:lineRule="auto"/>
              <w:jc w:val="both"/>
              <w:rPr>
                <w:rFonts w:cs="Arial"/>
                <w:lang w:val="en-GB"/>
              </w:rPr>
            </w:pPr>
            <w:r w:rsidRPr="00DC537E">
              <w:rPr>
                <w:rFonts w:cs="Arial"/>
                <w:lang w:val="en-GB"/>
              </w:rPr>
              <w:t>Commissioning of consistent ARFID/ED services over the regions (reduce “postcode lottery);</w:t>
            </w:r>
          </w:p>
          <w:p w14:paraId="23AEA63A" w14:textId="77777777" w:rsidR="00330FEA" w:rsidRPr="00DC537E" w:rsidRDefault="00330FEA" w:rsidP="00DC537E">
            <w:pPr>
              <w:pStyle w:val="ListParagraph"/>
              <w:numPr>
                <w:ilvl w:val="0"/>
                <w:numId w:val="12"/>
              </w:numPr>
              <w:spacing w:after="0" w:line="360" w:lineRule="auto"/>
              <w:jc w:val="both"/>
              <w:rPr>
                <w:rFonts w:cs="Arial"/>
                <w:lang w:val="en-GB"/>
              </w:rPr>
            </w:pPr>
            <w:r w:rsidRPr="00DC537E">
              <w:rPr>
                <w:rFonts w:cs="Arial"/>
                <w:lang w:val="en-GB"/>
              </w:rPr>
              <w:t xml:space="preserve">Allocating funding to enhance staffing, diagnoses/sensory assessment capacity for CYP. </w:t>
            </w:r>
          </w:p>
          <w:p w14:paraId="7E2BB6D0" w14:textId="77777777" w:rsidR="00330FEA" w:rsidRPr="00DC537E" w:rsidRDefault="00330FEA" w:rsidP="00DC537E">
            <w:pPr>
              <w:pStyle w:val="ListParagraph"/>
              <w:numPr>
                <w:ilvl w:val="0"/>
                <w:numId w:val="12"/>
              </w:numPr>
              <w:spacing w:after="0" w:line="360" w:lineRule="auto"/>
              <w:jc w:val="both"/>
              <w:rPr>
                <w:rFonts w:cs="Arial"/>
                <w:lang w:val="en-GB"/>
              </w:rPr>
            </w:pPr>
            <w:r w:rsidRPr="00DC537E">
              <w:rPr>
                <w:rFonts w:cs="Arial"/>
                <w:lang w:val="en-GB"/>
              </w:rPr>
              <w:t xml:space="preserve">Ensuring the policy supports early intervention. </w:t>
            </w:r>
          </w:p>
        </w:tc>
      </w:tr>
    </w:tbl>
    <w:p w14:paraId="2916ACA4" w14:textId="77777777" w:rsidR="00330FEA" w:rsidRPr="00DC537E" w:rsidRDefault="00330FEA" w:rsidP="00DC537E">
      <w:pPr>
        <w:rPr>
          <w:rFonts w:cs="Arial"/>
          <w:szCs w:val="22"/>
        </w:rPr>
      </w:pPr>
    </w:p>
    <w:p w14:paraId="65E9D3D6" w14:textId="77777777" w:rsidR="00330FEA" w:rsidRPr="00DC537E" w:rsidRDefault="00330FEA" w:rsidP="00DC537E">
      <w:pPr>
        <w:spacing w:beforeAutospacing="0" w:afterAutospacing="0"/>
        <w:rPr>
          <w:rFonts w:eastAsiaTheme="majorEastAsia" w:cs="Arial"/>
          <w:b/>
          <w:szCs w:val="22"/>
          <w:lang w:eastAsia="en-IN"/>
        </w:rPr>
      </w:pPr>
      <w:r w:rsidRPr="00DC537E">
        <w:rPr>
          <w:rFonts w:cs="Arial"/>
          <w:szCs w:val="22"/>
        </w:rPr>
        <w:br w:type="page"/>
      </w:r>
    </w:p>
    <w:p w14:paraId="5670A4CA" w14:textId="77777777" w:rsidR="009C293F" w:rsidRPr="00DC537E" w:rsidRDefault="009C293F" w:rsidP="00DC537E">
      <w:pPr>
        <w:pStyle w:val="Heading1"/>
        <w:rPr>
          <w:rFonts w:cs="Arial"/>
        </w:rPr>
      </w:pPr>
      <w:bookmarkStart w:id="25" w:name="_Toc208935521"/>
      <w:r w:rsidRPr="00DC537E">
        <w:rPr>
          <w:rFonts w:cs="Arial"/>
        </w:rPr>
        <w:lastRenderedPageBreak/>
        <w:t>6. Conclusion</w:t>
      </w:r>
      <w:bookmarkEnd w:id="25"/>
      <w:r w:rsidRPr="00DC537E">
        <w:rPr>
          <w:rFonts w:cs="Arial"/>
        </w:rPr>
        <w:t> </w:t>
      </w:r>
    </w:p>
    <w:p w14:paraId="3A6EB060" w14:textId="77777777" w:rsidR="009368C2" w:rsidRPr="00DC537E" w:rsidRDefault="009B4290" w:rsidP="00DC537E">
      <w:pPr>
        <w:rPr>
          <w:rFonts w:cs="Arial"/>
          <w:szCs w:val="22"/>
        </w:rPr>
      </w:pPr>
      <w:r w:rsidRPr="00DC537E">
        <w:rPr>
          <w:rFonts w:cs="Arial"/>
          <w:szCs w:val="22"/>
        </w:rPr>
        <w:t>The report found that feeding and eating disorders with the classification in ICD-11 will still need general diagnostic clarity, effective treatment processes and long-term rehabilitation assistance. It has demonstrated that despite the potential of the existing therapeutic practice and rehabilitation interventions, such problems as relapse, waiting time, and capacity of the service will continue to exist. In turn, the focus is to be on the integration of timely intervention, resources distribution, an</w:t>
      </w:r>
      <w:r w:rsidR="00DC537E">
        <w:rPr>
          <w:rFonts w:cs="Arial"/>
          <w:szCs w:val="22"/>
        </w:rPr>
        <w:t>d holistic recovery strategies.</w:t>
      </w:r>
    </w:p>
    <w:p w14:paraId="4371284B" w14:textId="77777777" w:rsidR="009C293F" w:rsidRPr="00DC537E" w:rsidRDefault="009C293F" w:rsidP="00DC537E">
      <w:pPr>
        <w:rPr>
          <w:rFonts w:cs="Arial"/>
          <w:szCs w:val="22"/>
        </w:rPr>
      </w:pPr>
      <w:r w:rsidRPr="00DC537E">
        <w:rPr>
          <w:rFonts w:cs="Arial"/>
          <w:szCs w:val="22"/>
        </w:rPr>
        <w:br w:type="page"/>
      </w:r>
    </w:p>
    <w:p w14:paraId="6723A1C8" w14:textId="77777777" w:rsidR="009C293F" w:rsidRPr="00DC537E" w:rsidRDefault="009C293F" w:rsidP="00DC537E">
      <w:pPr>
        <w:pStyle w:val="Heading1"/>
        <w:rPr>
          <w:rFonts w:cs="Arial"/>
        </w:rPr>
      </w:pPr>
      <w:bookmarkStart w:id="26" w:name="_Toc208935522"/>
      <w:r w:rsidRPr="00DC537E">
        <w:rPr>
          <w:rFonts w:cs="Arial"/>
        </w:rPr>
        <w:lastRenderedPageBreak/>
        <w:t>References</w:t>
      </w:r>
      <w:bookmarkEnd w:id="26"/>
    </w:p>
    <w:p w14:paraId="5D025C02" w14:textId="1BEF3967" w:rsidR="00C966EB" w:rsidRPr="00DC537E" w:rsidRDefault="008C432A" w:rsidP="00DC537E">
      <w:pPr>
        <w:rPr>
          <w:rFonts w:cs="Arial"/>
          <w:szCs w:val="22"/>
        </w:rPr>
      </w:pPr>
      <w:r>
        <w:rPr>
          <w:rFonts w:cs="Arial"/>
          <w:szCs w:val="22"/>
        </w:rPr>
        <w:t>A</w:t>
      </w:r>
      <w:r w:rsidR="00C966EB" w:rsidRPr="00DC537E">
        <w:rPr>
          <w:rFonts w:cs="Arial"/>
          <w:szCs w:val="22"/>
        </w:rPr>
        <w:t>cademic.oup.com (2025). Available at: https://academic.oup.com/book/43953/chapter-abstract/369590066?redirectedFrom=fulltext&amp;login=false (Accessed:  September 2025).</w:t>
      </w:r>
    </w:p>
    <w:p w14:paraId="3E909736" w14:textId="76B4624E" w:rsidR="00C966EB" w:rsidRPr="00DC537E" w:rsidRDefault="00C966EB" w:rsidP="00DC537E">
      <w:pPr>
        <w:rPr>
          <w:rFonts w:cs="Arial"/>
          <w:szCs w:val="22"/>
        </w:rPr>
      </w:pPr>
      <w:r w:rsidRPr="00DC537E">
        <w:rPr>
          <w:rFonts w:cs="Arial"/>
          <w:szCs w:val="22"/>
        </w:rPr>
        <w:t>Archived Petition: Increase funding for eating disorder treatment in the community and inpatient (2021) Petitions - UK Government and Parliament. Available at: https://petition.parliament.uk/archived/petitions/573136? (Accessed:  September 2025).</w:t>
      </w:r>
    </w:p>
    <w:p w14:paraId="4C05CE54" w14:textId="7FEBE78C" w:rsidR="00C966EB" w:rsidRPr="00DC537E" w:rsidRDefault="00C966EB" w:rsidP="00DC537E">
      <w:pPr>
        <w:rPr>
          <w:rFonts w:cs="Arial"/>
          <w:szCs w:val="22"/>
        </w:rPr>
      </w:pPr>
      <w:r w:rsidRPr="00DC537E">
        <w:rPr>
          <w:rFonts w:cs="Arial"/>
          <w:szCs w:val="22"/>
        </w:rPr>
        <w:t>Bda (2025) </w:t>
      </w:r>
      <w:r w:rsidRPr="00DC537E">
        <w:rPr>
          <w:rFonts w:cs="Arial"/>
          <w:i/>
          <w:iCs/>
          <w:szCs w:val="22"/>
        </w:rPr>
        <w:t>Children and Young people with Avoidant Restrictive Food Intake Disorder (ARFID)</w:t>
      </w:r>
      <w:r w:rsidRPr="00DC537E">
        <w:rPr>
          <w:rFonts w:cs="Arial"/>
          <w:szCs w:val="22"/>
        </w:rPr>
        <w:t>, </w:t>
      </w:r>
      <w:r w:rsidRPr="00DC537E">
        <w:rPr>
          <w:rFonts w:cs="Arial"/>
          <w:i/>
          <w:iCs/>
          <w:szCs w:val="22"/>
        </w:rPr>
        <w:t>BDA</w:t>
      </w:r>
      <w:r w:rsidRPr="00DC537E">
        <w:rPr>
          <w:rFonts w:cs="Arial"/>
          <w:szCs w:val="22"/>
        </w:rPr>
        <w:t>. Available at: https://www.bda.uk.com/resource-report/children-and-young-people-with-avoidant-restrictive-food-intake-disorder-arfid.html (Accessed:  September 2025).</w:t>
      </w:r>
    </w:p>
    <w:p w14:paraId="15C952F2" w14:textId="386B2B1E" w:rsidR="00C966EB" w:rsidRPr="00DC537E" w:rsidRDefault="00C966EB" w:rsidP="00DC537E">
      <w:pPr>
        <w:rPr>
          <w:rFonts w:cs="Arial"/>
          <w:szCs w:val="22"/>
        </w:rPr>
      </w:pPr>
      <w:r w:rsidRPr="00DC537E">
        <w:rPr>
          <w:rFonts w:cs="Arial"/>
          <w:szCs w:val="22"/>
        </w:rPr>
        <w:t xml:space="preserve">Campbell, D. (2024). </w:t>
      </w:r>
      <w:r w:rsidRPr="00DC537E">
        <w:rPr>
          <w:rFonts w:cs="Arial"/>
          <w:i/>
          <w:iCs/>
          <w:szCs w:val="22"/>
        </w:rPr>
        <w:t>UK eating disorder charity says calls from people with Arfid have risen sevenfold</w:t>
      </w:r>
      <w:r w:rsidRPr="00DC537E">
        <w:rPr>
          <w:rFonts w:cs="Arial"/>
          <w:szCs w:val="22"/>
        </w:rPr>
        <w:t>. [online] the Guardian. Available at: https://www.theguardian.com/society/2024/feb/26/uk-eating-disorder-arfid-avoidant-restrictive-food-intake-disorder-nhs? [Accessed  Sep. 2025].</w:t>
      </w:r>
    </w:p>
    <w:p w14:paraId="677FCD00" w14:textId="77777777" w:rsidR="00C966EB" w:rsidRPr="00DC537E" w:rsidRDefault="00C966EB" w:rsidP="00DC537E">
      <w:pPr>
        <w:rPr>
          <w:rFonts w:cs="Arial"/>
          <w:szCs w:val="22"/>
        </w:rPr>
      </w:pPr>
      <w:r w:rsidRPr="00DC537E">
        <w:rPr>
          <w:rFonts w:cs="Arial"/>
          <w:szCs w:val="22"/>
        </w:rPr>
        <w:t>Davey, E., Allen, K., Bennett, S. D., Bryant-Waugh, R., Clarke, T., Cooper, Z., Dixon-Ward, K., Dudley, J., Eisler, I., Griffiths, J., Hill, A. J., Micali, N., Murphy, R., Picek, I., Rea, R., Schmidt, U., Simic, M., Tchanturia, K., Traviss-Turner, G., Treasure, J., Turner, H., Wade, T., Waller, G. and Shafran, R. (2021) ‘</w:t>
      </w:r>
      <w:r w:rsidRPr="00DC537E">
        <w:rPr>
          <w:rFonts w:cs="Arial"/>
          <w:iCs/>
          <w:szCs w:val="22"/>
        </w:rPr>
        <w:t>Improving programme-led and focused interventions for eating disorders: An experts’ consensus statement-A UK perspective</w:t>
      </w:r>
      <w:r w:rsidRPr="00DC537E">
        <w:rPr>
          <w:rFonts w:cs="Arial"/>
          <w:szCs w:val="22"/>
        </w:rPr>
        <w:t>, </w:t>
      </w:r>
      <w:r w:rsidRPr="00DC537E">
        <w:rPr>
          <w:rFonts w:cs="Arial"/>
          <w:iCs/>
          <w:szCs w:val="22"/>
        </w:rPr>
        <w:t>European eating disorders review : the journal of the Eating Disorders Association’</w:t>
      </w:r>
      <w:r w:rsidRPr="00DC537E">
        <w:rPr>
          <w:rFonts w:cs="Arial"/>
          <w:szCs w:val="22"/>
        </w:rPr>
        <w:t>. U.S. National Library of Medicine. Available at: https://pmc.ncbi.nlm.nih.gov/articles/PMC10947440/ (Accessed: 16 September 2025).</w:t>
      </w:r>
    </w:p>
    <w:p w14:paraId="2CE876F5" w14:textId="549AC47B" w:rsidR="00C966EB" w:rsidRPr="00DC537E" w:rsidRDefault="00C966EB" w:rsidP="00DC537E">
      <w:pPr>
        <w:rPr>
          <w:rFonts w:cs="Arial"/>
          <w:szCs w:val="22"/>
        </w:rPr>
      </w:pPr>
      <w:r w:rsidRPr="00DC537E">
        <w:rPr>
          <w:rFonts w:cs="Arial"/>
          <w:i/>
          <w:iCs/>
          <w:szCs w:val="22"/>
        </w:rPr>
        <w:t>Eating, eating disorders and autism: What is autism?: Autistica</w:t>
      </w:r>
      <w:r w:rsidRPr="00DC537E">
        <w:rPr>
          <w:rFonts w:cs="Arial"/>
          <w:szCs w:val="22"/>
        </w:rPr>
        <w:t> (2025) </w:t>
      </w:r>
      <w:r w:rsidRPr="00DC537E">
        <w:rPr>
          <w:rFonts w:cs="Arial"/>
          <w:i/>
          <w:iCs/>
          <w:szCs w:val="22"/>
        </w:rPr>
        <w:t>Autistica</w:t>
      </w:r>
      <w:r w:rsidRPr="00DC537E">
        <w:rPr>
          <w:rFonts w:cs="Arial"/>
          <w:szCs w:val="22"/>
        </w:rPr>
        <w:t>. Available at: https://www.autistica.org.uk/what-is-autism/eating-eating-disorders-and-autism? (Accessed:  September 2025).</w:t>
      </w:r>
    </w:p>
    <w:p w14:paraId="6D285571" w14:textId="1F0B5342" w:rsidR="00C966EB" w:rsidRPr="00DC537E" w:rsidRDefault="00C966EB" w:rsidP="00DC537E">
      <w:pPr>
        <w:rPr>
          <w:rFonts w:cs="Arial"/>
          <w:szCs w:val="22"/>
        </w:rPr>
      </w:pPr>
      <w:r w:rsidRPr="00DC537E">
        <w:rPr>
          <w:rFonts w:cs="Arial"/>
          <w:szCs w:val="22"/>
        </w:rPr>
        <w:t xml:space="preserve">Harbottle, E. (2023) </w:t>
      </w:r>
      <w:r w:rsidRPr="00DC537E">
        <w:rPr>
          <w:rFonts w:cs="Arial"/>
          <w:i/>
          <w:iCs/>
          <w:szCs w:val="22"/>
        </w:rPr>
        <w:t>Young people with eating disorders in England on the rise</w:t>
      </w:r>
      <w:r w:rsidRPr="00DC537E">
        <w:rPr>
          <w:rFonts w:cs="Arial"/>
          <w:szCs w:val="22"/>
        </w:rPr>
        <w:t xml:space="preserve">, </w:t>
      </w:r>
      <w:r w:rsidRPr="00DC537E">
        <w:rPr>
          <w:rFonts w:cs="Arial"/>
          <w:i/>
          <w:iCs/>
          <w:szCs w:val="22"/>
        </w:rPr>
        <w:t>Children’s Commissioner for England</w:t>
      </w:r>
      <w:r w:rsidRPr="00DC537E">
        <w:rPr>
          <w:rFonts w:cs="Arial"/>
          <w:szCs w:val="22"/>
        </w:rPr>
        <w:t>. Available at: https://www.childrenscommissioner.gov.uk/blog/young-people-with-eating-disorders-in-england-on-the-rise/ (Accessed:  September 2025).</w:t>
      </w:r>
    </w:p>
    <w:p w14:paraId="3F62B1FC" w14:textId="5BCEDC6D" w:rsidR="00C966EB" w:rsidRPr="00DC537E" w:rsidRDefault="00C966EB" w:rsidP="00DC537E">
      <w:pPr>
        <w:rPr>
          <w:rFonts w:cs="Arial"/>
          <w:szCs w:val="22"/>
        </w:rPr>
      </w:pPr>
      <w:r w:rsidRPr="00DC537E">
        <w:rPr>
          <w:rFonts w:cs="Arial"/>
          <w:szCs w:val="22"/>
        </w:rPr>
        <w:lastRenderedPageBreak/>
        <w:t xml:space="preserve">International Classification of Diseases (2025) </w:t>
      </w:r>
      <w:r w:rsidRPr="00DC537E">
        <w:rPr>
          <w:rFonts w:cs="Arial"/>
          <w:i/>
          <w:iCs/>
          <w:szCs w:val="22"/>
        </w:rPr>
        <w:t>INTERNATIONAL CLASSIFICATION OF DISEASES -Mortality and Morbidity Statistics</w:t>
      </w:r>
      <w:r w:rsidRPr="00DC537E">
        <w:rPr>
          <w:rFonts w:cs="Arial"/>
          <w:szCs w:val="22"/>
        </w:rPr>
        <w:t>. Available at: https://faculty.ksu.edu.sa/sites/default/files/icd11_mms-en-06.pdf (Accessed</w:t>
      </w:r>
      <w:r w:rsidR="00EE1880">
        <w:rPr>
          <w:rFonts w:cs="Arial"/>
          <w:szCs w:val="22"/>
        </w:rPr>
        <w:t xml:space="preserve">; </w:t>
      </w:r>
      <w:r w:rsidRPr="00DC537E">
        <w:rPr>
          <w:rFonts w:cs="Arial"/>
          <w:szCs w:val="22"/>
        </w:rPr>
        <w:t>September 2025).</w:t>
      </w:r>
    </w:p>
    <w:p w14:paraId="4852D39C" w14:textId="31F516E2" w:rsidR="00C966EB" w:rsidRPr="00DC537E" w:rsidRDefault="00C966EB" w:rsidP="00DC537E">
      <w:pPr>
        <w:rPr>
          <w:rFonts w:cs="Arial"/>
          <w:szCs w:val="22"/>
        </w:rPr>
      </w:pPr>
      <w:r w:rsidRPr="00DC537E">
        <w:rPr>
          <w:rFonts w:cs="Arial"/>
          <w:szCs w:val="22"/>
        </w:rPr>
        <w:t>King’s College London (2021) Neurodivergent friendly resources for eating disorder care: PEACE+ (toolkit), King’s College London. Available at: https://www.kcl.ac.uk/research/neurodivergent-friendly-resources-for-eating-disorder-care-peace-toolkit (Accessed: September 2025).</w:t>
      </w:r>
    </w:p>
    <w:p w14:paraId="2C8CD0F4" w14:textId="77777777" w:rsidR="00C966EB" w:rsidRPr="00DC537E" w:rsidRDefault="00C966EB" w:rsidP="00DC537E">
      <w:pPr>
        <w:rPr>
          <w:rFonts w:cs="Arial"/>
          <w:szCs w:val="22"/>
        </w:rPr>
      </w:pPr>
      <w:r w:rsidRPr="00DC537E">
        <w:rPr>
          <w:rFonts w:cs="Arial"/>
          <w:szCs w:val="22"/>
        </w:rPr>
        <w:t xml:space="preserve">Mohajan, D. and Mohajan, H.K. (2023) ‘Bulimia Nervosa: A Psychiatric Problem of Disorder’, </w:t>
      </w:r>
      <w:r w:rsidRPr="00DC537E">
        <w:rPr>
          <w:rFonts w:cs="Arial"/>
          <w:i/>
          <w:iCs/>
          <w:szCs w:val="22"/>
        </w:rPr>
        <w:t>Innovation in Science and Technology</w:t>
      </w:r>
      <w:r w:rsidRPr="00DC537E">
        <w:rPr>
          <w:rFonts w:cs="Arial"/>
          <w:szCs w:val="22"/>
        </w:rPr>
        <w:t>, 2(3), pp. 26–32. Available at: https://www.paradigmpress.org/ist/article/view/582.</w:t>
      </w:r>
    </w:p>
    <w:p w14:paraId="3138ECD8" w14:textId="77777777" w:rsidR="00C966EB" w:rsidRPr="00DC537E" w:rsidRDefault="00C966EB" w:rsidP="00DC537E">
      <w:pPr>
        <w:rPr>
          <w:rFonts w:cs="Arial"/>
          <w:szCs w:val="22"/>
        </w:rPr>
      </w:pPr>
      <w:r w:rsidRPr="00DC537E">
        <w:rPr>
          <w:rFonts w:cs="Arial"/>
          <w:szCs w:val="22"/>
        </w:rPr>
        <w:t xml:space="preserve">National Institute for Health and Care Excellence (2020). </w:t>
      </w:r>
      <w:r w:rsidRPr="00DC537E">
        <w:rPr>
          <w:rFonts w:cs="Arial"/>
          <w:i/>
          <w:iCs/>
          <w:szCs w:val="22"/>
        </w:rPr>
        <w:t>Recommendations | Eating disorders: recognition and treatment | Guidance | NICE</w:t>
      </w:r>
      <w:r w:rsidRPr="00DC537E">
        <w:rPr>
          <w:rFonts w:cs="Arial"/>
          <w:szCs w:val="22"/>
        </w:rPr>
        <w:t>. [online] Nice.org.uk. Available at: https://www.nice.org.uk/guidance/ng69/chapter/Recommendations.</w:t>
      </w:r>
      <w:r w:rsidRPr="00DC537E">
        <w:rPr>
          <w:rFonts w:cs="Arial"/>
          <w:szCs w:val="22"/>
          <w:lang w:eastAsia="en-IN"/>
        </w:rPr>
        <w:t xml:space="preserve"> (Accessed: 16 September 2025)</w:t>
      </w:r>
    </w:p>
    <w:p w14:paraId="6FE2E9E4" w14:textId="77777777" w:rsidR="00C966EB" w:rsidRPr="00DC537E" w:rsidRDefault="00C966EB" w:rsidP="00DC537E">
      <w:pPr>
        <w:rPr>
          <w:rFonts w:cs="Arial"/>
          <w:szCs w:val="22"/>
        </w:rPr>
      </w:pPr>
      <w:r w:rsidRPr="00DC537E">
        <w:rPr>
          <w:rFonts w:cs="Arial"/>
          <w:szCs w:val="22"/>
        </w:rPr>
        <w:t xml:space="preserve">NHS (2022) ‘NHS Treating Record Number of Young People for Eating Disorders’, </w:t>
      </w:r>
      <w:r w:rsidRPr="00DC537E">
        <w:rPr>
          <w:rFonts w:cs="Arial"/>
          <w:i/>
          <w:iCs/>
          <w:szCs w:val="22"/>
        </w:rPr>
        <w:t>NHS England</w:t>
      </w:r>
      <w:r w:rsidRPr="00DC537E">
        <w:rPr>
          <w:rFonts w:cs="Arial"/>
          <w:szCs w:val="22"/>
        </w:rPr>
        <w:t>, 7 March. Available at: https://www.england.nhs.uk/2022/03/nhs-treating-record-number-of-young-people-for-eating-disorders/ (Accessed: 16 September 2025).</w:t>
      </w:r>
    </w:p>
    <w:p w14:paraId="6F33BE58" w14:textId="0062C819" w:rsidR="00C966EB" w:rsidRPr="00DC537E" w:rsidRDefault="00C966EB" w:rsidP="00DC537E">
      <w:pPr>
        <w:rPr>
          <w:rFonts w:cs="Arial"/>
          <w:szCs w:val="22"/>
        </w:rPr>
      </w:pPr>
      <w:r w:rsidRPr="00DC537E">
        <w:rPr>
          <w:rFonts w:cs="Arial"/>
          <w:szCs w:val="22"/>
        </w:rPr>
        <w:t xml:space="preserve">NHS (2023) </w:t>
      </w:r>
      <w:r w:rsidRPr="00DC537E">
        <w:rPr>
          <w:rFonts w:cs="Arial"/>
          <w:i/>
          <w:iCs/>
          <w:szCs w:val="22"/>
        </w:rPr>
        <w:t>NHS England» Annex: Operational performance update</w:t>
      </w:r>
      <w:r w:rsidRPr="00DC537E">
        <w:rPr>
          <w:rFonts w:cs="Arial"/>
          <w:szCs w:val="22"/>
        </w:rPr>
        <w:t xml:space="preserve">, </w:t>
      </w:r>
      <w:r w:rsidRPr="00DC537E">
        <w:rPr>
          <w:rFonts w:cs="Arial"/>
          <w:i/>
          <w:iCs/>
          <w:szCs w:val="22"/>
        </w:rPr>
        <w:t>England.nhs.uk</w:t>
      </w:r>
      <w:r w:rsidRPr="00DC537E">
        <w:rPr>
          <w:rFonts w:cs="Arial"/>
          <w:szCs w:val="22"/>
        </w:rPr>
        <w:t>. Available at: https://www.england.nhs.uk/long-read/annex-operational-performance-update/ (Accessed September 2025).</w:t>
      </w:r>
    </w:p>
    <w:p w14:paraId="2F1A332D" w14:textId="7E8F9543" w:rsidR="00C966EB" w:rsidRPr="00DC537E" w:rsidRDefault="00C966EB" w:rsidP="00DC537E">
      <w:pPr>
        <w:rPr>
          <w:rFonts w:cs="Arial"/>
          <w:szCs w:val="22"/>
        </w:rPr>
      </w:pPr>
      <w:r w:rsidRPr="00DC537E">
        <w:rPr>
          <w:rFonts w:cs="Arial"/>
          <w:szCs w:val="22"/>
        </w:rPr>
        <w:t xml:space="preserve">NHS (2025) </w:t>
      </w:r>
      <w:r w:rsidRPr="00DC537E">
        <w:rPr>
          <w:rFonts w:cs="Arial"/>
          <w:i/>
          <w:iCs/>
          <w:szCs w:val="22"/>
        </w:rPr>
        <w:t>NHS Long Term Plan</w:t>
      </w:r>
      <w:r w:rsidRPr="00DC537E">
        <w:rPr>
          <w:rFonts w:cs="Arial"/>
          <w:szCs w:val="22"/>
        </w:rPr>
        <w:t xml:space="preserve">, </w:t>
      </w:r>
      <w:r w:rsidRPr="00DC537E">
        <w:rPr>
          <w:rFonts w:cs="Arial"/>
          <w:i/>
          <w:iCs/>
          <w:szCs w:val="22"/>
        </w:rPr>
        <w:t>NHS England</w:t>
      </w:r>
      <w:r w:rsidRPr="00DC537E">
        <w:rPr>
          <w:rFonts w:cs="Arial"/>
          <w:szCs w:val="22"/>
        </w:rPr>
        <w:t>. Available at: https://www.longtermplan.nhs.uk/ (Accessed:  September 2025).</w:t>
      </w:r>
    </w:p>
    <w:p w14:paraId="1B2A0CE8" w14:textId="77777777" w:rsidR="00C966EB" w:rsidRPr="00DC537E" w:rsidRDefault="00C966EB" w:rsidP="00DC537E">
      <w:pPr>
        <w:rPr>
          <w:rFonts w:cs="Arial"/>
          <w:szCs w:val="22"/>
        </w:rPr>
      </w:pPr>
      <w:r w:rsidRPr="00DC537E">
        <w:rPr>
          <w:rFonts w:cs="Arial"/>
          <w:szCs w:val="22"/>
        </w:rPr>
        <w:t xml:space="preserve">Noorain, S., Scaparra, M.P. and Kotiadis, K. (2022) ‘Mind the gap: a review of optimisation in mental healthcare service delivery’, </w:t>
      </w:r>
      <w:r w:rsidRPr="00DC537E">
        <w:rPr>
          <w:rFonts w:cs="Arial"/>
          <w:i/>
          <w:iCs/>
          <w:szCs w:val="22"/>
        </w:rPr>
        <w:t>Health Systems</w:t>
      </w:r>
      <w:r w:rsidRPr="00DC537E">
        <w:rPr>
          <w:rFonts w:cs="Arial"/>
          <w:szCs w:val="22"/>
        </w:rPr>
        <w:t>, 12(2), pp. 1–34. Available at: https://doi.org/10.1080/20476965.2022.2035260.</w:t>
      </w:r>
    </w:p>
    <w:p w14:paraId="373DE5AA" w14:textId="77777777" w:rsidR="00C966EB" w:rsidRPr="00DC537E" w:rsidRDefault="00C966EB" w:rsidP="00DC537E">
      <w:pPr>
        <w:rPr>
          <w:rFonts w:cs="Arial"/>
          <w:szCs w:val="22"/>
        </w:rPr>
      </w:pPr>
      <w:r w:rsidRPr="00DC537E">
        <w:rPr>
          <w:rFonts w:cs="Arial"/>
          <w:szCs w:val="22"/>
        </w:rPr>
        <w:t xml:space="preserve">ONS (2022) </w:t>
      </w:r>
      <w:r w:rsidRPr="00DC537E">
        <w:rPr>
          <w:rFonts w:cs="Arial"/>
          <w:i/>
          <w:iCs/>
          <w:szCs w:val="22"/>
        </w:rPr>
        <w:t>UK Health Indicators - Office for National Statistics</w:t>
      </w:r>
      <w:r w:rsidRPr="00DC537E">
        <w:rPr>
          <w:rFonts w:cs="Arial"/>
          <w:szCs w:val="22"/>
        </w:rPr>
        <w:t xml:space="preserve">, </w:t>
      </w:r>
      <w:r w:rsidRPr="00DC537E">
        <w:rPr>
          <w:rFonts w:cs="Arial"/>
          <w:i/>
          <w:iCs/>
          <w:szCs w:val="22"/>
        </w:rPr>
        <w:t>Office for National Statistics</w:t>
      </w:r>
      <w:r w:rsidRPr="00DC537E">
        <w:rPr>
          <w:rFonts w:cs="Arial"/>
          <w:szCs w:val="22"/>
        </w:rPr>
        <w:t xml:space="preserve">. Available at: </w:t>
      </w:r>
      <w:r w:rsidRPr="00DC537E">
        <w:rPr>
          <w:rFonts w:cs="Arial"/>
          <w:szCs w:val="22"/>
        </w:rPr>
        <w:lastRenderedPageBreak/>
        <w:t>https://www.ons.gov.uk/peoplepopulationandcommunity/healthandsocialcare/healthandlifeexpectancies/bulletins/ukhealthindicators/2019to2020.</w:t>
      </w:r>
    </w:p>
    <w:p w14:paraId="5CA08C3D" w14:textId="69BED98C" w:rsidR="00C966EB" w:rsidRPr="00DC537E" w:rsidRDefault="00C966EB" w:rsidP="00DC537E">
      <w:pPr>
        <w:rPr>
          <w:rFonts w:cs="Arial"/>
          <w:szCs w:val="22"/>
        </w:rPr>
      </w:pPr>
      <w:r w:rsidRPr="00DC537E">
        <w:rPr>
          <w:rFonts w:cs="Arial"/>
          <w:szCs w:val="22"/>
        </w:rPr>
        <w:t xml:space="preserve">research.co.uk (2025). </w:t>
      </w:r>
      <w:r w:rsidRPr="00DC537E">
        <w:rPr>
          <w:rFonts w:cs="Arial"/>
          <w:i/>
          <w:iCs/>
          <w:szCs w:val="22"/>
        </w:rPr>
        <w:t>The co-occurrence of autism and avoidant/restrictive food intake disorder (ARFID): a prevalence-based meta-analysis | EDAC</w:t>
      </w:r>
      <w:r w:rsidRPr="00DC537E">
        <w:rPr>
          <w:rFonts w:cs="Arial"/>
          <w:szCs w:val="22"/>
        </w:rPr>
        <w:t xml:space="preserve">. [online] Edacresearch.co.uk. Available at: https://edacresearch.co.uk/publications/26/the-co-occurrence-of-autism-and-avoidant-restrictive-food-intake-disorder-arfid-a-prevalence-based-meta-analysis? </w:t>
      </w:r>
      <w:r w:rsidRPr="00DC537E">
        <w:rPr>
          <w:rFonts w:cs="Arial"/>
          <w:szCs w:val="22"/>
          <w:lang w:eastAsia="en-IN"/>
        </w:rPr>
        <w:t>(Accessed:  September 2025)</w:t>
      </w:r>
      <w:r w:rsidRPr="00DC537E">
        <w:rPr>
          <w:rFonts w:cs="Arial"/>
          <w:szCs w:val="22"/>
        </w:rPr>
        <w:t>.</w:t>
      </w:r>
    </w:p>
    <w:p w14:paraId="1630E611" w14:textId="77777777" w:rsidR="00C966EB" w:rsidRPr="00DC537E" w:rsidRDefault="00C966EB" w:rsidP="00DC537E">
      <w:pPr>
        <w:rPr>
          <w:rFonts w:cs="Arial"/>
          <w:szCs w:val="22"/>
        </w:rPr>
      </w:pPr>
      <w:r w:rsidRPr="00DC537E">
        <w:rPr>
          <w:rFonts w:cs="Arial"/>
          <w:szCs w:val="22"/>
        </w:rPr>
        <w:t xml:space="preserve">Royal College of Psychiatrists (2022) </w:t>
      </w:r>
      <w:r w:rsidRPr="00DC537E">
        <w:rPr>
          <w:rFonts w:cs="Arial"/>
          <w:i/>
          <w:iCs/>
          <w:szCs w:val="22"/>
        </w:rPr>
        <w:t>Hospital admissions for eating disorders increased by 84% in the last five years</w:t>
      </w:r>
      <w:r w:rsidRPr="00DC537E">
        <w:rPr>
          <w:rFonts w:cs="Arial"/>
          <w:szCs w:val="22"/>
        </w:rPr>
        <w:t xml:space="preserve">, </w:t>
      </w:r>
      <w:r w:rsidRPr="00DC537E">
        <w:rPr>
          <w:rFonts w:cs="Arial"/>
          <w:i/>
          <w:iCs/>
          <w:szCs w:val="22"/>
        </w:rPr>
        <w:t>www.rcpsych.ac.uk</w:t>
      </w:r>
      <w:r w:rsidRPr="00DC537E">
        <w:rPr>
          <w:rFonts w:cs="Arial"/>
          <w:szCs w:val="22"/>
        </w:rPr>
        <w:t>. Available at: https://www.rcpsych.ac.uk/news-and-features/latest-news/detail/2022/05/18/hospital-admissions-for-eating-disorders-increased-by-84-in-the-last-five-years.</w:t>
      </w:r>
    </w:p>
    <w:p w14:paraId="6CF6CED9" w14:textId="3909A2C4" w:rsidR="00C966EB" w:rsidRPr="00DC537E" w:rsidRDefault="00C966EB" w:rsidP="00DC537E">
      <w:pPr>
        <w:rPr>
          <w:rFonts w:cs="Arial"/>
          <w:szCs w:val="22"/>
        </w:rPr>
      </w:pPr>
      <w:r w:rsidRPr="00DC537E">
        <w:rPr>
          <w:rFonts w:cs="Arial"/>
          <w:szCs w:val="22"/>
        </w:rPr>
        <w:t xml:space="preserve">Shetty, V. (2012). </w:t>
      </w:r>
      <w:r w:rsidRPr="00DC537E">
        <w:rPr>
          <w:rFonts w:cs="Arial"/>
          <w:i/>
          <w:iCs/>
          <w:szCs w:val="22"/>
        </w:rPr>
        <w:t>Clinical review: Eating disorders</w:t>
      </w:r>
      <w:r w:rsidRPr="00DC537E">
        <w:rPr>
          <w:rFonts w:cs="Arial"/>
          <w:szCs w:val="22"/>
        </w:rPr>
        <w:t xml:space="preserve">. [online] Gponline.com. Available at: https://www.gponline.com/clinical-review-eating-disorders/mental-health/mental-health/article/1111690? </w:t>
      </w:r>
      <w:r w:rsidRPr="00DC537E">
        <w:rPr>
          <w:rFonts w:cs="Arial"/>
          <w:szCs w:val="22"/>
          <w:lang w:eastAsia="en-IN"/>
        </w:rPr>
        <w:t xml:space="preserve">(Accessed:  </w:t>
      </w:r>
      <w:r w:rsidR="008C432A">
        <w:rPr>
          <w:rFonts w:cs="Arial"/>
          <w:szCs w:val="22"/>
          <w:lang w:eastAsia="en-IN"/>
        </w:rPr>
        <w:t>September</w:t>
      </w:r>
      <w:r w:rsidRPr="00DC537E">
        <w:rPr>
          <w:rFonts w:cs="Arial"/>
          <w:szCs w:val="22"/>
          <w:lang w:eastAsia="en-IN"/>
        </w:rPr>
        <w:t xml:space="preserve"> 2025)</w:t>
      </w:r>
    </w:p>
    <w:p w14:paraId="536A4F45" w14:textId="77777777" w:rsidR="00C966EB" w:rsidRPr="00DC537E" w:rsidRDefault="00C966EB" w:rsidP="00DC537E">
      <w:pPr>
        <w:rPr>
          <w:rFonts w:cs="Arial"/>
          <w:szCs w:val="22"/>
        </w:rPr>
      </w:pPr>
      <w:r w:rsidRPr="00DC537E">
        <w:rPr>
          <w:rFonts w:cs="Arial"/>
          <w:szCs w:val="22"/>
        </w:rPr>
        <w:t xml:space="preserve">Statista (2025) </w:t>
      </w:r>
      <w:r w:rsidRPr="00DC537E">
        <w:rPr>
          <w:rFonts w:cs="Arial"/>
          <w:i/>
          <w:iCs/>
          <w:szCs w:val="22"/>
        </w:rPr>
        <w:t>Overweight prevalence by gender in England 2021</w:t>
      </w:r>
      <w:r w:rsidRPr="00DC537E">
        <w:rPr>
          <w:rFonts w:cs="Arial"/>
          <w:szCs w:val="22"/>
        </w:rPr>
        <w:t xml:space="preserve">, </w:t>
      </w:r>
      <w:r w:rsidRPr="00DC537E">
        <w:rPr>
          <w:rFonts w:cs="Arial"/>
          <w:i/>
          <w:iCs/>
          <w:szCs w:val="22"/>
        </w:rPr>
        <w:t>Statista</w:t>
      </w:r>
      <w:r w:rsidRPr="00DC537E">
        <w:rPr>
          <w:rFonts w:cs="Arial"/>
          <w:szCs w:val="22"/>
        </w:rPr>
        <w:t>. Available at: https://www.statista.com/statistics/334085/overweight-prevalence-england/ (Accessed: 16 September 2025).</w:t>
      </w:r>
    </w:p>
    <w:p w14:paraId="306FEE66" w14:textId="01E87475" w:rsidR="00C966EB" w:rsidRPr="00DC537E" w:rsidRDefault="00C966EB" w:rsidP="00DC537E">
      <w:pPr>
        <w:rPr>
          <w:rFonts w:cs="Arial"/>
          <w:szCs w:val="22"/>
        </w:rPr>
      </w:pPr>
      <w:r w:rsidRPr="00DC537E">
        <w:rPr>
          <w:rFonts w:cs="Arial"/>
          <w:szCs w:val="22"/>
        </w:rPr>
        <w:t xml:space="preserve">Statista (2025) </w:t>
      </w:r>
      <w:r w:rsidRPr="00DC537E">
        <w:rPr>
          <w:rFonts w:cs="Arial"/>
          <w:i/>
          <w:iCs/>
          <w:szCs w:val="22"/>
        </w:rPr>
        <w:t>Share of recovery rate from eating disorders in the United Kingdom (UK) in 2015, by disorder</w:t>
      </w:r>
      <w:r w:rsidRPr="00DC537E">
        <w:rPr>
          <w:rFonts w:cs="Arial"/>
          <w:szCs w:val="22"/>
        </w:rPr>
        <w:t xml:space="preserve">, </w:t>
      </w:r>
      <w:r w:rsidRPr="00DC537E">
        <w:rPr>
          <w:rFonts w:cs="Arial"/>
          <w:i/>
          <w:iCs/>
          <w:szCs w:val="22"/>
        </w:rPr>
        <w:t>Statista</w:t>
      </w:r>
      <w:r w:rsidRPr="00DC537E">
        <w:rPr>
          <w:rFonts w:cs="Arial"/>
          <w:szCs w:val="22"/>
        </w:rPr>
        <w:t>. Available at: https://www.statista.com/statistics/471701/eating-disorders-recovery-rate-united-kingdom/ (Accessed:  September 2025).</w:t>
      </w:r>
    </w:p>
    <w:p w14:paraId="51197AD9" w14:textId="77777777" w:rsidR="00C966EB" w:rsidRPr="00DC537E" w:rsidRDefault="00C966EB" w:rsidP="00DC537E">
      <w:pPr>
        <w:rPr>
          <w:rFonts w:cs="Arial"/>
          <w:szCs w:val="22"/>
        </w:rPr>
      </w:pPr>
      <w:r w:rsidRPr="00DC537E">
        <w:rPr>
          <w:rFonts w:cs="Arial"/>
          <w:szCs w:val="22"/>
        </w:rPr>
        <w:t xml:space="preserve">Stewart, M.P. and Baumann, O. (2024) ‘The Effectiveness of Adolescent-Focused Therapy and Family-Based Therapy for Anorexia Nervosa’, </w:t>
      </w:r>
      <w:r w:rsidRPr="00DC537E">
        <w:rPr>
          <w:rFonts w:cs="Arial"/>
          <w:i/>
          <w:iCs/>
          <w:szCs w:val="22"/>
        </w:rPr>
        <w:t>Psychological Reports</w:t>
      </w:r>
      <w:r w:rsidRPr="00DC537E">
        <w:rPr>
          <w:rFonts w:cs="Arial"/>
          <w:szCs w:val="22"/>
        </w:rPr>
        <w:t xml:space="preserve"> [Preprint]. Available at: https://doi.org/10.1177/00332941241226687.</w:t>
      </w:r>
    </w:p>
    <w:p w14:paraId="598AAEB9" w14:textId="77777777" w:rsidR="00C966EB" w:rsidRPr="00DC537E" w:rsidRDefault="00C966EB" w:rsidP="00DC537E">
      <w:pPr>
        <w:rPr>
          <w:rFonts w:cs="Arial"/>
          <w:szCs w:val="22"/>
        </w:rPr>
      </w:pPr>
      <w:r w:rsidRPr="00DC537E">
        <w:rPr>
          <w:rFonts w:cs="Arial"/>
          <w:szCs w:val="22"/>
        </w:rPr>
        <w:t xml:space="preserve">Uher, R. and Rutter, M. (2012). Classification of feeding and eating disorders: review of evidence and proposals for ICD-11. </w:t>
      </w:r>
      <w:r w:rsidRPr="00DC537E">
        <w:rPr>
          <w:rFonts w:cs="Arial"/>
          <w:i/>
          <w:iCs/>
          <w:szCs w:val="22"/>
        </w:rPr>
        <w:t>World Psychiatry</w:t>
      </w:r>
      <w:r w:rsidRPr="00DC537E">
        <w:rPr>
          <w:rFonts w:cs="Arial"/>
          <w:szCs w:val="22"/>
        </w:rPr>
        <w:t>, 11(2), pp.80–92. Available at: doi:https://doi.org/10.1016/j.wpsyc.2012.05.005.</w:t>
      </w:r>
    </w:p>
    <w:p w14:paraId="385DCB85" w14:textId="77777777" w:rsidR="00C966EB" w:rsidRPr="00DC537E" w:rsidRDefault="00C966EB" w:rsidP="00DC537E">
      <w:pPr>
        <w:rPr>
          <w:rFonts w:cs="Arial"/>
          <w:szCs w:val="22"/>
        </w:rPr>
      </w:pPr>
      <w:r w:rsidRPr="00DC537E">
        <w:rPr>
          <w:rFonts w:cs="Arial"/>
          <w:szCs w:val="22"/>
        </w:rPr>
        <w:t xml:space="preserve">Vrabel, K.R., Waller, G., Goss, K., Wampold, B., Kopland, M. and Hoffart, A. (2024) ‘Cognitive behavioral therapy versus compassion focused therapy for adult patients with eating disorders with and without childhood trauma: A randomized controlled trial in an intensive treatment </w:t>
      </w:r>
      <w:r w:rsidRPr="00DC537E">
        <w:rPr>
          <w:rFonts w:cs="Arial"/>
          <w:szCs w:val="22"/>
        </w:rPr>
        <w:lastRenderedPageBreak/>
        <w:t xml:space="preserve">setting’, </w:t>
      </w:r>
      <w:r w:rsidRPr="00DC537E">
        <w:rPr>
          <w:rFonts w:cs="Arial"/>
          <w:i/>
          <w:iCs/>
          <w:szCs w:val="22"/>
        </w:rPr>
        <w:t>Behaviour Research and Therapy</w:t>
      </w:r>
      <w:r w:rsidRPr="00DC537E">
        <w:rPr>
          <w:rFonts w:cs="Arial"/>
          <w:szCs w:val="22"/>
        </w:rPr>
        <w:t>, 174, pp. 104-480. Available at: https://doi.org/10.1016/j.brat.2024.104480.</w:t>
      </w:r>
    </w:p>
    <w:p w14:paraId="01557EC5" w14:textId="49CA0CB0" w:rsidR="00DA2F99" w:rsidRPr="00DC537E" w:rsidRDefault="00C966EB" w:rsidP="00DC537E">
      <w:pPr>
        <w:rPr>
          <w:rFonts w:cs="Arial"/>
          <w:szCs w:val="22"/>
        </w:rPr>
      </w:pPr>
      <w:r w:rsidRPr="00DC537E">
        <w:rPr>
          <w:rFonts w:cs="Arial"/>
          <w:szCs w:val="22"/>
        </w:rPr>
        <w:t>Watts, R., Archibald, T., Hembry, P., Howard, M., Kelly, C., Loomes, R., Markham, L., Moss, H., Munuve, A., Oros, A., Siddall, A., Rhind, C., Uddin, M., Ahmad, Z., Bryant-Waugh, R. and Hübel, C. (2023) </w:t>
      </w:r>
      <w:r w:rsidRPr="00DC537E">
        <w:rPr>
          <w:rFonts w:cs="Arial"/>
          <w:i/>
          <w:iCs/>
          <w:szCs w:val="22"/>
        </w:rPr>
        <w:t>The clinical presentation of avoidant restrictive food intake disorder in children and adolescents is largely independent of sex, autism spectrum disorder and anxiety traits</w:t>
      </w:r>
      <w:r w:rsidRPr="00DC537E">
        <w:rPr>
          <w:rFonts w:cs="Arial"/>
          <w:szCs w:val="22"/>
        </w:rPr>
        <w:t>, </w:t>
      </w:r>
      <w:r w:rsidRPr="00DC537E">
        <w:rPr>
          <w:rFonts w:cs="Arial"/>
          <w:i/>
          <w:iCs/>
          <w:szCs w:val="22"/>
        </w:rPr>
        <w:t>EClinicalMedicine</w:t>
      </w:r>
      <w:r w:rsidRPr="00DC537E">
        <w:rPr>
          <w:rFonts w:cs="Arial"/>
          <w:szCs w:val="22"/>
        </w:rPr>
        <w:t xml:space="preserve">. U.S. National Library of Medicine. Available at: </w:t>
      </w:r>
      <w:hyperlink r:id="rId17" w:history="1">
        <w:r w:rsidRPr="00DC537E">
          <w:rPr>
            <w:rStyle w:val="Hyperlink"/>
            <w:rFonts w:eastAsiaTheme="majorEastAsia" w:cs="Arial"/>
            <w:szCs w:val="22"/>
          </w:rPr>
          <w:t>https://pmc.ncbi.nlm.nih.gov/articles/PMC10480549</w:t>
        </w:r>
      </w:hyperlink>
      <w:r w:rsidRPr="00DC537E">
        <w:rPr>
          <w:rFonts w:cs="Arial"/>
          <w:szCs w:val="22"/>
        </w:rPr>
        <w:t xml:space="preserve">  (Accessed: September 2025).</w:t>
      </w:r>
    </w:p>
    <w:sectPr w:rsidR="00DA2F99" w:rsidRPr="00DC537E" w:rsidSect="00E500EC">
      <w:footerReference w:type="default" r:id="rId1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87EBBD" w14:textId="77777777" w:rsidR="00CF04AE" w:rsidRDefault="00CF04AE" w:rsidP="00E500EC">
      <w:r>
        <w:separator/>
      </w:r>
    </w:p>
  </w:endnote>
  <w:endnote w:type="continuationSeparator" w:id="0">
    <w:p w14:paraId="4A1AD969" w14:textId="77777777" w:rsidR="00CF04AE" w:rsidRDefault="00CF04AE" w:rsidP="00E500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cs="Arial"/>
        <w:sz w:val="18"/>
      </w:rPr>
      <w:id w:val="-901052142"/>
      <w:docPartObj>
        <w:docPartGallery w:val="Page Numbers (Bottom of Page)"/>
        <w:docPartUnique/>
      </w:docPartObj>
    </w:sdtPr>
    <w:sdtEndPr>
      <w:rPr>
        <w:color w:val="7F7F7F" w:themeColor="background1" w:themeShade="7F"/>
        <w:spacing w:val="60"/>
      </w:rPr>
    </w:sdtEndPr>
    <w:sdtContent>
      <w:p w14:paraId="154F3D0C" w14:textId="77777777" w:rsidR="00E500EC" w:rsidRPr="00E500EC" w:rsidRDefault="00E500EC">
        <w:pPr>
          <w:pStyle w:val="Footer"/>
          <w:pBdr>
            <w:top w:val="single" w:sz="4" w:space="1" w:color="D9D9D9" w:themeColor="background1" w:themeShade="D9"/>
          </w:pBdr>
          <w:jc w:val="right"/>
          <w:rPr>
            <w:rFonts w:cs="Arial"/>
            <w:sz w:val="18"/>
          </w:rPr>
        </w:pPr>
        <w:r w:rsidRPr="00E500EC">
          <w:rPr>
            <w:rFonts w:cs="Arial"/>
            <w:sz w:val="18"/>
          </w:rPr>
          <w:fldChar w:fldCharType="begin"/>
        </w:r>
        <w:r w:rsidRPr="00E500EC">
          <w:rPr>
            <w:rFonts w:cs="Arial"/>
            <w:sz w:val="18"/>
          </w:rPr>
          <w:instrText xml:space="preserve"> PAGE   \* MERGEFORMAT </w:instrText>
        </w:r>
        <w:r w:rsidRPr="00E500EC">
          <w:rPr>
            <w:rFonts w:cs="Arial"/>
            <w:sz w:val="18"/>
          </w:rPr>
          <w:fldChar w:fldCharType="separate"/>
        </w:r>
        <w:r w:rsidR="006F0351">
          <w:rPr>
            <w:rFonts w:cs="Arial"/>
            <w:noProof/>
            <w:sz w:val="18"/>
          </w:rPr>
          <w:t>0</w:t>
        </w:r>
        <w:r w:rsidRPr="00E500EC">
          <w:rPr>
            <w:rFonts w:cs="Arial"/>
            <w:noProof/>
            <w:sz w:val="18"/>
          </w:rPr>
          <w:fldChar w:fldCharType="end"/>
        </w:r>
        <w:r w:rsidRPr="00E500EC">
          <w:rPr>
            <w:rFonts w:cs="Arial"/>
            <w:sz w:val="18"/>
          </w:rPr>
          <w:t xml:space="preserve"> | </w:t>
        </w:r>
        <w:r w:rsidRPr="00E500EC">
          <w:rPr>
            <w:rFonts w:cs="Arial"/>
            <w:color w:val="7F7F7F" w:themeColor="background1" w:themeShade="7F"/>
            <w:spacing w:val="60"/>
            <w:sz w:val="18"/>
          </w:rPr>
          <w:t>Page</w:t>
        </w:r>
      </w:p>
    </w:sdtContent>
  </w:sdt>
  <w:p w14:paraId="1BE5AB3C" w14:textId="77777777" w:rsidR="00E500EC" w:rsidRDefault="00E500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BD4298" w14:textId="77777777" w:rsidR="00CF04AE" w:rsidRDefault="00CF04AE" w:rsidP="00E500EC">
      <w:r>
        <w:separator/>
      </w:r>
    </w:p>
  </w:footnote>
  <w:footnote w:type="continuationSeparator" w:id="0">
    <w:p w14:paraId="568193E8" w14:textId="77777777" w:rsidR="00CF04AE" w:rsidRDefault="00CF04AE" w:rsidP="00E500E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E58CA"/>
    <w:multiLevelType w:val="hybridMultilevel"/>
    <w:tmpl w:val="FD4ABB6A"/>
    <w:lvl w:ilvl="0" w:tplc="F72CF978">
      <w:start w:val="1"/>
      <w:numFmt w:val="bullet"/>
      <w:lvlText w:val=""/>
      <w:lvlJc w:val="left"/>
      <w:pPr>
        <w:ind w:left="720" w:hanging="360"/>
      </w:pPr>
      <w:rPr>
        <w:rFonts w:ascii="Symbol" w:hAnsi="Symbol" w:hint="default"/>
      </w:rPr>
    </w:lvl>
    <w:lvl w:ilvl="1" w:tplc="34F884FE" w:tentative="1">
      <w:start w:val="1"/>
      <w:numFmt w:val="bullet"/>
      <w:lvlText w:val="o"/>
      <w:lvlJc w:val="left"/>
      <w:pPr>
        <w:ind w:left="1440" w:hanging="360"/>
      </w:pPr>
      <w:rPr>
        <w:rFonts w:ascii="Courier New" w:hAnsi="Courier New" w:cs="Courier New" w:hint="default"/>
      </w:rPr>
    </w:lvl>
    <w:lvl w:ilvl="2" w:tplc="8B4A1012" w:tentative="1">
      <w:start w:val="1"/>
      <w:numFmt w:val="bullet"/>
      <w:lvlText w:val=""/>
      <w:lvlJc w:val="left"/>
      <w:pPr>
        <w:ind w:left="2160" w:hanging="360"/>
      </w:pPr>
      <w:rPr>
        <w:rFonts w:ascii="Wingdings" w:hAnsi="Wingdings" w:hint="default"/>
      </w:rPr>
    </w:lvl>
    <w:lvl w:ilvl="3" w:tplc="BE36D53C" w:tentative="1">
      <w:start w:val="1"/>
      <w:numFmt w:val="bullet"/>
      <w:lvlText w:val=""/>
      <w:lvlJc w:val="left"/>
      <w:pPr>
        <w:ind w:left="2880" w:hanging="360"/>
      </w:pPr>
      <w:rPr>
        <w:rFonts w:ascii="Symbol" w:hAnsi="Symbol" w:hint="default"/>
      </w:rPr>
    </w:lvl>
    <w:lvl w:ilvl="4" w:tplc="DCFA0778" w:tentative="1">
      <w:start w:val="1"/>
      <w:numFmt w:val="bullet"/>
      <w:lvlText w:val="o"/>
      <w:lvlJc w:val="left"/>
      <w:pPr>
        <w:ind w:left="3600" w:hanging="360"/>
      </w:pPr>
      <w:rPr>
        <w:rFonts w:ascii="Courier New" w:hAnsi="Courier New" w:cs="Courier New" w:hint="default"/>
      </w:rPr>
    </w:lvl>
    <w:lvl w:ilvl="5" w:tplc="F3CA2572" w:tentative="1">
      <w:start w:val="1"/>
      <w:numFmt w:val="bullet"/>
      <w:lvlText w:val=""/>
      <w:lvlJc w:val="left"/>
      <w:pPr>
        <w:ind w:left="4320" w:hanging="360"/>
      </w:pPr>
      <w:rPr>
        <w:rFonts w:ascii="Wingdings" w:hAnsi="Wingdings" w:hint="default"/>
      </w:rPr>
    </w:lvl>
    <w:lvl w:ilvl="6" w:tplc="02EA3876" w:tentative="1">
      <w:start w:val="1"/>
      <w:numFmt w:val="bullet"/>
      <w:lvlText w:val=""/>
      <w:lvlJc w:val="left"/>
      <w:pPr>
        <w:ind w:left="5040" w:hanging="360"/>
      </w:pPr>
      <w:rPr>
        <w:rFonts w:ascii="Symbol" w:hAnsi="Symbol" w:hint="default"/>
      </w:rPr>
    </w:lvl>
    <w:lvl w:ilvl="7" w:tplc="5D7CD3C8" w:tentative="1">
      <w:start w:val="1"/>
      <w:numFmt w:val="bullet"/>
      <w:lvlText w:val="o"/>
      <w:lvlJc w:val="left"/>
      <w:pPr>
        <w:ind w:left="5760" w:hanging="360"/>
      </w:pPr>
      <w:rPr>
        <w:rFonts w:ascii="Courier New" w:hAnsi="Courier New" w:cs="Courier New" w:hint="default"/>
      </w:rPr>
    </w:lvl>
    <w:lvl w:ilvl="8" w:tplc="3FEA5E4E" w:tentative="1">
      <w:start w:val="1"/>
      <w:numFmt w:val="bullet"/>
      <w:lvlText w:val=""/>
      <w:lvlJc w:val="left"/>
      <w:pPr>
        <w:ind w:left="6480" w:hanging="360"/>
      </w:pPr>
      <w:rPr>
        <w:rFonts w:ascii="Wingdings" w:hAnsi="Wingdings" w:hint="default"/>
      </w:rPr>
    </w:lvl>
  </w:abstractNum>
  <w:abstractNum w:abstractNumId="1" w15:restartNumberingAfterBreak="0">
    <w:nsid w:val="0B0911AE"/>
    <w:multiLevelType w:val="hybridMultilevel"/>
    <w:tmpl w:val="28B85E5C"/>
    <w:lvl w:ilvl="0" w:tplc="F0523612">
      <w:start w:val="1"/>
      <w:numFmt w:val="bullet"/>
      <w:lvlText w:val=""/>
      <w:lvlJc w:val="left"/>
      <w:pPr>
        <w:ind w:left="720" w:hanging="360"/>
      </w:pPr>
      <w:rPr>
        <w:rFonts w:ascii="Symbol" w:hAnsi="Symbol" w:hint="default"/>
      </w:rPr>
    </w:lvl>
    <w:lvl w:ilvl="1" w:tplc="BB10DE7E" w:tentative="1">
      <w:start w:val="1"/>
      <w:numFmt w:val="bullet"/>
      <w:lvlText w:val="o"/>
      <w:lvlJc w:val="left"/>
      <w:pPr>
        <w:ind w:left="1440" w:hanging="360"/>
      </w:pPr>
      <w:rPr>
        <w:rFonts w:ascii="Courier New" w:hAnsi="Courier New" w:cs="Courier New" w:hint="default"/>
      </w:rPr>
    </w:lvl>
    <w:lvl w:ilvl="2" w:tplc="4846229E" w:tentative="1">
      <w:start w:val="1"/>
      <w:numFmt w:val="bullet"/>
      <w:lvlText w:val=""/>
      <w:lvlJc w:val="left"/>
      <w:pPr>
        <w:ind w:left="2160" w:hanging="360"/>
      </w:pPr>
      <w:rPr>
        <w:rFonts w:ascii="Wingdings" w:hAnsi="Wingdings" w:hint="default"/>
      </w:rPr>
    </w:lvl>
    <w:lvl w:ilvl="3" w:tplc="51360E30" w:tentative="1">
      <w:start w:val="1"/>
      <w:numFmt w:val="bullet"/>
      <w:lvlText w:val=""/>
      <w:lvlJc w:val="left"/>
      <w:pPr>
        <w:ind w:left="2880" w:hanging="360"/>
      </w:pPr>
      <w:rPr>
        <w:rFonts w:ascii="Symbol" w:hAnsi="Symbol" w:hint="default"/>
      </w:rPr>
    </w:lvl>
    <w:lvl w:ilvl="4" w:tplc="9E1042E8" w:tentative="1">
      <w:start w:val="1"/>
      <w:numFmt w:val="bullet"/>
      <w:lvlText w:val="o"/>
      <w:lvlJc w:val="left"/>
      <w:pPr>
        <w:ind w:left="3600" w:hanging="360"/>
      </w:pPr>
      <w:rPr>
        <w:rFonts w:ascii="Courier New" w:hAnsi="Courier New" w:cs="Courier New" w:hint="default"/>
      </w:rPr>
    </w:lvl>
    <w:lvl w:ilvl="5" w:tplc="3DD209B2" w:tentative="1">
      <w:start w:val="1"/>
      <w:numFmt w:val="bullet"/>
      <w:lvlText w:val=""/>
      <w:lvlJc w:val="left"/>
      <w:pPr>
        <w:ind w:left="4320" w:hanging="360"/>
      </w:pPr>
      <w:rPr>
        <w:rFonts w:ascii="Wingdings" w:hAnsi="Wingdings" w:hint="default"/>
      </w:rPr>
    </w:lvl>
    <w:lvl w:ilvl="6" w:tplc="747E9828" w:tentative="1">
      <w:start w:val="1"/>
      <w:numFmt w:val="bullet"/>
      <w:lvlText w:val=""/>
      <w:lvlJc w:val="left"/>
      <w:pPr>
        <w:ind w:left="5040" w:hanging="360"/>
      </w:pPr>
      <w:rPr>
        <w:rFonts w:ascii="Symbol" w:hAnsi="Symbol" w:hint="default"/>
      </w:rPr>
    </w:lvl>
    <w:lvl w:ilvl="7" w:tplc="C5C46B6E" w:tentative="1">
      <w:start w:val="1"/>
      <w:numFmt w:val="bullet"/>
      <w:lvlText w:val="o"/>
      <w:lvlJc w:val="left"/>
      <w:pPr>
        <w:ind w:left="5760" w:hanging="360"/>
      </w:pPr>
      <w:rPr>
        <w:rFonts w:ascii="Courier New" w:hAnsi="Courier New" w:cs="Courier New" w:hint="default"/>
      </w:rPr>
    </w:lvl>
    <w:lvl w:ilvl="8" w:tplc="BB6CCB7E" w:tentative="1">
      <w:start w:val="1"/>
      <w:numFmt w:val="bullet"/>
      <w:lvlText w:val=""/>
      <w:lvlJc w:val="left"/>
      <w:pPr>
        <w:ind w:left="6480" w:hanging="360"/>
      </w:pPr>
      <w:rPr>
        <w:rFonts w:ascii="Wingdings" w:hAnsi="Wingdings" w:hint="default"/>
      </w:rPr>
    </w:lvl>
  </w:abstractNum>
  <w:abstractNum w:abstractNumId="2" w15:restartNumberingAfterBreak="0">
    <w:nsid w:val="39C90EC7"/>
    <w:multiLevelType w:val="hybridMultilevel"/>
    <w:tmpl w:val="43C2CC74"/>
    <w:lvl w:ilvl="0" w:tplc="13B6A456">
      <w:start w:val="1"/>
      <w:numFmt w:val="bullet"/>
      <w:lvlText w:val=""/>
      <w:lvlJc w:val="left"/>
      <w:pPr>
        <w:ind w:left="720" w:hanging="360"/>
      </w:pPr>
      <w:rPr>
        <w:rFonts w:ascii="Symbol" w:hAnsi="Symbol" w:hint="default"/>
      </w:rPr>
    </w:lvl>
    <w:lvl w:ilvl="1" w:tplc="F58CB3CE" w:tentative="1">
      <w:start w:val="1"/>
      <w:numFmt w:val="bullet"/>
      <w:lvlText w:val="o"/>
      <w:lvlJc w:val="left"/>
      <w:pPr>
        <w:ind w:left="1440" w:hanging="360"/>
      </w:pPr>
      <w:rPr>
        <w:rFonts w:ascii="Courier New" w:hAnsi="Courier New" w:cs="Courier New" w:hint="default"/>
      </w:rPr>
    </w:lvl>
    <w:lvl w:ilvl="2" w:tplc="6BF65D90" w:tentative="1">
      <w:start w:val="1"/>
      <w:numFmt w:val="bullet"/>
      <w:lvlText w:val=""/>
      <w:lvlJc w:val="left"/>
      <w:pPr>
        <w:ind w:left="2160" w:hanging="360"/>
      </w:pPr>
      <w:rPr>
        <w:rFonts w:ascii="Wingdings" w:hAnsi="Wingdings" w:hint="default"/>
      </w:rPr>
    </w:lvl>
    <w:lvl w:ilvl="3" w:tplc="F9B8B072" w:tentative="1">
      <w:start w:val="1"/>
      <w:numFmt w:val="bullet"/>
      <w:lvlText w:val=""/>
      <w:lvlJc w:val="left"/>
      <w:pPr>
        <w:ind w:left="2880" w:hanging="360"/>
      </w:pPr>
      <w:rPr>
        <w:rFonts w:ascii="Symbol" w:hAnsi="Symbol" w:hint="default"/>
      </w:rPr>
    </w:lvl>
    <w:lvl w:ilvl="4" w:tplc="A54251CA" w:tentative="1">
      <w:start w:val="1"/>
      <w:numFmt w:val="bullet"/>
      <w:lvlText w:val="o"/>
      <w:lvlJc w:val="left"/>
      <w:pPr>
        <w:ind w:left="3600" w:hanging="360"/>
      </w:pPr>
      <w:rPr>
        <w:rFonts w:ascii="Courier New" w:hAnsi="Courier New" w:cs="Courier New" w:hint="default"/>
      </w:rPr>
    </w:lvl>
    <w:lvl w:ilvl="5" w:tplc="1C4E65F0" w:tentative="1">
      <w:start w:val="1"/>
      <w:numFmt w:val="bullet"/>
      <w:lvlText w:val=""/>
      <w:lvlJc w:val="left"/>
      <w:pPr>
        <w:ind w:left="4320" w:hanging="360"/>
      </w:pPr>
      <w:rPr>
        <w:rFonts w:ascii="Wingdings" w:hAnsi="Wingdings" w:hint="default"/>
      </w:rPr>
    </w:lvl>
    <w:lvl w:ilvl="6" w:tplc="27BE1EFA" w:tentative="1">
      <w:start w:val="1"/>
      <w:numFmt w:val="bullet"/>
      <w:lvlText w:val=""/>
      <w:lvlJc w:val="left"/>
      <w:pPr>
        <w:ind w:left="5040" w:hanging="360"/>
      </w:pPr>
      <w:rPr>
        <w:rFonts w:ascii="Symbol" w:hAnsi="Symbol" w:hint="default"/>
      </w:rPr>
    </w:lvl>
    <w:lvl w:ilvl="7" w:tplc="CCEAC1F6" w:tentative="1">
      <w:start w:val="1"/>
      <w:numFmt w:val="bullet"/>
      <w:lvlText w:val="o"/>
      <w:lvlJc w:val="left"/>
      <w:pPr>
        <w:ind w:left="5760" w:hanging="360"/>
      </w:pPr>
      <w:rPr>
        <w:rFonts w:ascii="Courier New" w:hAnsi="Courier New" w:cs="Courier New" w:hint="default"/>
      </w:rPr>
    </w:lvl>
    <w:lvl w:ilvl="8" w:tplc="B0426E1C" w:tentative="1">
      <w:start w:val="1"/>
      <w:numFmt w:val="bullet"/>
      <w:lvlText w:val=""/>
      <w:lvlJc w:val="left"/>
      <w:pPr>
        <w:ind w:left="6480" w:hanging="360"/>
      </w:pPr>
      <w:rPr>
        <w:rFonts w:ascii="Wingdings" w:hAnsi="Wingdings" w:hint="default"/>
      </w:rPr>
    </w:lvl>
  </w:abstractNum>
  <w:abstractNum w:abstractNumId="3" w15:restartNumberingAfterBreak="0">
    <w:nsid w:val="3A662538"/>
    <w:multiLevelType w:val="hybridMultilevel"/>
    <w:tmpl w:val="214A78E0"/>
    <w:lvl w:ilvl="0" w:tplc="FBA20170">
      <w:start w:val="1"/>
      <w:numFmt w:val="bullet"/>
      <w:lvlText w:val=""/>
      <w:lvlJc w:val="left"/>
      <w:pPr>
        <w:ind w:left="720" w:hanging="360"/>
      </w:pPr>
      <w:rPr>
        <w:rFonts w:ascii="Symbol" w:hAnsi="Symbol" w:hint="default"/>
      </w:rPr>
    </w:lvl>
    <w:lvl w:ilvl="1" w:tplc="A3242BBA" w:tentative="1">
      <w:start w:val="1"/>
      <w:numFmt w:val="bullet"/>
      <w:lvlText w:val="o"/>
      <w:lvlJc w:val="left"/>
      <w:pPr>
        <w:ind w:left="1440" w:hanging="360"/>
      </w:pPr>
      <w:rPr>
        <w:rFonts w:ascii="Courier New" w:hAnsi="Courier New" w:cs="Courier New" w:hint="default"/>
      </w:rPr>
    </w:lvl>
    <w:lvl w:ilvl="2" w:tplc="E168F5A8" w:tentative="1">
      <w:start w:val="1"/>
      <w:numFmt w:val="bullet"/>
      <w:lvlText w:val=""/>
      <w:lvlJc w:val="left"/>
      <w:pPr>
        <w:ind w:left="2160" w:hanging="360"/>
      </w:pPr>
      <w:rPr>
        <w:rFonts w:ascii="Wingdings" w:hAnsi="Wingdings" w:hint="default"/>
      </w:rPr>
    </w:lvl>
    <w:lvl w:ilvl="3" w:tplc="C3623E2A" w:tentative="1">
      <w:start w:val="1"/>
      <w:numFmt w:val="bullet"/>
      <w:lvlText w:val=""/>
      <w:lvlJc w:val="left"/>
      <w:pPr>
        <w:ind w:left="2880" w:hanging="360"/>
      </w:pPr>
      <w:rPr>
        <w:rFonts w:ascii="Symbol" w:hAnsi="Symbol" w:hint="default"/>
      </w:rPr>
    </w:lvl>
    <w:lvl w:ilvl="4" w:tplc="5CF8F024" w:tentative="1">
      <w:start w:val="1"/>
      <w:numFmt w:val="bullet"/>
      <w:lvlText w:val="o"/>
      <w:lvlJc w:val="left"/>
      <w:pPr>
        <w:ind w:left="3600" w:hanging="360"/>
      </w:pPr>
      <w:rPr>
        <w:rFonts w:ascii="Courier New" w:hAnsi="Courier New" w:cs="Courier New" w:hint="default"/>
      </w:rPr>
    </w:lvl>
    <w:lvl w:ilvl="5" w:tplc="28F8F76C" w:tentative="1">
      <w:start w:val="1"/>
      <w:numFmt w:val="bullet"/>
      <w:lvlText w:val=""/>
      <w:lvlJc w:val="left"/>
      <w:pPr>
        <w:ind w:left="4320" w:hanging="360"/>
      </w:pPr>
      <w:rPr>
        <w:rFonts w:ascii="Wingdings" w:hAnsi="Wingdings" w:hint="default"/>
      </w:rPr>
    </w:lvl>
    <w:lvl w:ilvl="6" w:tplc="85C2DC0A" w:tentative="1">
      <w:start w:val="1"/>
      <w:numFmt w:val="bullet"/>
      <w:lvlText w:val=""/>
      <w:lvlJc w:val="left"/>
      <w:pPr>
        <w:ind w:left="5040" w:hanging="360"/>
      </w:pPr>
      <w:rPr>
        <w:rFonts w:ascii="Symbol" w:hAnsi="Symbol" w:hint="default"/>
      </w:rPr>
    </w:lvl>
    <w:lvl w:ilvl="7" w:tplc="0B0044A6" w:tentative="1">
      <w:start w:val="1"/>
      <w:numFmt w:val="bullet"/>
      <w:lvlText w:val="o"/>
      <w:lvlJc w:val="left"/>
      <w:pPr>
        <w:ind w:left="5760" w:hanging="360"/>
      </w:pPr>
      <w:rPr>
        <w:rFonts w:ascii="Courier New" w:hAnsi="Courier New" w:cs="Courier New" w:hint="default"/>
      </w:rPr>
    </w:lvl>
    <w:lvl w:ilvl="8" w:tplc="09E8888A" w:tentative="1">
      <w:start w:val="1"/>
      <w:numFmt w:val="bullet"/>
      <w:lvlText w:val=""/>
      <w:lvlJc w:val="left"/>
      <w:pPr>
        <w:ind w:left="6480" w:hanging="360"/>
      </w:pPr>
      <w:rPr>
        <w:rFonts w:ascii="Wingdings" w:hAnsi="Wingdings" w:hint="default"/>
      </w:rPr>
    </w:lvl>
  </w:abstractNum>
  <w:abstractNum w:abstractNumId="4" w15:restartNumberingAfterBreak="0">
    <w:nsid w:val="3C000B2E"/>
    <w:multiLevelType w:val="hybridMultilevel"/>
    <w:tmpl w:val="4D448358"/>
    <w:lvl w:ilvl="0" w:tplc="F3246AE0">
      <w:start w:val="1"/>
      <w:numFmt w:val="bullet"/>
      <w:lvlText w:val=""/>
      <w:lvlJc w:val="left"/>
      <w:pPr>
        <w:ind w:left="720" w:hanging="360"/>
      </w:pPr>
      <w:rPr>
        <w:rFonts w:ascii="Symbol" w:hAnsi="Symbol" w:hint="default"/>
      </w:rPr>
    </w:lvl>
    <w:lvl w:ilvl="1" w:tplc="A4D4076A" w:tentative="1">
      <w:start w:val="1"/>
      <w:numFmt w:val="bullet"/>
      <w:lvlText w:val="o"/>
      <w:lvlJc w:val="left"/>
      <w:pPr>
        <w:ind w:left="1440" w:hanging="360"/>
      </w:pPr>
      <w:rPr>
        <w:rFonts w:ascii="Courier New" w:hAnsi="Courier New" w:cs="Courier New" w:hint="default"/>
      </w:rPr>
    </w:lvl>
    <w:lvl w:ilvl="2" w:tplc="AAC61354" w:tentative="1">
      <w:start w:val="1"/>
      <w:numFmt w:val="bullet"/>
      <w:lvlText w:val=""/>
      <w:lvlJc w:val="left"/>
      <w:pPr>
        <w:ind w:left="2160" w:hanging="360"/>
      </w:pPr>
      <w:rPr>
        <w:rFonts w:ascii="Wingdings" w:hAnsi="Wingdings" w:hint="default"/>
      </w:rPr>
    </w:lvl>
    <w:lvl w:ilvl="3" w:tplc="D01C4A2C" w:tentative="1">
      <w:start w:val="1"/>
      <w:numFmt w:val="bullet"/>
      <w:lvlText w:val=""/>
      <w:lvlJc w:val="left"/>
      <w:pPr>
        <w:ind w:left="2880" w:hanging="360"/>
      </w:pPr>
      <w:rPr>
        <w:rFonts w:ascii="Symbol" w:hAnsi="Symbol" w:hint="default"/>
      </w:rPr>
    </w:lvl>
    <w:lvl w:ilvl="4" w:tplc="EEA6D6EE" w:tentative="1">
      <w:start w:val="1"/>
      <w:numFmt w:val="bullet"/>
      <w:lvlText w:val="o"/>
      <w:lvlJc w:val="left"/>
      <w:pPr>
        <w:ind w:left="3600" w:hanging="360"/>
      </w:pPr>
      <w:rPr>
        <w:rFonts w:ascii="Courier New" w:hAnsi="Courier New" w:cs="Courier New" w:hint="default"/>
      </w:rPr>
    </w:lvl>
    <w:lvl w:ilvl="5" w:tplc="1E5C131C" w:tentative="1">
      <w:start w:val="1"/>
      <w:numFmt w:val="bullet"/>
      <w:lvlText w:val=""/>
      <w:lvlJc w:val="left"/>
      <w:pPr>
        <w:ind w:left="4320" w:hanging="360"/>
      </w:pPr>
      <w:rPr>
        <w:rFonts w:ascii="Wingdings" w:hAnsi="Wingdings" w:hint="default"/>
      </w:rPr>
    </w:lvl>
    <w:lvl w:ilvl="6" w:tplc="894A41F0" w:tentative="1">
      <w:start w:val="1"/>
      <w:numFmt w:val="bullet"/>
      <w:lvlText w:val=""/>
      <w:lvlJc w:val="left"/>
      <w:pPr>
        <w:ind w:left="5040" w:hanging="360"/>
      </w:pPr>
      <w:rPr>
        <w:rFonts w:ascii="Symbol" w:hAnsi="Symbol" w:hint="default"/>
      </w:rPr>
    </w:lvl>
    <w:lvl w:ilvl="7" w:tplc="EA58B370" w:tentative="1">
      <w:start w:val="1"/>
      <w:numFmt w:val="bullet"/>
      <w:lvlText w:val="o"/>
      <w:lvlJc w:val="left"/>
      <w:pPr>
        <w:ind w:left="5760" w:hanging="360"/>
      </w:pPr>
      <w:rPr>
        <w:rFonts w:ascii="Courier New" w:hAnsi="Courier New" w:cs="Courier New" w:hint="default"/>
      </w:rPr>
    </w:lvl>
    <w:lvl w:ilvl="8" w:tplc="55146ECA" w:tentative="1">
      <w:start w:val="1"/>
      <w:numFmt w:val="bullet"/>
      <w:lvlText w:val=""/>
      <w:lvlJc w:val="left"/>
      <w:pPr>
        <w:ind w:left="6480" w:hanging="360"/>
      </w:pPr>
      <w:rPr>
        <w:rFonts w:ascii="Wingdings" w:hAnsi="Wingdings" w:hint="default"/>
      </w:rPr>
    </w:lvl>
  </w:abstractNum>
  <w:abstractNum w:abstractNumId="5" w15:restartNumberingAfterBreak="0">
    <w:nsid w:val="3EB20402"/>
    <w:multiLevelType w:val="hybridMultilevel"/>
    <w:tmpl w:val="05C22C5A"/>
    <w:lvl w:ilvl="0" w:tplc="67EE8BC8">
      <w:start w:val="1"/>
      <w:numFmt w:val="bullet"/>
      <w:lvlText w:val=""/>
      <w:lvlJc w:val="left"/>
      <w:pPr>
        <w:ind w:left="720" w:hanging="360"/>
      </w:pPr>
      <w:rPr>
        <w:rFonts w:ascii="Symbol" w:hAnsi="Symbol" w:hint="default"/>
      </w:rPr>
    </w:lvl>
    <w:lvl w:ilvl="1" w:tplc="FB2C7EB8" w:tentative="1">
      <w:start w:val="1"/>
      <w:numFmt w:val="bullet"/>
      <w:lvlText w:val="o"/>
      <w:lvlJc w:val="left"/>
      <w:pPr>
        <w:ind w:left="1440" w:hanging="360"/>
      </w:pPr>
      <w:rPr>
        <w:rFonts w:ascii="Courier New" w:hAnsi="Courier New" w:cs="Courier New" w:hint="default"/>
      </w:rPr>
    </w:lvl>
    <w:lvl w:ilvl="2" w:tplc="D6984640" w:tentative="1">
      <w:start w:val="1"/>
      <w:numFmt w:val="bullet"/>
      <w:lvlText w:val=""/>
      <w:lvlJc w:val="left"/>
      <w:pPr>
        <w:ind w:left="2160" w:hanging="360"/>
      </w:pPr>
      <w:rPr>
        <w:rFonts w:ascii="Wingdings" w:hAnsi="Wingdings" w:hint="default"/>
      </w:rPr>
    </w:lvl>
    <w:lvl w:ilvl="3" w:tplc="926221FA" w:tentative="1">
      <w:start w:val="1"/>
      <w:numFmt w:val="bullet"/>
      <w:lvlText w:val=""/>
      <w:lvlJc w:val="left"/>
      <w:pPr>
        <w:ind w:left="2880" w:hanging="360"/>
      </w:pPr>
      <w:rPr>
        <w:rFonts w:ascii="Symbol" w:hAnsi="Symbol" w:hint="default"/>
      </w:rPr>
    </w:lvl>
    <w:lvl w:ilvl="4" w:tplc="C826F1F0" w:tentative="1">
      <w:start w:val="1"/>
      <w:numFmt w:val="bullet"/>
      <w:lvlText w:val="o"/>
      <w:lvlJc w:val="left"/>
      <w:pPr>
        <w:ind w:left="3600" w:hanging="360"/>
      </w:pPr>
      <w:rPr>
        <w:rFonts w:ascii="Courier New" w:hAnsi="Courier New" w:cs="Courier New" w:hint="default"/>
      </w:rPr>
    </w:lvl>
    <w:lvl w:ilvl="5" w:tplc="42F88A0E" w:tentative="1">
      <w:start w:val="1"/>
      <w:numFmt w:val="bullet"/>
      <w:lvlText w:val=""/>
      <w:lvlJc w:val="left"/>
      <w:pPr>
        <w:ind w:left="4320" w:hanging="360"/>
      </w:pPr>
      <w:rPr>
        <w:rFonts w:ascii="Wingdings" w:hAnsi="Wingdings" w:hint="default"/>
      </w:rPr>
    </w:lvl>
    <w:lvl w:ilvl="6" w:tplc="D0F4CAAC" w:tentative="1">
      <w:start w:val="1"/>
      <w:numFmt w:val="bullet"/>
      <w:lvlText w:val=""/>
      <w:lvlJc w:val="left"/>
      <w:pPr>
        <w:ind w:left="5040" w:hanging="360"/>
      </w:pPr>
      <w:rPr>
        <w:rFonts w:ascii="Symbol" w:hAnsi="Symbol" w:hint="default"/>
      </w:rPr>
    </w:lvl>
    <w:lvl w:ilvl="7" w:tplc="A20AF388" w:tentative="1">
      <w:start w:val="1"/>
      <w:numFmt w:val="bullet"/>
      <w:lvlText w:val="o"/>
      <w:lvlJc w:val="left"/>
      <w:pPr>
        <w:ind w:left="5760" w:hanging="360"/>
      </w:pPr>
      <w:rPr>
        <w:rFonts w:ascii="Courier New" w:hAnsi="Courier New" w:cs="Courier New" w:hint="default"/>
      </w:rPr>
    </w:lvl>
    <w:lvl w:ilvl="8" w:tplc="2B2A6EEE" w:tentative="1">
      <w:start w:val="1"/>
      <w:numFmt w:val="bullet"/>
      <w:lvlText w:val=""/>
      <w:lvlJc w:val="left"/>
      <w:pPr>
        <w:ind w:left="6480" w:hanging="360"/>
      </w:pPr>
      <w:rPr>
        <w:rFonts w:ascii="Wingdings" w:hAnsi="Wingdings" w:hint="default"/>
      </w:rPr>
    </w:lvl>
  </w:abstractNum>
  <w:abstractNum w:abstractNumId="6" w15:restartNumberingAfterBreak="0">
    <w:nsid w:val="450C2B7D"/>
    <w:multiLevelType w:val="hybridMultilevel"/>
    <w:tmpl w:val="799E3640"/>
    <w:lvl w:ilvl="0" w:tplc="7D9EBDE0">
      <w:start w:val="1"/>
      <w:numFmt w:val="bullet"/>
      <w:lvlText w:val=""/>
      <w:lvlJc w:val="left"/>
      <w:pPr>
        <w:ind w:left="720" w:hanging="360"/>
      </w:pPr>
      <w:rPr>
        <w:rFonts w:ascii="Symbol" w:hAnsi="Symbol" w:hint="default"/>
      </w:rPr>
    </w:lvl>
    <w:lvl w:ilvl="1" w:tplc="D85CF4B4" w:tentative="1">
      <w:start w:val="1"/>
      <w:numFmt w:val="bullet"/>
      <w:lvlText w:val="o"/>
      <w:lvlJc w:val="left"/>
      <w:pPr>
        <w:ind w:left="1440" w:hanging="360"/>
      </w:pPr>
      <w:rPr>
        <w:rFonts w:ascii="Courier New" w:hAnsi="Courier New" w:cs="Courier New" w:hint="default"/>
      </w:rPr>
    </w:lvl>
    <w:lvl w:ilvl="2" w:tplc="62582878" w:tentative="1">
      <w:start w:val="1"/>
      <w:numFmt w:val="bullet"/>
      <w:lvlText w:val=""/>
      <w:lvlJc w:val="left"/>
      <w:pPr>
        <w:ind w:left="2160" w:hanging="360"/>
      </w:pPr>
      <w:rPr>
        <w:rFonts w:ascii="Wingdings" w:hAnsi="Wingdings" w:hint="default"/>
      </w:rPr>
    </w:lvl>
    <w:lvl w:ilvl="3" w:tplc="1062CC06" w:tentative="1">
      <w:start w:val="1"/>
      <w:numFmt w:val="bullet"/>
      <w:lvlText w:val=""/>
      <w:lvlJc w:val="left"/>
      <w:pPr>
        <w:ind w:left="2880" w:hanging="360"/>
      </w:pPr>
      <w:rPr>
        <w:rFonts w:ascii="Symbol" w:hAnsi="Symbol" w:hint="default"/>
      </w:rPr>
    </w:lvl>
    <w:lvl w:ilvl="4" w:tplc="78DA9F02" w:tentative="1">
      <w:start w:val="1"/>
      <w:numFmt w:val="bullet"/>
      <w:lvlText w:val="o"/>
      <w:lvlJc w:val="left"/>
      <w:pPr>
        <w:ind w:left="3600" w:hanging="360"/>
      </w:pPr>
      <w:rPr>
        <w:rFonts w:ascii="Courier New" w:hAnsi="Courier New" w:cs="Courier New" w:hint="default"/>
      </w:rPr>
    </w:lvl>
    <w:lvl w:ilvl="5" w:tplc="BBD429B6" w:tentative="1">
      <w:start w:val="1"/>
      <w:numFmt w:val="bullet"/>
      <w:lvlText w:val=""/>
      <w:lvlJc w:val="left"/>
      <w:pPr>
        <w:ind w:left="4320" w:hanging="360"/>
      </w:pPr>
      <w:rPr>
        <w:rFonts w:ascii="Wingdings" w:hAnsi="Wingdings" w:hint="default"/>
      </w:rPr>
    </w:lvl>
    <w:lvl w:ilvl="6" w:tplc="911676C0" w:tentative="1">
      <w:start w:val="1"/>
      <w:numFmt w:val="bullet"/>
      <w:lvlText w:val=""/>
      <w:lvlJc w:val="left"/>
      <w:pPr>
        <w:ind w:left="5040" w:hanging="360"/>
      </w:pPr>
      <w:rPr>
        <w:rFonts w:ascii="Symbol" w:hAnsi="Symbol" w:hint="default"/>
      </w:rPr>
    </w:lvl>
    <w:lvl w:ilvl="7" w:tplc="4948D40C" w:tentative="1">
      <w:start w:val="1"/>
      <w:numFmt w:val="bullet"/>
      <w:lvlText w:val="o"/>
      <w:lvlJc w:val="left"/>
      <w:pPr>
        <w:ind w:left="5760" w:hanging="360"/>
      </w:pPr>
      <w:rPr>
        <w:rFonts w:ascii="Courier New" w:hAnsi="Courier New" w:cs="Courier New" w:hint="default"/>
      </w:rPr>
    </w:lvl>
    <w:lvl w:ilvl="8" w:tplc="6D945396" w:tentative="1">
      <w:start w:val="1"/>
      <w:numFmt w:val="bullet"/>
      <w:lvlText w:val=""/>
      <w:lvlJc w:val="left"/>
      <w:pPr>
        <w:ind w:left="6480" w:hanging="360"/>
      </w:pPr>
      <w:rPr>
        <w:rFonts w:ascii="Wingdings" w:hAnsi="Wingdings" w:hint="default"/>
      </w:rPr>
    </w:lvl>
  </w:abstractNum>
  <w:abstractNum w:abstractNumId="7" w15:restartNumberingAfterBreak="0">
    <w:nsid w:val="471C3599"/>
    <w:multiLevelType w:val="hybridMultilevel"/>
    <w:tmpl w:val="15AEF170"/>
    <w:lvl w:ilvl="0" w:tplc="D39ECFBA">
      <w:start w:val="1"/>
      <w:numFmt w:val="bullet"/>
      <w:lvlText w:val=""/>
      <w:lvlJc w:val="left"/>
      <w:pPr>
        <w:ind w:left="720" w:hanging="360"/>
      </w:pPr>
      <w:rPr>
        <w:rFonts w:ascii="Symbol" w:hAnsi="Symbol" w:hint="default"/>
      </w:rPr>
    </w:lvl>
    <w:lvl w:ilvl="1" w:tplc="A148B2F4" w:tentative="1">
      <w:start w:val="1"/>
      <w:numFmt w:val="bullet"/>
      <w:lvlText w:val="o"/>
      <w:lvlJc w:val="left"/>
      <w:pPr>
        <w:ind w:left="1440" w:hanging="360"/>
      </w:pPr>
      <w:rPr>
        <w:rFonts w:ascii="Courier New" w:hAnsi="Courier New" w:cs="Courier New" w:hint="default"/>
      </w:rPr>
    </w:lvl>
    <w:lvl w:ilvl="2" w:tplc="DD5EF752" w:tentative="1">
      <w:start w:val="1"/>
      <w:numFmt w:val="bullet"/>
      <w:lvlText w:val=""/>
      <w:lvlJc w:val="left"/>
      <w:pPr>
        <w:ind w:left="2160" w:hanging="360"/>
      </w:pPr>
      <w:rPr>
        <w:rFonts w:ascii="Wingdings" w:hAnsi="Wingdings" w:hint="default"/>
      </w:rPr>
    </w:lvl>
    <w:lvl w:ilvl="3" w:tplc="947A8018" w:tentative="1">
      <w:start w:val="1"/>
      <w:numFmt w:val="bullet"/>
      <w:lvlText w:val=""/>
      <w:lvlJc w:val="left"/>
      <w:pPr>
        <w:ind w:left="2880" w:hanging="360"/>
      </w:pPr>
      <w:rPr>
        <w:rFonts w:ascii="Symbol" w:hAnsi="Symbol" w:hint="default"/>
      </w:rPr>
    </w:lvl>
    <w:lvl w:ilvl="4" w:tplc="8764A3B4" w:tentative="1">
      <w:start w:val="1"/>
      <w:numFmt w:val="bullet"/>
      <w:lvlText w:val="o"/>
      <w:lvlJc w:val="left"/>
      <w:pPr>
        <w:ind w:left="3600" w:hanging="360"/>
      </w:pPr>
      <w:rPr>
        <w:rFonts w:ascii="Courier New" w:hAnsi="Courier New" w:cs="Courier New" w:hint="default"/>
      </w:rPr>
    </w:lvl>
    <w:lvl w:ilvl="5" w:tplc="B396342A" w:tentative="1">
      <w:start w:val="1"/>
      <w:numFmt w:val="bullet"/>
      <w:lvlText w:val=""/>
      <w:lvlJc w:val="left"/>
      <w:pPr>
        <w:ind w:left="4320" w:hanging="360"/>
      </w:pPr>
      <w:rPr>
        <w:rFonts w:ascii="Wingdings" w:hAnsi="Wingdings" w:hint="default"/>
      </w:rPr>
    </w:lvl>
    <w:lvl w:ilvl="6" w:tplc="B6F693CC" w:tentative="1">
      <w:start w:val="1"/>
      <w:numFmt w:val="bullet"/>
      <w:lvlText w:val=""/>
      <w:lvlJc w:val="left"/>
      <w:pPr>
        <w:ind w:left="5040" w:hanging="360"/>
      </w:pPr>
      <w:rPr>
        <w:rFonts w:ascii="Symbol" w:hAnsi="Symbol" w:hint="default"/>
      </w:rPr>
    </w:lvl>
    <w:lvl w:ilvl="7" w:tplc="A2A6349A" w:tentative="1">
      <w:start w:val="1"/>
      <w:numFmt w:val="bullet"/>
      <w:lvlText w:val="o"/>
      <w:lvlJc w:val="left"/>
      <w:pPr>
        <w:ind w:left="5760" w:hanging="360"/>
      </w:pPr>
      <w:rPr>
        <w:rFonts w:ascii="Courier New" w:hAnsi="Courier New" w:cs="Courier New" w:hint="default"/>
      </w:rPr>
    </w:lvl>
    <w:lvl w:ilvl="8" w:tplc="5FACE208" w:tentative="1">
      <w:start w:val="1"/>
      <w:numFmt w:val="bullet"/>
      <w:lvlText w:val=""/>
      <w:lvlJc w:val="left"/>
      <w:pPr>
        <w:ind w:left="6480" w:hanging="360"/>
      </w:pPr>
      <w:rPr>
        <w:rFonts w:ascii="Wingdings" w:hAnsi="Wingdings" w:hint="default"/>
      </w:rPr>
    </w:lvl>
  </w:abstractNum>
  <w:abstractNum w:abstractNumId="8" w15:restartNumberingAfterBreak="0">
    <w:nsid w:val="553D52FE"/>
    <w:multiLevelType w:val="hybridMultilevel"/>
    <w:tmpl w:val="478C58B4"/>
    <w:lvl w:ilvl="0" w:tplc="810AE84C">
      <w:start w:val="1"/>
      <w:numFmt w:val="bullet"/>
      <w:lvlText w:val=""/>
      <w:lvlJc w:val="left"/>
      <w:pPr>
        <w:ind w:left="720" w:hanging="360"/>
      </w:pPr>
      <w:rPr>
        <w:rFonts w:ascii="Symbol" w:hAnsi="Symbol" w:hint="default"/>
      </w:rPr>
    </w:lvl>
    <w:lvl w:ilvl="1" w:tplc="51C8CB04" w:tentative="1">
      <w:start w:val="1"/>
      <w:numFmt w:val="bullet"/>
      <w:lvlText w:val="o"/>
      <w:lvlJc w:val="left"/>
      <w:pPr>
        <w:ind w:left="1440" w:hanging="360"/>
      </w:pPr>
      <w:rPr>
        <w:rFonts w:ascii="Courier New" w:hAnsi="Courier New" w:cs="Courier New" w:hint="default"/>
      </w:rPr>
    </w:lvl>
    <w:lvl w:ilvl="2" w:tplc="D360C7AE" w:tentative="1">
      <w:start w:val="1"/>
      <w:numFmt w:val="bullet"/>
      <w:lvlText w:val=""/>
      <w:lvlJc w:val="left"/>
      <w:pPr>
        <w:ind w:left="2160" w:hanging="360"/>
      </w:pPr>
      <w:rPr>
        <w:rFonts w:ascii="Wingdings" w:hAnsi="Wingdings" w:hint="default"/>
      </w:rPr>
    </w:lvl>
    <w:lvl w:ilvl="3" w:tplc="EBF22D9E" w:tentative="1">
      <w:start w:val="1"/>
      <w:numFmt w:val="bullet"/>
      <w:lvlText w:val=""/>
      <w:lvlJc w:val="left"/>
      <w:pPr>
        <w:ind w:left="2880" w:hanging="360"/>
      </w:pPr>
      <w:rPr>
        <w:rFonts w:ascii="Symbol" w:hAnsi="Symbol" w:hint="default"/>
      </w:rPr>
    </w:lvl>
    <w:lvl w:ilvl="4" w:tplc="7D56D6D4" w:tentative="1">
      <w:start w:val="1"/>
      <w:numFmt w:val="bullet"/>
      <w:lvlText w:val="o"/>
      <w:lvlJc w:val="left"/>
      <w:pPr>
        <w:ind w:left="3600" w:hanging="360"/>
      </w:pPr>
      <w:rPr>
        <w:rFonts w:ascii="Courier New" w:hAnsi="Courier New" w:cs="Courier New" w:hint="default"/>
      </w:rPr>
    </w:lvl>
    <w:lvl w:ilvl="5" w:tplc="003ECB60" w:tentative="1">
      <w:start w:val="1"/>
      <w:numFmt w:val="bullet"/>
      <w:lvlText w:val=""/>
      <w:lvlJc w:val="left"/>
      <w:pPr>
        <w:ind w:left="4320" w:hanging="360"/>
      </w:pPr>
      <w:rPr>
        <w:rFonts w:ascii="Wingdings" w:hAnsi="Wingdings" w:hint="default"/>
      </w:rPr>
    </w:lvl>
    <w:lvl w:ilvl="6" w:tplc="C8C250AA" w:tentative="1">
      <w:start w:val="1"/>
      <w:numFmt w:val="bullet"/>
      <w:lvlText w:val=""/>
      <w:lvlJc w:val="left"/>
      <w:pPr>
        <w:ind w:left="5040" w:hanging="360"/>
      </w:pPr>
      <w:rPr>
        <w:rFonts w:ascii="Symbol" w:hAnsi="Symbol" w:hint="default"/>
      </w:rPr>
    </w:lvl>
    <w:lvl w:ilvl="7" w:tplc="192AD69A" w:tentative="1">
      <w:start w:val="1"/>
      <w:numFmt w:val="bullet"/>
      <w:lvlText w:val="o"/>
      <w:lvlJc w:val="left"/>
      <w:pPr>
        <w:ind w:left="5760" w:hanging="360"/>
      </w:pPr>
      <w:rPr>
        <w:rFonts w:ascii="Courier New" w:hAnsi="Courier New" w:cs="Courier New" w:hint="default"/>
      </w:rPr>
    </w:lvl>
    <w:lvl w:ilvl="8" w:tplc="635ADF72" w:tentative="1">
      <w:start w:val="1"/>
      <w:numFmt w:val="bullet"/>
      <w:lvlText w:val=""/>
      <w:lvlJc w:val="left"/>
      <w:pPr>
        <w:ind w:left="6480" w:hanging="360"/>
      </w:pPr>
      <w:rPr>
        <w:rFonts w:ascii="Wingdings" w:hAnsi="Wingdings" w:hint="default"/>
      </w:rPr>
    </w:lvl>
  </w:abstractNum>
  <w:abstractNum w:abstractNumId="9" w15:restartNumberingAfterBreak="0">
    <w:nsid w:val="5AAD5F45"/>
    <w:multiLevelType w:val="hybridMultilevel"/>
    <w:tmpl w:val="6CFA1E96"/>
    <w:lvl w:ilvl="0" w:tplc="FC8E56C4">
      <w:start w:val="1"/>
      <w:numFmt w:val="bullet"/>
      <w:lvlText w:val=""/>
      <w:lvlJc w:val="left"/>
      <w:pPr>
        <w:ind w:left="720" w:hanging="360"/>
      </w:pPr>
      <w:rPr>
        <w:rFonts w:ascii="Symbol" w:hAnsi="Symbol" w:hint="default"/>
      </w:rPr>
    </w:lvl>
    <w:lvl w:ilvl="1" w:tplc="2B6ADAFE" w:tentative="1">
      <w:start w:val="1"/>
      <w:numFmt w:val="bullet"/>
      <w:lvlText w:val="o"/>
      <w:lvlJc w:val="left"/>
      <w:pPr>
        <w:ind w:left="1440" w:hanging="360"/>
      </w:pPr>
      <w:rPr>
        <w:rFonts w:ascii="Courier New" w:hAnsi="Courier New" w:cs="Courier New" w:hint="default"/>
      </w:rPr>
    </w:lvl>
    <w:lvl w:ilvl="2" w:tplc="C848143C" w:tentative="1">
      <w:start w:val="1"/>
      <w:numFmt w:val="bullet"/>
      <w:lvlText w:val=""/>
      <w:lvlJc w:val="left"/>
      <w:pPr>
        <w:ind w:left="2160" w:hanging="360"/>
      </w:pPr>
      <w:rPr>
        <w:rFonts w:ascii="Wingdings" w:hAnsi="Wingdings" w:hint="default"/>
      </w:rPr>
    </w:lvl>
    <w:lvl w:ilvl="3" w:tplc="9ABA5BE8" w:tentative="1">
      <w:start w:val="1"/>
      <w:numFmt w:val="bullet"/>
      <w:lvlText w:val=""/>
      <w:lvlJc w:val="left"/>
      <w:pPr>
        <w:ind w:left="2880" w:hanging="360"/>
      </w:pPr>
      <w:rPr>
        <w:rFonts w:ascii="Symbol" w:hAnsi="Symbol" w:hint="default"/>
      </w:rPr>
    </w:lvl>
    <w:lvl w:ilvl="4" w:tplc="5E36C232" w:tentative="1">
      <w:start w:val="1"/>
      <w:numFmt w:val="bullet"/>
      <w:lvlText w:val="o"/>
      <w:lvlJc w:val="left"/>
      <w:pPr>
        <w:ind w:left="3600" w:hanging="360"/>
      </w:pPr>
      <w:rPr>
        <w:rFonts w:ascii="Courier New" w:hAnsi="Courier New" w:cs="Courier New" w:hint="default"/>
      </w:rPr>
    </w:lvl>
    <w:lvl w:ilvl="5" w:tplc="AA2E25E0" w:tentative="1">
      <w:start w:val="1"/>
      <w:numFmt w:val="bullet"/>
      <w:lvlText w:val=""/>
      <w:lvlJc w:val="left"/>
      <w:pPr>
        <w:ind w:left="4320" w:hanging="360"/>
      </w:pPr>
      <w:rPr>
        <w:rFonts w:ascii="Wingdings" w:hAnsi="Wingdings" w:hint="default"/>
      </w:rPr>
    </w:lvl>
    <w:lvl w:ilvl="6" w:tplc="51FCB5B8" w:tentative="1">
      <w:start w:val="1"/>
      <w:numFmt w:val="bullet"/>
      <w:lvlText w:val=""/>
      <w:lvlJc w:val="left"/>
      <w:pPr>
        <w:ind w:left="5040" w:hanging="360"/>
      </w:pPr>
      <w:rPr>
        <w:rFonts w:ascii="Symbol" w:hAnsi="Symbol" w:hint="default"/>
      </w:rPr>
    </w:lvl>
    <w:lvl w:ilvl="7" w:tplc="037E4830" w:tentative="1">
      <w:start w:val="1"/>
      <w:numFmt w:val="bullet"/>
      <w:lvlText w:val="o"/>
      <w:lvlJc w:val="left"/>
      <w:pPr>
        <w:ind w:left="5760" w:hanging="360"/>
      </w:pPr>
      <w:rPr>
        <w:rFonts w:ascii="Courier New" w:hAnsi="Courier New" w:cs="Courier New" w:hint="default"/>
      </w:rPr>
    </w:lvl>
    <w:lvl w:ilvl="8" w:tplc="D34C82F8" w:tentative="1">
      <w:start w:val="1"/>
      <w:numFmt w:val="bullet"/>
      <w:lvlText w:val=""/>
      <w:lvlJc w:val="left"/>
      <w:pPr>
        <w:ind w:left="6480" w:hanging="360"/>
      </w:pPr>
      <w:rPr>
        <w:rFonts w:ascii="Wingdings" w:hAnsi="Wingdings" w:hint="default"/>
      </w:rPr>
    </w:lvl>
  </w:abstractNum>
  <w:abstractNum w:abstractNumId="10" w15:restartNumberingAfterBreak="0">
    <w:nsid w:val="676F5D50"/>
    <w:multiLevelType w:val="hybridMultilevel"/>
    <w:tmpl w:val="113EDF3E"/>
    <w:lvl w:ilvl="0" w:tplc="DE4C9892">
      <w:start w:val="1"/>
      <w:numFmt w:val="bullet"/>
      <w:lvlText w:val=""/>
      <w:lvlJc w:val="left"/>
      <w:pPr>
        <w:ind w:left="720" w:hanging="360"/>
      </w:pPr>
      <w:rPr>
        <w:rFonts w:ascii="Symbol" w:hAnsi="Symbol" w:hint="default"/>
      </w:rPr>
    </w:lvl>
    <w:lvl w:ilvl="1" w:tplc="A1CED798" w:tentative="1">
      <w:start w:val="1"/>
      <w:numFmt w:val="bullet"/>
      <w:lvlText w:val="o"/>
      <w:lvlJc w:val="left"/>
      <w:pPr>
        <w:ind w:left="1440" w:hanging="360"/>
      </w:pPr>
      <w:rPr>
        <w:rFonts w:ascii="Courier New" w:hAnsi="Courier New" w:cs="Courier New" w:hint="default"/>
      </w:rPr>
    </w:lvl>
    <w:lvl w:ilvl="2" w:tplc="A198AE24" w:tentative="1">
      <w:start w:val="1"/>
      <w:numFmt w:val="bullet"/>
      <w:lvlText w:val=""/>
      <w:lvlJc w:val="left"/>
      <w:pPr>
        <w:ind w:left="2160" w:hanging="360"/>
      </w:pPr>
      <w:rPr>
        <w:rFonts w:ascii="Wingdings" w:hAnsi="Wingdings" w:hint="default"/>
      </w:rPr>
    </w:lvl>
    <w:lvl w:ilvl="3" w:tplc="2FD2F79E" w:tentative="1">
      <w:start w:val="1"/>
      <w:numFmt w:val="bullet"/>
      <w:lvlText w:val=""/>
      <w:lvlJc w:val="left"/>
      <w:pPr>
        <w:ind w:left="2880" w:hanging="360"/>
      </w:pPr>
      <w:rPr>
        <w:rFonts w:ascii="Symbol" w:hAnsi="Symbol" w:hint="default"/>
      </w:rPr>
    </w:lvl>
    <w:lvl w:ilvl="4" w:tplc="EFDEA5E2" w:tentative="1">
      <w:start w:val="1"/>
      <w:numFmt w:val="bullet"/>
      <w:lvlText w:val="o"/>
      <w:lvlJc w:val="left"/>
      <w:pPr>
        <w:ind w:left="3600" w:hanging="360"/>
      </w:pPr>
      <w:rPr>
        <w:rFonts w:ascii="Courier New" w:hAnsi="Courier New" w:cs="Courier New" w:hint="default"/>
      </w:rPr>
    </w:lvl>
    <w:lvl w:ilvl="5" w:tplc="796477B0" w:tentative="1">
      <w:start w:val="1"/>
      <w:numFmt w:val="bullet"/>
      <w:lvlText w:val=""/>
      <w:lvlJc w:val="left"/>
      <w:pPr>
        <w:ind w:left="4320" w:hanging="360"/>
      </w:pPr>
      <w:rPr>
        <w:rFonts w:ascii="Wingdings" w:hAnsi="Wingdings" w:hint="default"/>
      </w:rPr>
    </w:lvl>
    <w:lvl w:ilvl="6" w:tplc="35288F64" w:tentative="1">
      <w:start w:val="1"/>
      <w:numFmt w:val="bullet"/>
      <w:lvlText w:val=""/>
      <w:lvlJc w:val="left"/>
      <w:pPr>
        <w:ind w:left="5040" w:hanging="360"/>
      </w:pPr>
      <w:rPr>
        <w:rFonts w:ascii="Symbol" w:hAnsi="Symbol" w:hint="default"/>
      </w:rPr>
    </w:lvl>
    <w:lvl w:ilvl="7" w:tplc="578E5282" w:tentative="1">
      <w:start w:val="1"/>
      <w:numFmt w:val="bullet"/>
      <w:lvlText w:val="o"/>
      <w:lvlJc w:val="left"/>
      <w:pPr>
        <w:ind w:left="5760" w:hanging="360"/>
      </w:pPr>
      <w:rPr>
        <w:rFonts w:ascii="Courier New" w:hAnsi="Courier New" w:cs="Courier New" w:hint="default"/>
      </w:rPr>
    </w:lvl>
    <w:lvl w:ilvl="8" w:tplc="945AA390" w:tentative="1">
      <w:start w:val="1"/>
      <w:numFmt w:val="bullet"/>
      <w:lvlText w:val=""/>
      <w:lvlJc w:val="left"/>
      <w:pPr>
        <w:ind w:left="6480" w:hanging="360"/>
      </w:pPr>
      <w:rPr>
        <w:rFonts w:ascii="Wingdings" w:hAnsi="Wingdings" w:hint="default"/>
      </w:rPr>
    </w:lvl>
  </w:abstractNum>
  <w:abstractNum w:abstractNumId="11" w15:restartNumberingAfterBreak="0">
    <w:nsid w:val="753F471D"/>
    <w:multiLevelType w:val="hybridMultilevel"/>
    <w:tmpl w:val="CCC410C0"/>
    <w:lvl w:ilvl="0" w:tplc="4B6E12C6">
      <w:start w:val="1"/>
      <w:numFmt w:val="bullet"/>
      <w:lvlText w:val=""/>
      <w:lvlJc w:val="left"/>
      <w:pPr>
        <w:ind w:left="720" w:hanging="360"/>
      </w:pPr>
      <w:rPr>
        <w:rFonts w:ascii="Symbol" w:hAnsi="Symbol" w:hint="default"/>
      </w:rPr>
    </w:lvl>
    <w:lvl w:ilvl="1" w:tplc="8F6C89F6" w:tentative="1">
      <w:start w:val="1"/>
      <w:numFmt w:val="bullet"/>
      <w:lvlText w:val="o"/>
      <w:lvlJc w:val="left"/>
      <w:pPr>
        <w:ind w:left="1440" w:hanging="360"/>
      </w:pPr>
      <w:rPr>
        <w:rFonts w:ascii="Courier New" w:hAnsi="Courier New" w:cs="Courier New" w:hint="default"/>
      </w:rPr>
    </w:lvl>
    <w:lvl w:ilvl="2" w:tplc="1AA6C9C0" w:tentative="1">
      <w:start w:val="1"/>
      <w:numFmt w:val="bullet"/>
      <w:lvlText w:val=""/>
      <w:lvlJc w:val="left"/>
      <w:pPr>
        <w:ind w:left="2160" w:hanging="360"/>
      </w:pPr>
      <w:rPr>
        <w:rFonts w:ascii="Wingdings" w:hAnsi="Wingdings" w:hint="default"/>
      </w:rPr>
    </w:lvl>
    <w:lvl w:ilvl="3" w:tplc="562063C2" w:tentative="1">
      <w:start w:val="1"/>
      <w:numFmt w:val="bullet"/>
      <w:lvlText w:val=""/>
      <w:lvlJc w:val="left"/>
      <w:pPr>
        <w:ind w:left="2880" w:hanging="360"/>
      </w:pPr>
      <w:rPr>
        <w:rFonts w:ascii="Symbol" w:hAnsi="Symbol" w:hint="default"/>
      </w:rPr>
    </w:lvl>
    <w:lvl w:ilvl="4" w:tplc="9ABEEF7E" w:tentative="1">
      <w:start w:val="1"/>
      <w:numFmt w:val="bullet"/>
      <w:lvlText w:val="o"/>
      <w:lvlJc w:val="left"/>
      <w:pPr>
        <w:ind w:left="3600" w:hanging="360"/>
      </w:pPr>
      <w:rPr>
        <w:rFonts w:ascii="Courier New" w:hAnsi="Courier New" w:cs="Courier New" w:hint="default"/>
      </w:rPr>
    </w:lvl>
    <w:lvl w:ilvl="5" w:tplc="64824BB8" w:tentative="1">
      <w:start w:val="1"/>
      <w:numFmt w:val="bullet"/>
      <w:lvlText w:val=""/>
      <w:lvlJc w:val="left"/>
      <w:pPr>
        <w:ind w:left="4320" w:hanging="360"/>
      </w:pPr>
      <w:rPr>
        <w:rFonts w:ascii="Wingdings" w:hAnsi="Wingdings" w:hint="default"/>
      </w:rPr>
    </w:lvl>
    <w:lvl w:ilvl="6" w:tplc="5EEE2830" w:tentative="1">
      <w:start w:val="1"/>
      <w:numFmt w:val="bullet"/>
      <w:lvlText w:val=""/>
      <w:lvlJc w:val="left"/>
      <w:pPr>
        <w:ind w:left="5040" w:hanging="360"/>
      </w:pPr>
      <w:rPr>
        <w:rFonts w:ascii="Symbol" w:hAnsi="Symbol" w:hint="default"/>
      </w:rPr>
    </w:lvl>
    <w:lvl w:ilvl="7" w:tplc="02B06314" w:tentative="1">
      <w:start w:val="1"/>
      <w:numFmt w:val="bullet"/>
      <w:lvlText w:val="o"/>
      <w:lvlJc w:val="left"/>
      <w:pPr>
        <w:ind w:left="5760" w:hanging="360"/>
      </w:pPr>
      <w:rPr>
        <w:rFonts w:ascii="Courier New" w:hAnsi="Courier New" w:cs="Courier New" w:hint="default"/>
      </w:rPr>
    </w:lvl>
    <w:lvl w:ilvl="8" w:tplc="843438FC" w:tentative="1">
      <w:start w:val="1"/>
      <w:numFmt w:val="bullet"/>
      <w:lvlText w:val=""/>
      <w:lvlJc w:val="left"/>
      <w:pPr>
        <w:ind w:left="6480" w:hanging="360"/>
      </w:pPr>
      <w:rPr>
        <w:rFonts w:ascii="Wingdings" w:hAnsi="Wingdings" w:hint="default"/>
      </w:rPr>
    </w:lvl>
  </w:abstractNum>
  <w:abstractNum w:abstractNumId="12" w15:restartNumberingAfterBreak="0">
    <w:nsid w:val="7CFD52F5"/>
    <w:multiLevelType w:val="hybridMultilevel"/>
    <w:tmpl w:val="78D27D5C"/>
    <w:lvl w:ilvl="0" w:tplc="81E6F21A">
      <w:start w:val="1"/>
      <w:numFmt w:val="bullet"/>
      <w:lvlText w:val=""/>
      <w:lvlJc w:val="left"/>
      <w:pPr>
        <w:ind w:left="720" w:hanging="360"/>
      </w:pPr>
      <w:rPr>
        <w:rFonts w:ascii="Symbol" w:hAnsi="Symbol" w:hint="default"/>
      </w:rPr>
    </w:lvl>
    <w:lvl w:ilvl="1" w:tplc="7F101CEA" w:tentative="1">
      <w:start w:val="1"/>
      <w:numFmt w:val="bullet"/>
      <w:lvlText w:val="o"/>
      <w:lvlJc w:val="left"/>
      <w:pPr>
        <w:ind w:left="1440" w:hanging="360"/>
      </w:pPr>
      <w:rPr>
        <w:rFonts w:ascii="Courier New" w:hAnsi="Courier New" w:cs="Courier New" w:hint="default"/>
      </w:rPr>
    </w:lvl>
    <w:lvl w:ilvl="2" w:tplc="85AEE882" w:tentative="1">
      <w:start w:val="1"/>
      <w:numFmt w:val="bullet"/>
      <w:lvlText w:val=""/>
      <w:lvlJc w:val="left"/>
      <w:pPr>
        <w:ind w:left="2160" w:hanging="360"/>
      </w:pPr>
      <w:rPr>
        <w:rFonts w:ascii="Wingdings" w:hAnsi="Wingdings" w:hint="default"/>
      </w:rPr>
    </w:lvl>
    <w:lvl w:ilvl="3" w:tplc="827C41C6" w:tentative="1">
      <w:start w:val="1"/>
      <w:numFmt w:val="bullet"/>
      <w:lvlText w:val=""/>
      <w:lvlJc w:val="left"/>
      <w:pPr>
        <w:ind w:left="2880" w:hanging="360"/>
      </w:pPr>
      <w:rPr>
        <w:rFonts w:ascii="Symbol" w:hAnsi="Symbol" w:hint="default"/>
      </w:rPr>
    </w:lvl>
    <w:lvl w:ilvl="4" w:tplc="CF98A948" w:tentative="1">
      <w:start w:val="1"/>
      <w:numFmt w:val="bullet"/>
      <w:lvlText w:val="o"/>
      <w:lvlJc w:val="left"/>
      <w:pPr>
        <w:ind w:left="3600" w:hanging="360"/>
      </w:pPr>
      <w:rPr>
        <w:rFonts w:ascii="Courier New" w:hAnsi="Courier New" w:cs="Courier New" w:hint="default"/>
      </w:rPr>
    </w:lvl>
    <w:lvl w:ilvl="5" w:tplc="DC6498F8" w:tentative="1">
      <w:start w:val="1"/>
      <w:numFmt w:val="bullet"/>
      <w:lvlText w:val=""/>
      <w:lvlJc w:val="left"/>
      <w:pPr>
        <w:ind w:left="4320" w:hanging="360"/>
      </w:pPr>
      <w:rPr>
        <w:rFonts w:ascii="Wingdings" w:hAnsi="Wingdings" w:hint="default"/>
      </w:rPr>
    </w:lvl>
    <w:lvl w:ilvl="6" w:tplc="E71A8168" w:tentative="1">
      <w:start w:val="1"/>
      <w:numFmt w:val="bullet"/>
      <w:lvlText w:val=""/>
      <w:lvlJc w:val="left"/>
      <w:pPr>
        <w:ind w:left="5040" w:hanging="360"/>
      </w:pPr>
      <w:rPr>
        <w:rFonts w:ascii="Symbol" w:hAnsi="Symbol" w:hint="default"/>
      </w:rPr>
    </w:lvl>
    <w:lvl w:ilvl="7" w:tplc="E5F8F9AA" w:tentative="1">
      <w:start w:val="1"/>
      <w:numFmt w:val="bullet"/>
      <w:lvlText w:val="o"/>
      <w:lvlJc w:val="left"/>
      <w:pPr>
        <w:ind w:left="5760" w:hanging="360"/>
      </w:pPr>
      <w:rPr>
        <w:rFonts w:ascii="Courier New" w:hAnsi="Courier New" w:cs="Courier New" w:hint="default"/>
      </w:rPr>
    </w:lvl>
    <w:lvl w:ilvl="8" w:tplc="A7AE56FA" w:tentative="1">
      <w:start w:val="1"/>
      <w:numFmt w:val="bullet"/>
      <w:lvlText w:val=""/>
      <w:lvlJc w:val="left"/>
      <w:pPr>
        <w:ind w:left="6480" w:hanging="360"/>
      </w:pPr>
      <w:rPr>
        <w:rFonts w:ascii="Wingdings" w:hAnsi="Wingdings" w:hint="default"/>
      </w:rPr>
    </w:lvl>
  </w:abstractNum>
  <w:num w:numId="1" w16cid:durableId="243609323">
    <w:abstractNumId w:val="4"/>
  </w:num>
  <w:num w:numId="2" w16cid:durableId="501823756">
    <w:abstractNumId w:val="9"/>
  </w:num>
  <w:num w:numId="3" w16cid:durableId="1886944701">
    <w:abstractNumId w:val="6"/>
  </w:num>
  <w:num w:numId="4" w16cid:durableId="2031758922">
    <w:abstractNumId w:val="3"/>
  </w:num>
  <w:num w:numId="5" w16cid:durableId="166209440">
    <w:abstractNumId w:val="10"/>
  </w:num>
  <w:num w:numId="6" w16cid:durableId="550116289">
    <w:abstractNumId w:val="5"/>
  </w:num>
  <w:num w:numId="7" w16cid:durableId="2066948451">
    <w:abstractNumId w:val="12"/>
  </w:num>
  <w:num w:numId="8" w16cid:durableId="120077723">
    <w:abstractNumId w:val="8"/>
  </w:num>
  <w:num w:numId="9" w16cid:durableId="420372377">
    <w:abstractNumId w:val="0"/>
  </w:num>
  <w:num w:numId="10" w16cid:durableId="1102385181">
    <w:abstractNumId w:val="11"/>
  </w:num>
  <w:num w:numId="11" w16cid:durableId="2053651705">
    <w:abstractNumId w:val="7"/>
  </w:num>
  <w:num w:numId="12" w16cid:durableId="738594380">
    <w:abstractNumId w:val="1"/>
  </w:num>
  <w:num w:numId="13" w16cid:durableId="158900304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293F"/>
    <w:rsid w:val="000424B6"/>
    <w:rsid w:val="00045998"/>
    <w:rsid w:val="00070595"/>
    <w:rsid w:val="000D0E97"/>
    <w:rsid w:val="000D5801"/>
    <w:rsid w:val="000D74BC"/>
    <w:rsid w:val="001107AD"/>
    <w:rsid w:val="00135AB3"/>
    <w:rsid w:val="001E48D4"/>
    <w:rsid w:val="001E63F3"/>
    <w:rsid w:val="001F493D"/>
    <w:rsid w:val="001F59BC"/>
    <w:rsid w:val="00223749"/>
    <w:rsid w:val="00235840"/>
    <w:rsid w:val="00261933"/>
    <w:rsid w:val="002922B8"/>
    <w:rsid w:val="002A5064"/>
    <w:rsid w:val="002A7CFD"/>
    <w:rsid w:val="002D047A"/>
    <w:rsid w:val="00312E3B"/>
    <w:rsid w:val="0031571F"/>
    <w:rsid w:val="00330FEA"/>
    <w:rsid w:val="00356BF7"/>
    <w:rsid w:val="003678B3"/>
    <w:rsid w:val="00372DD8"/>
    <w:rsid w:val="00382293"/>
    <w:rsid w:val="00387E28"/>
    <w:rsid w:val="003B5D15"/>
    <w:rsid w:val="003C02D1"/>
    <w:rsid w:val="003D6BC9"/>
    <w:rsid w:val="00427D98"/>
    <w:rsid w:val="004365E0"/>
    <w:rsid w:val="00470D5F"/>
    <w:rsid w:val="004956FD"/>
    <w:rsid w:val="004B05A8"/>
    <w:rsid w:val="004E63F4"/>
    <w:rsid w:val="00503CF8"/>
    <w:rsid w:val="0050698C"/>
    <w:rsid w:val="00517769"/>
    <w:rsid w:val="0054071A"/>
    <w:rsid w:val="005644F2"/>
    <w:rsid w:val="0057135C"/>
    <w:rsid w:val="00590BDC"/>
    <w:rsid w:val="0059444F"/>
    <w:rsid w:val="006027C5"/>
    <w:rsid w:val="0063471E"/>
    <w:rsid w:val="00642CC1"/>
    <w:rsid w:val="006929DC"/>
    <w:rsid w:val="0069486D"/>
    <w:rsid w:val="006A794E"/>
    <w:rsid w:val="006D31C9"/>
    <w:rsid w:val="006F0351"/>
    <w:rsid w:val="007121DB"/>
    <w:rsid w:val="00715786"/>
    <w:rsid w:val="00755B91"/>
    <w:rsid w:val="007A427A"/>
    <w:rsid w:val="007D5F19"/>
    <w:rsid w:val="007D6160"/>
    <w:rsid w:val="007F0C9F"/>
    <w:rsid w:val="008034E2"/>
    <w:rsid w:val="00845436"/>
    <w:rsid w:val="00885EDF"/>
    <w:rsid w:val="008A04A8"/>
    <w:rsid w:val="008C21F9"/>
    <w:rsid w:val="008C432A"/>
    <w:rsid w:val="00927B97"/>
    <w:rsid w:val="009368C2"/>
    <w:rsid w:val="009448E0"/>
    <w:rsid w:val="0096597F"/>
    <w:rsid w:val="009925EE"/>
    <w:rsid w:val="009968D2"/>
    <w:rsid w:val="009B4290"/>
    <w:rsid w:val="009C00AD"/>
    <w:rsid w:val="009C0436"/>
    <w:rsid w:val="009C293F"/>
    <w:rsid w:val="009C7284"/>
    <w:rsid w:val="009F5E41"/>
    <w:rsid w:val="00A0153F"/>
    <w:rsid w:val="00A15A9B"/>
    <w:rsid w:val="00A22AD3"/>
    <w:rsid w:val="00A53A87"/>
    <w:rsid w:val="00A90780"/>
    <w:rsid w:val="00A95AEC"/>
    <w:rsid w:val="00AC2A9B"/>
    <w:rsid w:val="00B31576"/>
    <w:rsid w:val="00B64BFF"/>
    <w:rsid w:val="00BA0890"/>
    <w:rsid w:val="00BD2EA2"/>
    <w:rsid w:val="00BE3331"/>
    <w:rsid w:val="00C05AC5"/>
    <w:rsid w:val="00C12795"/>
    <w:rsid w:val="00C33F19"/>
    <w:rsid w:val="00C50D09"/>
    <w:rsid w:val="00C60C3C"/>
    <w:rsid w:val="00C966EB"/>
    <w:rsid w:val="00CC0C11"/>
    <w:rsid w:val="00CF04AE"/>
    <w:rsid w:val="00CF1901"/>
    <w:rsid w:val="00D8447A"/>
    <w:rsid w:val="00DA2F99"/>
    <w:rsid w:val="00DB6C9D"/>
    <w:rsid w:val="00DC537E"/>
    <w:rsid w:val="00DE77CE"/>
    <w:rsid w:val="00E17B6D"/>
    <w:rsid w:val="00E27D38"/>
    <w:rsid w:val="00E500EC"/>
    <w:rsid w:val="00E5603B"/>
    <w:rsid w:val="00EE1880"/>
    <w:rsid w:val="00EF3528"/>
    <w:rsid w:val="00F21FFE"/>
    <w:rsid w:val="00F84836"/>
    <w:rsid w:val="00FA4009"/>
    <w:rsid w:val="00FA69CD"/>
    <w:rsid w:val="00FC0BED"/>
    <w:rsid w:val="00FC5259"/>
    <w:rsid w:val="00FC757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83235"/>
  <w15:chartTrackingRefBased/>
  <w15:docId w15:val="{A554136E-26DB-42C5-AB85-200D869F9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Arial"/>
        <w:color w:val="222222"/>
        <w:sz w:val="24"/>
        <w:lang w:val="en-I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Normal MSG"/>
    <w:qFormat/>
    <w:rsid w:val="001107AD"/>
    <w:pPr>
      <w:spacing w:beforeAutospacing="1" w:afterAutospacing="1"/>
    </w:pPr>
    <w:rPr>
      <w:rFonts w:ascii="Arial" w:hAnsi="Arial" w:cs="Times New Roman"/>
      <w:color w:val="auto"/>
      <w:sz w:val="22"/>
      <w:lang w:val="en-GB"/>
    </w:rPr>
  </w:style>
  <w:style w:type="paragraph" w:styleId="Heading1">
    <w:name w:val="heading 1"/>
    <w:basedOn w:val="Normal"/>
    <w:next w:val="Normal"/>
    <w:link w:val="Heading1Char"/>
    <w:autoRedefine/>
    <w:uiPriority w:val="9"/>
    <w:qFormat/>
    <w:rsid w:val="004B05A8"/>
    <w:pPr>
      <w:keepNext/>
      <w:keepLines/>
      <w:widowControl w:val="0"/>
      <w:autoSpaceDE w:val="0"/>
      <w:autoSpaceDN w:val="0"/>
      <w:spacing w:before="240" w:after="240"/>
      <w:outlineLvl w:val="0"/>
    </w:pPr>
    <w:rPr>
      <w:rFonts w:eastAsiaTheme="majorEastAsia" w:cstheme="majorBidi"/>
      <w:b/>
      <w:sz w:val="28"/>
      <w:szCs w:val="32"/>
      <w:lang w:eastAsia="en-IN"/>
    </w:rPr>
  </w:style>
  <w:style w:type="paragraph" w:styleId="Heading2">
    <w:name w:val="heading 2"/>
    <w:basedOn w:val="Normal"/>
    <w:next w:val="Normal"/>
    <w:link w:val="Heading2Char"/>
    <w:uiPriority w:val="9"/>
    <w:unhideWhenUsed/>
    <w:qFormat/>
    <w:rsid w:val="00F21FFE"/>
    <w:pPr>
      <w:keepNext/>
      <w:keepLines/>
      <w:spacing w:line="276" w:lineRule="auto"/>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05A8"/>
    <w:rPr>
      <w:rFonts w:eastAsiaTheme="majorEastAsia" w:cstheme="majorBidi"/>
      <w:b/>
      <w:color w:val="auto"/>
      <w:sz w:val="28"/>
      <w:szCs w:val="32"/>
      <w:lang w:eastAsia="en-IN"/>
    </w:rPr>
  </w:style>
  <w:style w:type="character" w:customStyle="1" w:styleId="Heading2Char">
    <w:name w:val="Heading 2 Char"/>
    <w:basedOn w:val="DefaultParagraphFont"/>
    <w:link w:val="Heading2"/>
    <w:uiPriority w:val="9"/>
    <w:rsid w:val="00F21FFE"/>
    <w:rPr>
      <w:rFonts w:eastAsiaTheme="majorEastAsia" w:cstheme="majorBidi"/>
      <w:b/>
      <w:color w:val="auto"/>
      <w:sz w:val="26"/>
      <w:szCs w:val="26"/>
    </w:rPr>
  </w:style>
  <w:style w:type="paragraph" w:styleId="NoSpacing">
    <w:name w:val="No Spacing"/>
    <w:uiPriority w:val="1"/>
    <w:qFormat/>
    <w:rsid w:val="00E17B6D"/>
    <w:rPr>
      <w:lang w:val="en" w:eastAsia="en-IN"/>
    </w:rPr>
  </w:style>
  <w:style w:type="paragraph" w:styleId="Title">
    <w:name w:val="Title"/>
    <w:basedOn w:val="Normal"/>
    <w:next w:val="Normal"/>
    <w:link w:val="TitleChar"/>
    <w:uiPriority w:val="10"/>
    <w:qFormat/>
    <w:rsid w:val="00F21FFE"/>
    <w:pPr>
      <w:pBdr>
        <w:bottom w:val="single" w:sz="4" w:space="1" w:color="auto"/>
      </w:pBdr>
      <w:spacing w:before="240" w:after="240"/>
      <w:contextualSpacing/>
      <w:jc w:val="center"/>
    </w:pPr>
    <w:rPr>
      <w:rFonts w:eastAsiaTheme="majorEastAsia" w:cstheme="majorBidi"/>
      <w:b/>
      <w:caps/>
      <w:spacing w:val="-10"/>
      <w:kern w:val="28"/>
      <w:sz w:val="36"/>
      <w:szCs w:val="56"/>
    </w:rPr>
  </w:style>
  <w:style w:type="character" w:customStyle="1" w:styleId="TitleChar">
    <w:name w:val="Title Char"/>
    <w:basedOn w:val="DefaultParagraphFont"/>
    <w:link w:val="Title"/>
    <w:uiPriority w:val="10"/>
    <w:rsid w:val="00F21FFE"/>
    <w:rPr>
      <w:rFonts w:eastAsiaTheme="majorEastAsia" w:cstheme="majorBidi"/>
      <w:b/>
      <w:caps/>
      <w:color w:val="auto"/>
      <w:spacing w:val="-10"/>
      <w:kern w:val="28"/>
      <w:sz w:val="36"/>
      <w:szCs w:val="56"/>
    </w:rPr>
  </w:style>
  <w:style w:type="paragraph" w:styleId="TOCHeading">
    <w:name w:val="TOC Heading"/>
    <w:basedOn w:val="Heading1"/>
    <w:next w:val="Normal"/>
    <w:uiPriority w:val="39"/>
    <w:unhideWhenUsed/>
    <w:qFormat/>
    <w:rsid w:val="009C293F"/>
    <w:pPr>
      <w:widowControl/>
      <w:autoSpaceDE/>
      <w:autoSpaceDN/>
      <w:spacing w:beforeAutospacing="0" w:after="0" w:afterAutospacing="0" w:line="259" w:lineRule="auto"/>
      <w:jc w:val="left"/>
      <w:outlineLvl w:val="9"/>
    </w:pPr>
    <w:rPr>
      <w:rFonts w:asciiTheme="majorHAnsi" w:hAnsiTheme="majorHAnsi"/>
      <w:b w:val="0"/>
      <w:color w:val="2E74B5" w:themeColor="accent1" w:themeShade="BF"/>
      <w:sz w:val="32"/>
      <w:lang w:val="en-US" w:eastAsia="en-US"/>
    </w:rPr>
  </w:style>
  <w:style w:type="paragraph" w:styleId="TOC1">
    <w:name w:val="toc 1"/>
    <w:basedOn w:val="Normal"/>
    <w:next w:val="Normal"/>
    <w:autoRedefine/>
    <w:uiPriority w:val="39"/>
    <w:unhideWhenUsed/>
    <w:rsid w:val="009C293F"/>
    <w:pPr>
      <w:spacing w:after="100"/>
    </w:pPr>
  </w:style>
  <w:style w:type="paragraph" w:styleId="TOC2">
    <w:name w:val="toc 2"/>
    <w:basedOn w:val="Normal"/>
    <w:next w:val="Normal"/>
    <w:autoRedefine/>
    <w:uiPriority w:val="39"/>
    <w:unhideWhenUsed/>
    <w:rsid w:val="009C293F"/>
    <w:pPr>
      <w:spacing w:after="100"/>
      <w:ind w:left="240"/>
    </w:pPr>
  </w:style>
  <w:style w:type="character" w:styleId="Hyperlink">
    <w:name w:val="Hyperlink"/>
    <w:basedOn w:val="DefaultParagraphFont"/>
    <w:uiPriority w:val="99"/>
    <w:unhideWhenUsed/>
    <w:rsid w:val="009C293F"/>
    <w:rPr>
      <w:color w:val="0563C1" w:themeColor="hyperlink"/>
      <w:u w:val="single"/>
    </w:rPr>
  </w:style>
  <w:style w:type="paragraph" w:styleId="Header">
    <w:name w:val="header"/>
    <w:basedOn w:val="Normal"/>
    <w:link w:val="HeaderChar"/>
    <w:uiPriority w:val="99"/>
    <w:unhideWhenUsed/>
    <w:rsid w:val="00E500EC"/>
    <w:pPr>
      <w:tabs>
        <w:tab w:val="center" w:pos="4513"/>
        <w:tab w:val="right" w:pos="9026"/>
      </w:tabs>
    </w:pPr>
  </w:style>
  <w:style w:type="character" w:customStyle="1" w:styleId="HeaderChar">
    <w:name w:val="Header Char"/>
    <w:basedOn w:val="DefaultParagraphFont"/>
    <w:link w:val="Header"/>
    <w:uiPriority w:val="99"/>
    <w:rsid w:val="00E500EC"/>
    <w:rPr>
      <w:rFonts w:cs="Times New Roman"/>
      <w:color w:val="auto"/>
      <w:lang w:val="en-GB"/>
    </w:rPr>
  </w:style>
  <w:style w:type="paragraph" w:styleId="Footer">
    <w:name w:val="footer"/>
    <w:basedOn w:val="Normal"/>
    <w:link w:val="FooterChar"/>
    <w:uiPriority w:val="99"/>
    <w:unhideWhenUsed/>
    <w:rsid w:val="00E500EC"/>
    <w:pPr>
      <w:tabs>
        <w:tab w:val="center" w:pos="4513"/>
        <w:tab w:val="right" w:pos="9026"/>
      </w:tabs>
    </w:pPr>
  </w:style>
  <w:style w:type="character" w:customStyle="1" w:styleId="FooterChar">
    <w:name w:val="Footer Char"/>
    <w:basedOn w:val="DefaultParagraphFont"/>
    <w:link w:val="Footer"/>
    <w:uiPriority w:val="99"/>
    <w:rsid w:val="00E500EC"/>
    <w:rPr>
      <w:rFonts w:cs="Times New Roman"/>
      <w:color w:val="auto"/>
      <w:lang w:val="en-GB"/>
    </w:rPr>
  </w:style>
  <w:style w:type="paragraph" w:styleId="ListParagraph">
    <w:name w:val="List Paragraph"/>
    <w:basedOn w:val="Normal"/>
    <w:uiPriority w:val="34"/>
    <w:qFormat/>
    <w:rsid w:val="00330FEA"/>
    <w:pPr>
      <w:spacing w:beforeAutospacing="0" w:after="160" w:afterAutospacing="0"/>
      <w:ind w:left="720"/>
      <w:contextualSpacing/>
    </w:pPr>
    <w:rPr>
      <w:rFonts w:eastAsiaTheme="minorHAnsi" w:cstheme="minorBidi"/>
      <w:szCs w:val="22"/>
      <w:lang w:val="en-IN"/>
    </w:rPr>
  </w:style>
  <w:style w:type="table" w:styleId="TableGrid">
    <w:name w:val="Table Grid"/>
    <w:basedOn w:val="TableNormal"/>
    <w:uiPriority w:val="39"/>
    <w:rsid w:val="00330FEA"/>
    <w:pPr>
      <w:spacing w:line="240" w:lineRule="auto"/>
      <w:jc w:val="left"/>
    </w:pPr>
    <w:rPr>
      <w:rFonts w:asciiTheme="minorHAnsi" w:eastAsiaTheme="minorHAnsi" w:hAnsiTheme="minorHAnsi" w:cstheme="minorBidi"/>
      <w:color w:val="auto"/>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595775">
      <w:bodyDiv w:val="1"/>
      <w:marLeft w:val="0"/>
      <w:marRight w:val="0"/>
      <w:marTop w:val="0"/>
      <w:marBottom w:val="0"/>
      <w:divBdr>
        <w:top w:val="none" w:sz="0" w:space="0" w:color="auto"/>
        <w:left w:val="none" w:sz="0" w:space="0" w:color="auto"/>
        <w:bottom w:val="none" w:sz="0" w:space="0" w:color="auto"/>
        <w:right w:val="none" w:sz="0" w:space="0" w:color="auto"/>
      </w:divBdr>
    </w:div>
    <w:div w:id="1785345072">
      <w:bodyDiv w:val="1"/>
      <w:marLeft w:val="0"/>
      <w:marRight w:val="0"/>
      <w:marTop w:val="0"/>
      <w:marBottom w:val="0"/>
      <w:divBdr>
        <w:top w:val="none" w:sz="0" w:space="0" w:color="auto"/>
        <w:left w:val="none" w:sz="0" w:space="0" w:color="auto"/>
        <w:bottom w:val="none" w:sz="0" w:space="0" w:color="auto"/>
        <w:right w:val="none" w:sz="0" w:space="0" w:color="auto"/>
      </w:divBdr>
    </w:div>
    <w:div w:id="2039699076">
      <w:bodyDiv w:val="1"/>
      <w:marLeft w:val="0"/>
      <w:marRight w:val="0"/>
      <w:marTop w:val="0"/>
      <w:marBottom w:val="0"/>
      <w:divBdr>
        <w:top w:val="none" w:sz="0" w:space="0" w:color="auto"/>
        <w:left w:val="none" w:sz="0" w:space="0" w:color="auto"/>
        <w:bottom w:val="none" w:sz="0" w:space="0" w:color="auto"/>
        <w:right w:val="none" w:sz="0" w:space="0" w:color="auto"/>
      </w:divBdr>
      <w:divsChild>
        <w:div w:id="204802065">
          <w:marLeft w:val="0"/>
          <w:marRight w:val="0"/>
          <w:marTop w:val="0"/>
          <w:marBottom w:val="0"/>
          <w:divBdr>
            <w:top w:val="none" w:sz="0" w:space="0" w:color="auto"/>
            <w:left w:val="none" w:sz="0" w:space="0" w:color="auto"/>
            <w:bottom w:val="none" w:sz="0" w:space="0" w:color="auto"/>
            <w:right w:val="none" w:sz="0" w:space="0" w:color="auto"/>
          </w:divBdr>
        </w:div>
      </w:divsChild>
    </w:div>
    <w:div w:id="2130123083">
      <w:bodyDiv w:val="1"/>
      <w:marLeft w:val="0"/>
      <w:marRight w:val="0"/>
      <w:marTop w:val="0"/>
      <w:marBottom w:val="0"/>
      <w:divBdr>
        <w:top w:val="none" w:sz="0" w:space="0" w:color="auto"/>
        <w:left w:val="none" w:sz="0" w:space="0" w:color="auto"/>
        <w:bottom w:val="none" w:sz="0" w:space="0" w:color="auto"/>
        <w:right w:val="none" w:sz="0" w:space="0" w:color="auto"/>
      </w:divBdr>
      <w:divsChild>
        <w:div w:id="41616884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hyperlink" Target="https://pmc.ncbi.nlm.nih.gov/articles/PMC10480549" TargetMode="Externa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diagramColors" Target="diagrams/colors1.xml"/><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0485592-2C0E-4C6E-8AE1-0742D3975FD1}" type="doc">
      <dgm:prSet loTypeId="urn:microsoft.com/office/officeart/2005/8/layout/hierarchy3" loCatId="list" qsTypeId="urn:microsoft.com/office/officeart/2005/8/quickstyle/simple1" qsCatId="simple" csTypeId="urn:microsoft.com/office/officeart/2005/8/colors/colorful1" csCatId="colorful" phldr="1"/>
      <dgm:spPr/>
      <dgm:t>
        <a:bodyPr/>
        <a:lstStyle/>
        <a:p>
          <a:endParaRPr lang="en-GB"/>
        </a:p>
      </dgm:t>
    </dgm:pt>
    <dgm:pt modelId="{21F16882-532D-4CFE-A0F6-16523FA9D5EA}">
      <dgm:prSet phldrT="[Text]"/>
      <dgm:spPr/>
      <dgm:t>
        <a:bodyPr/>
        <a:lstStyle/>
        <a:p>
          <a:r>
            <a:rPr lang="en-GB" b="1" i="0">
              <a:latin typeface="Times New Roman" panose="02020603050405020304" pitchFamily="18" charset="0"/>
              <a:cs typeface="Times New Roman" panose="02020603050405020304" pitchFamily="18" charset="0"/>
            </a:rPr>
            <a:t>Dialectical Behavior Therapy (DBT)</a:t>
          </a:r>
          <a:endParaRPr lang="en-GB">
            <a:latin typeface="Times New Roman" panose="02020603050405020304" pitchFamily="18" charset="0"/>
            <a:cs typeface="Times New Roman" panose="02020603050405020304" pitchFamily="18" charset="0"/>
          </a:endParaRPr>
        </a:p>
      </dgm:t>
    </dgm:pt>
    <dgm:pt modelId="{C1511B02-D7A7-477A-B8BB-FDF1C82B9B2A}" type="parTrans" cxnId="{ECEC6AC0-2FB4-403A-82DA-9DC7177774FB}">
      <dgm:prSet/>
      <dgm:spPr/>
      <dgm:t>
        <a:bodyPr/>
        <a:lstStyle/>
        <a:p>
          <a:endParaRPr lang="en-GB"/>
        </a:p>
      </dgm:t>
    </dgm:pt>
    <dgm:pt modelId="{68D8CB68-694A-4FEF-B580-C6930543AE6A}" type="sibTrans" cxnId="{ECEC6AC0-2FB4-403A-82DA-9DC7177774FB}">
      <dgm:prSet/>
      <dgm:spPr/>
      <dgm:t>
        <a:bodyPr/>
        <a:lstStyle/>
        <a:p>
          <a:endParaRPr lang="en-GB"/>
        </a:p>
      </dgm:t>
    </dgm:pt>
    <dgm:pt modelId="{4FE4FDB6-49F1-4E8C-9FF3-3AE61791116B}">
      <dgm:prSet phldrT="[Text]"/>
      <dgm:spPr/>
      <dgm:t>
        <a:bodyPr/>
        <a:lstStyle/>
        <a:p>
          <a:r>
            <a:rPr lang="en-GB" b="1" i="0">
              <a:latin typeface="Times New Roman" panose="02020603050405020304" pitchFamily="18" charset="0"/>
              <a:cs typeface="Times New Roman" panose="02020603050405020304" pitchFamily="18" charset="0"/>
            </a:rPr>
            <a:t>Focus</a:t>
          </a:r>
          <a:endParaRPr lang="en-GB">
            <a:latin typeface="Times New Roman" panose="02020603050405020304" pitchFamily="18" charset="0"/>
            <a:cs typeface="Times New Roman" panose="02020603050405020304" pitchFamily="18" charset="0"/>
          </a:endParaRPr>
        </a:p>
      </dgm:t>
    </dgm:pt>
    <dgm:pt modelId="{AC6F16A6-E5FB-4A64-8E6C-84D7BD03AB9E}" type="parTrans" cxnId="{E4EC01B0-D819-4830-9E47-DE22D86CCC87}">
      <dgm:prSet/>
      <dgm:spPr/>
      <dgm:t>
        <a:bodyPr/>
        <a:lstStyle/>
        <a:p>
          <a:endParaRPr lang="en-GB"/>
        </a:p>
      </dgm:t>
    </dgm:pt>
    <dgm:pt modelId="{526282B4-E4C7-4A31-B631-E355C47B34F0}" type="sibTrans" cxnId="{E4EC01B0-D819-4830-9E47-DE22D86CCC87}">
      <dgm:prSet/>
      <dgm:spPr/>
      <dgm:t>
        <a:bodyPr/>
        <a:lstStyle/>
        <a:p>
          <a:endParaRPr lang="en-GB"/>
        </a:p>
      </dgm:t>
    </dgm:pt>
    <dgm:pt modelId="{C646C327-511A-4629-A180-6216066CCE0C}">
      <dgm:prSet phldrT="[Text]"/>
      <dgm:spPr/>
      <dgm:t>
        <a:bodyPr/>
        <a:lstStyle/>
        <a:p>
          <a:r>
            <a:rPr lang="en-GB" b="1" i="0">
              <a:latin typeface="Times New Roman" panose="02020603050405020304" pitchFamily="18" charset="0"/>
              <a:cs typeface="Times New Roman" panose="02020603050405020304" pitchFamily="18" charset="0"/>
            </a:rPr>
            <a:t>Core Modules</a:t>
          </a:r>
          <a:endParaRPr lang="en-GB">
            <a:latin typeface="Times New Roman" panose="02020603050405020304" pitchFamily="18" charset="0"/>
            <a:cs typeface="Times New Roman" panose="02020603050405020304" pitchFamily="18" charset="0"/>
          </a:endParaRPr>
        </a:p>
      </dgm:t>
    </dgm:pt>
    <dgm:pt modelId="{FF823037-D40F-47A2-8566-C24E4385409E}" type="parTrans" cxnId="{B52587B2-CD75-4B79-B3D1-5466AB42ABD0}">
      <dgm:prSet/>
      <dgm:spPr/>
      <dgm:t>
        <a:bodyPr/>
        <a:lstStyle/>
        <a:p>
          <a:endParaRPr lang="en-GB"/>
        </a:p>
      </dgm:t>
    </dgm:pt>
    <dgm:pt modelId="{C1B493E1-4933-440B-ADD6-0B549D63F621}" type="sibTrans" cxnId="{B52587B2-CD75-4B79-B3D1-5466AB42ABD0}">
      <dgm:prSet/>
      <dgm:spPr/>
      <dgm:t>
        <a:bodyPr/>
        <a:lstStyle/>
        <a:p>
          <a:endParaRPr lang="en-GB"/>
        </a:p>
      </dgm:t>
    </dgm:pt>
    <dgm:pt modelId="{4297001B-B4F7-4AD4-B48C-125444F8A1B0}">
      <dgm:prSet phldrT="[Text]"/>
      <dgm:spPr/>
      <dgm:t>
        <a:bodyPr/>
        <a:lstStyle/>
        <a:p>
          <a:r>
            <a:rPr lang="en-GB" b="1" i="0">
              <a:latin typeface="Times New Roman" panose="02020603050405020304" pitchFamily="18" charset="0"/>
              <a:cs typeface="Times New Roman" panose="02020603050405020304" pitchFamily="18" charset="0"/>
            </a:rPr>
            <a:t>Acceptance and Commitment Therapy (ACT)</a:t>
          </a:r>
          <a:endParaRPr lang="en-GB">
            <a:latin typeface="Times New Roman" panose="02020603050405020304" pitchFamily="18" charset="0"/>
            <a:cs typeface="Times New Roman" panose="02020603050405020304" pitchFamily="18" charset="0"/>
          </a:endParaRPr>
        </a:p>
      </dgm:t>
    </dgm:pt>
    <dgm:pt modelId="{9D6778BD-535E-484A-8E61-CBBE2D962A8A}" type="parTrans" cxnId="{CAE59D23-C15A-4802-A60A-F0E05FD24402}">
      <dgm:prSet/>
      <dgm:spPr/>
      <dgm:t>
        <a:bodyPr/>
        <a:lstStyle/>
        <a:p>
          <a:endParaRPr lang="en-GB"/>
        </a:p>
      </dgm:t>
    </dgm:pt>
    <dgm:pt modelId="{3847FD0C-803D-4576-88FF-7C2916DDDA0B}" type="sibTrans" cxnId="{CAE59D23-C15A-4802-A60A-F0E05FD24402}">
      <dgm:prSet/>
      <dgm:spPr/>
      <dgm:t>
        <a:bodyPr/>
        <a:lstStyle/>
        <a:p>
          <a:endParaRPr lang="en-GB"/>
        </a:p>
      </dgm:t>
    </dgm:pt>
    <dgm:pt modelId="{5863010F-FC49-4489-A8E0-CCCA94B96116}">
      <dgm:prSet phldrT="[Text]"/>
      <dgm:spPr/>
      <dgm:t>
        <a:bodyPr/>
        <a:lstStyle/>
        <a:p>
          <a:r>
            <a:rPr lang="en-GB" b="1" i="0">
              <a:latin typeface="Times New Roman" panose="02020603050405020304" pitchFamily="18" charset="0"/>
              <a:cs typeface="Times New Roman" panose="02020603050405020304" pitchFamily="18" charset="0"/>
            </a:rPr>
            <a:t>Focus</a:t>
          </a:r>
          <a:endParaRPr lang="en-GB">
            <a:latin typeface="Times New Roman" panose="02020603050405020304" pitchFamily="18" charset="0"/>
            <a:cs typeface="Times New Roman" panose="02020603050405020304" pitchFamily="18" charset="0"/>
          </a:endParaRPr>
        </a:p>
      </dgm:t>
    </dgm:pt>
    <dgm:pt modelId="{3DA217F0-3C9A-458B-81DA-3CDC12CBA475}" type="parTrans" cxnId="{4B1E1C47-457C-4CB7-B033-3422694D3A86}">
      <dgm:prSet/>
      <dgm:spPr/>
      <dgm:t>
        <a:bodyPr/>
        <a:lstStyle/>
        <a:p>
          <a:endParaRPr lang="en-GB"/>
        </a:p>
      </dgm:t>
    </dgm:pt>
    <dgm:pt modelId="{1393D88E-BB09-45C2-85A1-85DE1E5B05FD}" type="sibTrans" cxnId="{4B1E1C47-457C-4CB7-B033-3422694D3A86}">
      <dgm:prSet/>
      <dgm:spPr/>
      <dgm:t>
        <a:bodyPr/>
        <a:lstStyle/>
        <a:p>
          <a:endParaRPr lang="en-GB"/>
        </a:p>
      </dgm:t>
    </dgm:pt>
    <dgm:pt modelId="{DA0EBD65-A5EF-4703-98E0-F46F82A7FCEB}">
      <dgm:prSet phldrT="[Text]"/>
      <dgm:spPr/>
      <dgm:t>
        <a:bodyPr/>
        <a:lstStyle/>
        <a:p>
          <a:r>
            <a:rPr lang="en-GB" b="1" i="0">
              <a:latin typeface="Times New Roman" panose="02020603050405020304" pitchFamily="18" charset="0"/>
              <a:cs typeface="Times New Roman" panose="02020603050405020304" pitchFamily="18" charset="0"/>
            </a:rPr>
            <a:t>Core Processes</a:t>
          </a:r>
          <a:endParaRPr lang="en-GB">
            <a:latin typeface="Times New Roman" panose="02020603050405020304" pitchFamily="18" charset="0"/>
            <a:cs typeface="Times New Roman" panose="02020603050405020304" pitchFamily="18" charset="0"/>
          </a:endParaRPr>
        </a:p>
      </dgm:t>
    </dgm:pt>
    <dgm:pt modelId="{EDC8DB4B-2ADC-4B5F-A757-BD8C0E38D0D2}" type="parTrans" cxnId="{6766FC11-E85B-4C28-AB6D-AA2FAD38957A}">
      <dgm:prSet/>
      <dgm:spPr/>
      <dgm:t>
        <a:bodyPr/>
        <a:lstStyle/>
        <a:p>
          <a:endParaRPr lang="en-GB"/>
        </a:p>
      </dgm:t>
    </dgm:pt>
    <dgm:pt modelId="{BE02E6C8-96A5-4D7B-8815-A1DF46F5ECB5}" type="sibTrans" cxnId="{6766FC11-E85B-4C28-AB6D-AA2FAD38957A}">
      <dgm:prSet/>
      <dgm:spPr/>
      <dgm:t>
        <a:bodyPr/>
        <a:lstStyle/>
        <a:p>
          <a:endParaRPr lang="en-GB"/>
        </a:p>
      </dgm:t>
    </dgm:pt>
    <dgm:pt modelId="{936CA01F-E9AF-445A-91C5-F81ECDE48A8F}">
      <dgm:prSet phldrT="[Text]"/>
      <dgm:spPr/>
      <dgm:t>
        <a:bodyPr/>
        <a:lstStyle/>
        <a:p>
          <a:r>
            <a:rPr lang="en-GB" b="1" i="0">
              <a:latin typeface="Times New Roman" panose="02020603050405020304" pitchFamily="18" charset="0"/>
              <a:cs typeface="Times New Roman" panose="02020603050405020304" pitchFamily="18" charset="0"/>
            </a:rPr>
            <a:t>Primary Goal</a:t>
          </a:r>
          <a:endParaRPr lang="en-GB">
            <a:latin typeface="Times New Roman" panose="02020603050405020304" pitchFamily="18" charset="0"/>
            <a:cs typeface="Times New Roman" panose="02020603050405020304" pitchFamily="18" charset="0"/>
          </a:endParaRPr>
        </a:p>
      </dgm:t>
    </dgm:pt>
    <dgm:pt modelId="{00AC5F8B-4701-4EEC-8E1D-4B04624C0123}" type="parTrans" cxnId="{9BC62939-3262-4884-A79D-BC6CA0BC91C1}">
      <dgm:prSet/>
      <dgm:spPr/>
      <dgm:t>
        <a:bodyPr/>
        <a:lstStyle/>
        <a:p>
          <a:endParaRPr lang="en-GB"/>
        </a:p>
      </dgm:t>
    </dgm:pt>
    <dgm:pt modelId="{AA402211-324B-409E-AEA2-EE24E09ADEC6}" type="sibTrans" cxnId="{9BC62939-3262-4884-A79D-BC6CA0BC91C1}">
      <dgm:prSet/>
      <dgm:spPr/>
      <dgm:t>
        <a:bodyPr/>
        <a:lstStyle/>
        <a:p>
          <a:endParaRPr lang="en-GB"/>
        </a:p>
      </dgm:t>
    </dgm:pt>
    <dgm:pt modelId="{EA3EC203-2022-4622-ADBB-B23EEAFCD6D5}">
      <dgm:prSet phldrT="[Text]"/>
      <dgm:spPr/>
      <dgm:t>
        <a:bodyPr/>
        <a:lstStyle/>
        <a:p>
          <a:r>
            <a:rPr lang="en-GB" b="1" i="0">
              <a:latin typeface="Times New Roman" panose="02020603050405020304" pitchFamily="18" charset="0"/>
              <a:cs typeface="Times New Roman" panose="02020603050405020304" pitchFamily="18" charset="0"/>
            </a:rPr>
            <a:t>Common Applications</a:t>
          </a:r>
          <a:endParaRPr lang="en-GB">
            <a:latin typeface="Times New Roman" panose="02020603050405020304" pitchFamily="18" charset="0"/>
            <a:cs typeface="Times New Roman" panose="02020603050405020304" pitchFamily="18" charset="0"/>
          </a:endParaRPr>
        </a:p>
      </dgm:t>
    </dgm:pt>
    <dgm:pt modelId="{E562E39B-CB1E-4444-9A87-5FDA5627184E}" type="parTrans" cxnId="{7CF2A11D-B84F-422A-9CF6-0841B19EAA74}">
      <dgm:prSet/>
      <dgm:spPr/>
      <dgm:t>
        <a:bodyPr/>
        <a:lstStyle/>
        <a:p>
          <a:endParaRPr lang="en-GB"/>
        </a:p>
      </dgm:t>
    </dgm:pt>
    <dgm:pt modelId="{81DE4CCA-81B4-468D-9E33-CF8B9DDFFFB7}" type="sibTrans" cxnId="{7CF2A11D-B84F-422A-9CF6-0841B19EAA74}">
      <dgm:prSet/>
      <dgm:spPr/>
      <dgm:t>
        <a:bodyPr/>
        <a:lstStyle/>
        <a:p>
          <a:endParaRPr lang="en-GB"/>
        </a:p>
      </dgm:t>
    </dgm:pt>
    <dgm:pt modelId="{7A4D54EF-19E7-4A74-AA58-C46F59640D55}">
      <dgm:prSet phldrT="[Text]"/>
      <dgm:spPr/>
      <dgm:t>
        <a:bodyPr/>
        <a:lstStyle/>
        <a:p>
          <a:r>
            <a:rPr lang="en-GB" b="1" i="0">
              <a:latin typeface="Times New Roman" panose="02020603050405020304" pitchFamily="18" charset="0"/>
              <a:cs typeface="Times New Roman" panose="02020603050405020304" pitchFamily="18" charset="0"/>
            </a:rPr>
            <a:t>Primary Goal</a:t>
          </a:r>
          <a:endParaRPr lang="en-GB">
            <a:latin typeface="Times New Roman" panose="02020603050405020304" pitchFamily="18" charset="0"/>
            <a:cs typeface="Times New Roman" panose="02020603050405020304" pitchFamily="18" charset="0"/>
          </a:endParaRPr>
        </a:p>
      </dgm:t>
    </dgm:pt>
    <dgm:pt modelId="{F33EA39D-090E-496F-8334-BE43C966C547}" type="parTrans" cxnId="{DE6C7DB3-4A75-4D4E-9F42-F6963EEA270F}">
      <dgm:prSet/>
      <dgm:spPr/>
      <dgm:t>
        <a:bodyPr/>
        <a:lstStyle/>
        <a:p>
          <a:endParaRPr lang="en-GB"/>
        </a:p>
      </dgm:t>
    </dgm:pt>
    <dgm:pt modelId="{21DB4A35-989D-40D3-BF11-EC50AB22252B}" type="sibTrans" cxnId="{DE6C7DB3-4A75-4D4E-9F42-F6963EEA270F}">
      <dgm:prSet/>
      <dgm:spPr/>
      <dgm:t>
        <a:bodyPr/>
        <a:lstStyle/>
        <a:p>
          <a:endParaRPr lang="en-GB"/>
        </a:p>
      </dgm:t>
    </dgm:pt>
    <dgm:pt modelId="{0B6F35CE-BC1D-49F5-B590-76A9CC51F852}">
      <dgm:prSet phldrT="[Text]"/>
      <dgm:spPr/>
      <dgm:t>
        <a:bodyPr/>
        <a:lstStyle/>
        <a:p>
          <a:r>
            <a:rPr lang="en-GB" b="1" i="0">
              <a:latin typeface="Times New Roman" panose="02020603050405020304" pitchFamily="18" charset="0"/>
              <a:cs typeface="Times New Roman" panose="02020603050405020304" pitchFamily="18" charset="0"/>
            </a:rPr>
            <a:t>Common Applications</a:t>
          </a:r>
          <a:endParaRPr lang="en-GB">
            <a:latin typeface="Times New Roman" panose="02020603050405020304" pitchFamily="18" charset="0"/>
            <a:cs typeface="Times New Roman" panose="02020603050405020304" pitchFamily="18" charset="0"/>
          </a:endParaRPr>
        </a:p>
      </dgm:t>
    </dgm:pt>
    <dgm:pt modelId="{0C2D7AA2-6AFC-4985-AB34-9C0C4166732D}" type="parTrans" cxnId="{6A1049E8-3110-4DAA-81F2-B6C1830E34E1}">
      <dgm:prSet/>
      <dgm:spPr/>
      <dgm:t>
        <a:bodyPr/>
        <a:lstStyle/>
        <a:p>
          <a:endParaRPr lang="en-GB"/>
        </a:p>
      </dgm:t>
    </dgm:pt>
    <dgm:pt modelId="{60396D58-C0A8-4FD8-AF75-4AC52650452C}" type="sibTrans" cxnId="{6A1049E8-3110-4DAA-81F2-B6C1830E34E1}">
      <dgm:prSet/>
      <dgm:spPr/>
      <dgm:t>
        <a:bodyPr/>
        <a:lstStyle/>
        <a:p>
          <a:endParaRPr lang="en-GB"/>
        </a:p>
      </dgm:t>
    </dgm:pt>
    <dgm:pt modelId="{F390CAEF-8135-4516-9C53-A23989AE153F}" type="pres">
      <dgm:prSet presAssocID="{40485592-2C0E-4C6E-8AE1-0742D3975FD1}" presName="diagram" presStyleCnt="0">
        <dgm:presLayoutVars>
          <dgm:chPref val="1"/>
          <dgm:dir/>
          <dgm:animOne val="branch"/>
          <dgm:animLvl val="lvl"/>
          <dgm:resizeHandles/>
        </dgm:presLayoutVars>
      </dgm:prSet>
      <dgm:spPr/>
    </dgm:pt>
    <dgm:pt modelId="{BEDAAF7C-0212-486D-B38C-8744EAD36C1D}" type="pres">
      <dgm:prSet presAssocID="{21F16882-532D-4CFE-A0F6-16523FA9D5EA}" presName="root" presStyleCnt="0"/>
      <dgm:spPr/>
    </dgm:pt>
    <dgm:pt modelId="{1D0FF0A8-205E-479C-84C0-6BE60A75D984}" type="pres">
      <dgm:prSet presAssocID="{21F16882-532D-4CFE-A0F6-16523FA9D5EA}" presName="rootComposite" presStyleCnt="0"/>
      <dgm:spPr/>
    </dgm:pt>
    <dgm:pt modelId="{D19D7C6D-6B61-49ED-B2D2-1F4A7253592B}" type="pres">
      <dgm:prSet presAssocID="{21F16882-532D-4CFE-A0F6-16523FA9D5EA}" presName="rootText" presStyleLbl="node1" presStyleIdx="0" presStyleCnt="2"/>
      <dgm:spPr/>
    </dgm:pt>
    <dgm:pt modelId="{E5E84AF4-CF42-4D80-BF1D-9642356E0C2E}" type="pres">
      <dgm:prSet presAssocID="{21F16882-532D-4CFE-A0F6-16523FA9D5EA}" presName="rootConnector" presStyleLbl="node1" presStyleIdx="0" presStyleCnt="2"/>
      <dgm:spPr/>
    </dgm:pt>
    <dgm:pt modelId="{DADE07A3-9CEC-4077-A023-8D85B9B84964}" type="pres">
      <dgm:prSet presAssocID="{21F16882-532D-4CFE-A0F6-16523FA9D5EA}" presName="childShape" presStyleCnt="0"/>
      <dgm:spPr/>
    </dgm:pt>
    <dgm:pt modelId="{CA312828-14BA-4ABD-9671-E1F179AF7F99}" type="pres">
      <dgm:prSet presAssocID="{AC6F16A6-E5FB-4A64-8E6C-84D7BD03AB9E}" presName="Name13" presStyleLbl="parChTrans1D2" presStyleIdx="0" presStyleCnt="8"/>
      <dgm:spPr/>
    </dgm:pt>
    <dgm:pt modelId="{24C47B0D-3C25-47A4-9190-069E4235ED9F}" type="pres">
      <dgm:prSet presAssocID="{4FE4FDB6-49F1-4E8C-9FF3-3AE61791116B}" presName="childText" presStyleLbl="bgAcc1" presStyleIdx="0" presStyleCnt="8">
        <dgm:presLayoutVars>
          <dgm:bulletEnabled val="1"/>
        </dgm:presLayoutVars>
      </dgm:prSet>
      <dgm:spPr/>
    </dgm:pt>
    <dgm:pt modelId="{2EFDC327-79CC-474D-B670-1F5B31E1C079}" type="pres">
      <dgm:prSet presAssocID="{FF823037-D40F-47A2-8566-C24E4385409E}" presName="Name13" presStyleLbl="parChTrans1D2" presStyleIdx="1" presStyleCnt="8"/>
      <dgm:spPr/>
    </dgm:pt>
    <dgm:pt modelId="{7671210D-16AF-4BE9-9B5E-FB3E5DEBB759}" type="pres">
      <dgm:prSet presAssocID="{C646C327-511A-4629-A180-6216066CCE0C}" presName="childText" presStyleLbl="bgAcc1" presStyleIdx="1" presStyleCnt="8">
        <dgm:presLayoutVars>
          <dgm:bulletEnabled val="1"/>
        </dgm:presLayoutVars>
      </dgm:prSet>
      <dgm:spPr/>
    </dgm:pt>
    <dgm:pt modelId="{8DAF725B-3E2E-4677-B26C-6109A5A904A1}" type="pres">
      <dgm:prSet presAssocID="{00AC5F8B-4701-4EEC-8E1D-4B04624C0123}" presName="Name13" presStyleLbl="parChTrans1D2" presStyleIdx="2" presStyleCnt="8"/>
      <dgm:spPr/>
    </dgm:pt>
    <dgm:pt modelId="{F9B05AB1-D39C-4E34-A4CE-DBEF8C3490CB}" type="pres">
      <dgm:prSet presAssocID="{936CA01F-E9AF-445A-91C5-F81ECDE48A8F}" presName="childText" presStyleLbl="bgAcc1" presStyleIdx="2" presStyleCnt="8">
        <dgm:presLayoutVars>
          <dgm:bulletEnabled val="1"/>
        </dgm:presLayoutVars>
      </dgm:prSet>
      <dgm:spPr/>
    </dgm:pt>
    <dgm:pt modelId="{E4FB72DD-4239-45A7-9BE7-6540D52560DD}" type="pres">
      <dgm:prSet presAssocID="{E562E39B-CB1E-4444-9A87-5FDA5627184E}" presName="Name13" presStyleLbl="parChTrans1D2" presStyleIdx="3" presStyleCnt="8"/>
      <dgm:spPr/>
    </dgm:pt>
    <dgm:pt modelId="{4DC14464-73F1-4323-828C-1E9E6C83B57D}" type="pres">
      <dgm:prSet presAssocID="{EA3EC203-2022-4622-ADBB-B23EEAFCD6D5}" presName="childText" presStyleLbl="bgAcc1" presStyleIdx="3" presStyleCnt="8">
        <dgm:presLayoutVars>
          <dgm:bulletEnabled val="1"/>
        </dgm:presLayoutVars>
      </dgm:prSet>
      <dgm:spPr/>
    </dgm:pt>
    <dgm:pt modelId="{22D3D7BA-B398-4A61-B728-FE828660BD58}" type="pres">
      <dgm:prSet presAssocID="{4297001B-B4F7-4AD4-B48C-125444F8A1B0}" presName="root" presStyleCnt="0"/>
      <dgm:spPr/>
    </dgm:pt>
    <dgm:pt modelId="{FABA919F-3CED-454C-B4D6-4FB8EEF77470}" type="pres">
      <dgm:prSet presAssocID="{4297001B-B4F7-4AD4-B48C-125444F8A1B0}" presName="rootComposite" presStyleCnt="0"/>
      <dgm:spPr/>
    </dgm:pt>
    <dgm:pt modelId="{2A83A81F-51BF-454B-9D1E-5E3B0DE8D6C2}" type="pres">
      <dgm:prSet presAssocID="{4297001B-B4F7-4AD4-B48C-125444F8A1B0}" presName="rootText" presStyleLbl="node1" presStyleIdx="1" presStyleCnt="2"/>
      <dgm:spPr/>
    </dgm:pt>
    <dgm:pt modelId="{CD4EA8F8-5BDC-4358-942E-B183C7B5DDB1}" type="pres">
      <dgm:prSet presAssocID="{4297001B-B4F7-4AD4-B48C-125444F8A1B0}" presName="rootConnector" presStyleLbl="node1" presStyleIdx="1" presStyleCnt="2"/>
      <dgm:spPr/>
    </dgm:pt>
    <dgm:pt modelId="{FD8651F5-63DD-434F-9C12-D214FCEF842D}" type="pres">
      <dgm:prSet presAssocID="{4297001B-B4F7-4AD4-B48C-125444F8A1B0}" presName="childShape" presStyleCnt="0"/>
      <dgm:spPr/>
    </dgm:pt>
    <dgm:pt modelId="{324A2237-B85A-4446-A83E-01AF4C393D2A}" type="pres">
      <dgm:prSet presAssocID="{3DA217F0-3C9A-458B-81DA-3CDC12CBA475}" presName="Name13" presStyleLbl="parChTrans1D2" presStyleIdx="4" presStyleCnt="8"/>
      <dgm:spPr/>
    </dgm:pt>
    <dgm:pt modelId="{0F5F7649-1F72-40FA-9D56-8EF09CF0A3F7}" type="pres">
      <dgm:prSet presAssocID="{5863010F-FC49-4489-A8E0-CCCA94B96116}" presName="childText" presStyleLbl="bgAcc1" presStyleIdx="4" presStyleCnt="8">
        <dgm:presLayoutVars>
          <dgm:bulletEnabled val="1"/>
        </dgm:presLayoutVars>
      </dgm:prSet>
      <dgm:spPr/>
    </dgm:pt>
    <dgm:pt modelId="{12A58A42-8C48-4642-A4C2-45D2A7EF46EF}" type="pres">
      <dgm:prSet presAssocID="{EDC8DB4B-2ADC-4B5F-A757-BD8C0E38D0D2}" presName="Name13" presStyleLbl="parChTrans1D2" presStyleIdx="5" presStyleCnt="8"/>
      <dgm:spPr/>
    </dgm:pt>
    <dgm:pt modelId="{C4B6D20C-01A4-446A-A245-05012D5D9166}" type="pres">
      <dgm:prSet presAssocID="{DA0EBD65-A5EF-4703-98E0-F46F82A7FCEB}" presName="childText" presStyleLbl="bgAcc1" presStyleIdx="5" presStyleCnt="8">
        <dgm:presLayoutVars>
          <dgm:bulletEnabled val="1"/>
        </dgm:presLayoutVars>
      </dgm:prSet>
      <dgm:spPr/>
    </dgm:pt>
    <dgm:pt modelId="{CA07B600-14B9-47A9-B964-8C96E64AFBEB}" type="pres">
      <dgm:prSet presAssocID="{F33EA39D-090E-496F-8334-BE43C966C547}" presName="Name13" presStyleLbl="parChTrans1D2" presStyleIdx="6" presStyleCnt="8"/>
      <dgm:spPr/>
    </dgm:pt>
    <dgm:pt modelId="{B614B44E-4A0B-4F66-AD03-2F2FAAE15587}" type="pres">
      <dgm:prSet presAssocID="{7A4D54EF-19E7-4A74-AA58-C46F59640D55}" presName="childText" presStyleLbl="bgAcc1" presStyleIdx="6" presStyleCnt="8">
        <dgm:presLayoutVars>
          <dgm:bulletEnabled val="1"/>
        </dgm:presLayoutVars>
      </dgm:prSet>
      <dgm:spPr/>
    </dgm:pt>
    <dgm:pt modelId="{CF75CE9E-81AA-4683-99F3-EE74C9E6DA6B}" type="pres">
      <dgm:prSet presAssocID="{0C2D7AA2-6AFC-4985-AB34-9C0C4166732D}" presName="Name13" presStyleLbl="parChTrans1D2" presStyleIdx="7" presStyleCnt="8"/>
      <dgm:spPr/>
    </dgm:pt>
    <dgm:pt modelId="{A4EE43EF-E585-448E-B0CD-CD89A7195810}" type="pres">
      <dgm:prSet presAssocID="{0B6F35CE-BC1D-49F5-B590-76A9CC51F852}" presName="childText" presStyleLbl="bgAcc1" presStyleIdx="7" presStyleCnt="8">
        <dgm:presLayoutVars>
          <dgm:bulletEnabled val="1"/>
        </dgm:presLayoutVars>
      </dgm:prSet>
      <dgm:spPr/>
    </dgm:pt>
  </dgm:ptLst>
  <dgm:cxnLst>
    <dgm:cxn modelId="{42E77B03-0C0C-4A10-80E5-82C054D2C067}" type="presOf" srcId="{EDC8DB4B-2ADC-4B5F-A757-BD8C0E38D0D2}" destId="{12A58A42-8C48-4642-A4C2-45D2A7EF46EF}" srcOrd="0" destOrd="0" presId="urn:microsoft.com/office/officeart/2005/8/layout/hierarchy3"/>
    <dgm:cxn modelId="{43B3F904-A7C1-4DFD-852F-13E4FECCB8A3}" type="presOf" srcId="{00AC5F8B-4701-4EEC-8E1D-4B04624C0123}" destId="{8DAF725B-3E2E-4677-B26C-6109A5A904A1}" srcOrd="0" destOrd="0" presId="urn:microsoft.com/office/officeart/2005/8/layout/hierarchy3"/>
    <dgm:cxn modelId="{C94A1B06-852D-4F24-B2F5-5055C43DAC2B}" type="presOf" srcId="{5863010F-FC49-4489-A8E0-CCCA94B96116}" destId="{0F5F7649-1F72-40FA-9D56-8EF09CF0A3F7}" srcOrd="0" destOrd="0" presId="urn:microsoft.com/office/officeart/2005/8/layout/hierarchy3"/>
    <dgm:cxn modelId="{831E110A-CE50-4724-A9D5-D48074FAC96C}" type="presOf" srcId="{F33EA39D-090E-496F-8334-BE43C966C547}" destId="{CA07B600-14B9-47A9-B964-8C96E64AFBEB}" srcOrd="0" destOrd="0" presId="urn:microsoft.com/office/officeart/2005/8/layout/hierarchy3"/>
    <dgm:cxn modelId="{9A897111-49F0-4A73-9117-3A3883044B5E}" type="presOf" srcId="{E562E39B-CB1E-4444-9A87-5FDA5627184E}" destId="{E4FB72DD-4239-45A7-9BE7-6540D52560DD}" srcOrd="0" destOrd="0" presId="urn:microsoft.com/office/officeart/2005/8/layout/hierarchy3"/>
    <dgm:cxn modelId="{6766FC11-E85B-4C28-AB6D-AA2FAD38957A}" srcId="{4297001B-B4F7-4AD4-B48C-125444F8A1B0}" destId="{DA0EBD65-A5EF-4703-98E0-F46F82A7FCEB}" srcOrd="1" destOrd="0" parTransId="{EDC8DB4B-2ADC-4B5F-A757-BD8C0E38D0D2}" sibTransId="{BE02E6C8-96A5-4D7B-8815-A1DF46F5ECB5}"/>
    <dgm:cxn modelId="{7CF2A11D-B84F-422A-9CF6-0841B19EAA74}" srcId="{21F16882-532D-4CFE-A0F6-16523FA9D5EA}" destId="{EA3EC203-2022-4622-ADBB-B23EEAFCD6D5}" srcOrd="3" destOrd="0" parTransId="{E562E39B-CB1E-4444-9A87-5FDA5627184E}" sibTransId="{81DE4CCA-81B4-468D-9E33-CF8B9DDFFFB7}"/>
    <dgm:cxn modelId="{CAE59D23-C15A-4802-A60A-F0E05FD24402}" srcId="{40485592-2C0E-4C6E-8AE1-0742D3975FD1}" destId="{4297001B-B4F7-4AD4-B48C-125444F8A1B0}" srcOrd="1" destOrd="0" parTransId="{9D6778BD-535E-484A-8E61-CBBE2D962A8A}" sibTransId="{3847FD0C-803D-4576-88FF-7C2916DDDA0B}"/>
    <dgm:cxn modelId="{12AE1026-9805-42AC-83A2-A909C84B4B3F}" type="presOf" srcId="{3DA217F0-3C9A-458B-81DA-3CDC12CBA475}" destId="{324A2237-B85A-4446-A83E-01AF4C393D2A}" srcOrd="0" destOrd="0" presId="urn:microsoft.com/office/officeart/2005/8/layout/hierarchy3"/>
    <dgm:cxn modelId="{9BC62939-3262-4884-A79D-BC6CA0BC91C1}" srcId="{21F16882-532D-4CFE-A0F6-16523FA9D5EA}" destId="{936CA01F-E9AF-445A-91C5-F81ECDE48A8F}" srcOrd="2" destOrd="0" parTransId="{00AC5F8B-4701-4EEC-8E1D-4B04624C0123}" sibTransId="{AA402211-324B-409E-AEA2-EE24E09ADEC6}"/>
    <dgm:cxn modelId="{4B1E1C47-457C-4CB7-B033-3422694D3A86}" srcId="{4297001B-B4F7-4AD4-B48C-125444F8A1B0}" destId="{5863010F-FC49-4489-A8E0-CCCA94B96116}" srcOrd="0" destOrd="0" parTransId="{3DA217F0-3C9A-458B-81DA-3CDC12CBA475}" sibTransId="{1393D88E-BB09-45C2-85A1-85DE1E5B05FD}"/>
    <dgm:cxn modelId="{6C23DA67-1FD0-494F-9646-DC07FF33660B}" type="presOf" srcId="{4297001B-B4F7-4AD4-B48C-125444F8A1B0}" destId="{CD4EA8F8-5BDC-4358-942E-B183C7B5DDB1}" srcOrd="1" destOrd="0" presId="urn:microsoft.com/office/officeart/2005/8/layout/hierarchy3"/>
    <dgm:cxn modelId="{30BBC489-4971-42F1-A754-638234ABF22E}" type="presOf" srcId="{21F16882-532D-4CFE-A0F6-16523FA9D5EA}" destId="{D19D7C6D-6B61-49ED-B2D2-1F4A7253592B}" srcOrd="0" destOrd="0" presId="urn:microsoft.com/office/officeart/2005/8/layout/hierarchy3"/>
    <dgm:cxn modelId="{158945A6-B5BA-4612-A309-B7E3C4E1CBFA}" type="presOf" srcId="{7A4D54EF-19E7-4A74-AA58-C46F59640D55}" destId="{B614B44E-4A0B-4F66-AD03-2F2FAAE15587}" srcOrd="0" destOrd="0" presId="urn:microsoft.com/office/officeart/2005/8/layout/hierarchy3"/>
    <dgm:cxn modelId="{BD7C9FAE-FAD9-4273-B959-EEFADE77A290}" type="presOf" srcId="{4297001B-B4F7-4AD4-B48C-125444F8A1B0}" destId="{2A83A81F-51BF-454B-9D1E-5E3B0DE8D6C2}" srcOrd="0" destOrd="0" presId="urn:microsoft.com/office/officeart/2005/8/layout/hierarchy3"/>
    <dgm:cxn modelId="{E4EC01B0-D819-4830-9E47-DE22D86CCC87}" srcId="{21F16882-532D-4CFE-A0F6-16523FA9D5EA}" destId="{4FE4FDB6-49F1-4E8C-9FF3-3AE61791116B}" srcOrd="0" destOrd="0" parTransId="{AC6F16A6-E5FB-4A64-8E6C-84D7BD03AB9E}" sibTransId="{526282B4-E4C7-4A31-B631-E355C47B34F0}"/>
    <dgm:cxn modelId="{B52587B2-CD75-4B79-B3D1-5466AB42ABD0}" srcId="{21F16882-532D-4CFE-A0F6-16523FA9D5EA}" destId="{C646C327-511A-4629-A180-6216066CCE0C}" srcOrd="1" destOrd="0" parTransId="{FF823037-D40F-47A2-8566-C24E4385409E}" sibTransId="{C1B493E1-4933-440B-ADD6-0B549D63F621}"/>
    <dgm:cxn modelId="{DE6C7DB3-4A75-4D4E-9F42-F6963EEA270F}" srcId="{4297001B-B4F7-4AD4-B48C-125444F8A1B0}" destId="{7A4D54EF-19E7-4A74-AA58-C46F59640D55}" srcOrd="2" destOrd="0" parTransId="{F33EA39D-090E-496F-8334-BE43C966C547}" sibTransId="{21DB4A35-989D-40D3-BF11-EC50AB22252B}"/>
    <dgm:cxn modelId="{ECEC6AC0-2FB4-403A-82DA-9DC7177774FB}" srcId="{40485592-2C0E-4C6E-8AE1-0742D3975FD1}" destId="{21F16882-532D-4CFE-A0F6-16523FA9D5EA}" srcOrd="0" destOrd="0" parTransId="{C1511B02-D7A7-477A-B8BB-FDF1C82B9B2A}" sibTransId="{68D8CB68-694A-4FEF-B580-C6930543AE6A}"/>
    <dgm:cxn modelId="{3365EFC0-892A-4750-8321-409AE26E346E}" type="presOf" srcId="{21F16882-532D-4CFE-A0F6-16523FA9D5EA}" destId="{E5E84AF4-CF42-4D80-BF1D-9642356E0C2E}" srcOrd="1" destOrd="0" presId="urn:microsoft.com/office/officeart/2005/8/layout/hierarchy3"/>
    <dgm:cxn modelId="{67E9C0D3-19B8-4C63-8DEE-81087CC96273}" type="presOf" srcId="{EA3EC203-2022-4622-ADBB-B23EEAFCD6D5}" destId="{4DC14464-73F1-4323-828C-1E9E6C83B57D}" srcOrd="0" destOrd="0" presId="urn:microsoft.com/office/officeart/2005/8/layout/hierarchy3"/>
    <dgm:cxn modelId="{DA41B3D5-D123-4A2C-A32F-74DB003321EE}" type="presOf" srcId="{0B6F35CE-BC1D-49F5-B590-76A9CC51F852}" destId="{A4EE43EF-E585-448E-B0CD-CD89A7195810}" srcOrd="0" destOrd="0" presId="urn:microsoft.com/office/officeart/2005/8/layout/hierarchy3"/>
    <dgm:cxn modelId="{F3012DE2-6FA3-49A6-AD09-74689F00534D}" type="presOf" srcId="{AC6F16A6-E5FB-4A64-8E6C-84D7BD03AB9E}" destId="{CA312828-14BA-4ABD-9671-E1F179AF7F99}" srcOrd="0" destOrd="0" presId="urn:microsoft.com/office/officeart/2005/8/layout/hierarchy3"/>
    <dgm:cxn modelId="{4E41FAE3-1178-4058-A0B1-056234DDE27D}" type="presOf" srcId="{DA0EBD65-A5EF-4703-98E0-F46F82A7FCEB}" destId="{C4B6D20C-01A4-446A-A245-05012D5D9166}" srcOrd="0" destOrd="0" presId="urn:microsoft.com/office/officeart/2005/8/layout/hierarchy3"/>
    <dgm:cxn modelId="{AE0C05E7-C6EB-40F9-BA73-8F0C77DF6038}" type="presOf" srcId="{4FE4FDB6-49F1-4E8C-9FF3-3AE61791116B}" destId="{24C47B0D-3C25-47A4-9190-069E4235ED9F}" srcOrd="0" destOrd="0" presId="urn:microsoft.com/office/officeart/2005/8/layout/hierarchy3"/>
    <dgm:cxn modelId="{6A1049E8-3110-4DAA-81F2-B6C1830E34E1}" srcId="{4297001B-B4F7-4AD4-B48C-125444F8A1B0}" destId="{0B6F35CE-BC1D-49F5-B590-76A9CC51F852}" srcOrd="3" destOrd="0" parTransId="{0C2D7AA2-6AFC-4985-AB34-9C0C4166732D}" sibTransId="{60396D58-C0A8-4FD8-AF75-4AC52650452C}"/>
    <dgm:cxn modelId="{1D037CF6-BCB7-4CD4-9564-931CA8755383}" type="presOf" srcId="{C646C327-511A-4629-A180-6216066CCE0C}" destId="{7671210D-16AF-4BE9-9B5E-FB3E5DEBB759}" srcOrd="0" destOrd="0" presId="urn:microsoft.com/office/officeart/2005/8/layout/hierarchy3"/>
    <dgm:cxn modelId="{B50D96F7-F709-4450-8F3A-DCF9F2A86A50}" type="presOf" srcId="{40485592-2C0E-4C6E-8AE1-0742D3975FD1}" destId="{F390CAEF-8135-4516-9C53-A23989AE153F}" srcOrd="0" destOrd="0" presId="urn:microsoft.com/office/officeart/2005/8/layout/hierarchy3"/>
    <dgm:cxn modelId="{6DF0BAF7-7C44-4DAF-9435-6F9165F6CF72}" type="presOf" srcId="{FF823037-D40F-47A2-8566-C24E4385409E}" destId="{2EFDC327-79CC-474D-B670-1F5B31E1C079}" srcOrd="0" destOrd="0" presId="urn:microsoft.com/office/officeart/2005/8/layout/hierarchy3"/>
    <dgm:cxn modelId="{EB64B5F9-F5B6-42A3-99ED-D302CA089D2B}" type="presOf" srcId="{936CA01F-E9AF-445A-91C5-F81ECDE48A8F}" destId="{F9B05AB1-D39C-4E34-A4CE-DBEF8C3490CB}" srcOrd="0" destOrd="0" presId="urn:microsoft.com/office/officeart/2005/8/layout/hierarchy3"/>
    <dgm:cxn modelId="{7FAC28FF-7F76-434A-ACD7-8BC78A9BEBD6}" type="presOf" srcId="{0C2D7AA2-6AFC-4985-AB34-9C0C4166732D}" destId="{CF75CE9E-81AA-4683-99F3-EE74C9E6DA6B}" srcOrd="0" destOrd="0" presId="urn:microsoft.com/office/officeart/2005/8/layout/hierarchy3"/>
    <dgm:cxn modelId="{A1A9E272-762F-46A2-BA7B-4F9033E36095}" type="presParOf" srcId="{F390CAEF-8135-4516-9C53-A23989AE153F}" destId="{BEDAAF7C-0212-486D-B38C-8744EAD36C1D}" srcOrd="0" destOrd="0" presId="urn:microsoft.com/office/officeart/2005/8/layout/hierarchy3"/>
    <dgm:cxn modelId="{3F7885F9-C882-40AC-813A-361E34693744}" type="presParOf" srcId="{BEDAAF7C-0212-486D-B38C-8744EAD36C1D}" destId="{1D0FF0A8-205E-479C-84C0-6BE60A75D984}" srcOrd="0" destOrd="0" presId="urn:microsoft.com/office/officeart/2005/8/layout/hierarchy3"/>
    <dgm:cxn modelId="{EF497A2D-8571-45E1-B383-B1327EBD5B95}" type="presParOf" srcId="{1D0FF0A8-205E-479C-84C0-6BE60A75D984}" destId="{D19D7C6D-6B61-49ED-B2D2-1F4A7253592B}" srcOrd="0" destOrd="0" presId="urn:microsoft.com/office/officeart/2005/8/layout/hierarchy3"/>
    <dgm:cxn modelId="{3328467D-A30B-46D9-862D-BBBBEDFC4C45}" type="presParOf" srcId="{1D0FF0A8-205E-479C-84C0-6BE60A75D984}" destId="{E5E84AF4-CF42-4D80-BF1D-9642356E0C2E}" srcOrd="1" destOrd="0" presId="urn:microsoft.com/office/officeart/2005/8/layout/hierarchy3"/>
    <dgm:cxn modelId="{725D21E4-0146-4043-946A-2103B205E578}" type="presParOf" srcId="{BEDAAF7C-0212-486D-B38C-8744EAD36C1D}" destId="{DADE07A3-9CEC-4077-A023-8D85B9B84964}" srcOrd="1" destOrd="0" presId="urn:microsoft.com/office/officeart/2005/8/layout/hierarchy3"/>
    <dgm:cxn modelId="{7CA378CE-B46D-4CAC-9FE7-A7DAB6DA842D}" type="presParOf" srcId="{DADE07A3-9CEC-4077-A023-8D85B9B84964}" destId="{CA312828-14BA-4ABD-9671-E1F179AF7F99}" srcOrd="0" destOrd="0" presId="urn:microsoft.com/office/officeart/2005/8/layout/hierarchy3"/>
    <dgm:cxn modelId="{F7C709E5-3AA4-42BD-8BD9-08AE6B25CA0C}" type="presParOf" srcId="{DADE07A3-9CEC-4077-A023-8D85B9B84964}" destId="{24C47B0D-3C25-47A4-9190-069E4235ED9F}" srcOrd="1" destOrd="0" presId="urn:microsoft.com/office/officeart/2005/8/layout/hierarchy3"/>
    <dgm:cxn modelId="{E08B5918-A94E-4CC8-AED7-51D9EF0FE111}" type="presParOf" srcId="{DADE07A3-9CEC-4077-A023-8D85B9B84964}" destId="{2EFDC327-79CC-474D-B670-1F5B31E1C079}" srcOrd="2" destOrd="0" presId="urn:microsoft.com/office/officeart/2005/8/layout/hierarchy3"/>
    <dgm:cxn modelId="{798CFFAE-48CC-47EC-8C9B-A38B70040988}" type="presParOf" srcId="{DADE07A3-9CEC-4077-A023-8D85B9B84964}" destId="{7671210D-16AF-4BE9-9B5E-FB3E5DEBB759}" srcOrd="3" destOrd="0" presId="urn:microsoft.com/office/officeart/2005/8/layout/hierarchy3"/>
    <dgm:cxn modelId="{13E15D04-9237-40BA-B4BB-7145D7355061}" type="presParOf" srcId="{DADE07A3-9CEC-4077-A023-8D85B9B84964}" destId="{8DAF725B-3E2E-4677-B26C-6109A5A904A1}" srcOrd="4" destOrd="0" presId="urn:microsoft.com/office/officeart/2005/8/layout/hierarchy3"/>
    <dgm:cxn modelId="{0048489C-A2CB-49A3-AB3F-476BE1B6C573}" type="presParOf" srcId="{DADE07A3-9CEC-4077-A023-8D85B9B84964}" destId="{F9B05AB1-D39C-4E34-A4CE-DBEF8C3490CB}" srcOrd="5" destOrd="0" presId="urn:microsoft.com/office/officeart/2005/8/layout/hierarchy3"/>
    <dgm:cxn modelId="{44E108AB-5E61-46AE-BB26-17A749047D2C}" type="presParOf" srcId="{DADE07A3-9CEC-4077-A023-8D85B9B84964}" destId="{E4FB72DD-4239-45A7-9BE7-6540D52560DD}" srcOrd="6" destOrd="0" presId="urn:microsoft.com/office/officeart/2005/8/layout/hierarchy3"/>
    <dgm:cxn modelId="{D2A831A5-F20D-488C-974E-69A6AE7E9541}" type="presParOf" srcId="{DADE07A3-9CEC-4077-A023-8D85B9B84964}" destId="{4DC14464-73F1-4323-828C-1E9E6C83B57D}" srcOrd="7" destOrd="0" presId="urn:microsoft.com/office/officeart/2005/8/layout/hierarchy3"/>
    <dgm:cxn modelId="{68155B6D-0D5C-4BC0-AF6F-117A7F6B4E34}" type="presParOf" srcId="{F390CAEF-8135-4516-9C53-A23989AE153F}" destId="{22D3D7BA-B398-4A61-B728-FE828660BD58}" srcOrd="1" destOrd="0" presId="urn:microsoft.com/office/officeart/2005/8/layout/hierarchy3"/>
    <dgm:cxn modelId="{9A7D0AE6-AD58-4AE8-BED5-CB76781178AE}" type="presParOf" srcId="{22D3D7BA-B398-4A61-B728-FE828660BD58}" destId="{FABA919F-3CED-454C-B4D6-4FB8EEF77470}" srcOrd="0" destOrd="0" presId="urn:microsoft.com/office/officeart/2005/8/layout/hierarchy3"/>
    <dgm:cxn modelId="{1DDEADBA-C104-4825-8E7E-729CA406DA5F}" type="presParOf" srcId="{FABA919F-3CED-454C-B4D6-4FB8EEF77470}" destId="{2A83A81F-51BF-454B-9D1E-5E3B0DE8D6C2}" srcOrd="0" destOrd="0" presId="urn:microsoft.com/office/officeart/2005/8/layout/hierarchy3"/>
    <dgm:cxn modelId="{77CAA390-3BCD-49F1-AA8C-E74F326D0FCD}" type="presParOf" srcId="{FABA919F-3CED-454C-B4D6-4FB8EEF77470}" destId="{CD4EA8F8-5BDC-4358-942E-B183C7B5DDB1}" srcOrd="1" destOrd="0" presId="urn:microsoft.com/office/officeart/2005/8/layout/hierarchy3"/>
    <dgm:cxn modelId="{9C5400A5-F351-463F-A269-413EF69A9979}" type="presParOf" srcId="{22D3D7BA-B398-4A61-B728-FE828660BD58}" destId="{FD8651F5-63DD-434F-9C12-D214FCEF842D}" srcOrd="1" destOrd="0" presId="urn:microsoft.com/office/officeart/2005/8/layout/hierarchy3"/>
    <dgm:cxn modelId="{E4B5DA60-414B-4C14-9F14-DC29DA1733A5}" type="presParOf" srcId="{FD8651F5-63DD-434F-9C12-D214FCEF842D}" destId="{324A2237-B85A-4446-A83E-01AF4C393D2A}" srcOrd="0" destOrd="0" presId="urn:microsoft.com/office/officeart/2005/8/layout/hierarchy3"/>
    <dgm:cxn modelId="{CE5FBE49-0839-4A5D-8E2E-4ADB43DA7A1B}" type="presParOf" srcId="{FD8651F5-63DD-434F-9C12-D214FCEF842D}" destId="{0F5F7649-1F72-40FA-9D56-8EF09CF0A3F7}" srcOrd="1" destOrd="0" presId="urn:microsoft.com/office/officeart/2005/8/layout/hierarchy3"/>
    <dgm:cxn modelId="{8FF7D102-48D2-4BE2-BAC7-761E8236E687}" type="presParOf" srcId="{FD8651F5-63DD-434F-9C12-D214FCEF842D}" destId="{12A58A42-8C48-4642-A4C2-45D2A7EF46EF}" srcOrd="2" destOrd="0" presId="urn:microsoft.com/office/officeart/2005/8/layout/hierarchy3"/>
    <dgm:cxn modelId="{59E80ECA-AA9F-4729-B758-1C8D41B525CF}" type="presParOf" srcId="{FD8651F5-63DD-434F-9C12-D214FCEF842D}" destId="{C4B6D20C-01A4-446A-A245-05012D5D9166}" srcOrd="3" destOrd="0" presId="urn:microsoft.com/office/officeart/2005/8/layout/hierarchy3"/>
    <dgm:cxn modelId="{2509B6A3-5B5F-4409-B044-C19BAD53F1CF}" type="presParOf" srcId="{FD8651F5-63DD-434F-9C12-D214FCEF842D}" destId="{CA07B600-14B9-47A9-B964-8C96E64AFBEB}" srcOrd="4" destOrd="0" presId="urn:microsoft.com/office/officeart/2005/8/layout/hierarchy3"/>
    <dgm:cxn modelId="{5F078297-48DD-4447-A384-3A07C6424D2C}" type="presParOf" srcId="{FD8651F5-63DD-434F-9C12-D214FCEF842D}" destId="{B614B44E-4A0B-4F66-AD03-2F2FAAE15587}" srcOrd="5" destOrd="0" presId="urn:microsoft.com/office/officeart/2005/8/layout/hierarchy3"/>
    <dgm:cxn modelId="{3529B681-EAAB-4E53-B1ED-503379D3624D}" type="presParOf" srcId="{FD8651F5-63DD-434F-9C12-D214FCEF842D}" destId="{CF75CE9E-81AA-4683-99F3-EE74C9E6DA6B}" srcOrd="6" destOrd="0" presId="urn:microsoft.com/office/officeart/2005/8/layout/hierarchy3"/>
    <dgm:cxn modelId="{A377B988-051E-447E-BE6B-B9F48A7FD5B0}" type="presParOf" srcId="{FD8651F5-63DD-434F-9C12-D214FCEF842D}" destId="{A4EE43EF-E585-448E-B0CD-CD89A7195810}" srcOrd="7" destOrd="0" presId="urn:microsoft.com/office/officeart/2005/8/layout/hierarchy3"/>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9D7C6D-6B61-49ED-B2D2-1F4A7253592B}">
      <dsp:nvSpPr>
        <dsp:cNvPr id="0" name=""/>
        <dsp:cNvSpPr/>
      </dsp:nvSpPr>
      <dsp:spPr>
        <a:xfrm>
          <a:off x="271975" y="683"/>
          <a:ext cx="1066344" cy="533172"/>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b="1" i="0" kern="1200">
              <a:latin typeface="Times New Roman" panose="02020603050405020304" pitchFamily="18" charset="0"/>
              <a:cs typeface="Times New Roman" panose="02020603050405020304" pitchFamily="18" charset="0"/>
            </a:rPr>
            <a:t>Dialectical Behavior Therapy (DBT)</a:t>
          </a:r>
          <a:endParaRPr lang="en-GB" sz="1100" kern="1200">
            <a:latin typeface="Times New Roman" panose="02020603050405020304" pitchFamily="18" charset="0"/>
            <a:cs typeface="Times New Roman" panose="02020603050405020304" pitchFamily="18" charset="0"/>
          </a:endParaRPr>
        </a:p>
      </dsp:txBody>
      <dsp:txXfrm>
        <a:off x="287591" y="16299"/>
        <a:ext cx="1035112" cy="501940"/>
      </dsp:txXfrm>
    </dsp:sp>
    <dsp:sp modelId="{CA312828-14BA-4ABD-9671-E1F179AF7F99}">
      <dsp:nvSpPr>
        <dsp:cNvPr id="0" name=""/>
        <dsp:cNvSpPr/>
      </dsp:nvSpPr>
      <dsp:spPr>
        <a:xfrm>
          <a:off x="378609" y="533855"/>
          <a:ext cx="106634" cy="399879"/>
        </a:xfrm>
        <a:custGeom>
          <a:avLst/>
          <a:gdLst/>
          <a:ahLst/>
          <a:cxnLst/>
          <a:rect l="0" t="0" r="0" b="0"/>
          <a:pathLst>
            <a:path>
              <a:moveTo>
                <a:pt x="0" y="0"/>
              </a:moveTo>
              <a:lnTo>
                <a:pt x="0" y="399879"/>
              </a:lnTo>
              <a:lnTo>
                <a:pt x="106634" y="399879"/>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4C47B0D-3C25-47A4-9190-069E4235ED9F}">
      <dsp:nvSpPr>
        <dsp:cNvPr id="0" name=""/>
        <dsp:cNvSpPr/>
      </dsp:nvSpPr>
      <dsp:spPr>
        <a:xfrm>
          <a:off x="485244" y="667148"/>
          <a:ext cx="853075" cy="533172"/>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b="1" i="0" kern="1200">
              <a:latin typeface="Times New Roman" panose="02020603050405020304" pitchFamily="18" charset="0"/>
              <a:cs typeface="Times New Roman" panose="02020603050405020304" pitchFamily="18" charset="0"/>
            </a:rPr>
            <a:t>Focus</a:t>
          </a:r>
          <a:endParaRPr lang="en-GB" sz="1100" kern="1200">
            <a:latin typeface="Times New Roman" panose="02020603050405020304" pitchFamily="18" charset="0"/>
            <a:cs typeface="Times New Roman" panose="02020603050405020304" pitchFamily="18" charset="0"/>
          </a:endParaRPr>
        </a:p>
      </dsp:txBody>
      <dsp:txXfrm>
        <a:off x="500860" y="682764"/>
        <a:ext cx="821843" cy="501940"/>
      </dsp:txXfrm>
    </dsp:sp>
    <dsp:sp modelId="{2EFDC327-79CC-474D-B670-1F5B31E1C079}">
      <dsp:nvSpPr>
        <dsp:cNvPr id="0" name=""/>
        <dsp:cNvSpPr/>
      </dsp:nvSpPr>
      <dsp:spPr>
        <a:xfrm>
          <a:off x="378609" y="533855"/>
          <a:ext cx="106634" cy="1066344"/>
        </a:xfrm>
        <a:custGeom>
          <a:avLst/>
          <a:gdLst/>
          <a:ahLst/>
          <a:cxnLst/>
          <a:rect l="0" t="0" r="0" b="0"/>
          <a:pathLst>
            <a:path>
              <a:moveTo>
                <a:pt x="0" y="0"/>
              </a:moveTo>
              <a:lnTo>
                <a:pt x="0" y="1066344"/>
              </a:lnTo>
              <a:lnTo>
                <a:pt x="106634" y="1066344"/>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671210D-16AF-4BE9-9B5E-FB3E5DEBB759}">
      <dsp:nvSpPr>
        <dsp:cNvPr id="0" name=""/>
        <dsp:cNvSpPr/>
      </dsp:nvSpPr>
      <dsp:spPr>
        <a:xfrm>
          <a:off x="485244" y="1333613"/>
          <a:ext cx="853075" cy="533172"/>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b="1" i="0" kern="1200">
              <a:latin typeface="Times New Roman" panose="02020603050405020304" pitchFamily="18" charset="0"/>
              <a:cs typeface="Times New Roman" panose="02020603050405020304" pitchFamily="18" charset="0"/>
            </a:rPr>
            <a:t>Core Modules</a:t>
          </a:r>
          <a:endParaRPr lang="en-GB" sz="1100" kern="1200">
            <a:latin typeface="Times New Roman" panose="02020603050405020304" pitchFamily="18" charset="0"/>
            <a:cs typeface="Times New Roman" panose="02020603050405020304" pitchFamily="18" charset="0"/>
          </a:endParaRPr>
        </a:p>
      </dsp:txBody>
      <dsp:txXfrm>
        <a:off x="500860" y="1349229"/>
        <a:ext cx="821843" cy="501940"/>
      </dsp:txXfrm>
    </dsp:sp>
    <dsp:sp modelId="{8DAF725B-3E2E-4677-B26C-6109A5A904A1}">
      <dsp:nvSpPr>
        <dsp:cNvPr id="0" name=""/>
        <dsp:cNvSpPr/>
      </dsp:nvSpPr>
      <dsp:spPr>
        <a:xfrm>
          <a:off x="378609" y="533855"/>
          <a:ext cx="106634" cy="1732809"/>
        </a:xfrm>
        <a:custGeom>
          <a:avLst/>
          <a:gdLst/>
          <a:ahLst/>
          <a:cxnLst/>
          <a:rect l="0" t="0" r="0" b="0"/>
          <a:pathLst>
            <a:path>
              <a:moveTo>
                <a:pt x="0" y="0"/>
              </a:moveTo>
              <a:lnTo>
                <a:pt x="0" y="1732809"/>
              </a:lnTo>
              <a:lnTo>
                <a:pt x="106634" y="1732809"/>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9B05AB1-D39C-4E34-A4CE-DBEF8C3490CB}">
      <dsp:nvSpPr>
        <dsp:cNvPr id="0" name=""/>
        <dsp:cNvSpPr/>
      </dsp:nvSpPr>
      <dsp:spPr>
        <a:xfrm>
          <a:off x="485244" y="2000079"/>
          <a:ext cx="853075" cy="533172"/>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b="1" i="0" kern="1200">
              <a:latin typeface="Times New Roman" panose="02020603050405020304" pitchFamily="18" charset="0"/>
              <a:cs typeface="Times New Roman" panose="02020603050405020304" pitchFamily="18" charset="0"/>
            </a:rPr>
            <a:t>Primary Goal</a:t>
          </a:r>
          <a:endParaRPr lang="en-GB" sz="1100" kern="1200">
            <a:latin typeface="Times New Roman" panose="02020603050405020304" pitchFamily="18" charset="0"/>
            <a:cs typeface="Times New Roman" panose="02020603050405020304" pitchFamily="18" charset="0"/>
          </a:endParaRPr>
        </a:p>
      </dsp:txBody>
      <dsp:txXfrm>
        <a:off x="500860" y="2015695"/>
        <a:ext cx="821843" cy="501940"/>
      </dsp:txXfrm>
    </dsp:sp>
    <dsp:sp modelId="{E4FB72DD-4239-45A7-9BE7-6540D52560DD}">
      <dsp:nvSpPr>
        <dsp:cNvPr id="0" name=""/>
        <dsp:cNvSpPr/>
      </dsp:nvSpPr>
      <dsp:spPr>
        <a:xfrm>
          <a:off x="378609" y="533855"/>
          <a:ext cx="106634" cy="2399274"/>
        </a:xfrm>
        <a:custGeom>
          <a:avLst/>
          <a:gdLst/>
          <a:ahLst/>
          <a:cxnLst/>
          <a:rect l="0" t="0" r="0" b="0"/>
          <a:pathLst>
            <a:path>
              <a:moveTo>
                <a:pt x="0" y="0"/>
              </a:moveTo>
              <a:lnTo>
                <a:pt x="0" y="2399274"/>
              </a:lnTo>
              <a:lnTo>
                <a:pt x="106634" y="2399274"/>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DC14464-73F1-4323-828C-1E9E6C83B57D}">
      <dsp:nvSpPr>
        <dsp:cNvPr id="0" name=""/>
        <dsp:cNvSpPr/>
      </dsp:nvSpPr>
      <dsp:spPr>
        <a:xfrm>
          <a:off x="485244" y="2666544"/>
          <a:ext cx="853075" cy="533172"/>
        </a:xfrm>
        <a:prstGeom prst="roundRect">
          <a:avLst>
            <a:gd name="adj" fmla="val 10000"/>
          </a:avLst>
        </a:prstGeom>
        <a:solidFill>
          <a:schemeClr val="lt1">
            <a:alpha val="90000"/>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b="1" i="0" kern="1200">
              <a:latin typeface="Times New Roman" panose="02020603050405020304" pitchFamily="18" charset="0"/>
              <a:cs typeface="Times New Roman" panose="02020603050405020304" pitchFamily="18" charset="0"/>
            </a:rPr>
            <a:t>Common Applications</a:t>
          </a:r>
          <a:endParaRPr lang="en-GB" sz="1100" kern="1200">
            <a:latin typeface="Times New Roman" panose="02020603050405020304" pitchFamily="18" charset="0"/>
            <a:cs typeface="Times New Roman" panose="02020603050405020304" pitchFamily="18" charset="0"/>
          </a:endParaRPr>
        </a:p>
      </dsp:txBody>
      <dsp:txXfrm>
        <a:off x="500860" y="2682160"/>
        <a:ext cx="821843" cy="501940"/>
      </dsp:txXfrm>
    </dsp:sp>
    <dsp:sp modelId="{2A83A81F-51BF-454B-9D1E-5E3B0DE8D6C2}">
      <dsp:nvSpPr>
        <dsp:cNvPr id="0" name=""/>
        <dsp:cNvSpPr/>
      </dsp:nvSpPr>
      <dsp:spPr>
        <a:xfrm>
          <a:off x="1604905" y="683"/>
          <a:ext cx="1066344" cy="533172"/>
        </a:xfrm>
        <a:prstGeom prst="roundRect">
          <a:avLst>
            <a:gd name="adj" fmla="val 1000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b="1" i="0" kern="1200">
              <a:latin typeface="Times New Roman" panose="02020603050405020304" pitchFamily="18" charset="0"/>
              <a:cs typeface="Times New Roman" panose="02020603050405020304" pitchFamily="18" charset="0"/>
            </a:rPr>
            <a:t>Acceptance and Commitment Therapy (ACT)</a:t>
          </a:r>
          <a:endParaRPr lang="en-GB" sz="1100" kern="1200">
            <a:latin typeface="Times New Roman" panose="02020603050405020304" pitchFamily="18" charset="0"/>
            <a:cs typeface="Times New Roman" panose="02020603050405020304" pitchFamily="18" charset="0"/>
          </a:endParaRPr>
        </a:p>
      </dsp:txBody>
      <dsp:txXfrm>
        <a:off x="1620521" y="16299"/>
        <a:ext cx="1035112" cy="501940"/>
      </dsp:txXfrm>
    </dsp:sp>
    <dsp:sp modelId="{324A2237-B85A-4446-A83E-01AF4C393D2A}">
      <dsp:nvSpPr>
        <dsp:cNvPr id="0" name=""/>
        <dsp:cNvSpPr/>
      </dsp:nvSpPr>
      <dsp:spPr>
        <a:xfrm>
          <a:off x="1711539" y="533855"/>
          <a:ext cx="106634" cy="399879"/>
        </a:xfrm>
        <a:custGeom>
          <a:avLst/>
          <a:gdLst/>
          <a:ahLst/>
          <a:cxnLst/>
          <a:rect l="0" t="0" r="0" b="0"/>
          <a:pathLst>
            <a:path>
              <a:moveTo>
                <a:pt x="0" y="0"/>
              </a:moveTo>
              <a:lnTo>
                <a:pt x="0" y="399879"/>
              </a:lnTo>
              <a:lnTo>
                <a:pt x="106634" y="399879"/>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F5F7649-1F72-40FA-9D56-8EF09CF0A3F7}">
      <dsp:nvSpPr>
        <dsp:cNvPr id="0" name=""/>
        <dsp:cNvSpPr/>
      </dsp:nvSpPr>
      <dsp:spPr>
        <a:xfrm>
          <a:off x="1818174" y="667148"/>
          <a:ext cx="853075" cy="533172"/>
        </a:xfrm>
        <a:prstGeom prst="roundRect">
          <a:avLst>
            <a:gd name="adj" fmla="val 10000"/>
          </a:avLst>
        </a:prstGeom>
        <a:solidFill>
          <a:schemeClr val="lt1">
            <a:alpha val="90000"/>
            <a:hueOff val="0"/>
            <a:satOff val="0"/>
            <a:lumOff val="0"/>
            <a:alphaOff val="0"/>
          </a:schemeClr>
        </a:solidFill>
        <a:ln w="12700" cap="flat" cmpd="sng" algn="ctr">
          <a:solidFill>
            <a:schemeClr val="accent6">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b="1" i="0" kern="1200">
              <a:latin typeface="Times New Roman" panose="02020603050405020304" pitchFamily="18" charset="0"/>
              <a:cs typeface="Times New Roman" panose="02020603050405020304" pitchFamily="18" charset="0"/>
            </a:rPr>
            <a:t>Focus</a:t>
          </a:r>
          <a:endParaRPr lang="en-GB" sz="1100" kern="1200">
            <a:latin typeface="Times New Roman" panose="02020603050405020304" pitchFamily="18" charset="0"/>
            <a:cs typeface="Times New Roman" panose="02020603050405020304" pitchFamily="18" charset="0"/>
          </a:endParaRPr>
        </a:p>
      </dsp:txBody>
      <dsp:txXfrm>
        <a:off x="1833790" y="682764"/>
        <a:ext cx="821843" cy="501940"/>
      </dsp:txXfrm>
    </dsp:sp>
    <dsp:sp modelId="{12A58A42-8C48-4642-A4C2-45D2A7EF46EF}">
      <dsp:nvSpPr>
        <dsp:cNvPr id="0" name=""/>
        <dsp:cNvSpPr/>
      </dsp:nvSpPr>
      <dsp:spPr>
        <a:xfrm>
          <a:off x="1711539" y="533855"/>
          <a:ext cx="106634" cy="1066344"/>
        </a:xfrm>
        <a:custGeom>
          <a:avLst/>
          <a:gdLst/>
          <a:ahLst/>
          <a:cxnLst/>
          <a:rect l="0" t="0" r="0" b="0"/>
          <a:pathLst>
            <a:path>
              <a:moveTo>
                <a:pt x="0" y="0"/>
              </a:moveTo>
              <a:lnTo>
                <a:pt x="0" y="1066344"/>
              </a:lnTo>
              <a:lnTo>
                <a:pt x="106634" y="1066344"/>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4B6D20C-01A4-446A-A245-05012D5D9166}">
      <dsp:nvSpPr>
        <dsp:cNvPr id="0" name=""/>
        <dsp:cNvSpPr/>
      </dsp:nvSpPr>
      <dsp:spPr>
        <a:xfrm>
          <a:off x="1818174" y="1333613"/>
          <a:ext cx="853075" cy="533172"/>
        </a:xfrm>
        <a:prstGeom prst="roundRect">
          <a:avLst>
            <a:gd name="adj" fmla="val 10000"/>
          </a:avLst>
        </a:prstGeom>
        <a:solidFill>
          <a:schemeClr val="lt1">
            <a:alpha val="90000"/>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b="1" i="0" kern="1200">
              <a:latin typeface="Times New Roman" panose="02020603050405020304" pitchFamily="18" charset="0"/>
              <a:cs typeface="Times New Roman" panose="02020603050405020304" pitchFamily="18" charset="0"/>
            </a:rPr>
            <a:t>Core Processes</a:t>
          </a:r>
          <a:endParaRPr lang="en-GB" sz="1100" kern="1200">
            <a:latin typeface="Times New Roman" panose="02020603050405020304" pitchFamily="18" charset="0"/>
            <a:cs typeface="Times New Roman" panose="02020603050405020304" pitchFamily="18" charset="0"/>
          </a:endParaRPr>
        </a:p>
      </dsp:txBody>
      <dsp:txXfrm>
        <a:off x="1833790" y="1349229"/>
        <a:ext cx="821843" cy="501940"/>
      </dsp:txXfrm>
    </dsp:sp>
    <dsp:sp modelId="{CA07B600-14B9-47A9-B964-8C96E64AFBEB}">
      <dsp:nvSpPr>
        <dsp:cNvPr id="0" name=""/>
        <dsp:cNvSpPr/>
      </dsp:nvSpPr>
      <dsp:spPr>
        <a:xfrm>
          <a:off x="1711539" y="533855"/>
          <a:ext cx="106634" cy="1732809"/>
        </a:xfrm>
        <a:custGeom>
          <a:avLst/>
          <a:gdLst/>
          <a:ahLst/>
          <a:cxnLst/>
          <a:rect l="0" t="0" r="0" b="0"/>
          <a:pathLst>
            <a:path>
              <a:moveTo>
                <a:pt x="0" y="0"/>
              </a:moveTo>
              <a:lnTo>
                <a:pt x="0" y="1732809"/>
              </a:lnTo>
              <a:lnTo>
                <a:pt x="106634" y="1732809"/>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614B44E-4A0B-4F66-AD03-2F2FAAE15587}">
      <dsp:nvSpPr>
        <dsp:cNvPr id="0" name=""/>
        <dsp:cNvSpPr/>
      </dsp:nvSpPr>
      <dsp:spPr>
        <a:xfrm>
          <a:off x="1818174" y="2000079"/>
          <a:ext cx="853075" cy="533172"/>
        </a:xfrm>
        <a:prstGeom prst="roundRect">
          <a:avLst>
            <a:gd name="adj" fmla="val 10000"/>
          </a:avLst>
        </a:prstGeom>
        <a:solidFill>
          <a:schemeClr val="lt1">
            <a:alpha val="90000"/>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b="1" i="0" kern="1200">
              <a:latin typeface="Times New Roman" panose="02020603050405020304" pitchFamily="18" charset="0"/>
              <a:cs typeface="Times New Roman" panose="02020603050405020304" pitchFamily="18" charset="0"/>
            </a:rPr>
            <a:t>Primary Goal</a:t>
          </a:r>
          <a:endParaRPr lang="en-GB" sz="1100" kern="1200">
            <a:latin typeface="Times New Roman" panose="02020603050405020304" pitchFamily="18" charset="0"/>
            <a:cs typeface="Times New Roman" panose="02020603050405020304" pitchFamily="18" charset="0"/>
          </a:endParaRPr>
        </a:p>
      </dsp:txBody>
      <dsp:txXfrm>
        <a:off x="1833790" y="2015695"/>
        <a:ext cx="821843" cy="501940"/>
      </dsp:txXfrm>
    </dsp:sp>
    <dsp:sp modelId="{CF75CE9E-81AA-4683-99F3-EE74C9E6DA6B}">
      <dsp:nvSpPr>
        <dsp:cNvPr id="0" name=""/>
        <dsp:cNvSpPr/>
      </dsp:nvSpPr>
      <dsp:spPr>
        <a:xfrm>
          <a:off x="1711539" y="533855"/>
          <a:ext cx="106634" cy="2399274"/>
        </a:xfrm>
        <a:custGeom>
          <a:avLst/>
          <a:gdLst/>
          <a:ahLst/>
          <a:cxnLst/>
          <a:rect l="0" t="0" r="0" b="0"/>
          <a:pathLst>
            <a:path>
              <a:moveTo>
                <a:pt x="0" y="0"/>
              </a:moveTo>
              <a:lnTo>
                <a:pt x="0" y="2399274"/>
              </a:lnTo>
              <a:lnTo>
                <a:pt x="106634" y="2399274"/>
              </a:lnTo>
            </a:path>
          </a:pathLst>
        </a:custGeom>
        <a:noFill/>
        <a:ln w="12700" cap="flat" cmpd="sng" algn="ctr">
          <a:solidFill>
            <a:schemeClr val="accent2">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4EE43EF-E585-448E-B0CD-CD89A7195810}">
      <dsp:nvSpPr>
        <dsp:cNvPr id="0" name=""/>
        <dsp:cNvSpPr/>
      </dsp:nvSpPr>
      <dsp:spPr>
        <a:xfrm>
          <a:off x="1818174" y="2666544"/>
          <a:ext cx="853075" cy="533172"/>
        </a:xfrm>
        <a:prstGeom prst="roundRect">
          <a:avLst>
            <a:gd name="adj" fmla="val 10000"/>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GB" sz="1100" b="1" i="0" kern="1200">
              <a:latin typeface="Times New Roman" panose="02020603050405020304" pitchFamily="18" charset="0"/>
              <a:cs typeface="Times New Roman" panose="02020603050405020304" pitchFamily="18" charset="0"/>
            </a:rPr>
            <a:t>Common Applications</a:t>
          </a:r>
          <a:endParaRPr lang="en-GB" sz="1100" kern="1200">
            <a:latin typeface="Times New Roman" panose="02020603050405020304" pitchFamily="18" charset="0"/>
            <a:cs typeface="Times New Roman" panose="02020603050405020304" pitchFamily="18" charset="0"/>
          </a:endParaRPr>
        </a:p>
      </dsp:txBody>
      <dsp:txXfrm>
        <a:off x="1833790" y="2682160"/>
        <a:ext cx="821843" cy="501940"/>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593ADE0-227E-40D4-BE3F-9CFF4C654E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3576</Words>
  <Characters>20385</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Asteria Joseph Nyamhanga Wilson (2311121)</cp:lastModifiedBy>
  <cp:revision>2</cp:revision>
  <dcterms:created xsi:type="dcterms:W3CDTF">2025-11-14T09:03:00Z</dcterms:created>
  <dcterms:modified xsi:type="dcterms:W3CDTF">2025-11-14T09:03:00Z</dcterms:modified>
</cp:coreProperties>
</file>