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7B7D8B09" w:rsidR="003C154B" w:rsidRPr="00753CE4" w:rsidRDefault="008D34CC" w:rsidP="00945CEC">
            <w:pPr>
              <w:rPr>
                <w:sz w:val="28"/>
                <w:szCs w:val="28"/>
              </w:rPr>
            </w:pPr>
            <w:r>
              <w:rPr>
                <w:sz w:val="28"/>
                <w:szCs w:val="28"/>
              </w:rPr>
              <w:t>Tatiana Stephen (2004460)</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23F3FCEF" w:rsidR="003C154B" w:rsidRPr="008D34CC" w:rsidRDefault="008D34CC" w:rsidP="00945CEC">
            <w:pPr>
              <w:rPr>
                <w:i/>
              </w:rPr>
            </w:pPr>
            <w:proofErr w:type="spellStart"/>
            <w:r>
              <w:rPr>
                <w:i/>
              </w:rPr>
              <w:t>Dr.</w:t>
            </w:r>
            <w:proofErr w:type="spellEnd"/>
            <w:r>
              <w:rPr>
                <w:i/>
              </w:rPr>
              <w:t xml:space="preserve"> Kate</w:t>
            </w:r>
            <w:r w:rsidR="006D2934">
              <w:rPr>
                <w:i/>
              </w:rPr>
              <w:t xml:space="preserve"> Elizabeth Williams</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6D19A4FC" w:rsidR="00F80900" w:rsidRPr="00A05E89" w:rsidRDefault="00F80900" w:rsidP="00C15547">
            <w:pPr>
              <w:rPr>
                <w:rFonts w:ascii="Arial" w:hAnsi="Arial" w:cs="Arial"/>
                <w:sz w:val="20"/>
                <w:szCs w:val="20"/>
              </w:rPr>
            </w:pP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3E601F91" w:rsidR="009648D6" w:rsidRDefault="00F80900" w:rsidP="00C15547">
            <w:pPr>
              <w:rPr>
                <w:rFonts w:ascii="Arial" w:hAnsi="Arial" w:cs="Arial"/>
                <w:sz w:val="20"/>
                <w:szCs w:val="20"/>
              </w:rPr>
            </w:pPr>
            <w:r>
              <w:rPr>
                <w:rFonts w:ascii="Arial" w:hAnsi="Arial" w:cs="Arial"/>
                <w:sz w:val="20"/>
                <w:szCs w:val="20"/>
              </w:rPr>
              <w:t>Cognitive Psychology</w:t>
            </w:r>
            <w:r w:rsidRPr="001B6CAE">
              <w:rPr>
                <w:rFonts w:ascii="Arial" w:hAnsi="Arial" w:cs="Arial"/>
                <w:sz w:val="40"/>
                <w:szCs w:val="40"/>
              </w:rPr>
              <w:t xml:space="preserve"> </w:t>
            </w:r>
            <w:r w:rsidR="001B6CAE" w:rsidRPr="001B6CAE">
              <w:rPr>
                <w:rFonts w:ascii="Arial" w:hAnsi="Arial" w:cs="Arial"/>
                <w:sz w:val="40"/>
                <w:szCs w:val="40"/>
              </w:rPr>
              <w:sym w:font="Wingdings" w:char="F0FC"/>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37711FAC" w:rsidR="0031057E" w:rsidRPr="00E336EF" w:rsidRDefault="002F3741" w:rsidP="00F73A03">
            <w:pPr>
              <w:rPr>
                <w:rFonts w:ascii="Arial" w:hAnsi="Arial" w:cs="Arial"/>
                <w:sz w:val="40"/>
                <w:szCs w:val="40"/>
              </w:rPr>
            </w:pPr>
            <w:r w:rsidRPr="00A05E89">
              <w:rPr>
                <w:rFonts w:ascii="Arial" w:hAnsi="Arial" w:cs="Arial"/>
                <w:sz w:val="20"/>
                <w:szCs w:val="20"/>
              </w:rPr>
              <w:t>Quantitative</w:t>
            </w:r>
            <w:r w:rsidRPr="00E336EF">
              <w:rPr>
                <w:rFonts w:ascii="Arial" w:hAnsi="Arial" w:cs="Arial"/>
                <w:sz w:val="40"/>
                <w:szCs w:val="40"/>
              </w:rPr>
              <w:t xml:space="preserve"> </w:t>
            </w:r>
            <w:r w:rsidR="00E336EF" w:rsidRPr="00E336EF">
              <w:rPr>
                <w:rFonts w:ascii="Arial" w:hAnsi="Arial" w:cs="Arial"/>
                <w:sz w:val="40"/>
                <w:szCs w:val="40"/>
              </w:rPr>
              <w:sym w:font="Wingdings" w:char="F0FC"/>
            </w:r>
          </w:p>
          <w:p w14:paraId="1E91FAEB" w14:textId="745EC101" w:rsidR="002F3741" w:rsidRPr="00A05E89" w:rsidRDefault="002F3741" w:rsidP="00F73A03">
            <w:pPr>
              <w:rPr>
                <w:rFonts w:ascii="Arial" w:hAnsi="Arial" w:cs="Arial"/>
                <w:sz w:val="20"/>
                <w:szCs w:val="20"/>
              </w:rPr>
            </w:pPr>
          </w:p>
        </w:tc>
        <w:tc>
          <w:tcPr>
            <w:tcW w:w="2577" w:type="dxa"/>
          </w:tcPr>
          <w:p w14:paraId="6153C3D0" w14:textId="09D8CA00" w:rsidR="0031057E" w:rsidRPr="00A05E89" w:rsidRDefault="00A05E89" w:rsidP="00F73A03">
            <w:pPr>
              <w:rPr>
                <w:rFonts w:ascii="Arial" w:hAnsi="Arial" w:cs="Arial"/>
                <w:sz w:val="20"/>
                <w:szCs w:val="20"/>
              </w:rPr>
            </w:pPr>
            <w:r>
              <w:rPr>
                <w:rFonts w:ascii="Arial" w:hAnsi="Arial" w:cs="Arial"/>
                <w:sz w:val="20"/>
                <w:szCs w:val="20"/>
              </w:rPr>
              <w:t xml:space="preserve">Experimental </w:t>
            </w:r>
            <w:r w:rsidR="00E336EF" w:rsidRPr="00E336EF">
              <w:rPr>
                <w:rFonts w:ascii="Arial" w:hAnsi="Arial" w:cs="Arial"/>
                <w:sz w:val="40"/>
                <w:szCs w:val="40"/>
              </w:rPr>
              <w:sym w:font="Wingdings" w:char="F0FC"/>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4CD4BE09"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20AE690" w:rsidR="0031057E" w:rsidRPr="00A05E89" w:rsidRDefault="00DA7F18" w:rsidP="00F73A03">
            <w:pPr>
              <w:rPr>
                <w:rFonts w:ascii="Arial" w:hAnsi="Arial" w:cs="Arial"/>
                <w:sz w:val="20"/>
                <w:szCs w:val="20"/>
              </w:rPr>
            </w:pPr>
            <w:r>
              <w:rPr>
                <w:rFonts w:ascii="Arial" w:hAnsi="Arial" w:cs="Arial"/>
                <w:sz w:val="20"/>
                <w:szCs w:val="20"/>
              </w:rPr>
              <w:t xml:space="preserve">Lab-based study </w:t>
            </w:r>
            <w:r w:rsidR="00E336EF" w:rsidRPr="00E336EF">
              <w:rPr>
                <w:rFonts w:ascii="Arial" w:hAnsi="Arial" w:cs="Arial"/>
                <w:sz w:val="40"/>
                <w:szCs w:val="40"/>
              </w:rPr>
              <w:sym w:font="Wingdings" w:char="F0FC"/>
            </w:r>
          </w:p>
        </w:tc>
      </w:tr>
      <w:tr w:rsidR="001704C8" w:rsidRPr="00A05E89" w14:paraId="66BEF3DC" w14:textId="77777777" w:rsidTr="001D112F">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77777777" w:rsidR="00A5268F" w:rsidRDefault="00A5268F" w:rsidP="00C15547">
            <w:pPr>
              <w:rPr>
                <w:rFonts w:ascii="Arial" w:hAnsi="Arial" w:cs="Arial"/>
                <w:sz w:val="20"/>
              </w:rPr>
            </w:pPr>
          </w:p>
          <w:p w14:paraId="11A59E4D" w14:textId="551559B5" w:rsidR="00A5268F" w:rsidRDefault="00E81140" w:rsidP="00C15547">
            <w:r>
              <w:t xml:space="preserve"> </w:t>
            </w:r>
            <w:r w:rsidR="00426A40">
              <w:t>C</w:t>
            </w:r>
            <w:r w:rsidR="009A5930">
              <w:t xml:space="preserve">ognate word Stroop effects from a recently acquired second language among undergraduate students. </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7CFDA360" w14:textId="77777777" w:rsidR="006E6CDF" w:rsidRDefault="006E6CDF" w:rsidP="00360E4B">
            <w:pPr>
              <w:rPr>
                <w:bCs/>
              </w:rPr>
            </w:pPr>
          </w:p>
          <w:p w14:paraId="117136E4" w14:textId="5F626214" w:rsidR="00E419B8" w:rsidRDefault="006E6CDF" w:rsidP="00360E4B">
            <w:pPr>
              <w:rPr>
                <w:bCs/>
              </w:rPr>
            </w:pPr>
            <w:r>
              <w:rPr>
                <w:bCs/>
              </w:rPr>
              <w:t xml:space="preserve"> </w:t>
            </w:r>
            <w:r w:rsidR="005919C5" w:rsidRPr="005919C5">
              <w:rPr>
                <w:bCs/>
              </w:rPr>
              <w:t>Bilinguals</w:t>
            </w:r>
            <w:r w:rsidR="005919C5">
              <w:rPr>
                <w:bCs/>
              </w:rPr>
              <w:t xml:space="preserve"> have been shown to utilise similar response selection processes of identification and decision-making when meeting Stroop task demands of conflict resolution</w:t>
            </w:r>
            <w:r w:rsidR="001B6ECA">
              <w:rPr>
                <w:bCs/>
              </w:rPr>
              <w:t>, in their first and their second language (</w:t>
            </w:r>
            <w:r w:rsidR="00047089">
              <w:rPr>
                <w:bCs/>
              </w:rPr>
              <w:t xml:space="preserve">Šaban &amp; Schmidt, 2021). </w:t>
            </w:r>
            <w:r w:rsidR="004D2613">
              <w:rPr>
                <w:bCs/>
              </w:rPr>
              <w:t>In the field of language cognition, research into the source of Stroop conflict has found second language distractors t</w:t>
            </w:r>
            <w:r w:rsidR="00651F5C">
              <w:rPr>
                <w:bCs/>
              </w:rPr>
              <w:t>o induce response conflict</w:t>
            </w:r>
            <w:r w:rsidR="00B6456D">
              <w:rPr>
                <w:bCs/>
              </w:rPr>
              <w:t xml:space="preserve"> as well as stimulus conflict</w:t>
            </w:r>
            <w:r w:rsidR="00651F5C">
              <w:rPr>
                <w:bCs/>
              </w:rPr>
              <w:t>, similarly to a first language (</w:t>
            </w:r>
            <w:r w:rsidR="00651F5C">
              <w:rPr>
                <w:bCs/>
              </w:rPr>
              <w:t>Šaban &amp; Schmidt, 2021</w:t>
            </w:r>
            <w:r w:rsidR="00651F5C">
              <w:rPr>
                <w:bCs/>
              </w:rPr>
              <w:t xml:space="preserve">); this evidence extends to </w:t>
            </w:r>
            <w:r w:rsidR="005879ED">
              <w:rPr>
                <w:bCs/>
              </w:rPr>
              <w:t>colour words in languages</w:t>
            </w:r>
            <w:r w:rsidR="00651F5C">
              <w:rPr>
                <w:bCs/>
              </w:rPr>
              <w:t xml:space="preserve"> that have been only recently encountered and acquired </w:t>
            </w:r>
            <w:r w:rsidR="005879ED">
              <w:rPr>
                <w:bCs/>
              </w:rPr>
              <w:t>(</w:t>
            </w:r>
            <w:r w:rsidR="005879ED">
              <w:rPr>
                <w:bCs/>
              </w:rPr>
              <w:t>Šaban &amp; Schmidt, 2021</w:t>
            </w:r>
            <w:r w:rsidR="005879ED">
              <w:rPr>
                <w:bCs/>
              </w:rPr>
              <w:t xml:space="preserve">). </w:t>
            </w:r>
            <w:r w:rsidR="002004D8">
              <w:rPr>
                <w:bCs/>
              </w:rPr>
              <w:t>M</w:t>
            </w:r>
            <w:r w:rsidR="00640236">
              <w:rPr>
                <w:bCs/>
              </w:rPr>
              <w:t>ean</w:t>
            </w:r>
            <w:r w:rsidR="002004D8">
              <w:rPr>
                <w:bCs/>
              </w:rPr>
              <w:t>ing</w:t>
            </w:r>
            <w:r w:rsidR="00640236">
              <w:rPr>
                <w:bCs/>
              </w:rPr>
              <w:t xml:space="preserve"> that colour words recently learnt were not only linked to a lexical translation, but also to a semantic meaning</w:t>
            </w:r>
            <w:r w:rsidR="00886B5C">
              <w:rPr>
                <w:bCs/>
              </w:rPr>
              <w:t xml:space="preserve"> (Altarriba &amp; Mathis, 1997)</w:t>
            </w:r>
            <w:r w:rsidR="002004D8">
              <w:rPr>
                <w:bCs/>
              </w:rPr>
              <w:t>. I</w:t>
            </w:r>
            <w:r w:rsidR="004B4E53">
              <w:rPr>
                <w:bCs/>
              </w:rPr>
              <w:t>ndeed</w:t>
            </w:r>
            <w:r w:rsidR="002004D8">
              <w:rPr>
                <w:bCs/>
              </w:rPr>
              <w:t xml:space="preserve">, </w:t>
            </w:r>
            <w:r w:rsidR="00373B32">
              <w:rPr>
                <w:bCs/>
              </w:rPr>
              <w:t xml:space="preserve">second language words were found to contrast and interfere with </w:t>
            </w:r>
            <w:r w:rsidR="004B4E53">
              <w:rPr>
                <w:bCs/>
              </w:rPr>
              <w:t>first language colour-naming</w:t>
            </w:r>
            <w:r w:rsidR="002004D8">
              <w:rPr>
                <w:bCs/>
              </w:rPr>
              <w:t>. A</w:t>
            </w:r>
            <w:r w:rsidR="004B4E53">
              <w:rPr>
                <w:bCs/>
              </w:rPr>
              <w:t>lthough these findings only appl</w:t>
            </w:r>
            <w:r w:rsidR="002004D8">
              <w:rPr>
                <w:bCs/>
              </w:rPr>
              <w:t>ied</w:t>
            </w:r>
            <w:r w:rsidR="004B4E53">
              <w:rPr>
                <w:bCs/>
              </w:rPr>
              <w:t xml:space="preserve"> to non-cognisant</w:t>
            </w:r>
            <w:r w:rsidR="00EC7F3D">
              <w:rPr>
                <w:bCs/>
              </w:rPr>
              <w:t xml:space="preserve">, etymologically dissimilar, </w:t>
            </w:r>
            <w:r w:rsidR="004B4E53">
              <w:rPr>
                <w:bCs/>
              </w:rPr>
              <w:t>colour words (</w:t>
            </w:r>
            <w:r w:rsidR="004B4E53">
              <w:rPr>
                <w:bCs/>
              </w:rPr>
              <w:t>Šaban &amp; Schmidt, 2021</w:t>
            </w:r>
            <w:r w:rsidR="004B4E53">
              <w:rPr>
                <w:bCs/>
              </w:rPr>
              <w:t>)</w:t>
            </w:r>
            <w:r w:rsidR="002004D8">
              <w:rPr>
                <w:bCs/>
              </w:rPr>
              <w:t>, s</w:t>
            </w:r>
            <w:r w:rsidR="00EE38D7">
              <w:rPr>
                <w:bCs/>
              </w:rPr>
              <w:t xml:space="preserve">uch </w:t>
            </w:r>
            <w:r w:rsidR="00BA5399">
              <w:rPr>
                <w:bCs/>
              </w:rPr>
              <w:t>findings contribute to</w:t>
            </w:r>
            <w:r w:rsidR="009C0820">
              <w:rPr>
                <w:bCs/>
              </w:rPr>
              <w:t xml:space="preserve">, not only </w:t>
            </w:r>
            <w:r w:rsidR="00395754">
              <w:rPr>
                <w:bCs/>
              </w:rPr>
              <w:t xml:space="preserve">theory of </w:t>
            </w:r>
            <w:r w:rsidR="00BA5399">
              <w:rPr>
                <w:bCs/>
              </w:rPr>
              <w:t xml:space="preserve">language cognition, but would also mean that </w:t>
            </w:r>
            <w:r w:rsidR="00B242EE">
              <w:rPr>
                <w:bCs/>
              </w:rPr>
              <w:t>Stroop effects of interference and facilitation may result from converging information</w:t>
            </w:r>
            <w:r w:rsidR="00FB7566">
              <w:rPr>
                <w:bCs/>
              </w:rPr>
              <w:t>, rather than inadvertent reading</w:t>
            </w:r>
            <w:r w:rsidR="00B242EE">
              <w:rPr>
                <w:bCs/>
              </w:rPr>
              <w:t>, as is hypothesised</w:t>
            </w:r>
            <w:r w:rsidR="006B165A">
              <w:rPr>
                <w:bCs/>
              </w:rPr>
              <w:t xml:space="preserve"> by a number of authors including, Roelofs (2010). There may be a shared underlying mechanism to Stroop interference and facilitation</w:t>
            </w:r>
            <w:r w:rsidR="002A0930">
              <w:rPr>
                <w:bCs/>
              </w:rPr>
              <w:t xml:space="preserve">, notably </w:t>
            </w:r>
            <w:r w:rsidR="003844EB">
              <w:rPr>
                <w:bCs/>
              </w:rPr>
              <w:t xml:space="preserve">through the convergence of </w:t>
            </w:r>
            <w:r w:rsidR="002A0930">
              <w:rPr>
                <w:bCs/>
              </w:rPr>
              <w:t xml:space="preserve">lemma retrieval </w:t>
            </w:r>
            <w:r w:rsidR="003844EB">
              <w:rPr>
                <w:bCs/>
              </w:rPr>
              <w:t xml:space="preserve">and conceptual identification </w:t>
            </w:r>
            <w:r w:rsidR="002A0930">
              <w:rPr>
                <w:bCs/>
              </w:rPr>
              <w:t>processes for both co</w:t>
            </w:r>
            <w:r w:rsidR="003844EB">
              <w:rPr>
                <w:bCs/>
              </w:rPr>
              <w:t xml:space="preserve">lour or word-form perception, as described </w:t>
            </w:r>
            <w:r w:rsidR="00C37D1F">
              <w:rPr>
                <w:bCs/>
              </w:rPr>
              <w:t xml:space="preserve">through the Weaver + + model of Stroop task performance </w:t>
            </w:r>
            <w:r w:rsidR="00945AEE">
              <w:rPr>
                <w:bCs/>
              </w:rPr>
              <w:t xml:space="preserve">(Roelofs, 2010). </w:t>
            </w:r>
            <w:r w:rsidR="00EE38D7">
              <w:rPr>
                <w:bCs/>
              </w:rPr>
              <w:t>However</w:t>
            </w:r>
            <w:r w:rsidR="008F4C4A">
              <w:rPr>
                <w:bCs/>
              </w:rPr>
              <w:t xml:space="preserve">, </w:t>
            </w:r>
            <w:r w:rsidR="00EC7F3D">
              <w:rPr>
                <w:bCs/>
              </w:rPr>
              <w:t xml:space="preserve">cognisant </w:t>
            </w:r>
            <w:r w:rsidR="008B3EF5">
              <w:rPr>
                <w:bCs/>
              </w:rPr>
              <w:t xml:space="preserve">second language and first language </w:t>
            </w:r>
            <w:r w:rsidR="00EC7F3D">
              <w:rPr>
                <w:bCs/>
              </w:rPr>
              <w:t>colour words,</w:t>
            </w:r>
            <w:r w:rsidR="008F4C4A">
              <w:rPr>
                <w:bCs/>
              </w:rPr>
              <w:t xml:space="preserve"> </w:t>
            </w:r>
            <w:r w:rsidR="00EC7F3D">
              <w:rPr>
                <w:bCs/>
              </w:rPr>
              <w:t xml:space="preserve">similar </w:t>
            </w:r>
            <w:r w:rsidR="008F4C4A">
              <w:rPr>
                <w:bCs/>
              </w:rPr>
              <w:t xml:space="preserve">in </w:t>
            </w:r>
            <w:r w:rsidR="00EC7F3D">
              <w:rPr>
                <w:bCs/>
              </w:rPr>
              <w:t>etymology</w:t>
            </w:r>
            <w:r w:rsidR="008F4C4A">
              <w:rPr>
                <w:bCs/>
              </w:rPr>
              <w:t xml:space="preserve">, </w:t>
            </w:r>
            <w:r w:rsidR="00EC7F3D">
              <w:rPr>
                <w:bCs/>
              </w:rPr>
              <w:t>may produce a level of interference</w:t>
            </w:r>
            <w:r w:rsidR="00F516F5">
              <w:rPr>
                <w:bCs/>
              </w:rPr>
              <w:t xml:space="preserve">, </w:t>
            </w:r>
            <w:r w:rsidR="008F4C4A">
              <w:rPr>
                <w:bCs/>
              </w:rPr>
              <w:t>that relates only to</w:t>
            </w:r>
            <w:r w:rsidR="00690FC9">
              <w:rPr>
                <w:bCs/>
              </w:rPr>
              <w:t xml:space="preserve"> stimulus conflict</w:t>
            </w:r>
            <w:r w:rsidR="008B3EF5">
              <w:rPr>
                <w:bCs/>
              </w:rPr>
              <w:t xml:space="preserve">, </w:t>
            </w:r>
            <w:r w:rsidR="008D18EC">
              <w:rPr>
                <w:bCs/>
              </w:rPr>
              <w:t>this would mean an absence of</w:t>
            </w:r>
            <w:r w:rsidR="000A1984">
              <w:rPr>
                <w:bCs/>
              </w:rPr>
              <w:t xml:space="preserve"> biasing </w:t>
            </w:r>
            <w:r w:rsidR="003054AD">
              <w:rPr>
                <w:bCs/>
              </w:rPr>
              <w:t xml:space="preserve">semantic </w:t>
            </w:r>
            <w:r w:rsidR="008F4C4A">
              <w:rPr>
                <w:bCs/>
              </w:rPr>
              <w:t xml:space="preserve">associations </w:t>
            </w:r>
            <w:r w:rsidR="000A1984">
              <w:rPr>
                <w:bCs/>
              </w:rPr>
              <w:t>(</w:t>
            </w:r>
            <w:r w:rsidR="000A1984" w:rsidRPr="008C3784">
              <w:rPr>
                <w:bCs/>
              </w:rPr>
              <w:t>Cheesman &amp; Schmidt, 2005</w:t>
            </w:r>
            <w:r w:rsidR="008D18EC" w:rsidRPr="008C3784">
              <w:rPr>
                <w:bCs/>
              </w:rPr>
              <w:t xml:space="preserve">; </w:t>
            </w:r>
            <w:r w:rsidR="008D18EC" w:rsidRPr="008C3784">
              <w:rPr>
                <w:bCs/>
              </w:rPr>
              <w:t>Šaban &amp; Schmidt</w:t>
            </w:r>
            <w:r w:rsidR="008D18EC">
              <w:rPr>
                <w:bCs/>
              </w:rPr>
              <w:t>, 2021</w:t>
            </w:r>
            <w:r w:rsidR="000A1984">
              <w:rPr>
                <w:bCs/>
              </w:rPr>
              <w:t xml:space="preserve">). </w:t>
            </w:r>
            <w:r w:rsidR="00E419B8">
              <w:rPr>
                <w:bCs/>
              </w:rPr>
              <w:t xml:space="preserve">The present study aims to assess </w:t>
            </w:r>
            <w:r w:rsidR="007459F5">
              <w:rPr>
                <w:bCs/>
              </w:rPr>
              <w:t>whether cognat</w:t>
            </w:r>
            <w:r w:rsidR="00991E90">
              <w:rPr>
                <w:bCs/>
              </w:rPr>
              <w:t>e</w:t>
            </w:r>
            <w:r w:rsidR="007459F5">
              <w:rPr>
                <w:bCs/>
              </w:rPr>
              <w:t xml:space="preserve"> words that have been but recently acquired, can interfere with response selection in a first language. If so, </w:t>
            </w:r>
            <w:r w:rsidR="002C72F4">
              <w:rPr>
                <w:bCs/>
              </w:rPr>
              <w:t>the converging information hypothesis would be supported, rather than the inadvertent reading hypothesis (Roelofs, 2010). Whereas, the Developmental BIA-model</w:t>
            </w:r>
            <w:r w:rsidR="00B149FE">
              <w:rPr>
                <w:bCs/>
              </w:rPr>
              <w:t>, by Grainger and colleagues (2010)</w:t>
            </w:r>
            <w:r w:rsidR="005D4CBB">
              <w:rPr>
                <w:bCs/>
              </w:rPr>
              <w:t xml:space="preserve">, representing </w:t>
            </w:r>
            <w:r w:rsidR="00AE665B">
              <w:rPr>
                <w:bCs/>
              </w:rPr>
              <w:t xml:space="preserve">how initial co-activation of first language cognate word forms by a second language may produce converging information that interferes with attentional control </w:t>
            </w:r>
            <w:r w:rsidR="00AE665B" w:rsidRPr="00F86E22">
              <w:rPr>
                <w:bCs/>
              </w:rPr>
              <w:t>processes of conflict detection and resolution (</w:t>
            </w:r>
            <w:r w:rsidR="00FB3452" w:rsidRPr="00F86E22">
              <w:rPr>
                <w:bCs/>
              </w:rPr>
              <w:t>Brace et al., 2014</w:t>
            </w:r>
            <w:r w:rsidR="00AE665B" w:rsidRPr="00F86E22">
              <w:rPr>
                <w:bCs/>
              </w:rPr>
              <w:t>)</w:t>
            </w:r>
            <w:r w:rsidR="00AE665B" w:rsidRPr="00F86E22">
              <w:rPr>
                <w:bCs/>
              </w:rPr>
              <w:t xml:space="preserve">, </w:t>
            </w:r>
            <w:r w:rsidR="002C72F4" w:rsidRPr="00F86E22">
              <w:rPr>
                <w:bCs/>
              </w:rPr>
              <w:t xml:space="preserve">would </w:t>
            </w:r>
            <w:r w:rsidR="00180636" w:rsidRPr="00F86E22">
              <w:rPr>
                <w:bCs/>
              </w:rPr>
              <w:t>be further validated</w:t>
            </w:r>
            <w:r w:rsidR="00B149FE" w:rsidRPr="00F86E22">
              <w:rPr>
                <w:bCs/>
              </w:rPr>
              <w:t xml:space="preserve">, as cited in </w:t>
            </w:r>
            <w:r w:rsidR="00B149FE" w:rsidRPr="00F86E22">
              <w:rPr>
                <w:bCs/>
              </w:rPr>
              <w:t>Šaban &amp; Schmidt</w:t>
            </w:r>
            <w:r w:rsidR="00B149FE" w:rsidRPr="00F86E22">
              <w:rPr>
                <w:bCs/>
              </w:rPr>
              <w:t xml:space="preserve"> (</w:t>
            </w:r>
            <w:r w:rsidR="00B149FE" w:rsidRPr="00F86E22">
              <w:rPr>
                <w:bCs/>
              </w:rPr>
              <w:t>2021</w:t>
            </w:r>
            <w:r w:rsidR="00693980" w:rsidRPr="00F86E22">
              <w:rPr>
                <w:bCs/>
              </w:rPr>
              <w:t>)</w:t>
            </w:r>
            <w:r w:rsidR="00AE665B" w:rsidRPr="00F86E22">
              <w:rPr>
                <w:bCs/>
              </w:rPr>
              <w:t xml:space="preserve">. </w:t>
            </w:r>
            <w:r w:rsidR="006B5ED5" w:rsidRPr="00F86E22">
              <w:rPr>
                <w:bCs/>
              </w:rPr>
              <w:t>The inhibitory processes</w:t>
            </w:r>
            <w:r w:rsidR="006B5ED5">
              <w:rPr>
                <w:bCs/>
              </w:rPr>
              <w:t xml:space="preserve"> involved in </w:t>
            </w:r>
            <w:r>
              <w:rPr>
                <w:bCs/>
              </w:rPr>
              <w:t xml:space="preserve">achieving </w:t>
            </w:r>
            <w:r w:rsidR="006B5ED5">
              <w:rPr>
                <w:bCs/>
              </w:rPr>
              <w:t>Stroop task</w:t>
            </w:r>
            <w:r>
              <w:rPr>
                <w:bCs/>
              </w:rPr>
              <w:t xml:space="preserve"> demands</w:t>
            </w:r>
            <w:r w:rsidR="006B5ED5">
              <w:rPr>
                <w:bCs/>
              </w:rPr>
              <w:t xml:space="preserve">, may </w:t>
            </w:r>
            <w:r w:rsidR="00693980">
              <w:rPr>
                <w:bCs/>
              </w:rPr>
              <w:t>indirectly</w:t>
            </w:r>
            <w:r w:rsidR="006B5ED5">
              <w:rPr>
                <w:bCs/>
              </w:rPr>
              <w:t xml:space="preserve"> represent </w:t>
            </w:r>
            <w:r w:rsidR="002B37AA">
              <w:rPr>
                <w:bCs/>
              </w:rPr>
              <w:t xml:space="preserve">those that would </w:t>
            </w:r>
            <w:r w:rsidR="00693980">
              <w:rPr>
                <w:bCs/>
              </w:rPr>
              <w:t xml:space="preserve">subsequently </w:t>
            </w:r>
            <w:r w:rsidR="002B37AA">
              <w:rPr>
                <w:bCs/>
              </w:rPr>
              <w:t>contribute to connectivity changes towards more accurate</w:t>
            </w:r>
            <w:r w:rsidR="00693980">
              <w:rPr>
                <w:bCs/>
              </w:rPr>
              <w:t xml:space="preserve"> and direct</w:t>
            </w:r>
            <w:r w:rsidR="002B37AA">
              <w:rPr>
                <w:bCs/>
              </w:rPr>
              <w:t xml:space="preserve"> associations</w:t>
            </w:r>
            <w:r w:rsidR="00693980">
              <w:rPr>
                <w:bCs/>
              </w:rPr>
              <w:t xml:space="preserve"> (</w:t>
            </w:r>
            <w:r>
              <w:rPr>
                <w:bCs/>
              </w:rPr>
              <w:t>Šaban &amp; Schmidt, 2021</w:t>
            </w:r>
            <w:r>
              <w:rPr>
                <w:bCs/>
              </w:rPr>
              <w:t xml:space="preserve">). </w:t>
            </w:r>
          </w:p>
          <w:p w14:paraId="1A1820B5" w14:textId="2AAB7E52" w:rsidR="00A63D94" w:rsidRDefault="00A63D94" w:rsidP="00360E4B"/>
          <w:p w14:paraId="1019DCF8" w14:textId="3C15756C" w:rsidR="00A63D94" w:rsidRDefault="00A63D94" w:rsidP="00360E4B">
            <w:r>
              <w:t xml:space="preserve">Reference list: </w:t>
            </w:r>
          </w:p>
          <w:p w14:paraId="1E468415" w14:textId="1245D6EC" w:rsidR="006E6CDF" w:rsidRDefault="006E6CDF" w:rsidP="00360E4B"/>
          <w:p w14:paraId="5F1166C4" w14:textId="27030306" w:rsidR="00886B5C" w:rsidRDefault="00886B5C" w:rsidP="00360E4B">
            <w:r>
              <w:t xml:space="preserve">Altarriba, J., &amp; Mathis, K. M. (1997). Conceptual and Lexical Development in Second Language </w:t>
            </w:r>
            <w:r w:rsidR="00DD5FE8">
              <w:t xml:space="preserve"> </w:t>
            </w:r>
            <w:r w:rsidR="00DD5FE8">
              <w:br/>
              <w:t xml:space="preserve"> </w:t>
            </w:r>
            <w:r>
              <w:t xml:space="preserve">Acquisition. </w:t>
            </w:r>
            <w:r w:rsidRPr="00DD5FE8">
              <w:rPr>
                <w:i/>
                <w:iCs/>
              </w:rPr>
              <w:t>Journal of Memory and Language</w:t>
            </w:r>
            <w:r>
              <w:t>, 36, pp. 550-568.</w:t>
            </w:r>
            <w:r>
              <w:br/>
            </w:r>
            <w:r w:rsidR="00DD5FE8">
              <w:t xml:space="preserve"> </w:t>
            </w:r>
            <w:r>
              <w:t xml:space="preserve">DOI: </w:t>
            </w:r>
            <w:hyperlink r:id="rId9" w:history="1">
              <w:r w:rsidR="00DD5FE8" w:rsidRPr="00917B71">
                <w:rPr>
                  <w:rStyle w:val="Hyperlink"/>
                </w:rPr>
                <w:t>https://doi.org/</w:t>
              </w:r>
              <w:r w:rsidR="00DD5FE8" w:rsidRPr="00917B71">
                <w:rPr>
                  <w:rStyle w:val="Hyperlink"/>
                </w:rPr>
                <w:t>10.1006/jmla.1997.2493</w:t>
              </w:r>
            </w:hyperlink>
            <w:r w:rsidR="00DD5FE8">
              <w:t xml:space="preserve"> </w:t>
            </w:r>
          </w:p>
          <w:p w14:paraId="58B7B5CA" w14:textId="0C959273" w:rsidR="00886B5C" w:rsidRDefault="00886B5C" w:rsidP="00360E4B"/>
          <w:p w14:paraId="68C74470" w14:textId="7FFCE0FC" w:rsidR="00FB3452" w:rsidRDefault="00FB3452" w:rsidP="00360E4B">
            <w:r>
              <w:t xml:space="preserve">Brace, N., Edgar, G., Edgar, H., Eysenck, M., Groome, D., Manly, T., Ness, H., Pike, G., Scott, S., &amp; </w:t>
            </w:r>
            <w:r w:rsidR="00D303F4">
              <w:br/>
              <w:t xml:space="preserve"> </w:t>
            </w:r>
            <w:r>
              <w:t xml:space="preserve">Styles, E. (2014). </w:t>
            </w:r>
            <w:r w:rsidRPr="00F86E22">
              <w:rPr>
                <w:i/>
                <w:iCs/>
              </w:rPr>
              <w:t>A</w:t>
            </w:r>
            <w:r w:rsidR="00D303F4" w:rsidRPr="00F86E22">
              <w:rPr>
                <w:i/>
                <w:iCs/>
              </w:rPr>
              <w:t>n introduction to Cognitive Psychology – Processes and Disorders</w:t>
            </w:r>
            <w:r w:rsidR="00D303F4">
              <w:t>, (3</w:t>
            </w:r>
            <w:r w:rsidR="00D303F4" w:rsidRPr="00D303F4">
              <w:rPr>
                <w:vertAlign w:val="superscript"/>
              </w:rPr>
              <w:t>rd</w:t>
            </w:r>
            <w:r w:rsidR="00D303F4">
              <w:t xml:space="preserve"> ed.). </w:t>
            </w:r>
            <w:r w:rsidR="00D303F4">
              <w:br/>
              <w:t xml:space="preserve"> Psychology Press. </w:t>
            </w:r>
          </w:p>
          <w:p w14:paraId="6120016B" w14:textId="671D4404" w:rsidR="008C3784" w:rsidRDefault="008C3784" w:rsidP="00360E4B">
            <w:r>
              <w:t xml:space="preserve">Cheesman, J., &amp; Schmidt, J. R. (2005). Dissociating Stimulus-Stimulus and Response-Response Effects </w:t>
            </w:r>
            <w:r w:rsidR="00037638">
              <w:t xml:space="preserve"> </w:t>
            </w:r>
            <w:r w:rsidR="00037638">
              <w:br/>
              <w:t xml:space="preserve"> </w:t>
            </w:r>
            <w:r>
              <w:t xml:space="preserve">in the Stroop task. </w:t>
            </w:r>
            <w:r w:rsidR="00DD2FEC" w:rsidRPr="00037638">
              <w:rPr>
                <w:i/>
                <w:iCs/>
              </w:rPr>
              <w:t>Canadian Journal of Experimental Psychology</w:t>
            </w:r>
            <w:r w:rsidR="00DD2FEC">
              <w:t>, 59 (2), pp. 132-138.</w:t>
            </w:r>
            <w:r w:rsidR="00DD2FEC">
              <w:br/>
            </w:r>
            <w:r w:rsidR="00037638">
              <w:t xml:space="preserve"> </w:t>
            </w:r>
            <w:r w:rsidR="00DD2FEC">
              <w:t xml:space="preserve">DOI: </w:t>
            </w:r>
            <w:hyperlink r:id="rId10" w:history="1">
              <w:r w:rsidR="00037638" w:rsidRPr="00917B71">
                <w:rPr>
                  <w:rStyle w:val="Hyperlink"/>
                </w:rPr>
                <w:t>https://doi.org/</w:t>
              </w:r>
              <w:r w:rsidR="00037638" w:rsidRPr="00917B71">
                <w:rPr>
                  <w:rStyle w:val="Hyperlink"/>
                </w:rPr>
                <w:t>10.1037/h0087468</w:t>
              </w:r>
            </w:hyperlink>
            <w:r w:rsidR="00037638">
              <w:t xml:space="preserve"> </w:t>
            </w:r>
          </w:p>
          <w:p w14:paraId="2228A6D9" w14:textId="77777777" w:rsidR="008C3784" w:rsidRDefault="008C3784" w:rsidP="00360E4B"/>
          <w:p w14:paraId="1C52E58B" w14:textId="07DC1BF1" w:rsidR="006E6CDF" w:rsidRDefault="006E6CDF" w:rsidP="00360E4B">
            <w:r>
              <w:t xml:space="preserve">Roelofs, A. (2010). Attention and Facilitation: Converging Information Versus Inadvertent Reading in </w:t>
            </w:r>
            <w:r w:rsidR="00796BE4">
              <w:br/>
              <w:t xml:space="preserve"> </w:t>
            </w:r>
            <w:r>
              <w:t xml:space="preserve">Stroop Task Performance. </w:t>
            </w:r>
            <w:r w:rsidRPr="004A283B">
              <w:rPr>
                <w:i/>
                <w:iCs/>
              </w:rPr>
              <w:t>Journal of Experimental Psychology: Learning, Memory, and Cognition</w:t>
            </w:r>
            <w:r>
              <w:t xml:space="preserve">, 36 </w:t>
            </w:r>
            <w:r w:rsidR="00796BE4">
              <w:br/>
              <w:t xml:space="preserve"> </w:t>
            </w:r>
            <w:r>
              <w:t xml:space="preserve">(2), pp. 411-422. </w:t>
            </w:r>
            <w:r w:rsidR="00A8664D">
              <w:br/>
            </w:r>
            <w:r w:rsidR="00796BE4">
              <w:t xml:space="preserve"> </w:t>
            </w:r>
            <w:r w:rsidR="00A8664D">
              <w:t xml:space="preserve">DOI: </w:t>
            </w:r>
            <w:hyperlink r:id="rId11" w:history="1">
              <w:r w:rsidR="00796BE4" w:rsidRPr="00917B71">
                <w:rPr>
                  <w:rStyle w:val="Hyperlink"/>
                </w:rPr>
                <w:t>https://doi.org/10.1037/a0018523</w:t>
              </w:r>
            </w:hyperlink>
            <w:r w:rsidR="00796BE4">
              <w:t xml:space="preserve">   </w:t>
            </w:r>
          </w:p>
          <w:p w14:paraId="2AAEF310" w14:textId="77777777" w:rsidR="00185A3D" w:rsidRDefault="00185A3D" w:rsidP="00360E4B">
            <w:pPr>
              <w:rPr>
                <w:bCs/>
              </w:rPr>
            </w:pPr>
          </w:p>
          <w:p w14:paraId="153DADB7" w14:textId="0711C4E6" w:rsidR="00282E8C" w:rsidRDefault="00282E8C" w:rsidP="00360E4B">
            <w:r>
              <w:rPr>
                <w:bCs/>
              </w:rPr>
              <w:lastRenderedPageBreak/>
              <w:t>Šaban</w:t>
            </w:r>
            <w:r>
              <w:rPr>
                <w:bCs/>
              </w:rPr>
              <w:t xml:space="preserve">, I., </w:t>
            </w:r>
            <w:r>
              <w:rPr>
                <w:bCs/>
              </w:rPr>
              <w:t xml:space="preserve">&amp; Schmidt, </w:t>
            </w:r>
            <w:r>
              <w:rPr>
                <w:bCs/>
              </w:rPr>
              <w:t>J. R. (</w:t>
            </w:r>
            <w:r>
              <w:rPr>
                <w:bCs/>
              </w:rPr>
              <w:t>2021</w:t>
            </w:r>
            <w:r>
              <w:rPr>
                <w:bCs/>
              </w:rPr>
              <w:t xml:space="preserve">). Stimulus and response conflict from a second language: Stroop </w:t>
            </w:r>
            <w:r w:rsidR="00185A3D">
              <w:rPr>
                <w:bCs/>
              </w:rPr>
              <w:br/>
              <w:t xml:space="preserve"> </w:t>
            </w:r>
            <w:r>
              <w:rPr>
                <w:bCs/>
              </w:rPr>
              <w:t xml:space="preserve">interference in weakly-bilingual and recently-trained languages. </w:t>
            </w:r>
            <w:r w:rsidRPr="00185A3D">
              <w:rPr>
                <w:bCs/>
                <w:i/>
                <w:iCs/>
              </w:rPr>
              <w:t>Acta Psychologica</w:t>
            </w:r>
            <w:r w:rsidR="00185A3D">
              <w:rPr>
                <w:bCs/>
              </w:rPr>
              <w:t xml:space="preserve">, 218 (103360), pp. </w:t>
            </w:r>
            <w:r w:rsidR="00185A3D">
              <w:rPr>
                <w:bCs/>
              </w:rPr>
              <w:br/>
              <w:t xml:space="preserve"> 1-13. </w:t>
            </w:r>
            <w:r w:rsidR="00185A3D">
              <w:rPr>
                <w:bCs/>
              </w:rPr>
              <w:br/>
            </w:r>
            <w:r w:rsidR="00185A3D">
              <w:t xml:space="preserve"> DOI: </w:t>
            </w:r>
            <w:hyperlink r:id="rId12" w:history="1">
              <w:r w:rsidR="00A8664D" w:rsidRPr="00917B71">
                <w:rPr>
                  <w:rStyle w:val="Hyperlink"/>
                </w:rPr>
                <w:t>https://doi.org/10.1016/j.actpsy.2021.103360</w:t>
              </w:r>
            </w:hyperlink>
            <w:r w:rsidR="00A8664D">
              <w:t xml:space="preserve"> </w:t>
            </w:r>
          </w:p>
          <w:p w14:paraId="2C1722CF" w14:textId="77777777" w:rsidR="00B91B51" w:rsidRDefault="00B91B51" w:rsidP="00360E4B"/>
          <w:p w14:paraId="5E6737FD" w14:textId="77777777" w:rsidR="00B91B51" w:rsidRDefault="00B91B51" w:rsidP="00360E4B"/>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7D91FB1C" w14:textId="597D3DD7" w:rsidR="00B24417" w:rsidRDefault="00A63D94" w:rsidP="00B24417">
            <w:pPr>
              <w:rPr>
                <w:rFonts w:ascii="Arial" w:hAnsi="Arial" w:cs="Arial"/>
                <w:b/>
                <w:sz w:val="20"/>
              </w:rPr>
            </w:pPr>
            <w:r>
              <w:rPr>
                <w:rFonts w:ascii="Arial" w:hAnsi="Arial" w:cs="Arial"/>
                <w:b/>
                <w:sz w:val="20"/>
              </w:rPr>
              <w:t>Research question</w:t>
            </w:r>
            <w:r w:rsidR="00B53BC3">
              <w:rPr>
                <w:rFonts w:ascii="Arial" w:hAnsi="Arial" w:cs="Arial"/>
                <w:b/>
                <w:sz w:val="20"/>
              </w:rPr>
              <w:t>s</w:t>
            </w:r>
            <w:r>
              <w:rPr>
                <w:rFonts w:ascii="Arial" w:hAnsi="Arial" w:cs="Arial"/>
                <w:b/>
                <w:sz w:val="20"/>
              </w:rPr>
              <w:t>:</w:t>
            </w:r>
          </w:p>
          <w:p w14:paraId="179736C8" w14:textId="372B06FD" w:rsidR="00B23DBE" w:rsidRPr="00B53BC3" w:rsidRDefault="00991E90" w:rsidP="00160952">
            <w:pPr>
              <w:pStyle w:val="ListParagraph"/>
              <w:numPr>
                <w:ilvl w:val="0"/>
                <w:numId w:val="5"/>
              </w:numPr>
              <w:rPr>
                <w:bCs/>
              </w:rPr>
            </w:pPr>
            <w:r w:rsidRPr="00B53BC3">
              <w:rPr>
                <w:bCs/>
              </w:rPr>
              <w:t>Do</w:t>
            </w:r>
            <w:r w:rsidR="00455BB2" w:rsidRPr="00B53BC3">
              <w:rPr>
                <w:bCs/>
              </w:rPr>
              <w:t xml:space="preserve"> colour words</w:t>
            </w:r>
            <w:r w:rsidR="00B23DBE" w:rsidRPr="00B53BC3">
              <w:rPr>
                <w:bCs/>
              </w:rPr>
              <w:t xml:space="preserve">, recently acquired from a second language and cognate with a first language colour words, produce both stimulus and response conflict? </w:t>
            </w:r>
          </w:p>
          <w:p w14:paraId="08B7E876" w14:textId="2A049B53" w:rsidR="001104AC" w:rsidRPr="00B53BC3" w:rsidRDefault="001104AC" w:rsidP="00160952">
            <w:pPr>
              <w:pStyle w:val="ListParagraph"/>
              <w:numPr>
                <w:ilvl w:val="0"/>
                <w:numId w:val="5"/>
              </w:numPr>
              <w:rPr>
                <w:bCs/>
              </w:rPr>
            </w:pPr>
            <w:r w:rsidRPr="00B53BC3">
              <w:rPr>
                <w:bCs/>
              </w:rPr>
              <w:t>Will non-cognate colour words produce less interference than cognate words</w:t>
            </w:r>
            <w:r w:rsidR="0099771F" w:rsidRPr="00B53BC3">
              <w:rPr>
                <w:bCs/>
              </w:rPr>
              <w:t>?</w:t>
            </w:r>
          </w:p>
          <w:p w14:paraId="71AE36B6" w14:textId="4375E97D" w:rsidR="00A63D94" w:rsidRDefault="00A63D94" w:rsidP="00B24417">
            <w:pPr>
              <w:rPr>
                <w:rFonts w:ascii="Arial" w:hAnsi="Arial" w:cs="Arial"/>
                <w:b/>
                <w:sz w:val="20"/>
              </w:rPr>
            </w:pPr>
          </w:p>
          <w:p w14:paraId="1D8B468A" w14:textId="31C4FFAA" w:rsidR="00A63D94" w:rsidRPr="00B53BC3" w:rsidRDefault="00160952" w:rsidP="00B53BC3">
            <w:pPr>
              <w:rPr>
                <w:bCs/>
              </w:rPr>
            </w:pPr>
            <w:r w:rsidRPr="00B53BC3">
              <w:rPr>
                <w:bCs/>
              </w:rPr>
              <w:t>It is</w:t>
            </w:r>
            <w:r w:rsidR="001104AC" w:rsidRPr="00B53BC3">
              <w:rPr>
                <w:bCs/>
              </w:rPr>
              <w:t xml:space="preserve"> hypothesised that </w:t>
            </w:r>
            <w:r w:rsidR="0099771F" w:rsidRPr="00B53BC3">
              <w:rPr>
                <w:bCs/>
              </w:rPr>
              <w:t>both stimulus and response conflict will be observed with cognate words.</w:t>
            </w:r>
            <w:r w:rsidR="00B53BC3" w:rsidRPr="00B53BC3">
              <w:rPr>
                <w:bCs/>
              </w:rPr>
              <w:t xml:space="preserve"> </w:t>
            </w:r>
            <w:r w:rsidR="0099771F" w:rsidRPr="00B53BC3">
              <w:rPr>
                <w:bCs/>
              </w:rPr>
              <w:t xml:space="preserve">Whereas, non-cognate colour words are hypothesised to be less interfering than cognate words. </w:t>
            </w: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tools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73D461B2" w14:textId="257F4913" w:rsidR="003C154B" w:rsidRDefault="003C154B" w:rsidP="00360E4B">
            <w:pPr>
              <w:rPr>
                <w:rFonts w:ascii="Arial" w:hAnsi="Arial" w:cs="Arial"/>
                <w:b/>
              </w:rPr>
            </w:pPr>
          </w:p>
          <w:p w14:paraId="2143E941" w14:textId="57681B1E" w:rsidR="0071458D" w:rsidRDefault="0071458D" w:rsidP="00360E4B">
            <w:pPr>
              <w:rPr>
                <w:b/>
              </w:rPr>
            </w:pPr>
            <w:r>
              <w:rPr>
                <w:b/>
              </w:rPr>
              <w:t xml:space="preserve">Participants: </w:t>
            </w:r>
          </w:p>
          <w:p w14:paraId="2C27CE2E" w14:textId="77777777" w:rsidR="00E56450" w:rsidRDefault="00E56450" w:rsidP="00360E4B">
            <w:pPr>
              <w:rPr>
                <w:bCs/>
              </w:rPr>
            </w:pPr>
          </w:p>
          <w:p w14:paraId="12A6021D" w14:textId="55902004" w:rsidR="00131E1A" w:rsidRDefault="00E56450" w:rsidP="00360E4B">
            <w:pPr>
              <w:rPr>
                <w:bCs/>
              </w:rPr>
            </w:pPr>
            <w:r>
              <w:rPr>
                <w:bCs/>
              </w:rPr>
              <w:t xml:space="preserve"> Volunteer </w:t>
            </w:r>
            <w:r w:rsidR="00AA28AB">
              <w:rPr>
                <w:bCs/>
              </w:rPr>
              <w:t>participants, recruited through the University of Wales Trinity Saint David, Experimental Management System (EMS)</w:t>
            </w:r>
            <w:r w:rsidR="00B41A33">
              <w:rPr>
                <w:bCs/>
              </w:rPr>
              <w:t>, will compose a sample of undergraduate students in Psychology</w:t>
            </w:r>
            <w:r w:rsidR="00970865">
              <w:rPr>
                <w:bCs/>
              </w:rPr>
              <w:t>. Participants will receive course credit and will be required to meet the inclusion criteria of normal colour vision</w:t>
            </w:r>
            <w:r w:rsidR="00EE319E">
              <w:rPr>
                <w:bCs/>
              </w:rPr>
              <w:t xml:space="preserve"> and normal or corrected to normal visual acuity</w:t>
            </w:r>
            <w:r w:rsidR="0011295D">
              <w:rPr>
                <w:bCs/>
              </w:rPr>
              <w:t>. Dyslexic volunteers will be excluded from data-collection</w:t>
            </w:r>
            <w:r w:rsidR="00131E1A">
              <w:rPr>
                <w:bCs/>
              </w:rPr>
              <w:t>, as well as participants who have already learnt the new languages that will be introduced.</w:t>
            </w:r>
          </w:p>
          <w:p w14:paraId="6614DC0D" w14:textId="3F6C8F01" w:rsidR="004F1BFC" w:rsidRDefault="00E03B8D" w:rsidP="00360E4B">
            <w:pPr>
              <w:rPr>
                <w:bCs/>
              </w:rPr>
            </w:pPr>
            <w:r>
              <w:rPr>
                <w:bCs/>
              </w:rPr>
              <w:t>The sample population will be divided into two groups, based on</w:t>
            </w:r>
            <w:r w:rsidR="00F02AEE">
              <w:rPr>
                <w:bCs/>
              </w:rPr>
              <w:t xml:space="preserve"> </w:t>
            </w:r>
            <w:r>
              <w:rPr>
                <w:bCs/>
              </w:rPr>
              <w:t xml:space="preserve">random assignment to </w:t>
            </w:r>
            <w:r w:rsidR="00F02AEE">
              <w:rPr>
                <w:bCs/>
              </w:rPr>
              <w:t xml:space="preserve">one of two experimental conditions, the cognate second-language condition or the non-cognate second-language condition. </w:t>
            </w:r>
            <w:r w:rsidR="004F1BFC">
              <w:rPr>
                <w:bCs/>
              </w:rPr>
              <w:t>Ideally</w:t>
            </w:r>
            <w:r w:rsidR="009D7E5A">
              <w:rPr>
                <w:bCs/>
              </w:rPr>
              <w:t>, a minimum of</w:t>
            </w:r>
            <w:r w:rsidR="004F1BFC">
              <w:rPr>
                <w:bCs/>
              </w:rPr>
              <w:t xml:space="preserve"> </w:t>
            </w:r>
            <w:r w:rsidR="009D7E5A">
              <w:rPr>
                <w:bCs/>
              </w:rPr>
              <w:t>26</w:t>
            </w:r>
            <w:r w:rsidR="004F1BFC">
              <w:rPr>
                <w:bCs/>
              </w:rPr>
              <w:t xml:space="preserve"> participants will be recruited for the detection of a</w:t>
            </w:r>
            <w:r w:rsidR="009D7E5A">
              <w:rPr>
                <w:bCs/>
              </w:rPr>
              <w:t xml:space="preserve"> large</w:t>
            </w:r>
            <w:r w:rsidR="004F1BFC">
              <w:rPr>
                <w:bCs/>
              </w:rPr>
              <w:t xml:space="preserve"> effect size</w:t>
            </w:r>
            <w:r w:rsidR="009D7E5A">
              <w:rPr>
                <w:bCs/>
              </w:rPr>
              <w:t xml:space="preserve">, with </w:t>
            </w:r>
            <w:r w:rsidR="00B119E8">
              <w:rPr>
                <w:bCs/>
              </w:rPr>
              <w:t xml:space="preserve">a statistical power of at </w:t>
            </w:r>
            <w:r w:rsidR="00B119E8" w:rsidRPr="00C1629E">
              <w:rPr>
                <w:bCs/>
              </w:rPr>
              <w:t>least 0.8 (</w:t>
            </w:r>
            <w:r w:rsidR="00B21D4B" w:rsidRPr="00C1629E">
              <w:rPr>
                <w:bCs/>
              </w:rPr>
              <w:t>Cohen, 1992).</w:t>
            </w:r>
            <w:r w:rsidR="00B21D4B">
              <w:rPr>
                <w:bCs/>
              </w:rPr>
              <w:t xml:space="preserve"> </w:t>
            </w:r>
          </w:p>
          <w:p w14:paraId="5AC4C485" w14:textId="7E411335" w:rsidR="00E00F78" w:rsidRPr="00E56450" w:rsidRDefault="003E6C34" w:rsidP="00360E4B">
            <w:pPr>
              <w:rPr>
                <w:bCs/>
              </w:rPr>
            </w:pPr>
            <w:r>
              <w:rPr>
                <w:b/>
              </w:rPr>
              <w:br/>
            </w:r>
            <w:r w:rsidR="00B21D4B">
              <w:rPr>
                <w:bCs/>
              </w:rPr>
              <w:t xml:space="preserve"> </w:t>
            </w:r>
            <w:r>
              <w:rPr>
                <w:bCs/>
              </w:rPr>
              <w:t xml:space="preserve">Participants will be trained </w:t>
            </w:r>
            <w:r w:rsidR="00A7058E">
              <w:rPr>
                <w:bCs/>
              </w:rPr>
              <w:t xml:space="preserve">prior to the experimental task, if successful, participants will have learnt </w:t>
            </w:r>
            <w:r w:rsidR="002A1FA3">
              <w:rPr>
                <w:bCs/>
              </w:rPr>
              <w:t>seven colour words in a completely novel second language</w:t>
            </w:r>
            <w:r w:rsidR="007212D2">
              <w:rPr>
                <w:bCs/>
              </w:rPr>
              <w:t xml:space="preserve">, through the administration of an experimental block presenting </w:t>
            </w:r>
            <w:r w:rsidR="00910489">
              <w:rPr>
                <w:bCs/>
              </w:rPr>
              <w:t>either French or Welsh colour words and their English translation</w:t>
            </w:r>
            <w:r w:rsidR="009400ED">
              <w:rPr>
                <w:bCs/>
              </w:rPr>
              <w:t>, as an alternative to the</w:t>
            </w:r>
            <w:r w:rsidR="00210A80">
              <w:rPr>
                <w:bCs/>
              </w:rPr>
              <w:t xml:space="preserve"> Croation-English</w:t>
            </w:r>
            <w:r w:rsidR="009400ED">
              <w:rPr>
                <w:bCs/>
              </w:rPr>
              <w:t xml:space="preserve"> learning phase administered in </w:t>
            </w:r>
            <w:r w:rsidR="00210A80">
              <w:rPr>
                <w:bCs/>
              </w:rPr>
              <w:t>the</w:t>
            </w:r>
            <w:r w:rsidR="009400ED">
              <w:rPr>
                <w:bCs/>
              </w:rPr>
              <w:t xml:space="preserve"> second experiment</w:t>
            </w:r>
            <w:r w:rsidR="00210A80">
              <w:rPr>
                <w:bCs/>
              </w:rPr>
              <w:t xml:space="preserve">, </w:t>
            </w:r>
            <w:r w:rsidR="009400ED">
              <w:rPr>
                <w:bCs/>
              </w:rPr>
              <w:t xml:space="preserve">by </w:t>
            </w:r>
            <w:r w:rsidR="009400ED">
              <w:rPr>
                <w:bCs/>
              </w:rPr>
              <w:t>Šaban &amp; Schmidt</w:t>
            </w:r>
            <w:r w:rsidR="009400ED">
              <w:rPr>
                <w:bCs/>
              </w:rPr>
              <w:t xml:space="preserve"> (</w:t>
            </w:r>
            <w:r w:rsidR="009400ED">
              <w:rPr>
                <w:bCs/>
              </w:rPr>
              <w:t>2021</w:t>
            </w:r>
            <w:r w:rsidR="009400ED">
              <w:rPr>
                <w:bCs/>
              </w:rPr>
              <w:t>)</w:t>
            </w:r>
            <w:r w:rsidR="00210A80">
              <w:rPr>
                <w:bCs/>
              </w:rPr>
              <w:t xml:space="preserve">. </w:t>
            </w:r>
            <w:r w:rsidR="002A1FA3">
              <w:rPr>
                <w:bCs/>
              </w:rPr>
              <w:t xml:space="preserve">All participants will be required to </w:t>
            </w:r>
            <w:r w:rsidR="00B71212">
              <w:rPr>
                <w:bCs/>
              </w:rPr>
              <w:t>pass a vocabulary test</w:t>
            </w:r>
            <w:r w:rsidR="00EB20C7">
              <w:rPr>
                <w:bCs/>
              </w:rPr>
              <w:t xml:space="preserve">. </w:t>
            </w:r>
          </w:p>
          <w:p w14:paraId="0B938A38" w14:textId="362A334D" w:rsidR="00EC4F18" w:rsidRDefault="00EC4F18" w:rsidP="00360E4B">
            <w:pPr>
              <w:rPr>
                <w:b/>
              </w:rPr>
            </w:pPr>
          </w:p>
          <w:p w14:paraId="1F4108CA" w14:textId="348A4B5C" w:rsidR="00E00F78" w:rsidRDefault="00EC4F18" w:rsidP="00360E4B">
            <w:pPr>
              <w:rPr>
                <w:b/>
              </w:rPr>
            </w:pPr>
            <w:r>
              <w:rPr>
                <w:b/>
              </w:rPr>
              <w:t xml:space="preserve">Design: </w:t>
            </w:r>
          </w:p>
          <w:p w14:paraId="3879CF4E" w14:textId="55C7EA95" w:rsidR="00682778" w:rsidRDefault="00682778" w:rsidP="00360E4B">
            <w:pPr>
              <w:rPr>
                <w:b/>
              </w:rPr>
            </w:pPr>
          </w:p>
          <w:p w14:paraId="717F361C" w14:textId="320D8DAE" w:rsidR="00E56450" w:rsidRDefault="00B74B0B" w:rsidP="00360E4B">
            <w:pPr>
              <w:rPr>
                <w:bCs/>
              </w:rPr>
            </w:pPr>
            <w:r>
              <w:rPr>
                <w:bCs/>
              </w:rPr>
              <w:t xml:space="preserve"> </w:t>
            </w:r>
            <w:bookmarkStart w:id="0" w:name="_Hlk106654370"/>
            <w:bookmarkStart w:id="1" w:name="_Hlk106658586"/>
            <w:r w:rsidR="00E56450">
              <w:rPr>
                <w:bCs/>
              </w:rPr>
              <w:t xml:space="preserve">A 2 x </w:t>
            </w:r>
            <w:r w:rsidR="004435F9">
              <w:rPr>
                <w:bCs/>
              </w:rPr>
              <w:t>3</w:t>
            </w:r>
            <w:r w:rsidR="00E56450">
              <w:rPr>
                <w:bCs/>
              </w:rPr>
              <w:t xml:space="preserve"> x 3 mixed quantitative</w:t>
            </w:r>
            <w:r w:rsidR="008C6D0A">
              <w:rPr>
                <w:bCs/>
              </w:rPr>
              <w:t xml:space="preserve"> experimental</w:t>
            </w:r>
            <w:r w:rsidR="00E56450">
              <w:rPr>
                <w:bCs/>
              </w:rPr>
              <w:t xml:space="preserve"> design. </w:t>
            </w:r>
            <w:r w:rsidR="00A964F3">
              <w:rPr>
                <w:bCs/>
              </w:rPr>
              <w:t xml:space="preserve">The experiment will involve a </w:t>
            </w:r>
            <w:r w:rsidR="007A1E6F">
              <w:rPr>
                <w:bCs/>
              </w:rPr>
              <w:t xml:space="preserve">modified </w:t>
            </w:r>
            <w:r w:rsidR="00A964F3">
              <w:rPr>
                <w:bCs/>
              </w:rPr>
              <w:t>Bilingual Stroop task</w:t>
            </w:r>
            <w:r w:rsidR="007A1E6F">
              <w:rPr>
                <w:bCs/>
              </w:rPr>
              <w:t>, that utilises 2-to-1 mapping procedures to dissociate stimulus conflict from response conflict (</w:t>
            </w:r>
            <w:r w:rsidR="007A1E6F">
              <w:rPr>
                <w:bCs/>
              </w:rPr>
              <w:t>Šaban &amp; Schmidt, 2021</w:t>
            </w:r>
            <w:r w:rsidR="007A1E6F">
              <w:rPr>
                <w:bCs/>
              </w:rPr>
              <w:t xml:space="preserve">). </w:t>
            </w:r>
            <w:r w:rsidR="009D4D77">
              <w:rPr>
                <w:bCs/>
              </w:rPr>
              <w:t>This will allow for manipulation of a two-level between</w:t>
            </w:r>
            <w:r w:rsidR="003836A2">
              <w:rPr>
                <w:bCs/>
              </w:rPr>
              <w:t>-</w:t>
            </w:r>
            <w:r w:rsidR="009D4D77">
              <w:rPr>
                <w:bCs/>
              </w:rPr>
              <w:t xml:space="preserve">subjects variable of cognate second language </w:t>
            </w:r>
            <w:r w:rsidR="0077604D">
              <w:rPr>
                <w:bCs/>
              </w:rPr>
              <w:t xml:space="preserve">colour </w:t>
            </w:r>
            <w:r w:rsidR="009D4D77">
              <w:rPr>
                <w:bCs/>
              </w:rPr>
              <w:t xml:space="preserve">words versus non-cognate second language </w:t>
            </w:r>
            <w:r w:rsidR="0077604D">
              <w:rPr>
                <w:bCs/>
              </w:rPr>
              <w:t>colour words</w:t>
            </w:r>
            <w:r w:rsidR="00E52401">
              <w:rPr>
                <w:bCs/>
              </w:rPr>
              <w:t>. A</w:t>
            </w:r>
            <w:r w:rsidR="00EC4971">
              <w:rPr>
                <w:bCs/>
              </w:rPr>
              <w:t>s well as</w:t>
            </w:r>
            <w:r w:rsidR="0077604D">
              <w:rPr>
                <w:bCs/>
              </w:rPr>
              <w:t xml:space="preserve"> </w:t>
            </w:r>
            <w:r w:rsidR="00EC4971">
              <w:rPr>
                <w:bCs/>
              </w:rPr>
              <w:t>t</w:t>
            </w:r>
            <w:r w:rsidR="004435F9">
              <w:rPr>
                <w:bCs/>
              </w:rPr>
              <w:t>hree</w:t>
            </w:r>
            <w:r w:rsidR="00EC4971">
              <w:rPr>
                <w:bCs/>
              </w:rPr>
              <w:t>-level</w:t>
            </w:r>
            <w:r w:rsidR="003836A2">
              <w:rPr>
                <w:bCs/>
              </w:rPr>
              <w:t xml:space="preserve"> within-subjects</w:t>
            </w:r>
            <w:r w:rsidR="00EC4971">
              <w:rPr>
                <w:bCs/>
              </w:rPr>
              <w:t xml:space="preserve"> </w:t>
            </w:r>
            <w:r w:rsidR="0077604D">
              <w:rPr>
                <w:bCs/>
              </w:rPr>
              <w:t xml:space="preserve">independent variable </w:t>
            </w:r>
            <w:r w:rsidR="00EC4971">
              <w:rPr>
                <w:bCs/>
              </w:rPr>
              <w:t>of congruent and incongruent Stroop conditions</w:t>
            </w:r>
            <w:r w:rsidR="004435F9">
              <w:rPr>
                <w:bCs/>
              </w:rPr>
              <w:t>, and neutral condition</w:t>
            </w:r>
            <w:r w:rsidR="00E52401">
              <w:rPr>
                <w:bCs/>
              </w:rPr>
              <w:t>. Whilst controlling for stimulus and response conflict, through a three-level</w:t>
            </w:r>
            <w:r w:rsidR="003836A2">
              <w:rPr>
                <w:bCs/>
              </w:rPr>
              <w:t xml:space="preserve"> </w:t>
            </w:r>
            <w:r w:rsidR="003836A2">
              <w:rPr>
                <w:bCs/>
              </w:rPr>
              <w:lastRenderedPageBreak/>
              <w:t>within-subjects</w:t>
            </w:r>
            <w:r w:rsidR="00E52401">
              <w:rPr>
                <w:bCs/>
              </w:rPr>
              <w:t xml:space="preserve"> independent variable of </w:t>
            </w:r>
            <w:r w:rsidR="00907600">
              <w:rPr>
                <w:bCs/>
              </w:rPr>
              <w:t xml:space="preserve">stimulus compatibility, stimulus incompatibility, and </w:t>
            </w:r>
            <w:r w:rsidR="00433193">
              <w:rPr>
                <w:bCs/>
              </w:rPr>
              <w:t xml:space="preserve">difference of response. </w:t>
            </w:r>
            <w:r w:rsidR="00BB7B86">
              <w:rPr>
                <w:bCs/>
              </w:rPr>
              <w:t>To explain</w:t>
            </w:r>
            <w:r w:rsidR="00433193">
              <w:rPr>
                <w:bCs/>
              </w:rPr>
              <w:t xml:space="preserve">, 2-to-1 mapping of participant responses, does so by </w:t>
            </w:r>
            <w:r w:rsidR="003B0471">
              <w:rPr>
                <w:bCs/>
              </w:rPr>
              <w:t>separating trials in which meaning i</w:t>
            </w:r>
            <w:r w:rsidR="00CA24C4">
              <w:rPr>
                <w:bCs/>
              </w:rPr>
              <w:t xml:space="preserve">s </w:t>
            </w:r>
            <w:r w:rsidR="003B0471">
              <w:rPr>
                <w:bCs/>
              </w:rPr>
              <w:t xml:space="preserve">matched between colour and word </w:t>
            </w:r>
            <w:r w:rsidR="00CA24C4">
              <w:rPr>
                <w:bCs/>
              </w:rPr>
              <w:t>and associated with the same response key, from trials that contrast differently represented colours and words whilst still associating them with a same response key</w:t>
            </w:r>
            <w:r w:rsidR="00A65856">
              <w:rPr>
                <w:bCs/>
              </w:rPr>
              <w:t>, to observe stimulus conflict in isolation</w:t>
            </w:r>
            <w:r w:rsidR="008075FF">
              <w:rPr>
                <w:bCs/>
              </w:rPr>
              <w:t xml:space="preserve"> (</w:t>
            </w:r>
            <w:r w:rsidR="008075FF">
              <w:rPr>
                <w:bCs/>
              </w:rPr>
              <w:t>Šaban &amp; Schmidt, 2021</w:t>
            </w:r>
            <w:r w:rsidR="008075FF">
              <w:rPr>
                <w:bCs/>
              </w:rPr>
              <w:t>)</w:t>
            </w:r>
            <w:r w:rsidR="00A65856">
              <w:rPr>
                <w:bCs/>
              </w:rPr>
              <w:t xml:space="preserve">. </w:t>
            </w:r>
            <w:r w:rsidR="00BB7B86">
              <w:rPr>
                <w:bCs/>
              </w:rPr>
              <w:t xml:space="preserve">Additionally, </w:t>
            </w:r>
            <w:r w:rsidR="00A65856">
              <w:rPr>
                <w:bCs/>
              </w:rPr>
              <w:t xml:space="preserve">these same response trials are compared with </w:t>
            </w:r>
            <w:r w:rsidR="00103C83">
              <w:rPr>
                <w:bCs/>
              </w:rPr>
              <w:t xml:space="preserve">trials that require </w:t>
            </w:r>
            <w:r w:rsidR="008075FF">
              <w:rPr>
                <w:bCs/>
              </w:rPr>
              <w:t>a</w:t>
            </w:r>
            <w:r w:rsidR="00103C83">
              <w:rPr>
                <w:bCs/>
              </w:rPr>
              <w:t xml:space="preserve"> </w:t>
            </w:r>
            <w:r w:rsidR="008075FF">
              <w:rPr>
                <w:bCs/>
              </w:rPr>
              <w:t>selection between two</w:t>
            </w:r>
            <w:r w:rsidR="00103C83">
              <w:rPr>
                <w:bCs/>
              </w:rPr>
              <w:t xml:space="preserve"> different response keys</w:t>
            </w:r>
            <w:r w:rsidR="00782709">
              <w:rPr>
                <w:bCs/>
              </w:rPr>
              <w:t xml:space="preserve"> to choose one of two</w:t>
            </w:r>
            <w:r w:rsidR="00103C83">
              <w:rPr>
                <w:bCs/>
              </w:rPr>
              <w:t xml:space="preserve"> </w:t>
            </w:r>
            <w:r w:rsidR="001F7A81">
              <w:rPr>
                <w:bCs/>
              </w:rPr>
              <w:t>semantically incompatible stimuli</w:t>
            </w:r>
            <w:r w:rsidR="008075FF">
              <w:rPr>
                <w:bCs/>
              </w:rPr>
              <w:t xml:space="preserve">, in order to observe solely response </w:t>
            </w:r>
            <w:r w:rsidR="008075FF" w:rsidRPr="00C1629E">
              <w:rPr>
                <w:bCs/>
              </w:rPr>
              <w:t>conflict (</w:t>
            </w:r>
            <w:r w:rsidR="008075FF" w:rsidRPr="00C1629E">
              <w:rPr>
                <w:bCs/>
              </w:rPr>
              <w:t>Šaban &amp; Schmidt, 2021</w:t>
            </w:r>
            <w:r w:rsidR="008075FF" w:rsidRPr="00C1629E">
              <w:rPr>
                <w:bCs/>
              </w:rPr>
              <w:t>).</w:t>
            </w:r>
            <w:r w:rsidR="008C422B">
              <w:rPr>
                <w:bCs/>
              </w:rPr>
              <w:t xml:space="preserve"> </w:t>
            </w:r>
            <w:r w:rsidR="003836A2">
              <w:rPr>
                <w:bCs/>
              </w:rPr>
              <w:br/>
            </w:r>
            <w:bookmarkEnd w:id="1"/>
            <w:r w:rsidR="000515AE">
              <w:rPr>
                <w:bCs/>
              </w:rPr>
              <w:t xml:space="preserve">The dependent variable will be </w:t>
            </w:r>
            <w:r w:rsidR="000515AE" w:rsidRPr="00C1629E">
              <w:rPr>
                <w:bCs/>
              </w:rPr>
              <w:t>composed of participant reaction times and error rates as a more valid measure of executive control processes (Corderre &amp; van Heuven, 2014).</w:t>
            </w:r>
            <w:r w:rsidR="000515AE">
              <w:rPr>
                <w:bCs/>
              </w:rPr>
              <w:t xml:space="preserve"> </w:t>
            </w:r>
          </w:p>
          <w:bookmarkEnd w:id="0"/>
          <w:p w14:paraId="5EAC4BB8" w14:textId="12E1C5C3" w:rsidR="008C6D0A" w:rsidRDefault="008C6D0A" w:rsidP="00360E4B">
            <w:pPr>
              <w:rPr>
                <w:bCs/>
              </w:rPr>
            </w:pPr>
          </w:p>
          <w:p w14:paraId="3FC3CE23" w14:textId="5401B668" w:rsidR="00E56450" w:rsidRDefault="00795681" w:rsidP="00360E4B">
            <w:pPr>
              <w:rPr>
                <w:bCs/>
              </w:rPr>
            </w:pPr>
            <w:r>
              <w:rPr>
                <w:bCs/>
              </w:rPr>
              <w:t xml:space="preserve"> </w:t>
            </w:r>
            <w:r w:rsidR="008C6D0A">
              <w:rPr>
                <w:bCs/>
              </w:rPr>
              <w:t xml:space="preserve">Group means of reaction times and error rates will be calculated, for </w:t>
            </w:r>
            <w:r w:rsidR="00885265">
              <w:rPr>
                <w:bCs/>
              </w:rPr>
              <w:t xml:space="preserve">two 2 x </w:t>
            </w:r>
            <w:r w:rsidR="004435F9">
              <w:rPr>
                <w:bCs/>
              </w:rPr>
              <w:t>3</w:t>
            </w:r>
            <w:r w:rsidR="00885265">
              <w:rPr>
                <w:bCs/>
              </w:rPr>
              <w:t xml:space="preserve"> x 3 mixed ANOVAs</w:t>
            </w:r>
            <w:r w:rsidR="00223688">
              <w:rPr>
                <w:bCs/>
              </w:rPr>
              <w:t xml:space="preserve">. </w:t>
            </w:r>
            <w:r w:rsidR="00B356CC">
              <w:rPr>
                <w:bCs/>
              </w:rPr>
              <w:t>The first will assess reaction times and error rates</w:t>
            </w:r>
            <w:r w:rsidR="008131A3">
              <w:rPr>
                <w:bCs/>
              </w:rPr>
              <w:t xml:space="preserve"> for significance in relation to the first hypothesis </w:t>
            </w:r>
            <w:r>
              <w:rPr>
                <w:bCs/>
              </w:rPr>
              <w:t xml:space="preserve">that </w:t>
            </w:r>
            <w:r w:rsidR="00A83EF8">
              <w:rPr>
                <w:bCs/>
              </w:rPr>
              <w:t>cognate words engender response conflict as well as stimulus conflict</w:t>
            </w:r>
            <w:r>
              <w:rPr>
                <w:bCs/>
              </w:rPr>
              <w:t>; moreover, existing interaction effects will be considered.</w:t>
            </w:r>
            <w:r w:rsidR="00A83EF8">
              <w:rPr>
                <w:bCs/>
              </w:rPr>
              <w:t xml:space="preserve"> The results will confirm the relevance of the subsequent analysis which will observe levels of significance for </w:t>
            </w:r>
            <w:r w:rsidR="003E6C34">
              <w:rPr>
                <w:bCs/>
              </w:rPr>
              <w:t xml:space="preserve">reaction times and error rates, as relevant to the </w:t>
            </w:r>
            <w:r w:rsidR="00267A5E">
              <w:rPr>
                <w:bCs/>
              </w:rPr>
              <w:t>second hypothesis that cognate words produce more interference than non-cognate words</w:t>
            </w:r>
            <w:r>
              <w:rPr>
                <w:bCs/>
              </w:rPr>
              <w:t xml:space="preserve">; with consideration of interaction effects. </w:t>
            </w:r>
          </w:p>
          <w:p w14:paraId="6169D36C" w14:textId="77777777" w:rsidR="00795681" w:rsidRPr="00795681" w:rsidRDefault="00795681" w:rsidP="00360E4B">
            <w:pPr>
              <w:rPr>
                <w:bCs/>
              </w:rPr>
            </w:pPr>
          </w:p>
          <w:p w14:paraId="1F88EE7A" w14:textId="1F0235FC" w:rsidR="00352D63" w:rsidRDefault="00682778" w:rsidP="00795681">
            <w:pPr>
              <w:tabs>
                <w:tab w:val="left" w:pos="2364"/>
              </w:tabs>
              <w:rPr>
                <w:b/>
              </w:rPr>
            </w:pPr>
            <w:r>
              <w:rPr>
                <w:b/>
              </w:rPr>
              <w:t>Materials:</w:t>
            </w:r>
          </w:p>
          <w:p w14:paraId="32DDCB0E" w14:textId="09D289FB" w:rsidR="001536E0" w:rsidRDefault="001536E0" w:rsidP="00795681">
            <w:pPr>
              <w:tabs>
                <w:tab w:val="left" w:pos="2364"/>
              </w:tabs>
              <w:rPr>
                <w:b/>
              </w:rPr>
            </w:pPr>
          </w:p>
          <w:p w14:paraId="409BC2B8" w14:textId="192783FC" w:rsidR="00237923" w:rsidRPr="00237923" w:rsidRDefault="00237923" w:rsidP="00795681">
            <w:pPr>
              <w:tabs>
                <w:tab w:val="left" w:pos="2364"/>
              </w:tabs>
              <w:rPr>
                <w:bCs/>
              </w:rPr>
            </w:pPr>
            <w:r>
              <w:rPr>
                <w:b/>
              </w:rPr>
              <w:t xml:space="preserve"> </w:t>
            </w:r>
            <w:r w:rsidRPr="00237923">
              <w:rPr>
                <w:bCs/>
              </w:rPr>
              <w:t xml:space="preserve">An information </w:t>
            </w:r>
            <w:r>
              <w:rPr>
                <w:bCs/>
              </w:rPr>
              <w:t xml:space="preserve">sheet, a consent form, and a debrief sheet will be distributed in paper format to each participant. </w:t>
            </w:r>
          </w:p>
          <w:p w14:paraId="6FF352C7" w14:textId="77777777" w:rsidR="00237923" w:rsidRDefault="00237923" w:rsidP="00795681">
            <w:pPr>
              <w:tabs>
                <w:tab w:val="left" w:pos="2364"/>
              </w:tabs>
              <w:rPr>
                <w:b/>
              </w:rPr>
            </w:pPr>
          </w:p>
          <w:p w14:paraId="656CFAE3" w14:textId="26AF0811" w:rsidR="00FE41D4" w:rsidRDefault="00536FE9" w:rsidP="00FE41D4">
            <w:pPr>
              <w:rPr>
                <w:bCs/>
              </w:rPr>
            </w:pPr>
            <w:r>
              <w:rPr>
                <w:bCs/>
              </w:rPr>
              <w:t xml:space="preserve"> </w:t>
            </w:r>
            <w:r w:rsidR="00905269">
              <w:rPr>
                <w:bCs/>
              </w:rPr>
              <w:t xml:space="preserve">A short </w:t>
            </w:r>
            <w:r w:rsidR="00573DA9">
              <w:rPr>
                <w:bCs/>
              </w:rPr>
              <w:t xml:space="preserve">Qualtrics </w:t>
            </w:r>
            <w:r w:rsidR="00905269">
              <w:rPr>
                <w:bCs/>
              </w:rPr>
              <w:t>internet survey will be used</w:t>
            </w:r>
            <w:r w:rsidR="00573DA9">
              <w:rPr>
                <w:bCs/>
              </w:rPr>
              <w:t xml:space="preserve"> to collect </w:t>
            </w:r>
            <w:r>
              <w:rPr>
                <w:bCs/>
              </w:rPr>
              <w:t>demographic data of age, gender, and self-reported first language. As well as to collect subjective participant estimates of first language proficiency</w:t>
            </w:r>
            <w:r w:rsidR="006A6817">
              <w:rPr>
                <w:bCs/>
              </w:rPr>
              <w:t xml:space="preserve">, which would allow for more valid researcher conclusions in view of the important influence of language proficiency on </w:t>
            </w:r>
            <w:r w:rsidR="00FE41D4">
              <w:rPr>
                <w:bCs/>
              </w:rPr>
              <w:t xml:space="preserve">performance </w:t>
            </w:r>
            <w:r w:rsidR="000C4C95">
              <w:rPr>
                <w:bCs/>
              </w:rPr>
              <w:t>in</w:t>
            </w:r>
            <w:r w:rsidR="00FE41D4">
              <w:rPr>
                <w:bCs/>
              </w:rPr>
              <w:t xml:space="preserve"> Bilingual Stroop </w:t>
            </w:r>
            <w:r w:rsidR="00FE41D4" w:rsidRPr="00B70AB7">
              <w:rPr>
                <w:bCs/>
              </w:rPr>
              <w:t>tasks (</w:t>
            </w:r>
            <w:r w:rsidR="000C4C95" w:rsidRPr="00B70AB7">
              <w:rPr>
                <w:bCs/>
              </w:rPr>
              <w:t>Beeck et al., 2011; Corderre &amp; van Heuven, 2014</w:t>
            </w:r>
            <w:r w:rsidR="00FE41D4" w:rsidRPr="00B70AB7">
              <w:rPr>
                <w:bCs/>
              </w:rPr>
              <w:t>). This confound must be controlled for.</w:t>
            </w:r>
            <w:r w:rsidR="00FE41D4">
              <w:rPr>
                <w:bCs/>
              </w:rPr>
              <w:t xml:space="preserve"> </w:t>
            </w:r>
          </w:p>
          <w:p w14:paraId="713498B0" w14:textId="77777777" w:rsidR="00905269" w:rsidRDefault="00905269" w:rsidP="00795681">
            <w:pPr>
              <w:tabs>
                <w:tab w:val="left" w:pos="2364"/>
              </w:tabs>
              <w:rPr>
                <w:b/>
              </w:rPr>
            </w:pPr>
          </w:p>
          <w:p w14:paraId="74D3FFD3" w14:textId="61B9C8C8" w:rsidR="00D13652" w:rsidRDefault="001536E0" w:rsidP="00795681">
            <w:pPr>
              <w:tabs>
                <w:tab w:val="left" w:pos="2364"/>
              </w:tabs>
              <w:rPr>
                <w:bCs/>
              </w:rPr>
            </w:pPr>
            <w:r>
              <w:rPr>
                <w:b/>
              </w:rPr>
              <w:t xml:space="preserve"> </w:t>
            </w:r>
            <w:r>
              <w:rPr>
                <w:bCs/>
              </w:rPr>
              <w:t>A Super-task with two</w:t>
            </w:r>
            <w:r w:rsidR="004539A9">
              <w:rPr>
                <w:bCs/>
              </w:rPr>
              <w:t xml:space="preserve"> </w:t>
            </w:r>
            <w:r w:rsidR="000C4C95">
              <w:rPr>
                <w:bCs/>
              </w:rPr>
              <w:t xml:space="preserve">second </w:t>
            </w:r>
            <w:r w:rsidR="004539A9">
              <w:rPr>
                <w:bCs/>
              </w:rPr>
              <w:t xml:space="preserve">language conditions, cognate and non-cognate </w:t>
            </w:r>
            <w:r>
              <w:rPr>
                <w:bCs/>
              </w:rPr>
              <w:t>will be created with four experimental blocks</w:t>
            </w:r>
            <w:r w:rsidR="004539A9">
              <w:rPr>
                <w:bCs/>
              </w:rPr>
              <w:t xml:space="preserve">. </w:t>
            </w:r>
            <w:r w:rsidR="00617312">
              <w:rPr>
                <w:bCs/>
              </w:rPr>
              <w:t>For each condition, t</w:t>
            </w:r>
            <w:r w:rsidR="004539A9">
              <w:rPr>
                <w:bCs/>
              </w:rPr>
              <w:t>he first</w:t>
            </w:r>
            <w:r w:rsidR="00856206">
              <w:rPr>
                <w:bCs/>
              </w:rPr>
              <w:t xml:space="preserve">, learning phase </w:t>
            </w:r>
            <w:r w:rsidR="004539A9">
              <w:rPr>
                <w:bCs/>
              </w:rPr>
              <w:t>block</w:t>
            </w:r>
            <w:r w:rsidR="00856206">
              <w:rPr>
                <w:bCs/>
              </w:rPr>
              <w:t xml:space="preserve"> will be followed by a vocabulary test. Then</w:t>
            </w:r>
            <w:r w:rsidR="000C4C95">
              <w:rPr>
                <w:bCs/>
              </w:rPr>
              <w:t>,</w:t>
            </w:r>
            <w:r w:rsidR="00856206">
              <w:rPr>
                <w:bCs/>
              </w:rPr>
              <w:t xml:space="preserve"> </w:t>
            </w:r>
            <w:r w:rsidR="00F548B8">
              <w:rPr>
                <w:bCs/>
              </w:rPr>
              <w:t xml:space="preserve">there will be </w:t>
            </w:r>
            <w:r w:rsidR="00617312">
              <w:rPr>
                <w:bCs/>
              </w:rPr>
              <w:t>three 2-to-1 mapping experimental</w:t>
            </w:r>
            <w:r w:rsidR="00F548B8">
              <w:rPr>
                <w:bCs/>
              </w:rPr>
              <w:t xml:space="preserve"> block</w:t>
            </w:r>
            <w:r w:rsidR="00617312">
              <w:rPr>
                <w:bCs/>
              </w:rPr>
              <w:t>s</w:t>
            </w:r>
            <w:r w:rsidR="00F548B8">
              <w:rPr>
                <w:bCs/>
              </w:rPr>
              <w:t xml:space="preserve"> of </w:t>
            </w:r>
            <w:r w:rsidR="009019DC">
              <w:rPr>
                <w:bCs/>
              </w:rPr>
              <w:t>96</w:t>
            </w:r>
            <w:r w:rsidR="00E4334F">
              <w:rPr>
                <w:bCs/>
              </w:rPr>
              <w:t xml:space="preserve"> </w:t>
            </w:r>
            <w:r w:rsidR="00F548B8">
              <w:rPr>
                <w:bCs/>
              </w:rPr>
              <w:t>stimulus compatible trials</w:t>
            </w:r>
            <w:r w:rsidR="00617312">
              <w:rPr>
                <w:bCs/>
              </w:rPr>
              <w:t xml:space="preserve">, </w:t>
            </w:r>
            <w:r w:rsidR="009019DC">
              <w:rPr>
                <w:bCs/>
              </w:rPr>
              <w:t>96</w:t>
            </w:r>
            <w:r w:rsidR="00E4334F">
              <w:rPr>
                <w:bCs/>
              </w:rPr>
              <w:t xml:space="preserve"> </w:t>
            </w:r>
            <w:r w:rsidR="00617312">
              <w:rPr>
                <w:bCs/>
              </w:rPr>
              <w:t>stimulus incompatible</w:t>
            </w:r>
            <w:r w:rsidR="00905269">
              <w:rPr>
                <w:bCs/>
              </w:rPr>
              <w:t xml:space="preserve"> trials</w:t>
            </w:r>
            <w:r w:rsidR="00617312">
              <w:rPr>
                <w:bCs/>
              </w:rPr>
              <w:t xml:space="preserve">, and </w:t>
            </w:r>
            <w:r w:rsidR="009019DC">
              <w:rPr>
                <w:bCs/>
              </w:rPr>
              <w:t>96</w:t>
            </w:r>
            <w:r w:rsidR="00E4334F">
              <w:rPr>
                <w:bCs/>
              </w:rPr>
              <w:t xml:space="preserve"> </w:t>
            </w:r>
            <w:r w:rsidR="00905269" w:rsidRPr="004F01BC">
              <w:rPr>
                <w:bCs/>
              </w:rPr>
              <w:t>difference of response trials.</w:t>
            </w:r>
            <w:r w:rsidR="004435F9" w:rsidRPr="004F01BC">
              <w:rPr>
                <w:bCs/>
              </w:rPr>
              <w:t xml:space="preserve"> </w:t>
            </w:r>
            <w:r w:rsidR="00FB15B3" w:rsidRPr="004F01BC">
              <w:rPr>
                <w:bCs/>
              </w:rPr>
              <w:t>24 n</w:t>
            </w:r>
            <w:r w:rsidR="004435F9" w:rsidRPr="004F01BC">
              <w:rPr>
                <w:bCs/>
              </w:rPr>
              <w:t>eutral trials will be included</w:t>
            </w:r>
            <w:r w:rsidR="009019DC" w:rsidRPr="004F01BC">
              <w:rPr>
                <w:bCs/>
              </w:rPr>
              <w:t>, randomly</w:t>
            </w:r>
            <w:r w:rsidR="004435F9" w:rsidRPr="004F01BC">
              <w:rPr>
                <w:bCs/>
              </w:rPr>
              <w:t xml:space="preserve"> within each block</w:t>
            </w:r>
            <w:r w:rsidR="009019DC" w:rsidRPr="004F01BC">
              <w:rPr>
                <w:bCs/>
              </w:rPr>
              <w:t xml:space="preserve"> at a </w:t>
            </w:r>
            <w:r w:rsidR="00FB15B3" w:rsidRPr="004F01BC">
              <w:rPr>
                <w:bCs/>
              </w:rPr>
              <w:t>1 to 3 ratio</w:t>
            </w:r>
            <w:r w:rsidR="004435F9" w:rsidRPr="004F01BC">
              <w:rPr>
                <w:bCs/>
              </w:rPr>
              <w:t>.</w:t>
            </w:r>
            <w:r w:rsidR="00905269" w:rsidRPr="004F01BC">
              <w:rPr>
                <w:bCs/>
              </w:rPr>
              <w:t xml:space="preserve"> </w:t>
            </w:r>
            <w:r w:rsidR="00AF4D9D" w:rsidRPr="004F01BC">
              <w:rPr>
                <w:bCs/>
              </w:rPr>
              <w:t xml:space="preserve">All colour words will be monomorphemic and monosyllabic as recommended by Courtin and colleagues, (2014). </w:t>
            </w:r>
            <w:r w:rsidR="00D13652" w:rsidRPr="004F01BC">
              <w:rPr>
                <w:bCs/>
              </w:rPr>
              <w:t>Lexical</w:t>
            </w:r>
            <w:r w:rsidR="00D13652">
              <w:rPr>
                <w:bCs/>
              </w:rPr>
              <w:t xml:space="preserve"> representation and recognition of a word form may be influenced by </w:t>
            </w:r>
          </w:p>
          <w:p w14:paraId="50764C9F" w14:textId="30B86888" w:rsidR="00352D63" w:rsidRDefault="00D13652" w:rsidP="00795681">
            <w:pPr>
              <w:tabs>
                <w:tab w:val="left" w:pos="2364"/>
              </w:tabs>
              <w:rPr>
                <w:bCs/>
              </w:rPr>
            </w:pPr>
            <w:r>
              <w:rPr>
                <w:bCs/>
              </w:rPr>
              <w:t>a word’s morph</w:t>
            </w:r>
            <w:r w:rsidR="0013100C">
              <w:rPr>
                <w:bCs/>
              </w:rPr>
              <w:t xml:space="preserve">ology (Deacon et al., 2019). </w:t>
            </w:r>
            <w:r w:rsidR="003D4EBD">
              <w:rPr>
                <w:bCs/>
              </w:rPr>
              <w:t xml:space="preserve">English words will be sourced from the MorphoLex, created by Balota and colleagues (2007) in their English Lexicon Project, cited </w:t>
            </w:r>
            <w:r w:rsidR="003D4EBD" w:rsidRPr="008A6CA5">
              <w:rPr>
                <w:bCs/>
              </w:rPr>
              <w:t>in Brysbaert and colleagues (2012).</w:t>
            </w:r>
            <w:r w:rsidR="003D4EBD" w:rsidRPr="008A6CA5">
              <w:rPr>
                <w:bCs/>
              </w:rPr>
              <w:t xml:space="preserve"> </w:t>
            </w:r>
            <w:r w:rsidR="0013100C" w:rsidRPr="008A6CA5">
              <w:rPr>
                <w:bCs/>
              </w:rPr>
              <w:t>Cognate words will be French, sourced from the</w:t>
            </w:r>
            <w:r w:rsidR="0013100C" w:rsidRPr="008A6CA5">
              <w:rPr>
                <w:bCs/>
              </w:rPr>
              <w:t xml:space="preserve"> </w:t>
            </w:r>
            <w:r w:rsidR="008C6755" w:rsidRPr="008A6CA5">
              <w:rPr>
                <w:bCs/>
              </w:rPr>
              <w:t>MorphoLex-FR database (Deacon et al., 2019).</w:t>
            </w:r>
            <w:r w:rsidR="00D614CF">
              <w:rPr>
                <w:bCs/>
              </w:rPr>
              <w:t xml:space="preserve"> </w:t>
            </w:r>
            <w:r w:rsidR="00D614CF">
              <w:rPr>
                <w:bCs/>
              </w:rPr>
              <w:br/>
            </w:r>
            <w:r w:rsidR="00C333B0">
              <w:rPr>
                <w:bCs/>
              </w:rPr>
              <w:t>(</w:t>
            </w:r>
            <w:r w:rsidR="00C333B0" w:rsidRPr="00D614CF">
              <w:rPr>
                <w:bCs/>
                <w:highlight w:val="lightGray"/>
              </w:rPr>
              <w:t>I can’t actually find the</w:t>
            </w:r>
            <w:r w:rsidR="00C333B0">
              <w:rPr>
                <w:bCs/>
                <w:highlight w:val="lightGray"/>
              </w:rPr>
              <w:t xml:space="preserve"> actual databases </w:t>
            </w:r>
            <w:r w:rsidR="00C333B0" w:rsidRPr="00D614CF">
              <w:rPr>
                <w:bCs/>
                <w:highlight w:val="lightGray"/>
              </w:rPr>
              <w:t>at the moment, so I only have th</w:t>
            </w:r>
            <w:r w:rsidR="00C333B0">
              <w:rPr>
                <w:bCs/>
                <w:highlight w:val="lightGray"/>
              </w:rPr>
              <w:t>ese</w:t>
            </w:r>
            <w:r w:rsidR="00C333B0" w:rsidRPr="00D614CF">
              <w:rPr>
                <w:bCs/>
                <w:highlight w:val="lightGray"/>
              </w:rPr>
              <w:t xml:space="preserve"> reference</w:t>
            </w:r>
            <w:r w:rsidR="00C333B0">
              <w:rPr>
                <w:bCs/>
                <w:highlight w:val="lightGray"/>
              </w:rPr>
              <w:t>s</w:t>
            </w:r>
            <w:r w:rsidR="00C333B0" w:rsidRPr="00D614CF">
              <w:rPr>
                <w:bCs/>
                <w:highlight w:val="lightGray"/>
              </w:rPr>
              <w:t xml:space="preserve"> for now</w:t>
            </w:r>
            <w:r w:rsidR="00C333B0">
              <w:rPr>
                <w:bCs/>
              </w:rPr>
              <w:t>).</w:t>
            </w:r>
            <w:r w:rsidR="00C333B0">
              <w:rPr>
                <w:bCs/>
              </w:rPr>
              <w:br/>
            </w:r>
            <w:proofErr w:type="gramStart"/>
            <w:r w:rsidR="00C333B0">
              <w:rPr>
                <w:bCs/>
              </w:rPr>
              <w:t>Non-cogna</w:t>
            </w:r>
            <w:r w:rsidR="003D4EBD">
              <w:rPr>
                <w:bCs/>
              </w:rPr>
              <w:t>te</w:t>
            </w:r>
            <w:proofErr w:type="gramEnd"/>
            <w:r w:rsidR="003D4EBD">
              <w:rPr>
                <w:bCs/>
              </w:rPr>
              <w:t xml:space="preserve"> words will be Welsh, sourced from the </w:t>
            </w:r>
            <w:r w:rsidR="00FB54E4">
              <w:rPr>
                <w:bCs/>
              </w:rPr>
              <w:t>(</w:t>
            </w:r>
            <w:r w:rsidR="00FB54E4" w:rsidRPr="00FB54E4">
              <w:rPr>
                <w:bCs/>
                <w:highlight w:val="lightGray"/>
              </w:rPr>
              <w:t>UNSURE</w:t>
            </w:r>
            <w:r w:rsidR="00FB54E4">
              <w:rPr>
                <w:bCs/>
              </w:rPr>
              <w:t xml:space="preserve">). </w:t>
            </w:r>
            <w:r w:rsidR="00FB54E4">
              <w:rPr>
                <w:bCs/>
              </w:rPr>
              <w:br/>
              <w:t>Neutral trials will use a series of ‘x’</w:t>
            </w:r>
            <w:r w:rsidR="00B92E85">
              <w:rPr>
                <w:bCs/>
              </w:rPr>
              <w:t xml:space="preserve"> markings instead of words. </w:t>
            </w:r>
          </w:p>
          <w:p w14:paraId="6970CE76" w14:textId="77777777" w:rsidR="0013100C" w:rsidRPr="0013100C" w:rsidRDefault="0013100C" w:rsidP="00795681">
            <w:pPr>
              <w:tabs>
                <w:tab w:val="left" w:pos="2364"/>
              </w:tabs>
              <w:rPr>
                <w:bCs/>
              </w:rPr>
            </w:pPr>
          </w:p>
          <w:p w14:paraId="22E58ACE" w14:textId="7B4EF461" w:rsidR="00352D63" w:rsidRDefault="00352D63" w:rsidP="00795681">
            <w:pPr>
              <w:tabs>
                <w:tab w:val="left" w:pos="2364"/>
              </w:tabs>
              <w:rPr>
                <w:b/>
              </w:rPr>
            </w:pPr>
            <w:r>
              <w:rPr>
                <w:b/>
              </w:rPr>
              <w:t>Procedure</w:t>
            </w:r>
            <w:r w:rsidR="001536E0">
              <w:rPr>
                <w:b/>
              </w:rPr>
              <w:t>:</w:t>
            </w:r>
          </w:p>
          <w:p w14:paraId="2BAFECE6" w14:textId="5687D1FF" w:rsidR="00795681" w:rsidRDefault="00B92E85" w:rsidP="00795681">
            <w:pPr>
              <w:tabs>
                <w:tab w:val="left" w:pos="2364"/>
              </w:tabs>
              <w:rPr>
                <w:bCs/>
              </w:rPr>
            </w:pPr>
            <w:r>
              <w:rPr>
                <w:bCs/>
              </w:rPr>
              <w:t xml:space="preserve"> </w:t>
            </w:r>
          </w:p>
          <w:p w14:paraId="3390178D" w14:textId="69AF04FA" w:rsidR="00B92E85" w:rsidRDefault="00B92E85" w:rsidP="00795681">
            <w:pPr>
              <w:tabs>
                <w:tab w:val="left" w:pos="2364"/>
              </w:tabs>
              <w:rPr>
                <w:bCs/>
              </w:rPr>
            </w:pPr>
            <w:r>
              <w:rPr>
                <w:bCs/>
              </w:rPr>
              <w:t xml:space="preserve">In the university Psychology laboratories participants will </w:t>
            </w:r>
            <w:r w:rsidR="00EC78BC">
              <w:rPr>
                <w:bCs/>
              </w:rPr>
              <w:t>first provide consent</w:t>
            </w:r>
            <w:r w:rsidR="007B2094">
              <w:rPr>
                <w:bCs/>
              </w:rPr>
              <w:t xml:space="preserve"> after having read the information sheet, which will explain the experimental details and instructions. T</w:t>
            </w:r>
            <w:r w:rsidR="00EC78BC">
              <w:rPr>
                <w:bCs/>
              </w:rPr>
              <w:t xml:space="preserve">hen demographic information </w:t>
            </w:r>
            <w:r w:rsidR="007B2094">
              <w:rPr>
                <w:bCs/>
              </w:rPr>
              <w:t xml:space="preserve">will be provided </w:t>
            </w:r>
            <w:r w:rsidR="00EC78BC">
              <w:rPr>
                <w:bCs/>
              </w:rPr>
              <w:t xml:space="preserve">in the Qualtrics survey. After which participants will undergo the learning phase and should successfully complete a vocabulary test. </w:t>
            </w:r>
            <w:r w:rsidR="007B2094">
              <w:rPr>
                <w:bCs/>
              </w:rPr>
              <w:t>Participants will</w:t>
            </w:r>
            <w:r w:rsidR="00192C0C">
              <w:rPr>
                <w:bCs/>
              </w:rPr>
              <w:t xml:space="preserve"> receive instructions before and</w:t>
            </w:r>
            <w:r w:rsidR="007B2094">
              <w:rPr>
                <w:bCs/>
              </w:rPr>
              <w:t xml:space="preserve"> throughout the 2-to-1 mapping blocks</w:t>
            </w:r>
            <w:r w:rsidR="00192C0C">
              <w:rPr>
                <w:bCs/>
              </w:rPr>
              <w:t xml:space="preserve">, </w:t>
            </w:r>
            <w:r w:rsidR="00EF0304">
              <w:rPr>
                <w:bCs/>
              </w:rPr>
              <w:t xml:space="preserve">the </w:t>
            </w:r>
            <w:r w:rsidR="00316564">
              <w:rPr>
                <w:bCs/>
              </w:rPr>
              <w:t>74 trials</w:t>
            </w:r>
            <w:r w:rsidR="00EF0304">
              <w:rPr>
                <w:bCs/>
              </w:rPr>
              <w:t xml:space="preserve"> in each</w:t>
            </w:r>
            <w:r w:rsidR="00316564">
              <w:rPr>
                <w:bCs/>
              </w:rPr>
              <w:t xml:space="preserve"> will be preceded by a fixation point exhibited for </w:t>
            </w:r>
            <w:r w:rsidR="000F5713">
              <w:rPr>
                <w:bCs/>
              </w:rPr>
              <w:t>250</w:t>
            </w:r>
            <w:r w:rsidR="00316564">
              <w:rPr>
                <w:bCs/>
              </w:rPr>
              <w:t>ms</w:t>
            </w:r>
            <w:r w:rsidR="00EF0304">
              <w:rPr>
                <w:bCs/>
              </w:rPr>
              <w:t xml:space="preserve">, then </w:t>
            </w:r>
            <w:r w:rsidR="00AB2346">
              <w:rPr>
                <w:bCs/>
              </w:rPr>
              <w:t>the Stroop condition word-colour</w:t>
            </w:r>
            <w:r w:rsidR="00753D48">
              <w:rPr>
                <w:bCs/>
              </w:rPr>
              <w:t xml:space="preserve"> or neutral-colour</w:t>
            </w:r>
            <w:r w:rsidR="00AB2346">
              <w:rPr>
                <w:bCs/>
              </w:rPr>
              <w:t xml:space="preserve"> pairings will appear </w:t>
            </w:r>
            <w:r w:rsidR="003A49EC">
              <w:rPr>
                <w:bCs/>
              </w:rPr>
              <w:t xml:space="preserve">for </w:t>
            </w:r>
            <w:r w:rsidR="000F5713">
              <w:rPr>
                <w:bCs/>
              </w:rPr>
              <w:t>2000</w:t>
            </w:r>
            <w:r w:rsidR="003A49EC">
              <w:rPr>
                <w:bCs/>
              </w:rPr>
              <w:t xml:space="preserve">ms each, or less depending on the registration of a response, </w:t>
            </w:r>
            <w:r w:rsidR="00E640AB">
              <w:rPr>
                <w:bCs/>
              </w:rPr>
              <w:t xml:space="preserve">similarly to Experiment 2 in </w:t>
            </w:r>
            <w:r w:rsidR="003A49EC">
              <w:rPr>
                <w:bCs/>
              </w:rPr>
              <w:t xml:space="preserve">Šaban &amp; Schmidt, </w:t>
            </w:r>
            <w:r w:rsidR="00E640AB">
              <w:rPr>
                <w:bCs/>
              </w:rPr>
              <w:t>(</w:t>
            </w:r>
            <w:r w:rsidR="003A49EC">
              <w:rPr>
                <w:bCs/>
              </w:rPr>
              <w:t>2021</w:t>
            </w:r>
            <w:r w:rsidR="003A49EC">
              <w:rPr>
                <w:bCs/>
              </w:rPr>
              <w:t>).</w:t>
            </w:r>
            <w:r w:rsidR="000F5713">
              <w:rPr>
                <w:bCs/>
              </w:rPr>
              <w:t xml:space="preserve"> </w:t>
            </w:r>
            <w:r w:rsidR="002F7B72">
              <w:rPr>
                <w:bCs/>
              </w:rPr>
              <w:t xml:space="preserve">Participants will be required to select the accurate response each time, which would be the colour. </w:t>
            </w:r>
          </w:p>
          <w:p w14:paraId="28B301DF" w14:textId="7FFCED1B" w:rsidR="00E00F78" w:rsidRDefault="00B51F89" w:rsidP="00360E4B">
            <w:pPr>
              <w:rPr>
                <w:rFonts w:ascii="Arial" w:hAnsi="Arial" w:cs="Arial"/>
                <w:b/>
              </w:rPr>
            </w:pPr>
            <w:r>
              <w:rPr>
                <w:bCs/>
              </w:rPr>
              <w:lastRenderedPageBreak/>
              <w:t xml:space="preserve">Finally, participants will be debriefed. </w:t>
            </w:r>
          </w:p>
          <w:p w14:paraId="3444FEF1" w14:textId="77777777" w:rsidR="00BA756C" w:rsidRDefault="00BA756C" w:rsidP="00360E4B">
            <w:pPr>
              <w:rPr>
                <w:rFonts w:ascii="Arial" w:hAnsi="Arial" w:cs="Arial"/>
                <w:b/>
              </w:rPr>
            </w:pPr>
          </w:p>
          <w:p w14:paraId="3D5AAA54" w14:textId="77777777" w:rsidR="002C3798" w:rsidRDefault="002C3798" w:rsidP="00360E4B">
            <w:pPr>
              <w:rPr>
                <w:rFonts w:ascii="Arial" w:hAnsi="Arial" w:cs="Arial"/>
                <w:b/>
              </w:rPr>
            </w:pPr>
          </w:p>
          <w:p w14:paraId="060C52A7" w14:textId="77777777" w:rsidR="002C3798" w:rsidRDefault="002C3798" w:rsidP="00360E4B">
            <w:pPr>
              <w:rPr>
                <w:bCs/>
              </w:rPr>
            </w:pPr>
            <w:r w:rsidRPr="002C3798">
              <w:rPr>
                <w:bCs/>
              </w:rPr>
              <w:t xml:space="preserve">References: </w:t>
            </w:r>
          </w:p>
          <w:p w14:paraId="161DE230" w14:textId="77777777" w:rsidR="002C3798" w:rsidRDefault="002C3798" w:rsidP="00360E4B">
            <w:pPr>
              <w:rPr>
                <w:bCs/>
              </w:rPr>
            </w:pPr>
          </w:p>
          <w:p w14:paraId="747F0FD9" w14:textId="0670E884" w:rsidR="00B70AB7" w:rsidRDefault="00B70AB7" w:rsidP="00360E4B">
            <w:pPr>
              <w:rPr>
                <w:bCs/>
              </w:rPr>
            </w:pPr>
            <w:r>
              <w:rPr>
                <w:bCs/>
              </w:rPr>
              <w:t>Beeck, H. O., Braet, W.</w:t>
            </w:r>
            <w:r w:rsidR="002C1C0F">
              <w:rPr>
                <w:bCs/>
              </w:rPr>
              <w:t xml:space="preserve">, Noppe, N., &amp; Wagemans, J. (2011). Increased Stroop interference with better </w:t>
            </w:r>
            <w:r w:rsidR="004F01BC">
              <w:rPr>
                <w:bCs/>
              </w:rPr>
              <w:br/>
              <w:t xml:space="preserve"> </w:t>
            </w:r>
            <w:r w:rsidR="002C1C0F">
              <w:rPr>
                <w:bCs/>
              </w:rPr>
              <w:t xml:space="preserve">second-language reading skill. </w:t>
            </w:r>
            <w:r w:rsidR="002C1C0F" w:rsidRPr="004F01BC">
              <w:rPr>
                <w:bCs/>
                <w:i/>
                <w:iCs/>
              </w:rPr>
              <w:t>The Quarterly Journal of Experimental Psychology</w:t>
            </w:r>
            <w:r w:rsidR="002C1C0F">
              <w:rPr>
                <w:bCs/>
              </w:rPr>
              <w:t>, 64 (3), pp. 596-607.</w:t>
            </w:r>
            <w:r w:rsidR="002C1C0F">
              <w:rPr>
                <w:bCs/>
              </w:rPr>
              <w:br/>
            </w:r>
            <w:r w:rsidR="004F01BC">
              <w:rPr>
                <w:bCs/>
              </w:rPr>
              <w:t xml:space="preserve"> </w:t>
            </w:r>
            <w:r w:rsidR="002C1C0F">
              <w:rPr>
                <w:bCs/>
              </w:rPr>
              <w:t xml:space="preserve">DOI: </w:t>
            </w:r>
            <w:hyperlink r:id="rId13" w:history="1">
              <w:r w:rsidR="004F01BC" w:rsidRPr="00917B71">
                <w:rPr>
                  <w:rStyle w:val="Hyperlink"/>
                  <w:bCs/>
                </w:rPr>
                <w:t>https://doi.org/</w:t>
              </w:r>
              <w:r w:rsidR="004F01BC" w:rsidRPr="00917B71">
                <w:rPr>
                  <w:rStyle w:val="Hyperlink"/>
                </w:rPr>
                <w:t>10.1080/17470218.2010.513735</w:t>
              </w:r>
            </w:hyperlink>
            <w:r w:rsidR="004F01BC">
              <w:t xml:space="preserve"> </w:t>
            </w:r>
          </w:p>
          <w:p w14:paraId="301BF64C" w14:textId="433A983B" w:rsidR="00B70AB7" w:rsidRDefault="00B70AB7" w:rsidP="00360E4B">
            <w:pPr>
              <w:rPr>
                <w:bCs/>
              </w:rPr>
            </w:pPr>
          </w:p>
          <w:p w14:paraId="39EEE766" w14:textId="34ED6546" w:rsidR="00670D96" w:rsidRDefault="00670D96" w:rsidP="00360E4B">
            <w:pPr>
              <w:rPr>
                <w:bCs/>
              </w:rPr>
            </w:pPr>
            <w:r>
              <w:rPr>
                <w:bCs/>
              </w:rPr>
              <w:t xml:space="preserve">Brysbaert, M., </w:t>
            </w:r>
            <w:r w:rsidR="00432A10">
              <w:rPr>
                <w:bCs/>
              </w:rPr>
              <w:t>K</w:t>
            </w:r>
            <w:r w:rsidR="003A7608">
              <w:rPr>
                <w:bCs/>
              </w:rPr>
              <w:t xml:space="preserve">euleers, E., Lacey, P., &amp; Rastle, K. (2012). The British Lexicon Project: Lexical </w:t>
            </w:r>
            <w:r w:rsidR="003A7608">
              <w:rPr>
                <w:bCs/>
              </w:rPr>
              <w:br/>
              <w:t xml:space="preserve"> decision data for 28,730 monosyllabic and disyllabic English words. </w:t>
            </w:r>
            <w:r w:rsidR="003A7608" w:rsidRPr="003A7608">
              <w:rPr>
                <w:bCs/>
                <w:i/>
                <w:iCs/>
              </w:rPr>
              <w:t>Behavioural Research</w:t>
            </w:r>
            <w:r w:rsidR="003A7608">
              <w:rPr>
                <w:bCs/>
              </w:rPr>
              <w:t>, 44, pp.</w:t>
            </w:r>
            <w:r w:rsidR="00432A10">
              <w:rPr>
                <w:bCs/>
              </w:rPr>
              <w:br/>
              <w:t xml:space="preserve"> </w:t>
            </w:r>
            <w:r w:rsidR="003A7608">
              <w:rPr>
                <w:bCs/>
              </w:rPr>
              <w:t xml:space="preserve">287-304. </w:t>
            </w:r>
            <w:r w:rsidR="003A7608">
              <w:rPr>
                <w:bCs/>
              </w:rPr>
              <w:br/>
              <w:t xml:space="preserve"> DOI: </w:t>
            </w:r>
            <w:hyperlink r:id="rId14" w:history="1">
              <w:r w:rsidR="003A7608" w:rsidRPr="00917B71">
                <w:rPr>
                  <w:rStyle w:val="Hyperlink"/>
                  <w:bCs/>
                </w:rPr>
                <w:t>https://doi.org/</w:t>
              </w:r>
              <w:r w:rsidR="003A7608" w:rsidRPr="00917B71">
                <w:rPr>
                  <w:rStyle w:val="Hyperlink"/>
                </w:rPr>
                <w:t>10.3758/s13428-011-0118-4</w:t>
              </w:r>
            </w:hyperlink>
            <w:r w:rsidR="003A7608">
              <w:t xml:space="preserve"> </w:t>
            </w:r>
          </w:p>
          <w:p w14:paraId="3CCA981E" w14:textId="77777777" w:rsidR="00670D96" w:rsidRDefault="00670D96" w:rsidP="00360E4B">
            <w:pPr>
              <w:rPr>
                <w:bCs/>
              </w:rPr>
            </w:pPr>
          </w:p>
          <w:p w14:paraId="1F1DF857" w14:textId="6B55271E" w:rsidR="002C3798" w:rsidRDefault="0099271A" w:rsidP="00360E4B">
            <w:pPr>
              <w:rPr>
                <w:bCs/>
              </w:rPr>
            </w:pPr>
            <w:r>
              <w:rPr>
                <w:bCs/>
              </w:rPr>
              <w:t xml:space="preserve">Cohen, J. (1992). A Power Primer. </w:t>
            </w:r>
            <w:r w:rsidRPr="004F01BC">
              <w:rPr>
                <w:bCs/>
                <w:i/>
                <w:iCs/>
              </w:rPr>
              <w:t>Psychological Bulletin</w:t>
            </w:r>
            <w:r>
              <w:rPr>
                <w:bCs/>
              </w:rPr>
              <w:t>, 112 (1), pp. 155-159.</w:t>
            </w:r>
            <w:r>
              <w:rPr>
                <w:bCs/>
              </w:rPr>
              <w:br/>
              <w:t xml:space="preserve"> DOI: </w:t>
            </w:r>
            <w:hyperlink r:id="rId15" w:history="1">
              <w:r w:rsidR="004F01BC" w:rsidRPr="00917B71">
                <w:rPr>
                  <w:rStyle w:val="Hyperlink"/>
                  <w:bCs/>
                </w:rPr>
                <w:t>https://doi.org/</w:t>
              </w:r>
              <w:r w:rsidR="004F01BC" w:rsidRPr="00917B71">
                <w:rPr>
                  <w:rStyle w:val="Hyperlink"/>
                  <w:bCs/>
                </w:rPr>
                <w:t>10.1037/0033-2909.112.1.155</w:t>
              </w:r>
            </w:hyperlink>
            <w:r w:rsidR="004F01BC">
              <w:rPr>
                <w:bCs/>
              </w:rPr>
              <w:t xml:space="preserve"> </w:t>
            </w:r>
          </w:p>
          <w:p w14:paraId="06F23D34" w14:textId="6F99037C" w:rsidR="00C1629E" w:rsidRDefault="00C1629E" w:rsidP="00360E4B">
            <w:pPr>
              <w:rPr>
                <w:bCs/>
              </w:rPr>
            </w:pPr>
          </w:p>
          <w:p w14:paraId="6FC06242" w14:textId="6E88AFA7" w:rsidR="00C1629E" w:rsidRDefault="00C1629E" w:rsidP="00C1629E">
            <w:r>
              <w:t xml:space="preserve">Corderre, E. L., &amp; van Heuven, W. J. B. (2014). Electrophysiological Explorations of the Bilingual </w:t>
            </w:r>
            <w:r>
              <w:br/>
              <w:t xml:space="preserve"> </w:t>
            </w:r>
            <w:r>
              <w:t xml:space="preserve">Advantage: Evidence from a Stroop Task. </w:t>
            </w:r>
            <w:r w:rsidRPr="002E6919">
              <w:rPr>
                <w:i/>
                <w:iCs/>
              </w:rPr>
              <w:t>PLoS ONE</w:t>
            </w:r>
            <w:r>
              <w:t>, 9 (7), pp. 1-15.</w:t>
            </w:r>
          </w:p>
          <w:p w14:paraId="5C27946C" w14:textId="68BC56DC" w:rsidR="00C1629E" w:rsidRDefault="00C1629E" w:rsidP="00360E4B">
            <w:r>
              <w:rPr>
                <w:bCs/>
              </w:rPr>
              <w:t xml:space="preserve"> DOI: </w:t>
            </w:r>
            <w:hyperlink r:id="rId16" w:history="1">
              <w:r w:rsidR="004F01BC" w:rsidRPr="00917B71">
                <w:rPr>
                  <w:rStyle w:val="Hyperlink"/>
                  <w:bCs/>
                </w:rPr>
                <w:t>https://doi.org/</w:t>
              </w:r>
              <w:r w:rsidR="004F01BC" w:rsidRPr="00917B71">
                <w:rPr>
                  <w:rStyle w:val="Hyperlink"/>
                </w:rPr>
                <w:t>10.1371/journal.pone.0103424</w:t>
              </w:r>
            </w:hyperlink>
            <w:r w:rsidR="004F01BC">
              <w:t xml:space="preserve"> </w:t>
            </w:r>
          </w:p>
          <w:p w14:paraId="1C5D37B3" w14:textId="3F2E9895" w:rsidR="004F01BC" w:rsidRDefault="004F01BC" w:rsidP="00360E4B"/>
          <w:p w14:paraId="79A05BB3" w14:textId="4B9DCA84" w:rsidR="004F01BC" w:rsidRDefault="004F01BC" w:rsidP="00360E4B">
            <w:pPr>
              <w:rPr>
                <w:bCs/>
              </w:rPr>
            </w:pPr>
            <w:r>
              <w:t xml:space="preserve">Courtin, C., </w:t>
            </w:r>
            <w:r w:rsidR="00670F72">
              <w:t xml:space="preserve">Heidlmayr, K., Hemforth, B., Isel, F., Moutier, S., &amp; Tanzmeister, R. (2014). Successive </w:t>
            </w:r>
            <w:r w:rsidR="00670D96">
              <w:br/>
              <w:t xml:space="preserve"> </w:t>
            </w:r>
            <w:r w:rsidR="00670F72">
              <w:t xml:space="preserve">bilingualism and executive functions: The effect of second language use on inhibitory control in a </w:t>
            </w:r>
            <w:r w:rsidR="00670D96">
              <w:br/>
              <w:t xml:space="preserve"> </w:t>
            </w:r>
            <w:r w:rsidR="00670F72">
              <w:t>behavioural Stroop Colour Word task</w:t>
            </w:r>
            <w:r w:rsidR="00670D96">
              <w:t xml:space="preserve">. Bilingualism: Language and Cognition, 17 (3), pp. 630-645. </w:t>
            </w:r>
            <w:r w:rsidR="00670D96">
              <w:br/>
              <w:t xml:space="preserve"> DOI: </w:t>
            </w:r>
            <w:hyperlink r:id="rId17" w:history="1">
              <w:r w:rsidR="00670D96" w:rsidRPr="00917B71">
                <w:rPr>
                  <w:rStyle w:val="Hyperlink"/>
                </w:rPr>
                <w:t>https://doi.org/10.1017/S1366728913000539</w:t>
              </w:r>
            </w:hyperlink>
            <w:r w:rsidR="00670D96">
              <w:t xml:space="preserve"> </w:t>
            </w:r>
          </w:p>
          <w:p w14:paraId="437161C4" w14:textId="77777777" w:rsidR="00C1629E" w:rsidRDefault="00C1629E" w:rsidP="00360E4B">
            <w:pPr>
              <w:rPr>
                <w:bCs/>
              </w:rPr>
            </w:pPr>
          </w:p>
          <w:p w14:paraId="1520BFDF" w14:textId="7E6C085C" w:rsidR="00432A10" w:rsidRDefault="00432A10" w:rsidP="00C1629E">
            <w:pPr>
              <w:rPr>
                <w:bCs/>
              </w:rPr>
            </w:pPr>
            <w:r>
              <w:rPr>
                <w:bCs/>
              </w:rPr>
              <w:t>Deacon, S. H., Macoir, J., Mailhot, H., Sánchez-Gutié</w:t>
            </w:r>
            <w:r w:rsidR="00354A09">
              <w:rPr>
                <w:bCs/>
              </w:rPr>
              <w:t xml:space="preserve">rrez, C., Wilson, M. A. (2020). MorphoLex-FR: A </w:t>
            </w:r>
            <w:r w:rsidR="00354A09">
              <w:rPr>
                <w:bCs/>
              </w:rPr>
              <w:br/>
              <w:t xml:space="preserve"> derivational morphological database for 38,840 French words. </w:t>
            </w:r>
            <w:r w:rsidR="00354A09" w:rsidRPr="00354A09">
              <w:rPr>
                <w:bCs/>
                <w:i/>
                <w:iCs/>
              </w:rPr>
              <w:t>Behavioural Research Methods</w:t>
            </w:r>
            <w:r w:rsidR="00354A09">
              <w:rPr>
                <w:bCs/>
              </w:rPr>
              <w:t xml:space="preserve">, 52, pp. </w:t>
            </w:r>
            <w:r w:rsidR="00354A09">
              <w:rPr>
                <w:bCs/>
              </w:rPr>
              <w:br/>
              <w:t xml:space="preserve"> 1008-1025. </w:t>
            </w:r>
            <w:r w:rsidR="00354A09">
              <w:rPr>
                <w:bCs/>
              </w:rPr>
              <w:br/>
              <w:t xml:space="preserve"> DOI: </w:t>
            </w:r>
            <w:hyperlink r:id="rId18" w:history="1">
              <w:r w:rsidR="00354A09" w:rsidRPr="00917B71">
                <w:rPr>
                  <w:rStyle w:val="Hyperlink"/>
                </w:rPr>
                <w:t>https://doi.org/10.3758/s13428-019-01297-z</w:t>
              </w:r>
            </w:hyperlink>
            <w:r w:rsidR="00354A09">
              <w:t xml:space="preserve"> </w:t>
            </w:r>
          </w:p>
          <w:p w14:paraId="1B40A53A" w14:textId="77777777" w:rsidR="00432A10" w:rsidRDefault="00432A10" w:rsidP="00C1629E">
            <w:pPr>
              <w:rPr>
                <w:bCs/>
              </w:rPr>
            </w:pPr>
          </w:p>
          <w:p w14:paraId="16229529" w14:textId="246D96D8" w:rsidR="00C1629E" w:rsidRDefault="00C1629E" w:rsidP="00C1629E">
            <w:r>
              <w:rPr>
                <w:bCs/>
              </w:rPr>
              <w:t xml:space="preserve">Šaban, I., &amp; Schmidt, J. R. (2021). Stimulus and response conflict from a second language: Stroop </w:t>
            </w:r>
            <w:r>
              <w:rPr>
                <w:bCs/>
              </w:rPr>
              <w:br/>
              <w:t xml:space="preserve"> interference in weakly-bilingual and recently-trained languages. </w:t>
            </w:r>
            <w:r w:rsidRPr="00185A3D">
              <w:rPr>
                <w:bCs/>
                <w:i/>
                <w:iCs/>
              </w:rPr>
              <w:t>Acta Psychologica</w:t>
            </w:r>
            <w:r>
              <w:rPr>
                <w:bCs/>
              </w:rPr>
              <w:t xml:space="preserve">, 218 (103360), pp. </w:t>
            </w:r>
            <w:r>
              <w:rPr>
                <w:bCs/>
              </w:rPr>
              <w:br/>
              <w:t xml:space="preserve"> 1-13. </w:t>
            </w:r>
            <w:r>
              <w:rPr>
                <w:bCs/>
              </w:rPr>
              <w:br/>
            </w:r>
            <w:r>
              <w:t xml:space="preserve"> DOI: </w:t>
            </w:r>
            <w:hyperlink r:id="rId19" w:history="1">
              <w:r w:rsidRPr="00917B71">
                <w:rPr>
                  <w:rStyle w:val="Hyperlink"/>
                </w:rPr>
                <w:t>https://doi.org/10.1016/j.actpsy.2021.103360</w:t>
              </w:r>
            </w:hyperlink>
            <w:r>
              <w:t xml:space="preserve"> </w:t>
            </w:r>
          </w:p>
          <w:p w14:paraId="788B1AAC" w14:textId="093665F6" w:rsidR="00C1629E" w:rsidRPr="002C3798" w:rsidRDefault="00C1629E" w:rsidP="00360E4B">
            <w:pPr>
              <w:rPr>
                <w:bCs/>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73484977" w14:textId="0A3AB0CB" w:rsidR="003D0CD4" w:rsidRDefault="00B21D4B" w:rsidP="00E24E04">
            <w:pPr>
              <w:rPr>
                <w:bCs/>
              </w:rPr>
            </w:pPr>
            <w:r>
              <w:rPr>
                <w:rFonts w:ascii="Arial" w:hAnsi="Arial" w:cs="Arial"/>
                <w:b/>
              </w:rPr>
              <w:t xml:space="preserve"> </w:t>
            </w:r>
            <w:r w:rsidRPr="00B21D4B">
              <w:rPr>
                <w:bCs/>
              </w:rPr>
              <w:t>Given the recent Covid-19 pandemic and imposition of restrictions by the Welsh government</w:t>
            </w:r>
            <w:r>
              <w:rPr>
                <w:bCs/>
              </w:rPr>
              <w:t xml:space="preserve"> on the advice of scientists</w:t>
            </w:r>
            <w:r w:rsidRPr="00B21D4B">
              <w:rPr>
                <w:bCs/>
              </w:rPr>
              <w:t xml:space="preserve">, </w:t>
            </w:r>
            <w:r>
              <w:rPr>
                <w:bCs/>
              </w:rPr>
              <w:t xml:space="preserve">the risk of Covid-19 infection should be considered. Therefore, </w:t>
            </w:r>
            <w:r w:rsidR="001A2735">
              <w:rPr>
                <w:bCs/>
              </w:rPr>
              <w:t xml:space="preserve">laboratory environments will be disinfected before each participant and at the end of each data-collection period to avoid the spread of any virus. </w:t>
            </w:r>
            <w:r w:rsidR="00952E6A">
              <w:rPr>
                <w:bCs/>
              </w:rPr>
              <w:t>Also, p</w:t>
            </w:r>
            <w:r w:rsidR="008223DC">
              <w:rPr>
                <w:bCs/>
              </w:rPr>
              <w:t>articipants will be made aware that these disinfection procedures</w:t>
            </w:r>
            <w:r w:rsidR="00952E6A">
              <w:rPr>
                <w:bCs/>
              </w:rPr>
              <w:t xml:space="preserve"> would be implemented,</w:t>
            </w:r>
            <w:r w:rsidR="008223DC">
              <w:rPr>
                <w:bCs/>
              </w:rPr>
              <w:t xml:space="preserve"> before they sign-up for the study. </w:t>
            </w:r>
          </w:p>
          <w:p w14:paraId="17C1E666" w14:textId="04B0A1FD" w:rsidR="008223DC" w:rsidRDefault="008223DC" w:rsidP="00E24E04">
            <w:pPr>
              <w:rPr>
                <w:bCs/>
              </w:rPr>
            </w:pPr>
          </w:p>
          <w:p w14:paraId="3AE4E527" w14:textId="703F9E5F" w:rsidR="00CE1F8F" w:rsidRDefault="008223DC" w:rsidP="00E24E04">
            <w:pPr>
              <w:rPr>
                <w:bCs/>
              </w:rPr>
            </w:pPr>
            <w:r>
              <w:rPr>
                <w:bCs/>
              </w:rPr>
              <w:t xml:space="preserve"> Participants will be informed of </w:t>
            </w:r>
            <w:r w:rsidR="00952E6A">
              <w:rPr>
                <w:bCs/>
              </w:rPr>
              <w:t xml:space="preserve">all relevant </w:t>
            </w:r>
            <w:r>
              <w:rPr>
                <w:bCs/>
              </w:rPr>
              <w:t xml:space="preserve">exclusion and inclusion criteria </w:t>
            </w:r>
            <w:r w:rsidR="00952E6A">
              <w:rPr>
                <w:bCs/>
              </w:rPr>
              <w:t xml:space="preserve">to avoid </w:t>
            </w:r>
            <w:r w:rsidR="00C42C3B">
              <w:rPr>
                <w:bCs/>
              </w:rPr>
              <w:t>causing any distress or discomfort</w:t>
            </w:r>
            <w:r w:rsidR="00F715F8">
              <w:rPr>
                <w:bCs/>
              </w:rPr>
              <w:t>.</w:t>
            </w:r>
            <w:r w:rsidR="00C42C3B">
              <w:rPr>
                <w:bCs/>
              </w:rPr>
              <w:t xml:space="preserve"> Whereas, the study information advertised through the EMS will inform </w:t>
            </w:r>
            <w:r w:rsidR="00C42C3B">
              <w:rPr>
                <w:bCs/>
              </w:rPr>
              <w:lastRenderedPageBreak/>
              <w:t xml:space="preserve">volunteers that they will be required to </w:t>
            </w:r>
            <w:r w:rsidR="00A80991">
              <w:rPr>
                <w:bCs/>
              </w:rPr>
              <w:t>memorise</w:t>
            </w:r>
            <w:r w:rsidR="00C42C3B">
              <w:rPr>
                <w:bCs/>
              </w:rPr>
              <w:t xml:space="preserve"> </w:t>
            </w:r>
            <w:r w:rsidR="00A80991">
              <w:rPr>
                <w:bCs/>
              </w:rPr>
              <w:t>new colour words in a second language to their first, through a learning phase</w:t>
            </w:r>
            <w:r w:rsidR="003F35D7">
              <w:rPr>
                <w:bCs/>
              </w:rPr>
              <w:t xml:space="preserve"> prior to performing the main experimental task. While, they will be notified that </w:t>
            </w:r>
            <w:r w:rsidR="007552F3">
              <w:rPr>
                <w:bCs/>
              </w:rPr>
              <w:t xml:space="preserve">complete accuracy on a vocabulary test will be demanded before participants are able to continue. The learning block and vocabulary test participation will not be timed. </w:t>
            </w:r>
            <w:r w:rsidR="00C42C3B">
              <w:rPr>
                <w:bCs/>
              </w:rPr>
              <w:t xml:space="preserve">If participants who meet the criteria </w:t>
            </w:r>
            <w:r w:rsidR="00EF7FCA">
              <w:rPr>
                <w:bCs/>
              </w:rPr>
              <w:t xml:space="preserve">experience any discomfort or confusion at any time, the researcher </w:t>
            </w:r>
            <w:r w:rsidR="00634141">
              <w:rPr>
                <w:bCs/>
              </w:rPr>
              <w:t xml:space="preserve">will </w:t>
            </w:r>
            <w:r w:rsidR="00EF7FCA">
              <w:rPr>
                <w:bCs/>
              </w:rPr>
              <w:t xml:space="preserve">be present to handle any issues and questions. </w:t>
            </w:r>
            <w:r w:rsidR="00634141">
              <w:rPr>
                <w:bCs/>
              </w:rPr>
              <w:t>In presenting the study procedures, p</w:t>
            </w:r>
            <w:r w:rsidR="00EF7FCA">
              <w:rPr>
                <w:bCs/>
              </w:rPr>
              <w:t xml:space="preserve">articipants will be </w:t>
            </w:r>
            <w:r w:rsidR="00CE1F8F">
              <w:rPr>
                <w:bCs/>
              </w:rPr>
              <w:t>recommended</w:t>
            </w:r>
            <w:r w:rsidR="00EF7FCA">
              <w:rPr>
                <w:bCs/>
              </w:rPr>
              <w:t xml:space="preserve"> to engage with the researcher if they are feeling too distressed to continue participating</w:t>
            </w:r>
            <w:r w:rsidR="00CE1F8F">
              <w:rPr>
                <w:bCs/>
              </w:rPr>
              <w:t>, but perseverance will be asked for</w:t>
            </w:r>
            <w:r w:rsidR="00634141">
              <w:rPr>
                <w:bCs/>
              </w:rPr>
              <w:t xml:space="preserve">. </w:t>
            </w:r>
          </w:p>
          <w:p w14:paraId="49CB094A" w14:textId="56FA5680" w:rsidR="00CE1F8F" w:rsidRDefault="00CE1F8F" w:rsidP="00E24E04">
            <w:pPr>
              <w:rPr>
                <w:bCs/>
              </w:rPr>
            </w:pPr>
          </w:p>
          <w:p w14:paraId="15371422" w14:textId="3B31E27A" w:rsidR="005775AD" w:rsidRDefault="00634141" w:rsidP="00E24E04">
            <w:pPr>
              <w:rPr>
                <w:bCs/>
              </w:rPr>
            </w:pPr>
            <w:r>
              <w:rPr>
                <w:bCs/>
              </w:rPr>
              <w:t xml:space="preserve"> </w:t>
            </w:r>
            <w:r w:rsidR="00D30F0A">
              <w:rPr>
                <w:bCs/>
              </w:rPr>
              <w:t>The information sheet provided to p</w:t>
            </w:r>
            <w:r>
              <w:rPr>
                <w:bCs/>
              </w:rPr>
              <w:t>articipants will</w:t>
            </w:r>
            <w:r w:rsidR="00D30F0A">
              <w:rPr>
                <w:bCs/>
              </w:rPr>
              <w:t xml:space="preserve"> explain</w:t>
            </w:r>
            <w:r>
              <w:rPr>
                <w:bCs/>
              </w:rPr>
              <w:t xml:space="preserve"> that</w:t>
            </w:r>
            <w:r w:rsidR="00D30F0A">
              <w:rPr>
                <w:bCs/>
              </w:rPr>
              <w:t xml:space="preserve"> demographic data of age, gender and </w:t>
            </w:r>
            <w:r w:rsidR="0092693D">
              <w:rPr>
                <w:bCs/>
              </w:rPr>
              <w:t xml:space="preserve">self-reported first </w:t>
            </w:r>
            <w:r w:rsidR="00D30F0A">
              <w:rPr>
                <w:bCs/>
              </w:rPr>
              <w:t>language will be collected</w:t>
            </w:r>
            <w:r w:rsidR="0092693D">
              <w:rPr>
                <w:bCs/>
              </w:rPr>
              <w:t xml:space="preserve">, as well as a </w:t>
            </w:r>
            <w:r w:rsidR="00F715F8">
              <w:rPr>
                <w:bCs/>
              </w:rPr>
              <w:t>subjective participant</w:t>
            </w:r>
            <w:r w:rsidR="0092693D">
              <w:rPr>
                <w:bCs/>
              </w:rPr>
              <w:t xml:space="preserve"> estimate of </w:t>
            </w:r>
            <w:r w:rsidR="00F715F8">
              <w:rPr>
                <w:bCs/>
              </w:rPr>
              <w:t xml:space="preserve">first language proficiency to ensure that participants meet the inclusion criteria. Participants will need to be reminded of inclusion and exclusion criteria </w:t>
            </w:r>
            <w:r w:rsidR="005775AD">
              <w:rPr>
                <w:bCs/>
              </w:rPr>
              <w:t xml:space="preserve">and participant requirements </w:t>
            </w:r>
            <w:r w:rsidR="00F715F8">
              <w:rPr>
                <w:bCs/>
              </w:rPr>
              <w:t>in the information sheet</w:t>
            </w:r>
            <w:r w:rsidR="005775AD">
              <w:rPr>
                <w:bCs/>
              </w:rPr>
              <w:t xml:space="preserve">. </w:t>
            </w:r>
            <w:r w:rsidR="0019501F">
              <w:rPr>
                <w:bCs/>
              </w:rPr>
              <w:t>Additionally, i</w:t>
            </w:r>
            <w:r w:rsidR="00D30F0A">
              <w:rPr>
                <w:bCs/>
              </w:rPr>
              <w:t xml:space="preserve">nformed valid consent </w:t>
            </w:r>
            <w:r w:rsidR="0019501F">
              <w:rPr>
                <w:bCs/>
              </w:rPr>
              <w:t xml:space="preserve">from each participant </w:t>
            </w:r>
            <w:r w:rsidR="00D30F0A">
              <w:rPr>
                <w:bCs/>
              </w:rPr>
              <w:t xml:space="preserve">will be </w:t>
            </w:r>
            <w:r w:rsidR="0019501F">
              <w:rPr>
                <w:bCs/>
              </w:rPr>
              <w:t xml:space="preserve">necessary. </w:t>
            </w:r>
          </w:p>
          <w:p w14:paraId="03CA4801" w14:textId="0238EE23" w:rsidR="00352D63" w:rsidRDefault="00352D63" w:rsidP="00E24E04">
            <w:pPr>
              <w:rPr>
                <w:bCs/>
              </w:rPr>
            </w:pPr>
          </w:p>
          <w:p w14:paraId="5D1468CA" w14:textId="77777777" w:rsidR="00352D63" w:rsidRDefault="00352D63" w:rsidP="00E24E04">
            <w:pPr>
              <w:rPr>
                <w:bCs/>
              </w:rPr>
            </w:pPr>
          </w:p>
          <w:p w14:paraId="555D2BF1" w14:textId="726BA12D" w:rsidR="005775AD" w:rsidRDefault="005775AD" w:rsidP="00E24E04">
            <w:pPr>
              <w:rPr>
                <w:bCs/>
              </w:rPr>
            </w:pPr>
            <w:r>
              <w:rPr>
                <w:bCs/>
              </w:rPr>
              <w:t xml:space="preserve"> </w:t>
            </w:r>
          </w:p>
          <w:p w14:paraId="07430C9A" w14:textId="0D303653" w:rsidR="008223DC" w:rsidRPr="00B21D4B" w:rsidRDefault="00CE1F8F" w:rsidP="00E24E04">
            <w:pPr>
              <w:rPr>
                <w:bCs/>
              </w:rPr>
            </w:pPr>
            <w:r>
              <w:rPr>
                <w:bCs/>
              </w:rPr>
              <w:t xml:space="preserve">   </w:t>
            </w:r>
          </w:p>
          <w:p w14:paraId="56A137DE" w14:textId="01E92D46" w:rsidR="00B24417" w:rsidRPr="00B21D4B" w:rsidRDefault="00B24417" w:rsidP="00E24E04">
            <w:pPr>
              <w:rPr>
                <w:rFonts w:ascii="Arial" w:hAnsi="Arial" w:cs="Arial"/>
                <w:bCs/>
              </w:rPr>
            </w:pPr>
          </w:p>
          <w:p w14:paraId="697A7FF0" w14:textId="1B8B0C29" w:rsidR="00B24417" w:rsidRPr="00B21D4B" w:rsidRDefault="00B24417" w:rsidP="00E24E04">
            <w:pPr>
              <w:rPr>
                <w:rFonts w:ascii="Arial" w:hAnsi="Arial" w:cs="Arial"/>
                <w:bCs/>
              </w:rPr>
            </w:pPr>
          </w:p>
          <w:p w14:paraId="405E2F93" w14:textId="7853FA75" w:rsidR="00B24417" w:rsidRDefault="00B24417" w:rsidP="00E24E04">
            <w:pPr>
              <w:rPr>
                <w:rFonts w:ascii="Arial" w:hAnsi="Arial" w:cs="Arial"/>
                <w:b/>
              </w:rPr>
            </w:pPr>
          </w:p>
          <w:p w14:paraId="48BC5576" w14:textId="77777777" w:rsidR="00B24417" w:rsidRDefault="00B24417" w:rsidP="00E24E04">
            <w:pPr>
              <w:rPr>
                <w:rFonts w:ascii="Arial" w:hAnsi="Arial" w:cs="Arial"/>
                <w:b/>
              </w:rPr>
            </w:pPr>
          </w:p>
          <w:p w14:paraId="373740CF" w14:textId="77777777" w:rsidR="003D0CD4" w:rsidRDefault="003D0CD4" w:rsidP="00E24E04">
            <w:pPr>
              <w:rPr>
                <w:rFonts w:ascii="Arial" w:hAnsi="Arial" w:cs="Arial"/>
                <w:b/>
              </w:rPr>
            </w:pPr>
          </w:p>
          <w:p w14:paraId="5DBE124D" w14:textId="77777777" w:rsidR="003D0CD4" w:rsidRDefault="003D0CD4" w:rsidP="00E24E04">
            <w:pPr>
              <w:rPr>
                <w:rFonts w:ascii="Arial" w:hAnsi="Arial" w:cs="Arial"/>
                <w:b/>
              </w:rPr>
            </w:pPr>
          </w:p>
          <w:p w14:paraId="5FD0EA4A" w14:textId="77777777" w:rsidR="003D0CD4" w:rsidRDefault="003D0CD4" w:rsidP="00E24E04">
            <w:pPr>
              <w:rPr>
                <w:rFonts w:ascii="Arial" w:hAnsi="Arial" w:cs="Arial"/>
                <w:b/>
              </w:rPr>
            </w:pPr>
          </w:p>
          <w:p w14:paraId="6CB8FC4F" w14:textId="77777777" w:rsidR="003D0CD4" w:rsidRDefault="003D0CD4" w:rsidP="00E24E04">
            <w:pPr>
              <w:rPr>
                <w:rFonts w:ascii="Arial" w:hAnsi="Arial" w:cs="Arial"/>
                <w:b/>
              </w:rPr>
            </w:pPr>
          </w:p>
          <w:p w14:paraId="0FB46454" w14:textId="77777777" w:rsidR="003D0CD4" w:rsidRDefault="003D0CD4" w:rsidP="00E24E04">
            <w:pPr>
              <w:rPr>
                <w:rFonts w:ascii="Arial" w:hAnsi="Arial" w:cs="Arial"/>
                <w:b/>
              </w:rPr>
            </w:pPr>
          </w:p>
          <w:p w14:paraId="1679A749" w14:textId="77777777" w:rsidR="003D0CD4" w:rsidRDefault="003D0CD4" w:rsidP="00E24E04">
            <w:pPr>
              <w:rPr>
                <w:rFonts w:ascii="Arial" w:hAnsi="Arial" w:cs="Arial"/>
                <w:b/>
              </w:rPr>
            </w:pP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20"/>
      <w:footerReference w:type="default" r:id="rId21"/>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12B730" w14:textId="77777777" w:rsidR="00FB3291" w:rsidRDefault="00FB3291">
      <w:r>
        <w:separator/>
      </w:r>
    </w:p>
  </w:endnote>
  <w:endnote w:type="continuationSeparator" w:id="0">
    <w:p w14:paraId="5EE5A4F5" w14:textId="77777777" w:rsidR="00FB3291" w:rsidRDefault="00FB32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31231" w14:textId="77777777" w:rsidR="00FB3291" w:rsidRDefault="00FB3291">
      <w:r>
        <w:separator/>
      </w:r>
    </w:p>
  </w:footnote>
  <w:footnote w:type="continuationSeparator" w:id="0">
    <w:p w14:paraId="081247C8" w14:textId="77777777" w:rsidR="00FB3291" w:rsidRDefault="00FB32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233D4A"/>
    <w:multiLevelType w:val="hybridMultilevel"/>
    <w:tmpl w:val="BBE83CEA"/>
    <w:lvl w:ilvl="0" w:tplc="131C5D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64E0216D"/>
    <w:multiLevelType w:val="hybridMultilevel"/>
    <w:tmpl w:val="D542FC2E"/>
    <w:lvl w:ilvl="0" w:tplc="723CD1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1511634">
    <w:abstractNumId w:val="0"/>
  </w:num>
  <w:num w:numId="2" w16cid:durableId="1441334557">
    <w:abstractNumId w:val="3"/>
  </w:num>
  <w:num w:numId="3" w16cid:durableId="1886677310">
    <w:abstractNumId w:val="1"/>
  </w:num>
  <w:num w:numId="4" w16cid:durableId="687021692">
    <w:abstractNumId w:val="4"/>
  </w:num>
  <w:num w:numId="5" w16cid:durableId="719669267">
    <w:abstractNumId w:val="5"/>
  </w:num>
  <w:num w:numId="6" w16cid:durableId="13955454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cumentProtection w:edit="readOnly" w:formatting="1" w:enforcement="1" w:cryptProviderType="rsaAES" w:cryptAlgorithmClass="hash" w:cryptAlgorithmType="typeAny" w:cryptAlgorithmSid="14" w:cryptSpinCount="100000" w:hash="PhHPE3WH5JYf+LcfxlbgiFrh8h34jpVxoJU0mZ4PUqg69ZtIvY9btsrYIw4krfab/+K4MQY8p2VQxSQpPmWwcw==" w:salt="1eQaofwkXj8poXR931iY/Q=="/>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4993"/>
    <w:rsid w:val="00036AF6"/>
    <w:rsid w:val="00037638"/>
    <w:rsid w:val="0004064E"/>
    <w:rsid w:val="0004703C"/>
    <w:rsid w:val="00047089"/>
    <w:rsid w:val="000515AE"/>
    <w:rsid w:val="0005245C"/>
    <w:rsid w:val="00057223"/>
    <w:rsid w:val="00066E0A"/>
    <w:rsid w:val="00073E06"/>
    <w:rsid w:val="00086D4F"/>
    <w:rsid w:val="00087BF3"/>
    <w:rsid w:val="000920D2"/>
    <w:rsid w:val="000A1984"/>
    <w:rsid w:val="000C1972"/>
    <w:rsid w:val="000C45C6"/>
    <w:rsid w:val="000C4C95"/>
    <w:rsid w:val="000C7356"/>
    <w:rsid w:val="000E4E3F"/>
    <w:rsid w:val="000F514D"/>
    <w:rsid w:val="000F5713"/>
    <w:rsid w:val="00103C83"/>
    <w:rsid w:val="00107694"/>
    <w:rsid w:val="001104AC"/>
    <w:rsid w:val="0011295D"/>
    <w:rsid w:val="0013100C"/>
    <w:rsid w:val="00131E1A"/>
    <w:rsid w:val="00137D0F"/>
    <w:rsid w:val="001466E6"/>
    <w:rsid w:val="001536E0"/>
    <w:rsid w:val="00160952"/>
    <w:rsid w:val="00161012"/>
    <w:rsid w:val="001704C8"/>
    <w:rsid w:val="00175793"/>
    <w:rsid w:val="00180636"/>
    <w:rsid w:val="00183928"/>
    <w:rsid w:val="00185A3D"/>
    <w:rsid w:val="00185FED"/>
    <w:rsid w:val="00186F40"/>
    <w:rsid w:val="001879DB"/>
    <w:rsid w:val="00192C0C"/>
    <w:rsid w:val="0019501F"/>
    <w:rsid w:val="001A2735"/>
    <w:rsid w:val="001A749D"/>
    <w:rsid w:val="001B17D6"/>
    <w:rsid w:val="001B4095"/>
    <w:rsid w:val="001B449D"/>
    <w:rsid w:val="001B6CAE"/>
    <w:rsid w:val="001B6ECA"/>
    <w:rsid w:val="001B71B7"/>
    <w:rsid w:val="001C3564"/>
    <w:rsid w:val="001C6D7D"/>
    <w:rsid w:val="001D0B68"/>
    <w:rsid w:val="001D1828"/>
    <w:rsid w:val="001D499B"/>
    <w:rsid w:val="001D71E9"/>
    <w:rsid w:val="001E59FF"/>
    <w:rsid w:val="001E5D06"/>
    <w:rsid w:val="001F76EE"/>
    <w:rsid w:val="001F7A81"/>
    <w:rsid w:val="002004D8"/>
    <w:rsid w:val="00202E91"/>
    <w:rsid w:val="00207F50"/>
    <w:rsid w:val="00210A80"/>
    <w:rsid w:val="00212B24"/>
    <w:rsid w:val="00223688"/>
    <w:rsid w:val="00225F9B"/>
    <w:rsid w:val="00232B86"/>
    <w:rsid w:val="00232FD9"/>
    <w:rsid w:val="00235567"/>
    <w:rsid w:val="00237923"/>
    <w:rsid w:val="00237A84"/>
    <w:rsid w:val="00240F65"/>
    <w:rsid w:val="002421F2"/>
    <w:rsid w:val="0024425B"/>
    <w:rsid w:val="002505E0"/>
    <w:rsid w:val="00253DD0"/>
    <w:rsid w:val="002602A3"/>
    <w:rsid w:val="00264490"/>
    <w:rsid w:val="00267A5E"/>
    <w:rsid w:val="00267B3E"/>
    <w:rsid w:val="0027230E"/>
    <w:rsid w:val="00274FDF"/>
    <w:rsid w:val="00282E8C"/>
    <w:rsid w:val="00283C0D"/>
    <w:rsid w:val="002961C8"/>
    <w:rsid w:val="002A018E"/>
    <w:rsid w:val="002A0930"/>
    <w:rsid w:val="002A1FA3"/>
    <w:rsid w:val="002A2D52"/>
    <w:rsid w:val="002A5BCB"/>
    <w:rsid w:val="002B27DB"/>
    <w:rsid w:val="002B37AA"/>
    <w:rsid w:val="002C1C0F"/>
    <w:rsid w:val="002C3798"/>
    <w:rsid w:val="002C72F4"/>
    <w:rsid w:val="002C73E4"/>
    <w:rsid w:val="002C7EA7"/>
    <w:rsid w:val="002D557D"/>
    <w:rsid w:val="002E1017"/>
    <w:rsid w:val="002E3A03"/>
    <w:rsid w:val="002E51EC"/>
    <w:rsid w:val="002E55B3"/>
    <w:rsid w:val="002E6135"/>
    <w:rsid w:val="002F3741"/>
    <w:rsid w:val="002F7B72"/>
    <w:rsid w:val="003054AD"/>
    <w:rsid w:val="003060CA"/>
    <w:rsid w:val="00310104"/>
    <w:rsid w:val="0031057E"/>
    <w:rsid w:val="00311A2C"/>
    <w:rsid w:val="0031308C"/>
    <w:rsid w:val="003149C3"/>
    <w:rsid w:val="00314D21"/>
    <w:rsid w:val="00315B36"/>
    <w:rsid w:val="00316564"/>
    <w:rsid w:val="00331897"/>
    <w:rsid w:val="003403C0"/>
    <w:rsid w:val="003449A1"/>
    <w:rsid w:val="00345F13"/>
    <w:rsid w:val="00347768"/>
    <w:rsid w:val="00352D63"/>
    <w:rsid w:val="00354A09"/>
    <w:rsid w:val="0036040C"/>
    <w:rsid w:val="00360E4B"/>
    <w:rsid w:val="00373B32"/>
    <w:rsid w:val="00380155"/>
    <w:rsid w:val="003836A2"/>
    <w:rsid w:val="003844EB"/>
    <w:rsid w:val="00393019"/>
    <w:rsid w:val="00395754"/>
    <w:rsid w:val="003A49EC"/>
    <w:rsid w:val="003A52E4"/>
    <w:rsid w:val="003A71AE"/>
    <w:rsid w:val="003A7608"/>
    <w:rsid w:val="003B0471"/>
    <w:rsid w:val="003B5F80"/>
    <w:rsid w:val="003C154B"/>
    <w:rsid w:val="003D0CD4"/>
    <w:rsid w:val="003D1B92"/>
    <w:rsid w:val="003D4EBD"/>
    <w:rsid w:val="003E444F"/>
    <w:rsid w:val="003E4ECD"/>
    <w:rsid w:val="003E5FDA"/>
    <w:rsid w:val="003E6C34"/>
    <w:rsid w:val="003F158B"/>
    <w:rsid w:val="003F35D7"/>
    <w:rsid w:val="003F4AFC"/>
    <w:rsid w:val="003F798F"/>
    <w:rsid w:val="004010C2"/>
    <w:rsid w:val="00410411"/>
    <w:rsid w:val="00426A40"/>
    <w:rsid w:val="00430197"/>
    <w:rsid w:val="004319CC"/>
    <w:rsid w:val="00432A10"/>
    <w:rsid w:val="00433193"/>
    <w:rsid w:val="00441243"/>
    <w:rsid w:val="00442DF8"/>
    <w:rsid w:val="004435F9"/>
    <w:rsid w:val="00444AE4"/>
    <w:rsid w:val="00445302"/>
    <w:rsid w:val="00451E6F"/>
    <w:rsid w:val="004539A9"/>
    <w:rsid w:val="00455BB2"/>
    <w:rsid w:val="004601EE"/>
    <w:rsid w:val="00463D09"/>
    <w:rsid w:val="004804FA"/>
    <w:rsid w:val="00481945"/>
    <w:rsid w:val="00485CDE"/>
    <w:rsid w:val="00487A6A"/>
    <w:rsid w:val="004A2264"/>
    <w:rsid w:val="004A3146"/>
    <w:rsid w:val="004B2991"/>
    <w:rsid w:val="004B4E53"/>
    <w:rsid w:val="004B50AF"/>
    <w:rsid w:val="004B653C"/>
    <w:rsid w:val="004B747F"/>
    <w:rsid w:val="004C0B85"/>
    <w:rsid w:val="004D2613"/>
    <w:rsid w:val="004E2539"/>
    <w:rsid w:val="004E60DC"/>
    <w:rsid w:val="004E6584"/>
    <w:rsid w:val="004F01BC"/>
    <w:rsid w:val="004F1BFC"/>
    <w:rsid w:val="004F5195"/>
    <w:rsid w:val="00500534"/>
    <w:rsid w:val="00507F85"/>
    <w:rsid w:val="00521B3C"/>
    <w:rsid w:val="00531677"/>
    <w:rsid w:val="00532F30"/>
    <w:rsid w:val="00535993"/>
    <w:rsid w:val="00536FE9"/>
    <w:rsid w:val="00556561"/>
    <w:rsid w:val="00561138"/>
    <w:rsid w:val="00561B52"/>
    <w:rsid w:val="00563CEA"/>
    <w:rsid w:val="00573DA9"/>
    <w:rsid w:val="00575BFA"/>
    <w:rsid w:val="005775AD"/>
    <w:rsid w:val="005879ED"/>
    <w:rsid w:val="005919C5"/>
    <w:rsid w:val="00595D29"/>
    <w:rsid w:val="005B6580"/>
    <w:rsid w:val="005B6657"/>
    <w:rsid w:val="005B72AB"/>
    <w:rsid w:val="005C2348"/>
    <w:rsid w:val="005C3249"/>
    <w:rsid w:val="005C3D7B"/>
    <w:rsid w:val="005D16E0"/>
    <w:rsid w:val="005D4CBB"/>
    <w:rsid w:val="005E4647"/>
    <w:rsid w:val="005E74F1"/>
    <w:rsid w:val="005F279E"/>
    <w:rsid w:val="0060533C"/>
    <w:rsid w:val="00614C25"/>
    <w:rsid w:val="00617312"/>
    <w:rsid w:val="00622E8A"/>
    <w:rsid w:val="006252E3"/>
    <w:rsid w:val="00634141"/>
    <w:rsid w:val="0063618F"/>
    <w:rsid w:val="00640236"/>
    <w:rsid w:val="00640A44"/>
    <w:rsid w:val="006476EE"/>
    <w:rsid w:val="00651F5C"/>
    <w:rsid w:val="00670D96"/>
    <w:rsid w:val="00670F72"/>
    <w:rsid w:val="0067154A"/>
    <w:rsid w:val="00673604"/>
    <w:rsid w:val="00673DA3"/>
    <w:rsid w:val="00682778"/>
    <w:rsid w:val="00682F1A"/>
    <w:rsid w:val="006838D7"/>
    <w:rsid w:val="00685815"/>
    <w:rsid w:val="0069011B"/>
    <w:rsid w:val="00690FC9"/>
    <w:rsid w:val="00692968"/>
    <w:rsid w:val="00693980"/>
    <w:rsid w:val="00695B21"/>
    <w:rsid w:val="006A17E5"/>
    <w:rsid w:val="006A6817"/>
    <w:rsid w:val="006B165A"/>
    <w:rsid w:val="006B46A8"/>
    <w:rsid w:val="006B5ED5"/>
    <w:rsid w:val="006C2BAF"/>
    <w:rsid w:val="006C752F"/>
    <w:rsid w:val="006D10AC"/>
    <w:rsid w:val="006D2934"/>
    <w:rsid w:val="006D31CA"/>
    <w:rsid w:val="006E4763"/>
    <w:rsid w:val="006E670A"/>
    <w:rsid w:val="006E6CDF"/>
    <w:rsid w:val="006E6E6E"/>
    <w:rsid w:val="006F3D33"/>
    <w:rsid w:val="00704616"/>
    <w:rsid w:val="00707654"/>
    <w:rsid w:val="0071458D"/>
    <w:rsid w:val="0071671E"/>
    <w:rsid w:val="007209B9"/>
    <w:rsid w:val="00720E1E"/>
    <w:rsid w:val="007212D2"/>
    <w:rsid w:val="00727EE0"/>
    <w:rsid w:val="00733B4E"/>
    <w:rsid w:val="00745035"/>
    <w:rsid w:val="007459F5"/>
    <w:rsid w:val="0075060E"/>
    <w:rsid w:val="0075107C"/>
    <w:rsid w:val="00753CE4"/>
    <w:rsid w:val="00753D48"/>
    <w:rsid w:val="00754BA9"/>
    <w:rsid w:val="007552D9"/>
    <w:rsid w:val="007552F3"/>
    <w:rsid w:val="00756104"/>
    <w:rsid w:val="007579F4"/>
    <w:rsid w:val="007615DD"/>
    <w:rsid w:val="00771923"/>
    <w:rsid w:val="0077604D"/>
    <w:rsid w:val="00782709"/>
    <w:rsid w:val="00782BB6"/>
    <w:rsid w:val="00794630"/>
    <w:rsid w:val="00795681"/>
    <w:rsid w:val="00796BE4"/>
    <w:rsid w:val="007A028B"/>
    <w:rsid w:val="007A1E6F"/>
    <w:rsid w:val="007A30FE"/>
    <w:rsid w:val="007A643E"/>
    <w:rsid w:val="007B2094"/>
    <w:rsid w:val="007B4FA1"/>
    <w:rsid w:val="007B61DD"/>
    <w:rsid w:val="007C24DF"/>
    <w:rsid w:val="007C61A6"/>
    <w:rsid w:val="007D1054"/>
    <w:rsid w:val="007D6395"/>
    <w:rsid w:val="007D673A"/>
    <w:rsid w:val="007E1B79"/>
    <w:rsid w:val="007E279A"/>
    <w:rsid w:val="007E787E"/>
    <w:rsid w:val="008066ED"/>
    <w:rsid w:val="008075FF"/>
    <w:rsid w:val="00812DC7"/>
    <w:rsid w:val="008131A3"/>
    <w:rsid w:val="008164EB"/>
    <w:rsid w:val="008223DC"/>
    <w:rsid w:val="008226C0"/>
    <w:rsid w:val="0083364B"/>
    <w:rsid w:val="0085195B"/>
    <w:rsid w:val="00856206"/>
    <w:rsid w:val="0086342C"/>
    <w:rsid w:val="008653F3"/>
    <w:rsid w:val="008656B7"/>
    <w:rsid w:val="00865984"/>
    <w:rsid w:val="0086773C"/>
    <w:rsid w:val="0087576C"/>
    <w:rsid w:val="00880183"/>
    <w:rsid w:val="008815E0"/>
    <w:rsid w:val="00885265"/>
    <w:rsid w:val="00885B67"/>
    <w:rsid w:val="00886B5C"/>
    <w:rsid w:val="00887014"/>
    <w:rsid w:val="008944B8"/>
    <w:rsid w:val="008A6CA5"/>
    <w:rsid w:val="008B3EF5"/>
    <w:rsid w:val="008C0046"/>
    <w:rsid w:val="008C23D4"/>
    <w:rsid w:val="008C3784"/>
    <w:rsid w:val="008C422B"/>
    <w:rsid w:val="008C496F"/>
    <w:rsid w:val="008C4B50"/>
    <w:rsid w:val="008C62A5"/>
    <w:rsid w:val="008C6755"/>
    <w:rsid w:val="008C6D0A"/>
    <w:rsid w:val="008D18EC"/>
    <w:rsid w:val="008D34CC"/>
    <w:rsid w:val="008D428B"/>
    <w:rsid w:val="008F4C4A"/>
    <w:rsid w:val="008F6C40"/>
    <w:rsid w:val="009019DC"/>
    <w:rsid w:val="00905269"/>
    <w:rsid w:val="00907600"/>
    <w:rsid w:val="00910489"/>
    <w:rsid w:val="0091227C"/>
    <w:rsid w:val="00913CDB"/>
    <w:rsid w:val="00915A2E"/>
    <w:rsid w:val="00925A3C"/>
    <w:rsid w:val="0092693D"/>
    <w:rsid w:val="00933BA5"/>
    <w:rsid w:val="009400ED"/>
    <w:rsid w:val="00940155"/>
    <w:rsid w:val="00942AA0"/>
    <w:rsid w:val="0094419B"/>
    <w:rsid w:val="00945AEE"/>
    <w:rsid w:val="00945CEC"/>
    <w:rsid w:val="009510D3"/>
    <w:rsid w:val="00952E6A"/>
    <w:rsid w:val="009648D6"/>
    <w:rsid w:val="009665F3"/>
    <w:rsid w:val="0097069B"/>
    <w:rsid w:val="00970865"/>
    <w:rsid w:val="0097158B"/>
    <w:rsid w:val="009760D0"/>
    <w:rsid w:val="00980319"/>
    <w:rsid w:val="00985BE8"/>
    <w:rsid w:val="009864FC"/>
    <w:rsid w:val="0098670C"/>
    <w:rsid w:val="00990C19"/>
    <w:rsid w:val="009918A3"/>
    <w:rsid w:val="00991E90"/>
    <w:rsid w:val="00992264"/>
    <w:rsid w:val="0099271A"/>
    <w:rsid w:val="00992E83"/>
    <w:rsid w:val="00993513"/>
    <w:rsid w:val="0099771F"/>
    <w:rsid w:val="009A190D"/>
    <w:rsid w:val="009A1D4A"/>
    <w:rsid w:val="009A5930"/>
    <w:rsid w:val="009C0820"/>
    <w:rsid w:val="009C0B5A"/>
    <w:rsid w:val="009C697D"/>
    <w:rsid w:val="009D14AD"/>
    <w:rsid w:val="009D4D77"/>
    <w:rsid w:val="009D7E5A"/>
    <w:rsid w:val="009E43FE"/>
    <w:rsid w:val="009F0537"/>
    <w:rsid w:val="009F6541"/>
    <w:rsid w:val="00A01F77"/>
    <w:rsid w:val="00A05E89"/>
    <w:rsid w:val="00A06C3C"/>
    <w:rsid w:val="00A07CA3"/>
    <w:rsid w:val="00A1196A"/>
    <w:rsid w:val="00A13ED4"/>
    <w:rsid w:val="00A34C36"/>
    <w:rsid w:val="00A40E97"/>
    <w:rsid w:val="00A456C7"/>
    <w:rsid w:val="00A47A7F"/>
    <w:rsid w:val="00A5268F"/>
    <w:rsid w:val="00A56BB3"/>
    <w:rsid w:val="00A6250E"/>
    <w:rsid w:val="00A63D94"/>
    <w:rsid w:val="00A64E67"/>
    <w:rsid w:val="00A65856"/>
    <w:rsid w:val="00A7058E"/>
    <w:rsid w:val="00A727C7"/>
    <w:rsid w:val="00A80991"/>
    <w:rsid w:val="00A83EF8"/>
    <w:rsid w:val="00A8664D"/>
    <w:rsid w:val="00A949FC"/>
    <w:rsid w:val="00A964F3"/>
    <w:rsid w:val="00A9677C"/>
    <w:rsid w:val="00AA28AB"/>
    <w:rsid w:val="00AA52E9"/>
    <w:rsid w:val="00AA7F18"/>
    <w:rsid w:val="00AB2346"/>
    <w:rsid w:val="00AC543E"/>
    <w:rsid w:val="00AD2A3F"/>
    <w:rsid w:val="00AE665B"/>
    <w:rsid w:val="00AF0884"/>
    <w:rsid w:val="00AF398D"/>
    <w:rsid w:val="00AF4D4E"/>
    <w:rsid w:val="00AF4D9D"/>
    <w:rsid w:val="00AF5D51"/>
    <w:rsid w:val="00B00EEE"/>
    <w:rsid w:val="00B03110"/>
    <w:rsid w:val="00B05B70"/>
    <w:rsid w:val="00B119E8"/>
    <w:rsid w:val="00B149FE"/>
    <w:rsid w:val="00B15FD5"/>
    <w:rsid w:val="00B21D4B"/>
    <w:rsid w:val="00B22CEA"/>
    <w:rsid w:val="00B23DBE"/>
    <w:rsid w:val="00B242EE"/>
    <w:rsid w:val="00B24417"/>
    <w:rsid w:val="00B248BA"/>
    <w:rsid w:val="00B356CC"/>
    <w:rsid w:val="00B37733"/>
    <w:rsid w:val="00B41577"/>
    <w:rsid w:val="00B41A33"/>
    <w:rsid w:val="00B42D84"/>
    <w:rsid w:val="00B43AE5"/>
    <w:rsid w:val="00B51F89"/>
    <w:rsid w:val="00B53BC3"/>
    <w:rsid w:val="00B6456D"/>
    <w:rsid w:val="00B6567E"/>
    <w:rsid w:val="00B70AB7"/>
    <w:rsid w:val="00B71212"/>
    <w:rsid w:val="00B74B0B"/>
    <w:rsid w:val="00B76769"/>
    <w:rsid w:val="00B91B51"/>
    <w:rsid w:val="00B92E85"/>
    <w:rsid w:val="00B94A46"/>
    <w:rsid w:val="00B9786C"/>
    <w:rsid w:val="00BA5399"/>
    <w:rsid w:val="00BA756C"/>
    <w:rsid w:val="00BA7620"/>
    <w:rsid w:val="00BB4BDA"/>
    <w:rsid w:val="00BB7B86"/>
    <w:rsid w:val="00BC0096"/>
    <w:rsid w:val="00BC22BC"/>
    <w:rsid w:val="00BD32A4"/>
    <w:rsid w:val="00BD4768"/>
    <w:rsid w:val="00BF0A01"/>
    <w:rsid w:val="00C01536"/>
    <w:rsid w:val="00C035B1"/>
    <w:rsid w:val="00C061EC"/>
    <w:rsid w:val="00C11D79"/>
    <w:rsid w:val="00C1629E"/>
    <w:rsid w:val="00C20A03"/>
    <w:rsid w:val="00C26700"/>
    <w:rsid w:val="00C333B0"/>
    <w:rsid w:val="00C37D1F"/>
    <w:rsid w:val="00C42C3B"/>
    <w:rsid w:val="00C46A0A"/>
    <w:rsid w:val="00C471CE"/>
    <w:rsid w:val="00C50C14"/>
    <w:rsid w:val="00C51858"/>
    <w:rsid w:val="00C61291"/>
    <w:rsid w:val="00C6636C"/>
    <w:rsid w:val="00C675F1"/>
    <w:rsid w:val="00C752EF"/>
    <w:rsid w:val="00C76FDA"/>
    <w:rsid w:val="00C81484"/>
    <w:rsid w:val="00C83B07"/>
    <w:rsid w:val="00C92065"/>
    <w:rsid w:val="00C92A53"/>
    <w:rsid w:val="00CA24C4"/>
    <w:rsid w:val="00CB0805"/>
    <w:rsid w:val="00CB366C"/>
    <w:rsid w:val="00CC030D"/>
    <w:rsid w:val="00CC41BB"/>
    <w:rsid w:val="00CD6F8E"/>
    <w:rsid w:val="00CD79E9"/>
    <w:rsid w:val="00CE1F8F"/>
    <w:rsid w:val="00CE66C4"/>
    <w:rsid w:val="00CF5F56"/>
    <w:rsid w:val="00D00F16"/>
    <w:rsid w:val="00D01C1B"/>
    <w:rsid w:val="00D077E1"/>
    <w:rsid w:val="00D128EA"/>
    <w:rsid w:val="00D13652"/>
    <w:rsid w:val="00D143DB"/>
    <w:rsid w:val="00D2461D"/>
    <w:rsid w:val="00D303F4"/>
    <w:rsid w:val="00D30F0A"/>
    <w:rsid w:val="00D40D39"/>
    <w:rsid w:val="00D614CF"/>
    <w:rsid w:val="00D7426D"/>
    <w:rsid w:val="00D744CC"/>
    <w:rsid w:val="00D83BA6"/>
    <w:rsid w:val="00D9285C"/>
    <w:rsid w:val="00D92BA9"/>
    <w:rsid w:val="00DA2212"/>
    <w:rsid w:val="00DA7F18"/>
    <w:rsid w:val="00DB1A5B"/>
    <w:rsid w:val="00DB1B13"/>
    <w:rsid w:val="00DB4F0B"/>
    <w:rsid w:val="00DB7633"/>
    <w:rsid w:val="00DB7AE5"/>
    <w:rsid w:val="00DC77E1"/>
    <w:rsid w:val="00DD2FEC"/>
    <w:rsid w:val="00DD5FE8"/>
    <w:rsid w:val="00DE121A"/>
    <w:rsid w:val="00DF4D67"/>
    <w:rsid w:val="00DF6008"/>
    <w:rsid w:val="00DF6EC9"/>
    <w:rsid w:val="00DF7A76"/>
    <w:rsid w:val="00E00F78"/>
    <w:rsid w:val="00E0289D"/>
    <w:rsid w:val="00E03B8D"/>
    <w:rsid w:val="00E20C5D"/>
    <w:rsid w:val="00E24A0F"/>
    <w:rsid w:val="00E24E04"/>
    <w:rsid w:val="00E26247"/>
    <w:rsid w:val="00E271BA"/>
    <w:rsid w:val="00E31518"/>
    <w:rsid w:val="00E336EF"/>
    <w:rsid w:val="00E37438"/>
    <w:rsid w:val="00E419B8"/>
    <w:rsid w:val="00E4334F"/>
    <w:rsid w:val="00E50BFF"/>
    <w:rsid w:val="00E52401"/>
    <w:rsid w:val="00E56450"/>
    <w:rsid w:val="00E63A9A"/>
    <w:rsid w:val="00E640AB"/>
    <w:rsid w:val="00E667C8"/>
    <w:rsid w:val="00E81140"/>
    <w:rsid w:val="00E84E80"/>
    <w:rsid w:val="00EA230D"/>
    <w:rsid w:val="00EB20C7"/>
    <w:rsid w:val="00EC2A13"/>
    <w:rsid w:val="00EC4971"/>
    <w:rsid w:val="00EC4F18"/>
    <w:rsid w:val="00EC78BC"/>
    <w:rsid w:val="00EC7F37"/>
    <w:rsid w:val="00EC7F3D"/>
    <w:rsid w:val="00ED148C"/>
    <w:rsid w:val="00ED37E5"/>
    <w:rsid w:val="00EE1217"/>
    <w:rsid w:val="00EE319E"/>
    <w:rsid w:val="00EE333E"/>
    <w:rsid w:val="00EE38D7"/>
    <w:rsid w:val="00EF0304"/>
    <w:rsid w:val="00EF25ED"/>
    <w:rsid w:val="00EF4440"/>
    <w:rsid w:val="00EF6B3C"/>
    <w:rsid w:val="00EF7FCA"/>
    <w:rsid w:val="00F02AEE"/>
    <w:rsid w:val="00F06B1D"/>
    <w:rsid w:val="00F15CBA"/>
    <w:rsid w:val="00F17B14"/>
    <w:rsid w:val="00F200A1"/>
    <w:rsid w:val="00F341B6"/>
    <w:rsid w:val="00F4311E"/>
    <w:rsid w:val="00F4415B"/>
    <w:rsid w:val="00F472B8"/>
    <w:rsid w:val="00F516F5"/>
    <w:rsid w:val="00F548B8"/>
    <w:rsid w:val="00F5547A"/>
    <w:rsid w:val="00F62C23"/>
    <w:rsid w:val="00F715F8"/>
    <w:rsid w:val="00F73A03"/>
    <w:rsid w:val="00F75934"/>
    <w:rsid w:val="00F80900"/>
    <w:rsid w:val="00F84809"/>
    <w:rsid w:val="00F86E22"/>
    <w:rsid w:val="00FA21DE"/>
    <w:rsid w:val="00FA650A"/>
    <w:rsid w:val="00FB15B3"/>
    <w:rsid w:val="00FB21C2"/>
    <w:rsid w:val="00FB3291"/>
    <w:rsid w:val="00FB3452"/>
    <w:rsid w:val="00FB54E4"/>
    <w:rsid w:val="00FB5FF5"/>
    <w:rsid w:val="00FB7566"/>
    <w:rsid w:val="00FC06E5"/>
    <w:rsid w:val="00FD2FD7"/>
    <w:rsid w:val="00FD4AF1"/>
    <w:rsid w:val="00FD5ECB"/>
    <w:rsid w:val="00FE2E92"/>
    <w:rsid w:val="00FE41D4"/>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character" w:styleId="Hyperlink">
    <w:name w:val="Hyperlink"/>
    <w:basedOn w:val="DefaultParagraphFont"/>
    <w:rsid w:val="00A8664D"/>
    <w:rPr>
      <w:color w:val="0563C1" w:themeColor="hyperlink"/>
      <w:u w:val="single"/>
    </w:rPr>
  </w:style>
  <w:style w:type="character" w:styleId="UnresolvedMention">
    <w:name w:val="Unresolved Mention"/>
    <w:basedOn w:val="DefaultParagraphFont"/>
    <w:uiPriority w:val="99"/>
    <w:semiHidden/>
    <w:unhideWhenUsed/>
    <w:rsid w:val="00A866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7470218.2010.513735" TargetMode="External"/><Relationship Id="rId18" Type="http://schemas.openxmlformats.org/officeDocument/2006/relationships/hyperlink" Target="https://doi.org/10.3758/s13428-019-01297-z"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doi.org/10.1016/j.actpsy.2021.103360" TargetMode="External"/><Relationship Id="rId17" Type="http://schemas.openxmlformats.org/officeDocument/2006/relationships/hyperlink" Target="https://doi.org/10.1017/S1366728913000539" TargetMode="External"/><Relationship Id="rId2" Type="http://schemas.openxmlformats.org/officeDocument/2006/relationships/numbering" Target="numbering.xml"/><Relationship Id="rId16" Type="http://schemas.openxmlformats.org/officeDocument/2006/relationships/hyperlink" Target="https://doi.org/10.1371/journal.pone.010342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7/a0018523" TargetMode="External"/><Relationship Id="rId5" Type="http://schemas.openxmlformats.org/officeDocument/2006/relationships/webSettings" Target="webSettings.xml"/><Relationship Id="rId15" Type="http://schemas.openxmlformats.org/officeDocument/2006/relationships/hyperlink" Target="https://doi.org/10.1037/0033-2909.112.1.155" TargetMode="External"/><Relationship Id="rId23" Type="http://schemas.openxmlformats.org/officeDocument/2006/relationships/theme" Target="theme/theme1.xml"/><Relationship Id="rId10" Type="http://schemas.openxmlformats.org/officeDocument/2006/relationships/hyperlink" Target="https://doi.org/10.1037/h0087468" TargetMode="External"/><Relationship Id="rId19" Type="http://schemas.openxmlformats.org/officeDocument/2006/relationships/hyperlink" Target="https://doi.org/10.1016/j.actpsy.2021.103360" TargetMode="External"/><Relationship Id="rId4" Type="http://schemas.openxmlformats.org/officeDocument/2006/relationships/settings" Target="settings.xml"/><Relationship Id="rId9" Type="http://schemas.openxmlformats.org/officeDocument/2006/relationships/hyperlink" Target="https://doi.org/10.1006/jmla.1997.2493" TargetMode="External"/><Relationship Id="rId14" Type="http://schemas.openxmlformats.org/officeDocument/2006/relationships/hyperlink" Target="https://doi.org/10.3758/s13428-011-0118-4" TargetMode="External"/><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6</Pages>
  <Words>2738</Words>
  <Characters>15610</Characters>
  <Application>Microsoft Office Word</Application>
  <DocSecurity>8</DocSecurity>
  <Lines>130</Lines>
  <Paragraphs>36</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18312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Tatiana Stephen</cp:lastModifiedBy>
  <cp:revision>2</cp:revision>
  <cp:lastPrinted>2008-04-14T13:39:00Z</cp:lastPrinted>
  <dcterms:created xsi:type="dcterms:W3CDTF">2022-06-20T22:40:00Z</dcterms:created>
  <dcterms:modified xsi:type="dcterms:W3CDTF">2022-06-20T22:40:00Z</dcterms:modified>
</cp:coreProperties>
</file>