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0E674E" w14:textId="11FE1E67" w:rsidR="00BC716E" w:rsidRDefault="00BC716E" w:rsidP="00BC716E">
      <w:pPr>
        <w:tabs>
          <w:tab w:val="right" w:pos="10563"/>
        </w:tabs>
        <w:spacing w:after="70"/>
      </w:pPr>
      <w:r>
        <w:rPr>
          <w:noProof/>
        </w:rPr>
        <w:drawing>
          <wp:inline distT="0" distB="0" distL="0" distR="0" wp14:anchorId="34091AC9" wp14:editId="5C555E92">
            <wp:extent cx="1809750" cy="723900"/>
            <wp:effectExtent l="0" t="0" r="0" b="0"/>
            <wp:docPr id="335" name="Picture 335"/>
            <wp:cNvGraphicFramePr/>
            <a:graphic xmlns:a="http://schemas.openxmlformats.org/drawingml/2006/main">
              <a:graphicData uri="http://schemas.openxmlformats.org/drawingml/2006/picture">
                <pic:pic xmlns:pic="http://schemas.openxmlformats.org/drawingml/2006/picture">
                  <pic:nvPicPr>
                    <pic:cNvPr id="335" name="Picture 335"/>
                    <pic:cNvPicPr/>
                  </pic:nvPicPr>
                  <pic:blipFill>
                    <a:blip r:embed="rId8"/>
                    <a:stretch>
                      <a:fillRect/>
                    </a:stretch>
                  </pic:blipFill>
                  <pic:spPr>
                    <a:xfrm>
                      <a:off x="0" y="0"/>
                      <a:ext cx="1809750" cy="723900"/>
                    </a:xfrm>
                    <a:prstGeom prst="rect">
                      <a:avLst/>
                    </a:prstGeom>
                  </pic:spPr>
                </pic:pic>
              </a:graphicData>
            </a:graphic>
          </wp:inline>
        </w:drawing>
      </w:r>
      <w:r>
        <w:rPr>
          <w:rFonts w:ascii="Arial" w:eastAsia="Arial" w:hAnsi="Arial" w:cs="Arial"/>
          <w:sz w:val="20"/>
        </w:rPr>
        <w:tab/>
        <w:t xml:space="preserve">  </w:t>
      </w:r>
    </w:p>
    <w:p w14:paraId="359DDAE0" w14:textId="77777777" w:rsidR="00BC716E" w:rsidRDefault="00BC716E" w:rsidP="00BC716E">
      <w:pPr>
        <w:spacing w:after="0"/>
        <w:ind w:right="110"/>
        <w:jc w:val="right"/>
      </w:pPr>
      <w:r>
        <w:rPr>
          <w:rFonts w:ascii="Arial" w:eastAsia="Arial" w:hAnsi="Arial" w:cs="Arial"/>
          <w:b/>
          <w:sz w:val="28"/>
        </w:rPr>
        <w:t xml:space="preserve">APPENDIX GA36a </w:t>
      </w:r>
    </w:p>
    <w:p w14:paraId="03E29E6B" w14:textId="77777777" w:rsidR="00BC716E" w:rsidRDefault="00BC716E" w:rsidP="00BC716E">
      <w:pPr>
        <w:spacing w:after="298"/>
      </w:pPr>
      <w:r>
        <w:rPr>
          <w:rFonts w:ascii="Arial" w:eastAsia="Arial" w:hAnsi="Arial" w:cs="Arial"/>
          <w:sz w:val="20"/>
        </w:rPr>
        <w:t xml:space="preserve"> </w:t>
      </w:r>
    </w:p>
    <w:p w14:paraId="27E41696" w14:textId="77777777" w:rsidR="00BC716E" w:rsidRDefault="00BC716E" w:rsidP="00BC716E">
      <w:pPr>
        <w:pStyle w:val="Heading1"/>
      </w:pPr>
      <w:r>
        <w:t xml:space="preserve">LEVEL 4 ASSESSMENT SPECIFICATION – Part B </w:t>
      </w:r>
      <w:r>
        <w:rPr>
          <w:rFonts w:ascii="Arial" w:eastAsia="Arial" w:hAnsi="Arial" w:cs="Arial"/>
        </w:rPr>
        <w:t xml:space="preserve"> </w:t>
      </w:r>
    </w:p>
    <w:p w14:paraId="7443364E" w14:textId="77777777" w:rsidR="00BC716E" w:rsidRDefault="00BC716E" w:rsidP="00BC716E">
      <w:pPr>
        <w:spacing w:after="0"/>
        <w:ind w:right="21"/>
        <w:jc w:val="center"/>
      </w:pPr>
      <w:r>
        <w:rPr>
          <w:rFonts w:ascii="Arial" w:eastAsia="Arial" w:hAnsi="Arial" w:cs="Arial"/>
          <w:b/>
          <w:i/>
          <w:sz w:val="32"/>
        </w:rPr>
        <w:t xml:space="preserve"> </w:t>
      </w:r>
    </w:p>
    <w:tbl>
      <w:tblPr>
        <w:tblStyle w:val="TableGrid"/>
        <w:tblW w:w="9920" w:type="dxa"/>
        <w:tblInd w:w="284" w:type="dxa"/>
        <w:tblCellMar>
          <w:top w:w="11" w:type="dxa"/>
          <w:left w:w="107" w:type="dxa"/>
          <w:bottom w:w="0" w:type="dxa"/>
          <w:right w:w="39" w:type="dxa"/>
        </w:tblCellMar>
        <w:tblLook w:val="04A0" w:firstRow="1" w:lastRow="0" w:firstColumn="1" w:lastColumn="0" w:noHBand="0" w:noVBand="1"/>
      </w:tblPr>
      <w:tblGrid>
        <w:gridCol w:w="2090"/>
        <w:gridCol w:w="3295"/>
        <w:gridCol w:w="2268"/>
        <w:gridCol w:w="2267"/>
      </w:tblGrid>
      <w:tr w:rsidR="00BC716E" w14:paraId="3585DAB0" w14:textId="77777777" w:rsidTr="00EE1F8D">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18748EB" w14:textId="77777777" w:rsidR="00BC716E" w:rsidRDefault="00BC716E" w:rsidP="00EE1F8D">
            <w:pPr>
              <w:ind w:left="2"/>
            </w:pPr>
            <w:r>
              <w:rPr>
                <w:rFonts w:ascii="Arial" w:eastAsia="Arial" w:hAnsi="Arial" w:cs="Arial"/>
                <w:b/>
              </w:rPr>
              <w:t xml:space="preserve">Student name: </w:t>
            </w:r>
          </w:p>
        </w:tc>
        <w:tc>
          <w:tcPr>
            <w:tcW w:w="3295" w:type="dxa"/>
            <w:tcBorders>
              <w:top w:val="single" w:sz="4" w:space="0" w:color="000000"/>
              <w:left w:val="single" w:sz="4" w:space="0" w:color="000000"/>
              <w:bottom w:val="single" w:sz="4" w:space="0" w:color="000000"/>
              <w:right w:val="single" w:sz="4" w:space="0" w:color="000000"/>
            </w:tcBorders>
            <w:vAlign w:val="center"/>
          </w:tcPr>
          <w:p w14:paraId="4E053F81" w14:textId="77777777" w:rsidR="00BC716E" w:rsidRDefault="00BC716E" w:rsidP="00EE1F8D">
            <w:pPr>
              <w:ind w:left="555"/>
            </w:pPr>
            <w:r>
              <w:rPr>
                <w:rFonts w:ascii="Arial" w:eastAsia="Arial" w:hAnsi="Arial" w:cs="Arial"/>
                <w:b/>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62136D" w14:textId="77777777" w:rsidR="00BC716E" w:rsidRDefault="00BC716E" w:rsidP="00EE1F8D">
            <w:pPr>
              <w:ind w:left="2"/>
            </w:pPr>
            <w:r>
              <w:rPr>
                <w:rFonts w:ascii="Arial" w:eastAsia="Arial" w:hAnsi="Arial" w:cs="Arial"/>
                <w:b/>
              </w:rPr>
              <w:t xml:space="preserve">Student ID number: </w:t>
            </w:r>
          </w:p>
        </w:tc>
        <w:tc>
          <w:tcPr>
            <w:tcW w:w="2267" w:type="dxa"/>
            <w:tcBorders>
              <w:top w:val="single" w:sz="4" w:space="0" w:color="000000"/>
              <w:left w:val="single" w:sz="4" w:space="0" w:color="000000"/>
              <w:bottom w:val="single" w:sz="4" w:space="0" w:color="000000"/>
              <w:right w:val="single" w:sz="4" w:space="0" w:color="000000"/>
            </w:tcBorders>
            <w:vAlign w:val="center"/>
          </w:tcPr>
          <w:p w14:paraId="5F901516" w14:textId="77777777" w:rsidR="00BC716E" w:rsidRDefault="00BC716E" w:rsidP="00EE1F8D">
            <w:r>
              <w:rPr>
                <w:rFonts w:ascii="Arial" w:eastAsia="Arial" w:hAnsi="Arial" w:cs="Arial"/>
                <w:b/>
              </w:rPr>
              <w:t xml:space="preserve"> </w:t>
            </w:r>
          </w:p>
        </w:tc>
      </w:tr>
      <w:tr w:rsidR="00BC716E" w14:paraId="2CAE8BA5" w14:textId="77777777" w:rsidTr="00EE1F8D">
        <w:trPr>
          <w:trHeight w:val="504"/>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2368C7" w14:textId="77777777" w:rsidR="00BC716E" w:rsidRDefault="00BC716E" w:rsidP="00EE1F8D">
            <w:pPr>
              <w:ind w:left="2"/>
            </w:pPr>
            <w:r>
              <w:rPr>
                <w:rFonts w:ascii="Arial" w:eastAsia="Arial" w:hAnsi="Arial" w:cs="Arial"/>
                <w:b/>
              </w:rPr>
              <w:t xml:space="preserve">Programme: </w:t>
            </w:r>
          </w:p>
        </w:tc>
        <w:tc>
          <w:tcPr>
            <w:tcW w:w="7830" w:type="dxa"/>
            <w:gridSpan w:val="3"/>
            <w:tcBorders>
              <w:top w:val="single" w:sz="4" w:space="0" w:color="000000"/>
              <w:left w:val="single" w:sz="4" w:space="0" w:color="000000"/>
              <w:bottom w:val="single" w:sz="4" w:space="0" w:color="000000"/>
              <w:right w:val="single" w:sz="4" w:space="0" w:color="000000"/>
            </w:tcBorders>
            <w:vAlign w:val="center"/>
          </w:tcPr>
          <w:p w14:paraId="48778823" w14:textId="77777777" w:rsidR="00BC716E" w:rsidRDefault="00BC716E" w:rsidP="00EE1F8D">
            <w:pPr>
              <w:ind w:left="5"/>
            </w:pPr>
            <w:proofErr w:type="spellStart"/>
            <w:r>
              <w:rPr>
                <w:rFonts w:ascii="Arial" w:eastAsia="Arial" w:hAnsi="Arial" w:cs="Arial"/>
                <w:b/>
              </w:rPr>
              <w:t>BAEd</w:t>
            </w:r>
            <w:proofErr w:type="spellEnd"/>
            <w:r>
              <w:rPr>
                <w:rFonts w:ascii="Arial" w:eastAsia="Arial" w:hAnsi="Arial" w:cs="Arial"/>
                <w:b/>
              </w:rPr>
              <w:t xml:space="preserve"> with QTS </w:t>
            </w:r>
          </w:p>
        </w:tc>
      </w:tr>
      <w:tr w:rsidR="00BC716E" w14:paraId="0F2D0C63" w14:textId="77777777" w:rsidTr="00EE1F8D">
        <w:trPr>
          <w:trHeight w:val="504"/>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30061E" w14:textId="77777777" w:rsidR="00BC716E" w:rsidRDefault="00BC716E" w:rsidP="00EE1F8D">
            <w:pPr>
              <w:ind w:left="2"/>
            </w:pPr>
            <w:r>
              <w:rPr>
                <w:rFonts w:ascii="Arial" w:eastAsia="Arial" w:hAnsi="Arial" w:cs="Arial"/>
                <w:b/>
              </w:rPr>
              <w:t xml:space="preserve">Module: </w:t>
            </w:r>
          </w:p>
        </w:tc>
        <w:tc>
          <w:tcPr>
            <w:tcW w:w="7830" w:type="dxa"/>
            <w:gridSpan w:val="3"/>
            <w:tcBorders>
              <w:top w:val="single" w:sz="4" w:space="0" w:color="000000"/>
              <w:left w:val="single" w:sz="4" w:space="0" w:color="000000"/>
              <w:bottom w:val="single" w:sz="4" w:space="0" w:color="000000"/>
              <w:right w:val="single" w:sz="4" w:space="0" w:color="000000"/>
            </w:tcBorders>
            <w:vAlign w:val="center"/>
          </w:tcPr>
          <w:p w14:paraId="30678A2F" w14:textId="77777777" w:rsidR="00BC716E" w:rsidRDefault="00BC716E" w:rsidP="00EE1F8D">
            <w:pPr>
              <w:ind w:left="5"/>
            </w:pPr>
            <w:r>
              <w:rPr>
                <w:rFonts w:ascii="Arial" w:eastAsia="Arial" w:hAnsi="Arial" w:cs="Arial"/>
                <w:b/>
              </w:rPr>
              <w:t xml:space="preserve">Curriculum Matters </w:t>
            </w:r>
          </w:p>
        </w:tc>
      </w:tr>
      <w:tr w:rsidR="00BC716E" w14:paraId="3D5447CF" w14:textId="77777777" w:rsidTr="00EE1F8D">
        <w:trPr>
          <w:trHeight w:val="768"/>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4E40E73D" w14:textId="77777777" w:rsidR="00BC716E" w:rsidRDefault="00BC716E" w:rsidP="00EE1F8D">
            <w:pPr>
              <w:ind w:left="2"/>
            </w:pPr>
            <w:r>
              <w:rPr>
                <w:rFonts w:ascii="Arial" w:eastAsia="Arial" w:hAnsi="Arial" w:cs="Arial"/>
                <w:b/>
              </w:rPr>
              <w:t xml:space="preserve">Module code: </w:t>
            </w:r>
          </w:p>
        </w:tc>
        <w:tc>
          <w:tcPr>
            <w:tcW w:w="3295" w:type="dxa"/>
            <w:tcBorders>
              <w:top w:val="single" w:sz="4" w:space="0" w:color="000000"/>
              <w:left w:val="single" w:sz="4" w:space="0" w:color="000000"/>
              <w:bottom w:val="single" w:sz="4" w:space="0" w:color="000000"/>
              <w:right w:val="single" w:sz="4" w:space="0" w:color="000000"/>
            </w:tcBorders>
          </w:tcPr>
          <w:p w14:paraId="2AF3EE9F" w14:textId="77777777" w:rsidR="00BC716E" w:rsidRDefault="00BC716E" w:rsidP="00EE1F8D">
            <w:pPr>
              <w:ind w:left="5"/>
            </w:pPr>
            <w:r>
              <w:rPr>
                <w:rFonts w:ascii="Arial" w:eastAsia="Arial" w:hAnsi="Arial" w:cs="Arial"/>
                <w:b/>
              </w:rPr>
              <w:t xml:space="preserve">ECAD4011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6B160CF8" w14:textId="77777777" w:rsidR="00BC716E" w:rsidRDefault="00BC716E" w:rsidP="00EE1F8D">
            <w:pPr>
              <w:ind w:left="2" w:right="70"/>
              <w:jc w:val="both"/>
            </w:pPr>
            <w:r>
              <w:rPr>
                <w:rFonts w:ascii="Arial" w:eastAsia="Arial" w:hAnsi="Arial" w:cs="Arial"/>
                <w:b/>
              </w:rPr>
              <w:t xml:space="preserve">Contribution to Overall Module Assessment (%): </w:t>
            </w:r>
          </w:p>
        </w:tc>
        <w:tc>
          <w:tcPr>
            <w:tcW w:w="2267" w:type="dxa"/>
            <w:tcBorders>
              <w:top w:val="single" w:sz="4" w:space="0" w:color="000000"/>
              <w:left w:val="single" w:sz="4" w:space="0" w:color="000000"/>
              <w:bottom w:val="single" w:sz="4" w:space="0" w:color="000000"/>
              <w:right w:val="single" w:sz="4" w:space="0" w:color="000000"/>
            </w:tcBorders>
          </w:tcPr>
          <w:p w14:paraId="47FC83AC" w14:textId="77777777" w:rsidR="00BC716E" w:rsidRDefault="00BC716E" w:rsidP="00EE1F8D">
            <w:r>
              <w:rPr>
                <w:rFonts w:ascii="Arial" w:eastAsia="Arial" w:hAnsi="Arial" w:cs="Arial"/>
                <w:b/>
              </w:rPr>
              <w:t xml:space="preserve">50% </w:t>
            </w:r>
          </w:p>
        </w:tc>
      </w:tr>
      <w:tr w:rsidR="00BC716E" w14:paraId="623FA042" w14:textId="77777777" w:rsidTr="00EE1F8D">
        <w:trPr>
          <w:trHeight w:val="500"/>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53A05F" w14:textId="77777777" w:rsidR="00BC716E" w:rsidRDefault="00BC716E" w:rsidP="00EE1F8D">
            <w:pPr>
              <w:ind w:left="2"/>
            </w:pPr>
            <w:r>
              <w:rPr>
                <w:rFonts w:ascii="Arial" w:eastAsia="Arial" w:hAnsi="Arial" w:cs="Arial"/>
                <w:b/>
              </w:rPr>
              <w:t xml:space="preserve">Lecturer: </w:t>
            </w:r>
          </w:p>
        </w:tc>
        <w:tc>
          <w:tcPr>
            <w:tcW w:w="3295" w:type="dxa"/>
            <w:tcBorders>
              <w:top w:val="single" w:sz="4" w:space="0" w:color="000000"/>
              <w:left w:val="single" w:sz="4" w:space="0" w:color="000000"/>
              <w:bottom w:val="single" w:sz="4" w:space="0" w:color="000000"/>
              <w:right w:val="single" w:sz="4" w:space="0" w:color="000000"/>
            </w:tcBorders>
            <w:vAlign w:val="center"/>
          </w:tcPr>
          <w:p w14:paraId="543C43FD" w14:textId="77777777" w:rsidR="00BC716E" w:rsidRDefault="00BC716E" w:rsidP="00EE1F8D">
            <w:pPr>
              <w:ind w:left="5"/>
            </w:pPr>
            <w:r>
              <w:rPr>
                <w:rFonts w:ascii="Arial" w:eastAsia="Arial" w:hAnsi="Arial" w:cs="Arial"/>
                <w:b/>
              </w:rPr>
              <w:t xml:space="preserve">Mathew Jones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0914D5" w14:textId="77777777" w:rsidR="00BC716E" w:rsidRDefault="00BC716E" w:rsidP="00EE1F8D">
            <w:pPr>
              <w:ind w:left="2"/>
            </w:pPr>
            <w:r>
              <w:rPr>
                <w:rFonts w:ascii="Arial" w:eastAsia="Arial" w:hAnsi="Arial" w:cs="Arial"/>
                <w:b/>
              </w:rPr>
              <w:t xml:space="preserve">Internal Verifier: </w:t>
            </w:r>
          </w:p>
        </w:tc>
        <w:tc>
          <w:tcPr>
            <w:tcW w:w="2267" w:type="dxa"/>
            <w:tcBorders>
              <w:top w:val="single" w:sz="4" w:space="0" w:color="000000"/>
              <w:left w:val="single" w:sz="4" w:space="0" w:color="000000"/>
              <w:bottom w:val="single" w:sz="4" w:space="0" w:color="000000"/>
              <w:right w:val="single" w:sz="4" w:space="0" w:color="000000"/>
            </w:tcBorders>
            <w:vAlign w:val="center"/>
          </w:tcPr>
          <w:p w14:paraId="2270F3A4" w14:textId="77777777" w:rsidR="00BC716E" w:rsidRDefault="00BC716E" w:rsidP="00EE1F8D">
            <w:r>
              <w:rPr>
                <w:rFonts w:ascii="Arial" w:eastAsia="Arial" w:hAnsi="Arial" w:cs="Arial"/>
                <w:b/>
              </w:rPr>
              <w:t xml:space="preserve">Mathew Jones </w:t>
            </w:r>
          </w:p>
        </w:tc>
      </w:tr>
      <w:tr w:rsidR="00BC716E" w14:paraId="316BAD26" w14:textId="77777777" w:rsidTr="00EE1F8D">
        <w:trPr>
          <w:trHeight w:val="2180"/>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3DF40155" w14:textId="77777777" w:rsidR="00BC716E" w:rsidRDefault="00BC716E" w:rsidP="00EE1F8D">
            <w:pPr>
              <w:ind w:left="2"/>
            </w:pPr>
            <w:r>
              <w:rPr>
                <w:rFonts w:ascii="Arial" w:eastAsia="Arial" w:hAnsi="Arial" w:cs="Arial"/>
                <w:b/>
              </w:rPr>
              <w:t xml:space="preserve">Assignment Title: </w:t>
            </w:r>
          </w:p>
        </w:tc>
        <w:tc>
          <w:tcPr>
            <w:tcW w:w="3295" w:type="dxa"/>
            <w:tcBorders>
              <w:top w:val="single" w:sz="4" w:space="0" w:color="000000"/>
              <w:left w:val="single" w:sz="4" w:space="0" w:color="000000"/>
              <w:bottom w:val="single" w:sz="4" w:space="0" w:color="000000"/>
              <w:right w:val="single" w:sz="4" w:space="0" w:color="000000"/>
            </w:tcBorders>
            <w:vAlign w:val="center"/>
          </w:tcPr>
          <w:p w14:paraId="54E3EF4C" w14:textId="77777777" w:rsidR="00BC716E" w:rsidRDefault="00BC716E" w:rsidP="00EE1F8D">
            <w:pPr>
              <w:spacing w:after="2" w:line="238" w:lineRule="auto"/>
              <w:ind w:left="5" w:right="46"/>
            </w:pPr>
            <w:r>
              <w:rPr>
                <w:rFonts w:ascii="Times New Roman" w:eastAsia="Times New Roman" w:hAnsi="Times New Roman" w:cs="Times New Roman"/>
                <w:sz w:val="24"/>
              </w:rPr>
              <w:t xml:space="preserve">Using a theme or traditional tale as a stimulus, consider how you might embed the six areas of learning and experience and the four purposes (Donaldson) </w:t>
            </w:r>
          </w:p>
          <w:p w14:paraId="47601325" w14:textId="77777777" w:rsidR="00BC716E" w:rsidRDefault="00BC716E" w:rsidP="00EE1F8D">
            <w:pPr>
              <w:ind w:left="5" w:right="27"/>
            </w:pPr>
            <w:r>
              <w:rPr>
                <w:rFonts w:ascii="Times New Roman" w:eastAsia="Times New Roman" w:hAnsi="Times New Roman" w:cs="Times New Roman"/>
                <w:sz w:val="24"/>
              </w:rPr>
              <w:t xml:space="preserve">in an integrated, </w:t>
            </w:r>
            <w:proofErr w:type="spellStart"/>
            <w:r>
              <w:rPr>
                <w:rFonts w:ascii="Times New Roman" w:eastAsia="Times New Roman" w:hAnsi="Times New Roman" w:cs="Times New Roman"/>
                <w:sz w:val="24"/>
              </w:rPr>
              <w:t>crosscurricular</w:t>
            </w:r>
            <w:proofErr w:type="spellEnd"/>
            <w:r>
              <w:rPr>
                <w:rFonts w:ascii="Times New Roman" w:eastAsia="Times New Roman" w:hAnsi="Times New Roman" w:cs="Times New Roman"/>
                <w:sz w:val="24"/>
              </w:rPr>
              <w:t xml:space="preserve"> approach. </w:t>
            </w:r>
            <w:r>
              <w:rPr>
                <w:rFonts w:ascii="Times New Roman" w:eastAsia="Times New Roman" w:hAnsi="Times New Roman" w:cs="Times New Roman"/>
                <w:b/>
                <w:sz w:val="24"/>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Pr>
          <w:p w14:paraId="4BCB58CB" w14:textId="77777777" w:rsidR="00BC716E" w:rsidRDefault="00BC716E" w:rsidP="00EE1F8D">
            <w:pPr>
              <w:ind w:left="2"/>
            </w:pPr>
            <w:r>
              <w:rPr>
                <w:rFonts w:ascii="Arial" w:eastAsia="Arial" w:hAnsi="Arial" w:cs="Arial"/>
                <w:b/>
              </w:rPr>
              <w:t xml:space="preserve">Word </w:t>
            </w:r>
            <w:r>
              <w:rPr>
                <w:rFonts w:ascii="Arial" w:eastAsia="Arial" w:hAnsi="Arial" w:cs="Arial"/>
                <w:b/>
              </w:rPr>
              <w:tab/>
              <w:t xml:space="preserve">count </w:t>
            </w:r>
            <w:r>
              <w:rPr>
                <w:rFonts w:ascii="Arial" w:eastAsia="Arial" w:hAnsi="Arial" w:cs="Arial"/>
                <w:b/>
              </w:rPr>
              <w:tab/>
              <w:t xml:space="preserve">(or equivalent): </w:t>
            </w:r>
          </w:p>
        </w:tc>
        <w:tc>
          <w:tcPr>
            <w:tcW w:w="2267" w:type="dxa"/>
            <w:tcBorders>
              <w:top w:val="single" w:sz="4" w:space="0" w:color="000000"/>
              <w:left w:val="single" w:sz="4" w:space="0" w:color="000000"/>
              <w:bottom w:val="single" w:sz="4" w:space="0" w:color="000000"/>
              <w:right w:val="single" w:sz="4" w:space="0" w:color="000000"/>
            </w:tcBorders>
          </w:tcPr>
          <w:p w14:paraId="531A423B" w14:textId="77777777" w:rsidR="00BC716E" w:rsidRDefault="00BC716E" w:rsidP="00EE1F8D">
            <w:proofErr w:type="gramStart"/>
            <w:r>
              <w:rPr>
                <w:rFonts w:ascii="Arial" w:eastAsia="Arial" w:hAnsi="Arial" w:cs="Arial"/>
                <w:b/>
              </w:rPr>
              <w:t>2,000 word</w:t>
            </w:r>
            <w:proofErr w:type="gramEnd"/>
            <w:r>
              <w:rPr>
                <w:rFonts w:ascii="Arial" w:eastAsia="Arial" w:hAnsi="Arial" w:cs="Arial"/>
                <w:b/>
              </w:rPr>
              <w:t xml:space="preserve"> essay.  </w:t>
            </w:r>
          </w:p>
        </w:tc>
      </w:tr>
      <w:tr w:rsidR="00BC716E" w14:paraId="71617578" w14:textId="77777777" w:rsidTr="00EE1F8D">
        <w:trPr>
          <w:trHeight w:val="1010"/>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0ADE4ADF" w14:textId="77777777" w:rsidR="00BC716E" w:rsidRDefault="00BC716E" w:rsidP="00EE1F8D">
            <w:pPr>
              <w:ind w:left="2"/>
            </w:pPr>
            <w:r>
              <w:rPr>
                <w:rFonts w:ascii="Arial" w:eastAsia="Arial" w:hAnsi="Arial" w:cs="Arial"/>
                <w:b/>
              </w:rPr>
              <w:t xml:space="preserve">Submission deadline: </w:t>
            </w:r>
          </w:p>
        </w:tc>
        <w:tc>
          <w:tcPr>
            <w:tcW w:w="3295" w:type="dxa"/>
            <w:tcBorders>
              <w:top w:val="single" w:sz="4" w:space="0" w:color="000000"/>
              <w:left w:val="single" w:sz="4" w:space="0" w:color="000000"/>
              <w:bottom w:val="single" w:sz="4" w:space="0" w:color="000000"/>
              <w:right w:val="single" w:sz="4" w:space="0" w:color="000000"/>
            </w:tcBorders>
          </w:tcPr>
          <w:p w14:paraId="0CEB0C1B" w14:textId="77777777" w:rsidR="00BC716E" w:rsidRDefault="00BC716E" w:rsidP="00EE1F8D">
            <w:pPr>
              <w:ind w:left="5"/>
            </w:pPr>
            <w:r>
              <w:rPr>
                <w:rFonts w:ascii="Arial" w:eastAsia="Arial" w:hAnsi="Arial" w:cs="Arial"/>
                <w:b/>
              </w:rPr>
              <w:t>Monday 7</w:t>
            </w:r>
            <w:r>
              <w:rPr>
                <w:rFonts w:ascii="Arial" w:eastAsia="Arial" w:hAnsi="Arial" w:cs="Arial"/>
                <w:b/>
                <w:vertAlign w:val="superscript"/>
              </w:rPr>
              <w:t>th</w:t>
            </w:r>
            <w:r>
              <w:rPr>
                <w:rFonts w:ascii="Arial" w:eastAsia="Arial" w:hAnsi="Arial" w:cs="Arial"/>
                <w:b/>
              </w:rPr>
              <w:t xml:space="preserve">, January, 2019.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3C190A" w14:textId="77777777" w:rsidR="00BC716E" w:rsidRDefault="00BC716E" w:rsidP="00EE1F8D">
            <w:pPr>
              <w:ind w:left="2" w:right="69"/>
              <w:jc w:val="both"/>
            </w:pPr>
            <w:r>
              <w:rPr>
                <w:rFonts w:ascii="Arial" w:eastAsia="Arial" w:hAnsi="Arial" w:cs="Arial"/>
                <w:b/>
              </w:rPr>
              <w:t xml:space="preserve">Return date of provisional marks &amp; written feedback: </w:t>
            </w:r>
          </w:p>
        </w:tc>
        <w:tc>
          <w:tcPr>
            <w:tcW w:w="2267" w:type="dxa"/>
            <w:tcBorders>
              <w:top w:val="single" w:sz="4" w:space="0" w:color="000000"/>
              <w:left w:val="single" w:sz="4" w:space="0" w:color="000000"/>
              <w:bottom w:val="single" w:sz="4" w:space="0" w:color="000000"/>
              <w:right w:val="single" w:sz="4" w:space="0" w:color="000000"/>
            </w:tcBorders>
          </w:tcPr>
          <w:p w14:paraId="0C995513" w14:textId="77777777" w:rsidR="00BC716E" w:rsidRDefault="00BC716E" w:rsidP="00EE1F8D">
            <w:r>
              <w:rPr>
                <w:rFonts w:ascii="Arial" w:eastAsia="Arial" w:hAnsi="Arial" w:cs="Arial"/>
                <w:b/>
              </w:rPr>
              <w:t>4</w:t>
            </w:r>
            <w:r>
              <w:rPr>
                <w:rFonts w:ascii="Arial" w:eastAsia="Arial" w:hAnsi="Arial" w:cs="Arial"/>
                <w:b/>
                <w:vertAlign w:val="superscript"/>
              </w:rPr>
              <w:t>th</w:t>
            </w:r>
            <w:r>
              <w:rPr>
                <w:rFonts w:ascii="Arial" w:eastAsia="Arial" w:hAnsi="Arial" w:cs="Arial"/>
                <w:b/>
              </w:rPr>
              <w:t xml:space="preserve"> February, 2019. </w:t>
            </w:r>
          </w:p>
        </w:tc>
      </w:tr>
      <w:tr w:rsidR="00BC716E" w14:paraId="6B8C4E1B" w14:textId="77777777" w:rsidTr="00EE1F8D">
        <w:trPr>
          <w:trHeight w:val="2647"/>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42E465F1" w14:textId="77777777" w:rsidR="00BC716E" w:rsidRDefault="00BC716E" w:rsidP="00EE1F8D">
            <w:pPr>
              <w:ind w:left="2"/>
            </w:pPr>
            <w:r>
              <w:rPr>
                <w:rFonts w:ascii="Arial" w:eastAsia="Arial" w:hAnsi="Arial" w:cs="Arial"/>
                <w:b/>
              </w:rPr>
              <w:t xml:space="preserve">Submission method: </w:t>
            </w:r>
          </w:p>
        </w:tc>
        <w:tc>
          <w:tcPr>
            <w:tcW w:w="7830" w:type="dxa"/>
            <w:gridSpan w:val="3"/>
            <w:tcBorders>
              <w:top w:val="single" w:sz="4" w:space="0" w:color="000000"/>
              <w:left w:val="single" w:sz="4" w:space="0" w:color="000000"/>
              <w:bottom w:val="single" w:sz="4" w:space="0" w:color="000000"/>
              <w:right w:val="single" w:sz="4" w:space="0" w:color="000000"/>
            </w:tcBorders>
          </w:tcPr>
          <w:p w14:paraId="4F27B760" w14:textId="77777777" w:rsidR="00BC716E" w:rsidRDefault="00BC716E" w:rsidP="00EE1F8D">
            <w:pPr>
              <w:spacing w:after="122" w:line="244" w:lineRule="auto"/>
              <w:ind w:left="5"/>
            </w:pPr>
            <w:r>
              <w:rPr>
                <w:rFonts w:ascii="Arial" w:eastAsia="Arial" w:hAnsi="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41B2BC23" w14:textId="77777777" w:rsidR="00BC716E" w:rsidRDefault="00BC716E" w:rsidP="00EE1F8D">
            <w:pPr>
              <w:spacing w:after="106"/>
              <w:ind w:left="5"/>
            </w:pPr>
            <w:r>
              <w:rPr>
                <w:rFonts w:ascii="Arial" w:eastAsia="Arial" w:hAnsi="Arial" w:cs="Arial"/>
                <w:b/>
              </w:rPr>
              <w:t xml:space="preserve">Alternative submission method (if applicable):  </w:t>
            </w:r>
          </w:p>
          <w:p w14:paraId="00E85187" w14:textId="77777777" w:rsidR="00BC716E" w:rsidRDefault="00BC716E" w:rsidP="00EE1F8D">
            <w:pPr>
              <w:ind w:left="5" w:right="67"/>
              <w:jc w:val="both"/>
            </w:pPr>
            <w:r>
              <w:rPr>
                <w:rFonts w:ascii="Arial" w:eastAsia="Arial" w:hAnsi="Arial" w:cs="Arial"/>
                <w:b/>
              </w:rPr>
              <w:t xml:space="preserve">Late submission of the assessment will result in a late penalty mark. </w:t>
            </w:r>
            <w:r>
              <w:rPr>
                <w:rFonts w:ascii="Arial" w:eastAsia="Arial" w:hAnsi="Arial" w:cs="Arial"/>
              </w:rPr>
              <w:t>Penalties for late submission: Up to one week late, maximum mark of 40%. Over one week late, 0%.  Only the Extenuating Circumstances Panel may approve a change to submission dates.</w:t>
            </w:r>
            <w:r>
              <w:rPr>
                <w:rFonts w:ascii="Arial" w:eastAsia="Arial" w:hAnsi="Arial" w:cs="Arial"/>
                <w:b/>
              </w:rPr>
              <w:t xml:space="preserve"> </w:t>
            </w:r>
          </w:p>
        </w:tc>
      </w:tr>
      <w:tr w:rsidR="00BC716E" w14:paraId="756B64DB" w14:textId="77777777" w:rsidTr="00EE1F8D">
        <w:trPr>
          <w:trHeight w:val="1264"/>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009D4625" w14:textId="77777777" w:rsidR="00BC716E" w:rsidRDefault="00BC716E" w:rsidP="00EE1F8D">
            <w:pPr>
              <w:ind w:left="2" w:right="2"/>
            </w:pPr>
            <w:r>
              <w:rPr>
                <w:rFonts w:ascii="Arial" w:eastAsia="Arial" w:hAnsi="Arial" w:cs="Arial"/>
                <w:b/>
              </w:rPr>
              <w:t xml:space="preserve">Academic honesty / referencing: </w:t>
            </w:r>
          </w:p>
        </w:tc>
        <w:tc>
          <w:tcPr>
            <w:tcW w:w="7830" w:type="dxa"/>
            <w:gridSpan w:val="3"/>
            <w:tcBorders>
              <w:top w:val="single" w:sz="4" w:space="0" w:color="000000"/>
              <w:left w:val="single" w:sz="4" w:space="0" w:color="000000"/>
              <w:bottom w:val="single" w:sz="4" w:space="0" w:color="000000"/>
              <w:right w:val="single" w:sz="4" w:space="0" w:color="000000"/>
            </w:tcBorders>
            <w:vAlign w:val="center"/>
          </w:tcPr>
          <w:p w14:paraId="2C989A7C" w14:textId="77777777" w:rsidR="00BC716E" w:rsidRDefault="00BC716E" w:rsidP="00EE1F8D">
            <w:pPr>
              <w:ind w:left="5" w:right="66"/>
              <w:jc w:val="both"/>
            </w:pPr>
            <w:r>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0F096DF" w14:textId="08D8DE5A" w:rsidR="00BC716E" w:rsidRDefault="00BC716E">
      <w:pPr>
        <w:suppressAutoHyphens w:val="0"/>
        <w:rPr>
          <w:sz w:val="28"/>
          <w:u w:val="single"/>
        </w:rPr>
      </w:pPr>
    </w:p>
    <w:p w14:paraId="7DA26FD4" w14:textId="1B27CD02" w:rsidR="00D3144B" w:rsidRDefault="006E502C">
      <w:pPr>
        <w:spacing w:line="360" w:lineRule="auto"/>
        <w:jc w:val="center"/>
        <w:rPr>
          <w:sz w:val="28"/>
          <w:u w:val="single"/>
        </w:rPr>
      </w:pPr>
      <w:r>
        <w:rPr>
          <w:sz w:val="28"/>
          <w:u w:val="single"/>
        </w:rPr>
        <w:lastRenderedPageBreak/>
        <w:t>Using a theme or traditional tale as a stimulus, consider how you might embed the six areas of learning and experience and the four purposes in an integrated, cross-curricular approach.</w:t>
      </w:r>
    </w:p>
    <w:p w14:paraId="5BA91E83" w14:textId="77777777" w:rsidR="00D3144B" w:rsidRDefault="00D3144B">
      <w:pPr>
        <w:spacing w:line="360" w:lineRule="auto"/>
        <w:rPr>
          <w:sz w:val="16"/>
        </w:rPr>
      </w:pPr>
    </w:p>
    <w:p w14:paraId="0204633B" w14:textId="5D1AB93D" w:rsidR="00D3144B" w:rsidRDefault="006E502C">
      <w:pPr>
        <w:spacing w:line="360" w:lineRule="auto"/>
      </w:pPr>
      <w:r>
        <w:rPr>
          <w:sz w:val="24"/>
        </w:rPr>
        <w:t xml:space="preserve">I have chosen the theme ‘Musicians’ </w:t>
      </w:r>
      <w:r w:rsidR="00F03971">
        <w:rPr>
          <w:sz w:val="24"/>
        </w:rPr>
        <w:t xml:space="preserve">aimed at year </w:t>
      </w:r>
      <w:r w:rsidR="00B110FF">
        <w:rPr>
          <w:sz w:val="24"/>
        </w:rPr>
        <w:t>four</w:t>
      </w:r>
      <w:r w:rsidR="006C37E6">
        <w:rPr>
          <w:sz w:val="24"/>
        </w:rPr>
        <w:t>,</w:t>
      </w:r>
      <w:r w:rsidR="00F03971">
        <w:rPr>
          <w:sz w:val="24"/>
        </w:rPr>
        <w:t xml:space="preserve"> </w:t>
      </w:r>
      <w:r>
        <w:rPr>
          <w:sz w:val="24"/>
        </w:rPr>
        <w:t>as I believe it will be a topic that can easily cover the six areas of learning and experiences and Donaldson’s four purposes. I will also show my understanding of methods of cross-curricular teaching. Cross-curricular is about gaining ‘knowledge, skills and understanding from various subject areas together’ while ‘exploring and embracing the world’ (Savage, 2010). The taxonomy of cross-curricular approaches includes ‘tokenistic’, ‘hierarchical’, ‘multi-disciplinary’, ‘inter-disciplinary’, ‘</w:t>
      </w:r>
      <w:r w:rsidR="003F00AC">
        <w:rPr>
          <w:sz w:val="24"/>
        </w:rPr>
        <w:t>opportunistic</w:t>
      </w:r>
      <w:r>
        <w:rPr>
          <w:sz w:val="24"/>
        </w:rPr>
        <w:t>’, and ‘double-focus’ (Barnes, 2011, p. 56) and (Barnes, 2015, p. 272). The six areas of learning and experiences are heath and well-being; expressive arts; humanities; languages, literacy and communication; science and technology; and mathematics and numeracy (Donaldson, 2015, p. 39). The four purposes include helping ‘children and young people to become’:</w:t>
      </w:r>
    </w:p>
    <w:p w14:paraId="7D5F8787" w14:textId="77777777" w:rsidR="00D3144B" w:rsidRDefault="006E502C">
      <w:pPr>
        <w:pStyle w:val="ListParagraph"/>
        <w:numPr>
          <w:ilvl w:val="0"/>
          <w:numId w:val="1"/>
        </w:numPr>
        <w:spacing w:line="360" w:lineRule="auto"/>
        <w:rPr>
          <w:sz w:val="24"/>
        </w:rPr>
      </w:pPr>
      <w:r>
        <w:rPr>
          <w:sz w:val="24"/>
        </w:rPr>
        <w:t>‘ambitious, capable learners, ready to learn throughout their lives’</w:t>
      </w:r>
    </w:p>
    <w:p w14:paraId="54DF2F9E" w14:textId="77777777" w:rsidR="00D3144B" w:rsidRDefault="006E502C">
      <w:pPr>
        <w:pStyle w:val="ListParagraph"/>
        <w:numPr>
          <w:ilvl w:val="0"/>
          <w:numId w:val="1"/>
        </w:numPr>
        <w:spacing w:line="360" w:lineRule="auto"/>
        <w:rPr>
          <w:sz w:val="24"/>
        </w:rPr>
      </w:pPr>
      <w:r>
        <w:rPr>
          <w:sz w:val="24"/>
        </w:rPr>
        <w:t>‘enterprising, creative contributors, ready to play a full part in life and work’</w:t>
      </w:r>
    </w:p>
    <w:p w14:paraId="1132AE9F" w14:textId="77777777" w:rsidR="00D3144B" w:rsidRDefault="006E502C">
      <w:pPr>
        <w:pStyle w:val="ListParagraph"/>
        <w:numPr>
          <w:ilvl w:val="0"/>
          <w:numId w:val="1"/>
        </w:numPr>
        <w:spacing w:line="360" w:lineRule="auto"/>
        <w:rPr>
          <w:sz w:val="24"/>
        </w:rPr>
      </w:pPr>
      <w:r>
        <w:rPr>
          <w:sz w:val="24"/>
        </w:rPr>
        <w:t>‘ethical, informed citizens of Wales and the world, ready to be citizens of Wales and the world’</w:t>
      </w:r>
    </w:p>
    <w:p w14:paraId="6061C4A7" w14:textId="0B550BE6" w:rsidR="00D3144B" w:rsidRDefault="006E502C">
      <w:pPr>
        <w:pStyle w:val="ListParagraph"/>
        <w:numPr>
          <w:ilvl w:val="0"/>
          <w:numId w:val="1"/>
        </w:numPr>
        <w:spacing w:line="360" w:lineRule="auto"/>
      </w:pPr>
      <w:r>
        <w:rPr>
          <w:sz w:val="24"/>
        </w:rPr>
        <w:t>‘heathy and confident individuals, ready to lead fulfilling lives as valued members of society’ (Donaldson, 2015, p. 29).</w:t>
      </w:r>
    </w:p>
    <w:p w14:paraId="21C23208" w14:textId="77777777" w:rsidR="00D3144B" w:rsidRDefault="00D3144B">
      <w:pPr>
        <w:spacing w:line="360" w:lineRule="auto"/>
        <w:rPr>
          <w:sz w:val="24"/>
        </w:rPr>
      </w:pPr>
    </w:p>
    <w:p w14:paraId="3196A208" w14:textId="763FE1C8" w:rsidR="00D3144B" w:rsidRDefault="006E502C">
      <w:pPr>
        <w:spacing w:line="360" w:lineRule="auto"/>
        <w:rPr>
          <w:sz w:val="24"/>
        </w:rPr>
      </w:pPr>
      <w:r>
        <w:rPr>
          <w:sz w:val="24"/>
        </w:rPr>
        <w:t xml:space="preserve">The </w:t>
      </w:r>
      <w:r w:rsidR="00BC4A2B">
        <w:rPr>
          <w:sz w:val="24"/>
        </w:rPr>
        <w:t>first</w:t>
      </w:r>
      <w:r>
        <w:rPr>
          <w:sz w:val="24"/>
        </w:rPr>
        <w:t xml:space="preserve"> activity would be learning about welsh instruments and dances from different periods of time and how they have developed over time</w:t>
      </w:r>
      <w:r w:rsidR="00ED0E9A">
        <w:rPr>
          <w:sz w:val="24"/>
        </w:rPr>
        <w:t xml:space="preserve"> making them ethically informed</w:t>
      </w:r>
      <w:r>
        <w:rPr>
          <w:sz w:val="24"/>
        </w:rPr>
        <w:t xml:space="preserve">. Therefore, using their history knowledge along with developing their identity of being welsh (YCC) and developing their physical skills. </w:t>
      </w:r>
      <w:r w:rsidR="00677C6E">
        <w:rPr>
          <w:sz w:val="24"/>
        </w:rPr>
        <w:t xml:space="preserve">The curriculum document for physical education specifies that in the </w:t>
      </w:r>
      <w:r w:rsidR="005D79F6">
        <w:rPr>
          <w:sz w:val="24"/>
        </w:rPr>
        <w:t>range children</w:t>
      </w:r>
      <w:r w:rsidR="00677C6E">
        <w:rPr>
          <w:sz w:val="24"/>
        </w:rPr>
        <w:t xml:space="preserve"> have to be able to ‘</w:t>
      </w:r>
      <w:r w:rsidR="00677C6E" w:rsidRPr="00677C6E">
        <w:rPr>
          <w:sz w:val="24"/>
        </w:rPr>
        <w:t xml:space="preserve">perform and develop an appreciation of movement from different traditions, times and places, including some traditional dances </w:t>
      </w:r>
      <w:r w:rsidR="00677C6E" w:rsidRPr="00677C6E">
        <w:rPr>
          <w:sz w:val="24"/>
        </w:rPr>
        <w:lastRenderedPageBreak/>
        <w:t>from Wales</w:t>
      </w:r>
      <w:r w:rsidR="00677C6E">
        <w:rPr>
          <w:sz w:val="24"/>
        </w:rPr>
        <w:t xml:space="preserve">’ </w:t>
      </w:r>
      <w:sdt>
        <w:sdtPr>
          <w:rPr>
            <w:sz w:val="24"/>
          </w:rPr>
          <w:id w:val="-1261133697"/>
          <w:citation/>
        </w:sdtPr>
        <w:sdtEndPr/>
        <w:sdtContent>
          <w:r w:rsidR="00677C6E">
            <w:rPr>
              <w:sz w:val="24"/>
            </w:rPr>
            <w:fldChar w:fldCharType="begin"/>
          </w:r>
          <w:r w:rsidR="005D79F6">
            <w:rPr>
              <w:sz w:val="24"/>
            </w:rPr>
            <w:instrText xml:space="preserve">CITATION DCE084 \p 13 \t  \l 2057 </w:instrText>
          </w:r>
          <w:r w:rsidR="00677C6E">
            <w:rPr>
              <w:sz w:val="24"/>
            </w:rPr>
            <w:fldChar w:fldCharType="separate"/>
          </w:r>
          <w:r w:rsidR="005D79F6" w:rsidRPr="005D79F6">
            <w:rPr>
              <w:noProof/>
              <w:sz w:val="24"/>
            </w:rPr>
            <w:t>(DCELLS, 2008, p. 13)</w:t>
          </w:r>
          <w:r w:rsidR="00677C6E">
            <w:rPr>
              <w:sz w:val="24"/>
            </w:rPr>
            <w:fldChar w:fldCharType="end"/>
          </w:r>
        </w:sdtContent>
      </w:sdt>
      <w:r w:rsidR="00677C6E">
        <w:rPr>
          <w:sz w:val="24"/>
        </w:rPr>
        <w:t xml:space="preserve">. </w:t>
      </w:r>
      <w:r w:rsidR="00263AFE">
        <w:rPr>
          <w:sz w:val="24"/>
        </w:rPr>
        <w:t xml:space="preserve">This lesson easily covers </w:t>
      </w:r>
      <w:r w:rsidR="00C4510E">
        <w:rPr>
          <w:sz w:val="24"/>
        </w:rPr>
        <w:t>the health and well-being area of learning and experiences</w:t>
      </w:r>
      <w:r w:rsidR="00263AFE">
        <w:rPr>
          <w:sz w:val="24"/>
        </w:rPr>
        <w:t xml:space="preserve"> </w:t>
      </w:r>
      <w:r w:rsidR="008F37BE">
        <w:rPr>
          <w:sz w:val="24"/>
        </w:rPr>
        <w:t>while making them heathy and confident children.</w:t>
      </w:r>
      <w:r w:rsidR="00263AFE">
        <w:rPr>
          <w:sz w:val="24"/>
        </w:rPr>
        <w:t xml:space="preserve"> Donaldson </w:t>
      </w:r>
      <w:sdt>
        <w:sdtPr>
          <w:rPr>
            <w:sz w:val="24"/>
          </w:rPr>
          <w:id w:val="572329484"/>
          <w:citation/>
        </w:sdtPr>
        <w:sdtEndPr/>
        <w:sdtContent>
          <w:r w:rsidR="00263AFE">
            <w:rPr>
              <w:sz w:val="24"/>
            </w:rPr>
            <w:fldChar w:fldCharType="begin"/>
          </w:r>
          <w:r w:rsidR="00263AFE">
            <w:rPr>
              <w:sz w:val="24"/>
            </w:rPr>
            <w:instrText xml:space="preserve">CITATION Don152 \p 15 \n  \t  \l 2057 </w:instrText>
          </w:r>
          <w:r w:rsidR="00263AFE">
            <w:rPr>
              <w:sz w:val="24"/>
            </w:rPr>
            <w:fldChar w:fldCharType="separate"/>
          </w:r>
          <w:r w:rsidR="00263AFE" w:rsidRPr="00263AFE">
            <w:rPr>
              <w:noProof/>
              <w:sz w:val="24"/>
            </w:rPr>
            <w:t>(2015, p. 15)</w:t>
          </w:r>
          <w:r w:rsidR="00263AFE">
            <w:rPr>
              <w:sz w:val="24"/>
            </w:rPr>
            <w:fldChar w:fldCharType="end"/>
          </w:r>
        </w:sdtContent>
      </w:sdt>
      <w:r w:rsidR="00263AFE">
        <w:rPr>
          <w:sz w:val="24"/>
        </w:rPr>
        <w:t xml:space="preserve"> mentions that there is a ‘</w:t>
      </w:r>
      <w:r w:rsidR="00263AFE" w:rsidRPr="00263AFE">
        <w:rPr>
          <w:sz w:val="24"/>
        </w:rPr>
        <w:t>focus on Welsh identity and the Curriculum Cymreig</w:t>
      </w:r>
      <w:r w:rsidR="00263AFE">
        <w:rPr>
          <w:sz w:val="24"/>
        </w:rPr>
        <w:t>’ learning in primary schools</w:t>
      </w:r>
      <w:r w:rsidR="00263AFE" w:rsidRPr="00263AFE">
        <w:rPr>
          <w:sz w:val="24"/>
        </w:rPr>
        <w:t>.</w:t>
      </w:r>
      <w:r w:rsidR="00263AFE">
        <w:rPr>
          <w:sz w:val="24"/>
        </w:rPr>
        <w:t xml:space="preserve"> </w:t>
      </w:r>
      <w:r w:rsidR="00E80DC5">
        <w:rPr>
          <w:sz w:val="24"/>
        </w:rPr>
        <w:t xml:space="preserve">This activity helps promote this by the children learning about welsh instruments and dances. </w:t>
      </w:r>
      <w:r w:rsidR="0062314B">
        <w:rPr>
          <w:sz w:val="24"/>
        </w:rPr>
        <w:t>The thinking skill that will be improved in this activity would be</w:t>
      </w:r>
      <w:r w:rsidR="007D56FE">
        <w:rPr>
          <w:sz w:val="24"/>
        </w:rPr>
        <w:t xml:space="preserve"> thinking logically and finding patterns.</w:t>
      </w:r>
      <w:r w:rsidR="0062314B">
        <w:rPr>
          <w:sz w:val="24"/>
        </w:rPr>
        <w:t xml:space="preserve"> </w:t>
      </w:r>
      <w:r>
        <w:rPr>
          <w:sz w:val="24"/>
        </w:rPr>
        <w:t xml:space="preserve">The method of cross-curricular that I have chosen to use for this activity is </w:t>
      </w:r>
      <w:r w:rsidR="00E80DC5">
        <w:rPr>
          <w:sz w:val="24"/>
        </w:rPr>
        <w:t>double-focus</w:t>
      </w:r>
      <w:r>
        <w:rPr>
          <w:sz w:val="24"/>
        </w:rPr>
        <w:t>.</w:t>
      </w:r>
      <w:r w:rsidR="00E80DC5">
        <w:rPr>
          <w:sz w:val="24"/>
        </w:rPr>
        <w:t xml:space="preserve"> Double-focus provides a </w:t>
      </w:r>
      <w:r w:rsidR="00B975B3">
        <w:rPr>
          <w:sz w:val="24"/>
        </w:rPr>
        <w:t>‘</w:t>
      </w:r>
      <w:r w:rsidR="00E80DC5">
        <w:rPr>
          <w:sz w:val="24"/>
        </w:rPr>
        <w:t>balance</w:t>
      </w:r>
      <w:r w:rsidR="00B975B3">
        <w:rPr>
          <w:sz w:val="24"/>
        </w:rPr>
        <w:t>’</w:t>
      </w:r>
      <w:r w:rsidR="00E80DC5">
        <w:rPr>
          <w:sz w:val="24"/>
        </w:rPr>
        <w:t xml:space="preserve"> between experiences and subject learning. This has a pedagogy focus to it</w:t>
      </w:r>
      <w:r w:rsidR="00E077A2">
        <w:rPr>
          <w:sz w:val="24"/>
        </w:rPr>
        <w:t xml:space="preserve"> </w:t>
      </w:r>
      <w:sdt>
        <w:sdtPr>
          <w:rPr>
            <w:sz w:val="24"/>
          </w:rPr>
          <w:id w:val="-1604180133"/>
          <w:citation/>
        </w:sdtPr>
        <w:sdtEndPr/>
        <w:sdtContent>
          <w:r w:rsidR="00E077A2">
            <w:rPr>
              <w:sz w:val="24"/>
            </w:rPr>
            <w:fldChar w:fldCharType="begin"/>
          </w:r>
          <w:r w:rsidR="00E077A2">
            <w:rPr>
              <w:sz w:val="24"/>
            </w:rPr>
            <w:instrText xml:space="preserve">CITATION Bar11 \p 66-67 \t  \l 2057 </w:instrText>
          </w:r>
          <w:r w:rsidR="00E077A2">
            <w:rPr>
              <w:sz w:val="24"/>
            </w:rPr>
            <w:fldChar w:fldCharType="separate"/>
          </w:r>
          <w:r w:rsidR="00E077A2" w:rsidRPr="00E077A2">
            <w:rPr>
              <w:noProof/>
              <w:sz w:val="24"/>
            </w:rPr>
            <w:t>(Barnes, 2011, pp. 66-67)</w:t>
          </w:r>
          <w:r w:rsidR="00E077A2">
            <w:rPr>
              <w:sz w:val="24"/>
            </w:rPr>
            <w:fldChar w:fldCharType="end"/>
          </w:r>
        </w:sdtContent>
      </w:sdt>
      <w:r w:rsidR="00E80DC5">
        <w:rPr>
          <w:sz w:val="24"/>
        </w:rPr>
        <w:t>. There would be two separate methods of learning, one being subject</w:t>
      </w:r>
      <w:r w:rsidR="009116F5">
        <w:rPr>
          <w:sz w:val="24"/>
        </w:rPr>
        <w:t xml:space="preserve"> o</w:t>
      </w:r>
      <w:r w:rsidR="00E80DC5">
        <w:rPr>
          <w:sz w:val="24"/>
        </w:rPr>
        <w:t xml:space="preserve">f area of learning and the others being cross-curricular learning where they use the </w:t>
      </w:r>
      <w:proofErr w:type="gramStart"/>
      <w:r w:rsidR="00BA4E64">
        <w:rPr>
          <w:sz w:val="24"/>
        </w:rPr>
        <w:t>skills</w:t>
      </w:r>
      <w:proofErr w:type="gramEnd"/>
      <w:r w:rsidR="00E80DC5">
        <w:rPr>
          <w:sz w:val="24"/>
        </w:rPr>
        <w:t xml:space="preserve"> they learnt in subject learning</w:t>
      </w:r>
      <w:r w:rsidR="00E077A2">
        <w:rPr>
          <w:sz w:val="24"/>
        </w:rPr>
        <w:t xml:space="preserve"> </w:t>
      </w:r>
      <w:sdt>
        <w:sdtPr>
          <w:rPr>
            <w:sz w:val="24"/>
          </w:rPr>
          <w:id w:val="-1543832025"/>
          <w:citation/>
        </w:sdtPr>
        <w:sdtEndPr/>
        <w:sdtContent>
          <w:r w:rsidR="00E077A2">
            <w:rPr>
              <w:sz w:val="24"/>
            </w:rPr>
            <w:fldChar w:fldCharType="begin"/>
          </w:r>
          <w:r w:rsidR="00E077A2">
            <w:rPr>
              <w:sz w:val="24"/>
            </w:rPr>
            <w:instrText xml:space="preserve">CITATION Bar15 \p 274 \t  \l 2057 </w:instrText>
          </w:r>
          <w:r w:rsidR="00E077A2">
            <w:rPr>
              <w:sz w:val="24"/>
            </w:rPr>
            <w:fldChar w:fldCharType="separate"/>
          </w:r>
          <w:r w:rsidR="00E077A2" w:rsidRPr="00E077A2">
            <w:rPr>
              <w:noProof/>
              <w:sz w:val="24"/>
            </w:rPr>
            <w:t>(Barnes, 2015, p. 274)</w:t>
          </w:r>
          <w:r w:rsidR="00E077A2">
            <w:rPr>
              <w:sz w:val="24"/>
            </w:rPr>
            <w:fldChar w:fldCharType="end"/>
          </w:r>
        </w:sdtContent>
      </w:sdt>
      <w:r w:rsidR="00E80DC5">
        <w:rPr>
          <w:sz w:val="24"/>
        </w:rPr>
        <w:t>.</w:t>
      </w:r>
      <w:r>
        <w:rPr>
          <w:sz w:val="24"/>
        </w:rPr>
        <w:t xml:space="preserve"> The advantage of using this method of teaching cross-curricular </w:t>
      </w:r>
      <w:r w:rsidR="00DF226D">
        <w:rPr>
          <w:sz w:val="24"/>
        </w:rPr>
        <w:t xml:space="preserve">is </w:t>
      </w:r>
      <w:r>
        <w:rPr>
          <w:sz w:val="24"/>
        </w:rPr>
        <w:t xml:space="preserve">that </w:t>
      </w:r>
      <w:r w:rsidR="00DF226D">
        <w:rPr>
          <w:sz w:val="24"/>
        </w:rPr>
        <w:t xml:space="preserve">children often achieve better in core subjects when they feel achievement in subjects such as the creative arts as they are </w:t>
      </w:r>
      <w:r w:rsidR="004D49E3">
        <w:rPr>
          <w:sz w:val="24"/>
        </w:rPr>
        <w:t>having success that develops ‘personal strength or passion’</w:t>
      </w:r>
      <w:r>
        <w:rPr>
          <w:sz w:val="24"/>
        </w:rPr>
        <w:t xml:space="preserve">. </w:t>
      </w:r>
      <w:r w:rsidR="004D49E3">
        <w:rPr>
          <w:sz w:val="24"/>
        </w:rPr>
        <w:t>However,</w:t>
      </w:r>
      <w:r>
        <w:rPr>
          <w:sz w:val="24"/>
        </w:rPr>
        <w:t xml:space="preserve"> the disadvantage of it is </w:t>
      </w:r>
      <w:r w:rsidR="004D49E3">
        <w:rPr>
          <w:sz w:val="24"/>
        </w:rPr>
        <w:t xml:space="preserve">that the emphasis made to learn more about creative subjects can take away from the learning of core subjects such as languages and literacy </w:t>
      </w:r>
      <w:sdt>
        <w:sdtPr>
          <w:rPr>
            <w:sz w:val="24"/>
          </w:rPr>
          <w:id w:val="1365644918"/>
          <w:citation/>
        </w:sdtPr>
        <w:sdtEndPr/>
        <w:sdtContent>
          <w:r w:rsidR="004D49E3">
            <w:rPr>
              <w:sz w:val="24"/>
            </w:rPr>
            <w:fldChar w:fldCharType="begin"/>
          </w:r>
          <w:r w:rsidR="004D49E3">
            <w:rPr>
              <w:sz w:val="24"/>
            </w:rPr>
            <w:instrText xml:space="preserve">CITATION Bar11 \p 67 \t  \l 2057 </w:instrText>
          </w:r>
          <w:r w:rsidR="004D49E3">
            <w:rPr>
              <w:sz w:val="24"/>
            </w:rPr>
            <w:fldChar w:fldCharType="separate"/>
          </w:r>
          <w:r w:rsidR="004D49E3" w:rsidRPr="004D49E3">
            <w:rPr>
              <w:noProof/>
              <w:sz w:val="24"/>
            </w:rPr>
            <w:t>(Barnes, 2011, p. 67)</w:t>
          </w:r>
          <w:r w:rsidR="004D49E3">
            <w:rPr>
              <w:sz w:val="24"/>
            </w:rPr>
            <w:fldChar w:fldCharType="end"/>
          </w:r>
        </w:sdtContent>
      </w:sdt>
      <w:r>
        <w:rPr>
          <w:sz w:val="24"/>
        </w:rPr>
        <w:t>. This disadvantage would</w:t>
      </w:r>
      <w:r w:rsidR="00536F8C">
        <w:rPr>
          <w:sz w:val="24"/>
        </w:rPr>
        <w:t xml:space="preserve"> </w:t>
      </w:r>
      <w:r>
        <w:rPr>
          <w:sz w:val="24"/>
        </w:rPr>
        <w:t>n</w:t>
      </w:r>
      <w:r w:rsidR="00536F8C">
        <w:rPr>
          <w:sz w:val="24"/>
        </w:rPr>
        <w:t>o</w:t>
      </w:r>
      <w:r>
        <w:rPr>
          <w:sz w:val="24"/>
        </w:rPr>
        <w:t xml:space="preserve">t be an issue if the </w:t>
      </w:r>
      <w:r w:rsidR="006D328E">
        <w:rPr>
          <w:sz w:val="24"/>
        </w:rPr>
        <w:t>multi-disciplinary</w:t>
      </w:r>
      <w:r>
        <w:rPr>
          <w:sz w:val="24"/>
        </w:rPr>
        <w:t xml:space="preserve"> </w:t>
      </w:r>
      <w:r w:rsidR="009A5977">
        <w:rPr>
          <w:sz w:val="24"/>
        </w:rPr>
        <w:t>m</w:t>
      </w:r>
      <w:r>
        <w:rPr>
          <w:sz w:val="24"/>
        </w:rPr>
        <w:t xml:space="preserve">ethod was used because </w:t>
      </w:r>
      <w:r w:rsidR="006D328E">
        <w:rPr>
          <w:sz w:val="24"/>
        </w:rPr>
        <w:t xml:space="preserve">it gives equal importance to both subjects </w:t>
      </w:r>
      <w:sdt>
        <w:sdtPr>
          <w:rPr>
            <w:sz w:val="24"/>
          </w:rPr>
          <w:id w:val="1220864498"/>
          <w:citation/>
        </w:sdtPr>
        <w:sdtEndPr/>
        <w:sdtContent>
          <w:r w:rsidR="006D328E">
            <w:rPr>
              <w:sz w:val="24"/>
            </w:rPr>
            <w:fldChar w:fldCharType="begin"/>
          </w:r>
          <w:r w:rsidR="006D328E">
            <w:rPr>
              <w:sz w:val="24"/>
            </w:rPr>
            <w:instrText xml:space="preserve">CITATION Bar15 \p 273 \t  \l 2057 </w:instrText>
          </w:r>
          <w:r w:rsidR="006D328E">
            <w:rPr>
              <w:sz w:val="24"/>
            </w:rPr>
            <w:fldChar w:fldCharType="separate"/>
          </w:r>
          <w:r w:rsidR="006D328E" w:rsidRPr="006D328E">
            <w:rPr>
              <w:noProof/>
              <w:sz w:val="24"/>
            </w:rPr>
            <w:t>(Barnes, 2015, p. 273)</w:t>
          </w:r>
          <w:r w:rsidR="006D328E">
            <w:rPr>
              <w:sz w:val="24"/>
            </w:rPr>
            <w:fldChar w:fldCharType="end"/>
          </w:r>
        </w:sdtContent>
      </w:sdt>
      <w:r w:rsidR="006D328E">
        <w:rPr>
          <w:sz w:val="24"/>
        </w:rPr>
        <w:t xml:space="preserve">. As single subject will be used for learning skills in two subject areas. However, the subjects are introduces separately and then linked </w:t>
      </w:r>
      <w:sdt>
        <w:sdtPr>
          <w:rPr>
            <w:sz w:val="24"/>
          </w:rPr>
          <w:id w:val="52353784"/>
          <w:citation/>
        </w:sdtPr>
        <w:sdtEndPr/>
        <w:sdtContent>
          <w:r w:rsidR="006D328E">
            <w:rPr>
              <w:sz w:val="24"/>
            </w:rPr>
            <w:fldChar w:fldCharType="begin"/>
          </w:r>
          <w:r w:rsidR="006D328E">
            <w:rPr>
              <w:sz w:val="24"/>
            </w:rPr>
            <w:instrText xml:space="preserve">CITATION Bar11 \p 58-59 \t  \l 2057 </w:instrText>
          </w:r>
          <w:r w:rsidR="006D328E">
            <w:rPr>
              <w:sz w:val="24"/>
            </w:rPr>
            <w:fldChar w:fldCharType="separate"/>
          </w:r>
          <w:r w:rsidR="006D328E" w:rsidRPr="006D328E">
            <w:rPr>
              <w:noProof/>
              <w:sz w:val="24"/>
            </w:rPr>
            <w:t>(Barnes, 2011, pp. 58-59)</w:t>
          </w:r>
          <w:r w:rsidR="006D328E">
            <w:rPr>
              <w:sz w:val="24"/>
            </w:rPr>
            <w:fldChar w:fldCharType="end"/>
          </w:r>
        </w:sdtContent>
      </w:sdt>
      <w:r>
        <w:rPr>
          <w:sz w:val="24"/>
        </w:rPr>
        <w:t xml:space="preserve">. </w:t>
      </w:r>
    </w:p>
    <w:p w14:paraId="7DAB7ADB" w14:textId="77777777" w:rsidR="00BC4A2B" w:rsidRDefault="00BC4A2B">
      <w:pPr>
        <w:spacing w:line="360" w:lineRule="auto"/>
        <w:rPr>
          <w:sz w:val="24"/>
        </w:rPr>
      </w:pPr>
    </w:p>
    <w:p w14:paraId="5EAC827D" w14:textId="72CA1E98" w:rsidR="00BC4A2B" w:rsidRDefault="00BC4A2B" w:rsidP="00BC4A2B">
      <w:pPr>
        <w:spacing w:line="360" w:lineRule="auto"/>
        <w:rPr>
          <w:sz w:val="24"/>
        </w:rPr>
      </w:pPr>
      <w:r>
        <w:rPr>
          <w:sz w:val="24"/>
        </w:rPr>
        <w:t xml:space="preserve">The second activity is where the children are learning about where Musicians have come from, where they lived and how that affected the types of music that they created. This activity will cover the expressive arts as they will be learning about different musicians and their genres which they will be able to use these features within their own music when they come to create it. It also includes learning humanities as both history and geography will be developed. </w:t>
      </w:r>
      <w:r w:rsidR="0025056B">
        <w:rPr>
          <w:sz w:val="24"/>
        </w:rPr>
        <w:t xml:space="preserve">This activity covers two of the areas of learning and experiences, mathematics and numeracy and humanities. </w:t>
      </w:r>
      <w:r>
        <w:rPr>
          <w:sz w:val="24"/>
        </w:rPr>
        <w:t xml:space="preserve">The children will be able to identify countries that musicians have come from and how the different genres are often linked to the countries. Dates in history will be developed as children will then be able to sequence which musicians were born when and sequence the genres of music in which they were mostly dominant in the periods of time. This will even work on the children’s numeracy work by sequencing dates. </w:t>
      </w:r>
      <w:r>
        <w:rPr>
          <w:sz w:val="24"/>
        </w:rPr>
        <w:lastRenderedPageBreak/>
        <w:t>The children will be encouraged to be ‘creative contributors’ throughout this activity and showing the children examples of creative contributors such as Mozart which could encourage them to be ambitious</w:t>
      </w:r>
      <w:r w:rsidR="00A42CB7">
        <w:rPr>
          <w:sz w:val="24"/>
        </w:rPr>
        <w:t xml:space="preserve"> </w:t>
      </w:r>
      <w:sdt>
        <w:sdtPr>
          <w:rPr>
            <w:sz w:val="24"/>
          </w:rPr>
          <w:id w:val="359866254"/>
          <w:citation/>
        </w:sdtPr>
        <w:sdtEndPr/>
        <w:sdtContent>
          <w:r w:rsidR="00A42CB7">
            <w:rPr>
              <w:sz w:val="24"/>
            </w:rPr>
            <w:fldChar w:fldCharType="begin"/>
          </w:r>
          <w:r w:rsidR="00A42CB7">
            <w:rPr>
              <w:sz w:val="24"/>
            </w:rPr>
            <w:instrText xml:space="preserve">CITATION Don152 \p 29 \l 2057 </w:instrText>
          </w:r>
          <w:r w:rsidR="00A42CB7">
            <w:rPr>
              <w:sz w:val="24"/>
            </w:rPr>
            <w:fldChar w:fldCharType="separate"/>
          </w:r>
          <w:r w:rsidR="00A42CB7" w:rsidRPr="00A42CB7">
            <w:rPr>
              <w:noProof/>
              <w:sz w:val="24"/>
            </w:rPr>
            <w:t>(Donaldson, 2015, p. 29)</w:t>
          </w:r>
          <w:r w:rsidR="00A42CB7">
            <w:rPr>
              <w:sz w:val="24"/>
            </w:rPr>
            <w:fldChar w:fldCharType="end"/>
          </w:r>
        </w:sdtContent>
      </w:sdt>
      <w:r>
        <w:rPr>
          <w:sz w:val="24"/>
        </w:rPr>
        <w:t>. The curriculum states that children should have the skills to ‘</w:t>
      </w:r>
      <w:r w:rsidRPr="005D79F6">
        <w:rPr>
          <w:sz w:val="24"/>
        </w:rPr>
        <w:t>identify similarities and differences to describe, compare and contrast places and environments</w:t>
      </w:r>
      <w:r>
        <w:rPr>
          <w:sz w:val="24"/>
        </w:rPr>
        <w:t xml:space="preserve">’ </w:t>
      </w:r>
      <w:sdt>
        <w:sdtPr>
          <w:rPr>
            <w:sz w:val="24"/>
          </w:rPr>
          <w:id w:val="-1858348934"/>
          <w:citation/>
        </w:sdtPr>
        <w:sdtEndPr/>
        <w:sdtContent>
          <w:r>
            <w:rPr>
              <w:sz w:val="24"/>
            </w:rPr>
            <w:fldChar w:fldCharType="begin"/>
          </w:r>
          <w:r>
            <w:rPr>
              <w:sz w:val="24"/>
            </w:rPr>
            <w:instrText xml:space="preserve">CITATION DCE085 \p 12 \t  \l 2057 </w:instrText>
          </w:r>
          <w:r>
            <w:rPr>
              <w:sz w:val="24"/>
            </w:rPr>
            <w:fldChar w:fldCharType="separate"/>
          </w:r>
          <w:r w:rsidRPr="005D79F6">
            <w:rPr>
              <w:noProof/>
              <w:sz w:val="24"/>
            </w:rPr>
            <w:t>(DCELLS, 2008, p. 12)</w:t>
          </w:r>
          <w:r>
            <w:rPr>
              <w:sz w:val="24"/>
            </w:rPr>
            <w:fldChar w:fldCharType="end"/>
          </w:r>
        </w:sdtContent>
      </w:sdt>
      <w:r>
        <w:rPr>
          <w:sz w:val="24"/>
        </w:rPr>
        <w:t xml:space="preserve">. This activity helps achieve these skills. </w:t>
      </w:r>
      <w:r w:rsidR="00526A93">
        <w:rPr>
          <w:sz w:val="24"/>
        </w:rPr>
        <w:t xml:space="preserve">The thinking skills that will be used would be problem solving to put musicians and genres of music in order. </w:t>
      </w:r>
      <w:r>
        <w:rPr>
          <w:sz w:val="24"/>
        </w:rPr>
        <w:t>The method of cross-curricular that I have chosen to use for this activity is inter-disciplinary.</w:t>
      </w:r>
      <w:r w:rsidR="008F37BE">
        <w:rPr>
          <w:sz w:val="24"/>
        </w:rPr>
        <w:t xml:space="preserve"> </w:t>
      </w:r>
      <w:r>
        <w:rPr>
          <w:sz w:val="24"/>
        </w:rPr>
        <w:t xml:space="preserve">Interdisciplinary is where subjects are ‘connected’ or ‘combined’. The ‘intertwining’ will expand the learning but the objectives for each subject are clearly separated (Barnes, 2015, p. 273). Creative thinking combines the ‘two or more subjects’ with many ‘solutions’ which need ‘collaborative’ responses (Barnes, 2011, pp. 60-61). The advantage of using this method of teaching cross-curricular is that different ‘interpretations’ are given to one area of learning </w:t>
      </w:r>
      <w:sdt>
        <w:sdtPr>
          <w:rPr>
            <w:sz w:val="24"/>
          </w:rPr>
          <w:id w:val="449523604"/>
          <w:citation/>
        </w:sdtPr>
        <w:sdtEndPr/>
        <w:sdtContent>
          <w:r>
            <w:rPr>
              <w:sz w:val="24"/>
            </w:rPr>
            <w:fldChar w:fldCharType="begin"/>
          </w:r>
          <w:r>
            <w:rPr>
              <w:sz w:val="24"/>
            </w:rPr>
            <w:instrText xml:space="preserve">CITATION Bar11 \p 61 \t  \l 2057 </w:instrText>
          </w:r>
          <w:r>
            <w:rPr>
              <w:sz w:val="24"/>
            </w:rPr>
            <w:fldChar w:fldCharType="separate"/>
          </w:r>
          <w:r w:rsidRPr="00003CD1">
            <w:rPr>
              <w:noProof/>
              <w:sz w:val="24"/>
            </w:rPr>
            <w:t>(Barnes, 2011, p. 61)</w:t>
          </w:r>
          <w:r>
            <w:rPr>
              <w:sz w:val="24"/>
            </w:rPr>
            <w:fldChar w:fldCharType="end"/>
          </w:r>
        </w:sdtContent>
      </w:sdt>
      <w:r>
        <w:rPr>
          <w:sz w:val="24"/>
        </w:rPr>
        <w:t xml:space="preserve">. However, the disadvantages of it is that a knowledge of the single subjects, like history and geography in this case, will have to be gained before intertwining the subjects to achieve the best outcome. This disadvantage would not be an issue if the hierarchy method was used because hierarchical is where the more ‘superior’ </w:t>
      </w:r>
      <w:sdt>
        <w:sdtPr>
          <w:rPr>
            <w:sz w:val="24"/>
          </w:rPr>
          <w:id w:val="1182628030"/>
          <w:citation/>
        </w:sdtPr>
        <w:sdtEndPr/>
        <w:sdtContent>
          <w:r>
            <w:rPr>
              <w:sz w:val="24"/>
            </w:rPr>
            <w:fldChar w:fldCharType="begin"/>
          </w:r>
          <w:r>
            <w:rPr>
              <w:sz w:val="24"/>
            </w:rPr>
            <w:instrText xml:space="preserve">CITATION Bar11 \p 57 \t  \l 2057 </w:instrText>
          </w:r>
          <w:r>
            <w:rPr>
              <w:sz w:val="24"/>
            </w:rPr>
            <w:fldChar w:fldCharType="separate"/>
          </w:r>
          <w:r w:rsidRPr="00314B03">
            <w:rPr>
              <w:noProof/>
              <w:sz w:val="24"/>
            </w:rPr>
            <w:t>(Barnes, 2011, p. 57)</w:t>
          </w:r>
          <w:r>
            <w:rPr>
              <w:sz w:val="24"/>
            </w:rPr>
            <w:fldChar w:fldCharType="end"/>
          </w:r>
        </w:sdtContent>
      </w:sdt>
      <w:r>
        <w:rPr>
          <w:sz w:val="24"/>
        </w:rPr>
        <w:t>or ‘dominant’ subjects such as core subjects are supported by the ‘subsidiary’ subjects such as the arts subjects. The learning would be focused on the dominant subjects so learning both subjects would not need to happen</w:t>
      </w:r>
      <w:r w:rsidRPr="007637F1">
        <w:rPr>
          <w:sz w:val="24"/>
        </w:rPr>
        <w:t xml:space="preserve"> </w:t>
      </w:r>
      <w:sdt>
        <w:sdtPr>
          <w:rPr>
            <w:sz w:val="24"/>
          </w:rPr>
          <w:id w:val="-2030716120"/>
          <w:citation/>
        </w:sdtPr>
        <w:sdtEndPr/>
        <w:sdtContent>
          <w:r>
            <w:rPr>
              <w:sz w:val="24"/>
            </w:rPr>
            <w:fldChar w:fldCharType="begin"/>
          </w:r>
          <w:r>
            <w:rPr>
              <w:sz w:val="24"/>
            </w:rPr>
            <w:instrText xml:space="preserve">CITATION Bar15 \p 272 \t  \l 2057 </w:instrText>
          </w:r>
          <w:r>
            <w:rPr>
              <w:sz w:val="24"/>
            </w:rPr>
            <w:fldChar w:fldCharType="separate"/>
          </w:r>
          <w:r w:rsidRPr="00314B03">
            <w:rPr>
              <w:noProof/>
              <w:sz w:val="24"/>
            </w:rPr>
            <w:t>(Barnes, 2015, p. 272)</w:t>
          </w:r>
          <w:r>
            <w:rPr>
              <w:sz w:val="24"/>
            </w:rPr>
            <w:fldChar w:fldCharType="end"/>
          </w:r>
        </w:sdtContent>
      </w:sdt>
      <w:r>
        <w:rPr>
          <w:sz w:val="24"/>
        </w:rPr>
        <w:t>.</w:t>
      </w:r>
    </w:p>
    <w:p w14:paraId="60F629C0" w14:textId="77777777" w:rsidR="00BC4A2B" w:rsidRDefault="00BC4A2B">
      <w:pPr>
        <w:spacing w:line="360" w:lineRule="auto"/>
        <w:rPr>
          <w:sz w:val="24"/>
        </w:rPr>
      </w:pPr>
    </w:p>
    <w:p w14:paraId="48930687" w14:textId="0FD7862A" w:rsidR="00A67C1E" w:rsidRDefault="00805283">
      <w:pPr>
        <w:spacing w:line="360" w:lineRule="auto"/>
        <w:rPr>
          <w:sz w:val="24"/>
        </w:rPr>
      </w:pPr>
      <w:r>
        <w:rPr>
          <w:sz w:val="24"/>
        </w:rPr>
        <w:t>The final activity would be a recycling-based activity. The children would be able to learn aspects of ESDGC within this activity as it would cover themes</w:t>
      </w:r>
      <w:r w:rsidR="00E336A9">
        <w:rPr>
          <w:sz w:val="24"/>
        </w:rPr>
        <w:t xml:space="preserve"> such as</w:t>
      </w:r>
      <w:r>
        <w:rPr>
          <w:sz w:val="24"/>
        </w:rPr>
        <w:t xml:space="preserve"> consumption and waste; wealth and poverty; and identity and culture </w:t>
      </w:r>
      <w:sdt>
        <w:sdtPr>
          <w:rPr>
            <w:sz w:val="24"/>
          </w:rPr>
          <w:id w:val="926464144"/>
          <w:citation/>
        </w:sdtPr>
        <w:sdtEndPr/>
        <w:sdtContent>
          <w:r>
            <w:rPr>
              <w:sz w:val="24"/>
            </w:rPr>
            <w:fldChar w:fldCharType="begin"/>
          </w:r>
          <w:r>
            <w:rPr>
              <w:sz w:val="24"/>
            </w:rPr>
            <w:instrText xml:space="preserve">CITATION DCE086 \p 14 \l 2057 </w:instrText>
          </w:r>
          <w:r>
            <w:rPr>
              <w:sz w:val="24"/>
            </w:rPr>
            <w:fldChar w:fldCharType="separate"/>
          </w:r>
          <w:r w:rsidRPr="00805283">
            <w:rPr>
              <w:noProof/>
              <w:sz w:val="24"/>
            </w:rPr>
            <w:t>(DCELLS, 2008, p. 14)</w:t>
          </w:r>
          <w:r>
            <w:rPr>
              <w:sz w:val="24"/>
            </w:rPr>
            <w:fldChar w:fldCharType="end"/>
          </w:r>
        </w:sdtContent>
      </w:sdt>
      <w:r>
        <w:rPr>
          <w:sz w:val="24"/>
        </w:rPr>
        <w:t xml:space="preserve">. The children would be learning how instruments can be made out of everyday items like a tin can or glass bottle and how wealth and poverty and where people come from effects the way musicians make music. This activity can </w:t>
      </w:r>
      <w:r w:rsidR="00064502">
        <w:rPr>
          <w:sz w:val="24"/>
        </w:rPr>
        <w:t xml:space="preserve">follow on from the </w:t>
      </w:r>
      <w:r w:rsidR="00BC4A2B">
        <w:rPr>
          <w:sz w:val="24"/>
        </w:rPr>
        <w:t>second</w:t>
      </w:r>
      <w:r w:rsidR="00064502">
        <w:rPr>
          <w:sz w:val="24"/>
        </w:rPr>
        <w:t xml:space="preserve"> </w:t>
      </w:r>
      <w:r w:rsidR="00BC4A2B">
        <w:rPr>
          <w:sz w:val="24"/>
        </w:rPr>
        <w:t>activity</w:t>
      </w:r>
      <w:r w:rsidR="00064502">
        <w:rPr>
          <w:sz w:val="24"/>
        </w:rPr>
        <w:t xml:space="preserve"> where history is involved with the learning as instruments in early periods were often made out of recycling</w:t>
      </w:r>
      <w:r w:rsidR="00371C94">
        <w:rPr>
          <w:sz w:val="24"/>
        </w:rPr>
        <w:t xml:space="preserve"> everyday</w:t>
      </w:r>
      <w:r w:rsidR="00064502">
        <w:rPr>
          <w:sz w:val="24"/>
        </w:rPr>
        <w:t xml:space="preserve"> items</w:t>
      </w:r>
      <w:r w:rsidR="00371C94">
        <w:rPr>
          <w:sz w:val="24"/>
        </w:rPr>
        <w:t>.</w:t>
      </w:r>
      <w:r w:rsidR="00BC4A2B">
        <w:rPr>
          <w:sz w:val="24"/>
        </w:rPr>
        <w:t xml:space="preserve"> The children would be able to </w:t>
      </w:r>
      <w:r w:rsidR="00F03971">
        <w:rPr>
          <w:sz w:val="24"/>
        </w:rPr>
        <w:t>compose their own music, perform it and then evaluate it while learning the musical terms such as tempo and dynamics.</w:t>
      </w:r>
      <w:r w:rsidR="00FA7CA3">
        <w:rPr>
          <w:sz w:val="24"/>
        </w:rPr>
        <w:t xml:space="preserve"> </w:t>
      </w:r>
      <w:r w:rsidR="00E749C3">
        <w:rPr>
          <w:sz w:val="24"/>
        </w:rPr>
        <w:t xml:space="preserve">The evaluation could be a written exercise where the children are able to say what went well, how they </w:t>
      </w:r>
      <w:r w:rsidR="00E749C3">
        <w:rPr>
          <w:sz w:val="24"/>
        </w:rPr>
        <w:lastRenderedPageBreak/>
        <w:t xml:space="preserve">would improve but </w:t>
      </w:r>
      <w:r w:rsidR="00B0190D">
        <w:rPr>
          <w:sz w:val="24"/>
        </w:rPr>
        <w:t>with the use of the new terminology they have learnt and refamiliarizes the terminology when they write it and improves their communication skills both written and verbally</w:t>
      </w:r>
      <w:r w:rsidR="001B1788">
        <w:rPr>
          <w:sz w:val="24"/>
        </w:rPr>
        <w:t>, covering the languages, literacy and communication area of learning and experiences</w:t>
      </w:r>
      <w:r w:rsidR="00F52716">
        <w:rPr>
          <w:sz w:val="24"/>
        </w:rPr>
        <w:t xml:space="preserve"> and the LNF</w:t>
      </w:r>
      <w:r w:rsidR="00B0190D">
        <w:rPr>
          <w:sz w:val="24"/>
        </w:rPr>
        <w:t>.</w:t>
      </w:r>
      <w:r w:rsidR="00E749C3">
        <w:rPr>
          <w:sz w:val="24"/>
        </w:rPr>
        <w:t xml:space="preserve"> </w:t>
      </w:r>
      <w:r w:rsidR="004C615A">
        <w:rPr>
          <w:sz w:val="24"/>
        </w:rPr>
        <w:t>The curriculum document for music specifies that children should have the opportunity to develop their skills to ‘</w:t>
      </w:r>
      <w:r w:rsidR="004C615A" w:rsidRPr="004C615A">
        <w:rPr>
          <w:sz w:val="24"/>
        </w:rPr>
        <w:t>explore, use, create, select and organise sounds for a musical purpose</w:t>
      </w:r>
      <w:r w:rsidR="004C615A">
        <w:rPr>
          <w:sz w:val="24"/>
        </w:rPr>
        <w:t>’</w:t>
      </w:r>
      <w:r w:rsidR="004C615A" w:rsidRPr="004C615A">
        <w:rPr>
          <w:sz w:val="24"/>
        </w:rPr>
        <w:t xml:space="preserve"> </w:t>
      </w:r>
      <w:sdt>
        <w:sdtPr>
          <w:rPr>
            <w:sz w:val="24"/>
          </w:rPr>
          <w:id w:val="780692524"/>
          <w:citation/>
        </w:sdtPr>
        <w:sdtEndPr/>
        <w:sdtContent>
          <w:r w:rsidR="004C615A">
            <w:rPr>
              <w:sz w:val="24"/>
            </w:rPr>
            <w:fldChar w:fldCharType="begin"/>
          </w:r>
          <w:r w:rsidR="004C615A">
            <w:rPr>
              <w:sz w:val="24"/>
            </w:rPr>
            <w:instrText xml:space="preserve">CITATION DCE087 \p 13 \l 2057 </w:instrText>
          </w:r>
          <w:r w:rsidR="004C615A">
            <w:rPr>
              <w:sz w:val="24"/>
            </w:rPr>
            <w:fldChar w:fldCharType="separate"/>
          </w:r>
          <w:r w:rsidR="004C615A" w:rsidRPr="004C615A">
            <w:rPr>
              <w:noProof/>
              <w:sz w:val="24"/>
            </w:rPr>
            <w:t>(DCELLS, 2008, p. 13)</w:t>
          </w:r>
          <w:r w:rsidR="004C615A">
            <w:rPr>
              <w:sz w:val="24"/>
            </w:rPr>
            <w:fldChar w:fldCharType="end"/>
          </w:r>
        </w:sdtContent>
      </w:sdt>
      <w:r w:rsidR="004C615A">
        <w:rPr>
          <w:sz w:val="24"/>
        </w:rPr>
        <w:t>.</w:t>
      </w:r>
      <w:r w:rsidR="0027269C">
        <w:rPr>
          <w:sz w:val="24"/>
        </w:rPr>
        <w:t xml:space="preserve"> Th</w:t>
      </w:r>
      <w:r w:rsidR="00CA729F">
        <w:rPr>
          <w:sz w:val="24"/>
        </w:rPr>
        <w:t>is covers th</w:t>
      </w:r>
      <w:r w:rsidR="0027269C">
        <w:rPr>
          <w:sz w:val="24"/>
        </w:rPr>
        <w:t>e area of learning and experience</w:t>
      </w:r>
      <w:r w:rsidR="00E61593">
        <w:rPr>
          <w:sz w:val="24"/>
        </w:rPr>
        <w:t>s</w:t>
      </w:r>
      <w:r w:rsidR="00CA729F">
        <w:rPr>
          <w:sz w:val="24"/>
        </w:rPr>
        <w:t xml:space="preserve">, expressive </w:t>
      </w:r>
      <w:r w:rsidR="0027269C">
        <w:rPr>
          <w:sz w:val="24"/>
        </w:rPr>
        <w:t>arts</w:t>
      </w:r>
      <w:r w:rsidR="00CA729F">
        <w:rPr>
          <w:sz w:val="24"/>
        </w:rPr>
        <w:t>.</w:t>
      </w:r>
      <w:r w:rsidR="0027269C">
        <w:rPr>
          <w:sz w:val="24"/>
        </w:rPr>
        <w:t xml:space="preserve"> </w:t>
      </w:r>
      <w:r w:rsidR="007219A1">
        <w:rPr>
          <w:sz w:val="24"/>
        </w:rPr>
        <w:t xml:space="preserve">The children will be improving their thinking skills by </w:t>
      </w:r>
      <w:r w:rsidR="00E84A50">
        <w:rPr>
          <w:sz w:val="24"/>
        </w:rPr>
        <w:t>‘</w:t>
      </w:r>
      <w:r w:rsidR="007219A1">
        <w:rPr>
          <w:sz w:val="24"/>
        </w:rPr>
        <w:t>evaluating their own learning and thinking</w:t>
      </w:r>
      <w:r w:rsidR="00E84A50">
        <w:rPr>
          <w:sz w:val="24"/>
        </w:rPr>
        <w:t xml:space="preserve">’ </w:t>
      </w:r>
      <w:sdt>
        <w:sdtPr>
          <w:rPr>
            <w:sz w:val="24"/>
          </w:rPr>
          <w:id w:val="1520889971"/>
          <w:citation/>
        </w:sdtPr>
        <w:sdtEndPr/>
        <w:sdtContent>
          <w:r w:rsidR="00E84A50">
            <w:rPr>
              <w:sz w:val="24"/>
            </w:rPr>
            <w:fldChar w:fldCharType="begin"/>
          </w:r>
          <w:r w:rsidR="00E84A50">
            <w:rPr>
              <w:sz w:val="24"/>
            </w:rPr>
            <w:instrText xml:space="preserve">CITATION How10 \p 24 \l 2057 </w:instrText>
          </w:r>
          <w:r w:rsidR="00E84A50">
            <w:rPr>
              <w:sz w:val="24"/>
            </w:rPr>
            <w:fldChar w:fldCharType="separate"/>
          </w:r>
          <w:r w:rsidR="00E84A50" w:rsidRPr="00E84A50">
            <w:rPr>
              <w:noProof/>
              <w:sz w:val="24"/>
            </w:rPr>
            <w:t>(DCELLS, 2010, p. 24)</w:t>
          </w:r>
          <w:r w:rsidR="00E84A50">
            <w:rPr>
              <w:sz w:val="24"/>
            </w:rPr>
            <w:fldChar w:fldCharType="end"/>
          </w:r>
        </w:sdtContent>
      </w:sdt>
      <w:r w:rsidR="007219A1">
        <w:rPr>
          <w:sz w:val="24"/>
        </w:rPr>
        <w:t>.</w:t>
      </w:r>
      <w:r w:rsidR="004C615A">
        <w:rPr>
          <w:sz w:val="24"/>
        </w:rPr>
        <w:t xml:space="preserve"> </w:t>
      </w:r>
      <w:r w:rsidR="00FA7CA3">
        <w:rPr>
          <w:sz w:val="24"/>
        </w:rPr>
        <w:t xml:space="preserve">The cross-curricular method that I have chosen for this is </w:t>
      </w:r>
      <w:r w:rsidR="007E6235">
        <w:rPr>
          <w:sz w:val="24"/>
        </w:rPr>
        <w:t>o</w:t>
      </w:r>
      <w:r w:rsidR="00A67C1E">
        <w:rPr>
          <w:sz w:val="24"/>
        </w:rPr>
        <w:t>pportunistic</w:t>
      </w:r>
      <w:r w:rsidR="007E6235">
        <w:rPr>
          <w:sz w:val="24"/>
        </w:rPr>
        <w:t>. Opportunistic</w:t>
      </w:r>
      <w:r w:rsidR="00A67C1E">
        <w:rPr>
          <w:sz w:val="24"/>
        </w:rPr>
        <w:t xml:space="preserve"> is child-lead and learning </w:t>
      </w:r>
      <w:r w:rsidR="008320C6">
        <w:rPr>
          <w:sz w:val="24"/>
        </w:rPr>
        <w:t>are</w:t>
      </w:r>
      <w:r w:rsidR="00A67C1E">
        <w:rPr>
          <w:sz w:val="24"/>
        </w:rPr>
        <w:t xml:space="preserve"> developed from </w:t>
      </w:r>
      <w:r w:rsidR="001101A6">
        <w:rPr>
          <w:sz w:val="24"/>
        </w:rPr>
        <w:t>their</w:t>
      </w:r>
      <w:r w:rsidR="00A67C1E">
        <w:rPr>
          <w:sz w:val="24"/>
        </w:rPr>
        <w:t xml:space="preserve"> child’s experiences or questions. The teacher challenges the children to develop this learning and understanding</w:t>
      </w:r>
      <w:sdt>
        <w:sdtPr>
          <w:rPr>
            <w:sz w:val="24"/>
          </w:rPr>
          <w:id w:val="-1397201143"/>
          <w:citation/>
        </w:sdtPr>
        <w:sdtEndPr/>
        <w:sdtContent>
          <w:r w:rsidR="00EF4E51">
            <w:rPr>
              <w:sz w:val="24"/>
            </w:rPr>
            <w:fldChar w:fldCharType="begin"/>
          </w:r>
          <w:r w:rsidR="00EF4E51">
            <w:rPr>
              <w:sz w:val="24"/>
            </w:rPr>
            <w:instrText xml:space="preserve">CITATION Bar15 \p 273-274 \t  \l 2057 </w:instrText>
          </w:r>
          <w:r w:rsidR="00EF4E51">
            <w:rPr>
              <w:sz w:val="24"/>
            </w:rPr>
            <w:fldChar w:fldCharType="separate"/>
          </w:r>
          <w:r w:rsidR="00EF4E51">
            <w:rPr>
              <w:noProof/>
              <w:sz w:val="24"/>
            </w:rPr>
            <w:t xml:space="preserve"> </w:t>
          </w:r>
          <w:r w:rsidR="00EF4E51" w:rsidRPr="00EF4E51">
            <w:rPr>
              <w:noProof/>
              <w:sz w:val="24"/>
            </w:rPr>
            <w:t>(Barnes, 2015, pp. 273-274)</w:t>
          </w:r>
          <w:r w:rsidR="00EF4E51">
            <w:rPr>
              <w:sz w:val="24"/>
            </w:rPr>
            <w:fldChar w:fldCharType="end"/>
          </w:r>
        </w:sdtContent>
      </w:sdt>
      <w:r w:rsidR="00A67C1E">
        <w:rPr>
          <w:sz w:val="24"/>
        </w:rPr>
        <w:t xml:space="preserve">. The children allow the learning to go as </w:t>
      </w:r>
      <w:r w:rsidR="00FA7CA3">
        <w:rPr>
          <w:sz w:val="24"/>
        </w:rPr>
        <w:t>deep and thorough</w:t>
      </w:r>
      <w:r w:rsidR="00A67C1E">
        <w:rPr>
          <w:sz w:val="24"/>
        </w:rPr>
        <w:t xml:space="preserve"> as they </w:t>
      </w:r>
      <w:r w:rsidR="00FA7CA3">
        <w:rPr>
          <w:sz w:val="24"/>
        </w:rPr>
        <w:t xml:space="preserve">want with only the guidance from teacher being minimum and where essential. </w:t>
      </w:r>
      <w:sdt>
        <w:sdtPr>
          <w:rPr>
            <w:sz w:val="24"/>
          </w:rPr>
          <w:id w:val="403118526"/>
          <w:citation/>
        </w:sdtPr>
        <w:sdtEndPr/>
        <w:sdtContent>
          <w:r w:rsidR="00FA7CA3">
            <w:rPr>
              <w:sz w:val="24"/>
            </w:rPr>
            <w:fldChar w:fldCharType="begin"/>
          </w:r>
          <w:r w:rsidR="00FA7CA3">
            <w:rPr>
              <w:sz w:val="24"/>
            </w:rPr>
            <w:instrText xml:space="preserve">CITATION Bar11 \p 63-64 \t  \l 2057 </w:instrText>
          </w:r>
          <w:r w:rsidR="00FA7CA3">
            <w:rPr>
              <w:sz w:val="24"/>
            </w:rPr>
            <w:fldChar w:fldCharType="separate"/>
          </w:r>
          <w:r w:rsidR="00FA7CA3" w:rsidRPr="00FA7CA3">
            <w:rPr>
              <w:noProof/>
              <w:sz w:val="24"/>
            </w:rPr>
            <w:t>(Barnes, 2011, pp. 63-64)</w:t>
          </w:r>
          <w:r w:rsidR="00FA7CA3">
            <w:rPr>
              <w:sz w:val="24"/>
            </w:rPr>
            <w:fldChar w:fldCharType="end"/>
          </w:r>
        </w:sdtContent>
      </w:sdt>
      <w:r w:rsidR="00A67C1E">
        <w:rPr>
          <w:sz w:val="24"/>
        </w:rPr>
        <w:t>.</w:t>
      </w:r>
      <w:r w:rsidR="00C36B11">
        <w:rPr>
          <w:sz w:val="24"/>
        </w:rPr>
        <w:t xml:space="preserve"> The advantage of this method is that the children’s voices are being heard which is encouraging and motivating for children to learn as it is the topics that they feel have importance to them</w:t>
      </w:r>
      <w:r w:rsidR="00C36B11">
        <w:t xml:space="preserve"> </w:t>
      </w:r>
      <w:sdt>
        <w:sdtPr>
          <w:rPr>
            <w:sz w:val="24"/>
          </w:rPr>
          <w:id w:val="1296106810"/>
          <w:citation/>
        </w:sdtPr>
        <w:sdtEndPr/>
        <w:sdtContent>
          <w:r w:rsidR="00C36B11">
            <w:rPr>
              <w:sz w:val="24"/>
            </w:rPr>
            <w:fldChar w:fldCharType="begin"/>
          </w:r>
          <w:r w:rsidR="00C36B11">
            <w:rPr>
              <w:sz w:val="24"/>
            </w:rPr>
            <w:instrText xml:space="preserve">CITATION Bar11 \p 64 \t  \l 2057 </w:instrText>
          </w:r>
          <w:r w:rsidR="00C36B11">
            <w:rPr>
              <w:sz w:val="24"/>
            </w:rPr>
            <w:fldChar w:fldCharType="separate"/>
          </w:r>
          <w:r w:rsidR="00C36B11" w:rsidRPr="00C36B11">
            <w:rPr>
              <w:noProof/>
              <w:sz w:val="24"/>
            </w:rPr>
            <w:t>(Barnes, 2011, p. 64)</w:t>
          </w:r>
          <w:r w:rsidR="00C36B11">
            <w:rPr>
              <w:sz w:val="24"/>
            </w:rPr>
            <w:fldChar w:fldCharType="end"/>
          </w:r>
        </w:sdtContent>
      </w:sdt>
      <w:r w:rsidR="00C36B11">
        <w:rPr>
          <w:sz w:val="24"/>
        </w:rPr>
        <w:t xml:space="preserve">. </w:t>
      </w:r>
      <w:r w:rsidR="00B85AD1">
        <w:rPr>
          <w:sz w:val="24"/>
        </w:rPr>
        <w:t xml:space="preserve">The disadvantage of opportunistic is that </w:t>
      </w:r>
      <w:r w:rsidR="00B36250">
        <w:rPr>
          <w:sz w:val="24"/>
        </w:rPr>
        <w:t>it can be harder fo</w:t>
      </w:r>
      <w:r w:rsidR="002A3F21">
        <w:rPr>
          <w:sz w:val="24"/>
        </w:rPr>
        <w:t>r</w:t>
      </w:r>
      <w:r w:rsidR="00B36250">
        <w:rPr>
          <w:sz w:val="24"/>
        </w:rPr>
        <w:t xml:space="preserve"> teachers to teach and is usually done by the more experienced and ‘confident’ teachers as it is harder to plan for what questions the children might ask so teachers would have to be knowledgeable of the topic</w:t>
      </w:r>
      <w:r w:rsidR="002A3F21">
        <w:rPr>
          <w:sz w:val="24"/>
        </w:rPr>
        <w:t xml:space="preserve"> </w:t>
      </w:r>
      <w:sdt>
        <w:sdtPr>
          <w:rPr>
            <w:sz w:val="24"/>
          </w:rPr>
          <w:id w:val="-1898735300"/>
          <w:citation/>
        </w:sdtPr>
        <w:sdtEndPr/>
        <w:sdtContent>
          <w:r w:rsidR="002A3F21">
            <w:rPr>
              <w:sz w:val="24"/>
            </w:rPr>
            <w:fldChar w:fldCharType="begin"/>
          </w:r>
          <w:r w:rsidR="002A3F21">
            <w:rPr>
              <w:sz w:val="24"/>
            </w:rPr>
            <w:instrText xml:space="preserve">CITATION Bar15 \p 273-274 \t  \l 2057 </w:instrText>
          </w:r>
          <w:r w:rsidR="002A3F21">
            <w:rPr>
              <w:sz w:val="24"/>
            </w:rPr>
            <w:fldChar w:fldCharType="separate"/>
          </w:r>
          <w:r w:rsidR="002A3F21" w:rsidRPr="002A3F21">
            <w:rPr>
              <w:noProof/>
              <w:sz w:val="24"/>
            </w:rPr>
            <w:t>(Barnes, 2015, pp. 273-274)</w:t>
          </w:r>
          <w:r w:rsidR="002A3F21">
            <w:rPr>
              <w:sz w:val="24"/>
            </w:rPr>
            <w:fldChar w:fldCharType="end"/>
          </w:r>
        </w:sdtContent>
      </w:sdt>
      <w:r w:rsidR="00B36250">
        <w:rPr>
          <w:sz w:val="24"/>
        </w:rPr>
        <w:t xml:space="preserve">. </w:t>
      </w:r>
    </w:p>
    <w:p w14:paraId="42BECBAC" w14:textId="62409390" w:rsidR="00B8032F" w:rsidRDefault="00B8032F">
      <w:pPr>
        <w:spacing w:line="360" w:lineRule="auto"/>
        <w:rPr>
          <w:sz w:val="24"/>
        </w:rPr>
      </w:pPr>
    </w:p>
    <w:p w14:paraId="1A66AD68" w14:textId="3D317E24" w:rsidR="00303B1D" w:rsidRDefault="00E749C3">
      <w:pPr>
        <w:spacing w:line="360" w:lineRule="auto"/>
        <w:rPr>
          <w:sz w:val="24"/>
        </w:rPr>
      </w:pPr>
      <w:r>
        <w:rPr>
          <w:sz w:val="24"/>
        </w:rPr>
        <w:t xml:space="preserve">I believe there are benefits of </w:t>
      </w:r>
      <w:r w:rsidR="00A57B9C">
        <w:rPr>
          <w:sz w:val="24"/>
        </w:rPr>
        <w:t xml:space="preserve">teaching and </w:t>
      </w:r>
      <w:r>
        <w:rPr>
          <w:sz w:val="24"/>
        </w:rPr>
        <w:t>learning cross-curricular. T</w:t>
      </w:r>
      <w:r w:rsidR="00DC09BD">
        <w:rPr>
          <w:sz w:val="24"/>
        </w:rPr>
        <w:t xml:space="preserve">he first </w:t>
      </w:r>
      <w:r w:rsidR="00F40745">
        <w:rPr>
          <w:sz w:val="24"/>
        </w:rPr>
        <w:t xml:space="preserve">argument for cross-curricular would be that </w:t>
      </w:r>
      <w:r w:rsidR="0058499C">
        <w:rPr>
          <w:sz w:val="24"/>
        </w:rPr>
        <w:t xml:space="preserve">it is more like ‘real world learning’ and appropriate contexts </w:t>
      </w:r>
      <w:sdt>
        <w:sdtPr>
          <w:rPr>
            <w:sz w:val="24"/>
          </w:rPr>
          <w:id w:val="-1990311750"/>
          <w:citation/>
        </w:sdtPr>
        <w:sdtEndPr/>
        <w:sdtContent>
          <w:r w:rsidR="0058499C">
            <w:rPr>
              <w:sz w:val="24"/>
            </w:rPr>
            <w:fldChar w:fldCharType="begin"/>
          </w:r>
          <w:r w:rsidR="0058499C">
            <w:rPr>
              <w:sz w:val="24"/>
            </w:rPr>
            <w:instrText xml:space="preserve">CITATION Bar15 \p 275 \t  \l 2057 </w:instrText>
          </w:r>
          <w:r w:rsidR="0058499C">
            <w:rPr>
              <w:sz w:val="24"/>
            </w:rPr>
            <w:fldChar w:fldCharType="separate"/>
          </w:r>
          <w:r w:rsidR="0058499C" w:rsidRPr="0058499C">
            <w:rPr>
              <w:noProof/>
              <w:sz w:val="24"/>
            </w:rPr>
            <w:t>(Barnes, 2015, p. 275)</w:t>
          </w:r>
          <w:r w:rsidR="0058499C">
            <w:rPr>
              <w:sz w:val="24"/>
            </w:rPr>
            <w:fldChar w:fldCharType="end"/>
          </w:r>
        </w:sdtContent>
      </w:sdt>
      <w:r w:rsidR="0058499C">
        <w:rPr>
          <w:sz w:val="24"/>
        </w:rPr>
        <w:t xml:space="preserve">. </w:t>
      </w:r>
      <w:r w:rsidR="009F15E0">
        <w:rPr>
          <w:sz w:val="24"/>
        </w:rPr>
        <w:t xml:space="preserve">I like this idea of having more suitable learning experiences as in everyday life they don’t fall under one ‘umbrella’, they have many factors contributing to them. I feel like this is an advantage because the children will be better equipped to deal with real life situations. The second argument for would be </w:t>
      </w:r>
      <w:r w:rsidR="004D735B">
        <w:rPr>
          <w:sz w:val="24"/>
        </w:rPr>
        <w:t xml:space="preserve">that creative ideas are more ‘valuable and imaginable’ making the curriculum a more innovative curriculum which is achieved by listening to the pupil’s views on what they want to learn </w:t>
      </w:r>
      <w:sdt>
        <w:sdtPr>
          <w:rPr>
            <w:sz w:val="24"/>
          </w:rPr>
          <w:id w:val="-555314914"/>
          <w:citation/>
        </w:sdtPr>
        <w:sdtEndPr/>
        <w:sdtContent>
          <w:r w:rsidR="004D735B">
            <w:rPr>
              <w:sz w:val="24"/>
            </w:rPr>
            <w:fldChar w:fldCharType="begin"/>
          </w:r>
          <w:r w:rsidR="004D735B">
            <w:rPr>
              <w:sz w:val="24"/>
            </w:rPr>
            <w:instrText xml:space="preserve">CITATION Bar15 \p 272 \t  \l 2057 </w:instrText>
          </w:r>
          <w:r w:rsidR="004D735B">
            <w:rPr>
              <w:sz w:val="24"/>
            </w:rPr>
            <w:fldChar w:fldCharType="separate"/>
          </w:r>
          <w:r w:rsidR="004D735B" w:rsidRPr="004D735B">
            <w:rPr>
              <w:noProof/>
              <w:sz w:val="24"/>
            </w:rPr>
            <w:t>(Barnes, 2015, p. 272)</w:t>
          </w:r>
          <w:r w:rsidR="004D735B">
            <w:rPr>
              <w:sz w:val="24"/>
            </w:rPr>
            <w:fldChar w:fldCharType="end"/>
          </w:r>
        </w:sdtContent>
      </w:sdt>
      <w:r w:rsidR="004D735B">
        <w:rPr>
          <w:sz w:val="24"/>
        </w:rPr>
        <w:t>.</w:t>
      </w:r>
      <w:r w:rsidR="00243427">
        <w:rPr>
          <w:sz w:val="24"/>
        </w:rPr>
        <w:t xml:space="preserve"> </w:t>
      </w:r>
      <w:r w:rsidR="00362EB3">
        <w:rPr>
          <w:sz w:val="24"/>
        </w:rPr>
        <w:t xml:space="preserve"> </w:t>
      </w:r>
      <w:r w:rsidR="00303B1D">
        <w:rPr>
          <w:sz w:val="24"/>
        </w:rPr>
        <w:t xml:space="preserve">There is also the belief that teaching and learning cross-curricular can help strengthen the curriculum and make it more manageable. </w:t>
      </w:r>
      <w:r w:rsidR="005A625C">
        <w:rPr>
          <w:sz w:val="24"/>
        </w:rPr>
        <w:t xml:space="preserve">This links to the areas of learning and experiences. Cross-curricular can mean that having an experience such as a school trip can </w:t>
      </w:r>
      <w:r w:rsidR="005A625C">
        <w:rPr>
          <w:sz w:val="24"/>
        </w:rPr>
        <w:lastRenderedPageBreak/>
        <w:t>have different outcomes for learning, different classes can ‘simply respond in different subject ways</w:t>
      </w:r>
      <w:r w:rsidR="00BC39BA">
        <w:rPr>
          <w:sz w:val="24"/>
        </w:rPr>
        <w:t xml:space="preserve"> to</w:t>
      </w:r>
      <w:r w:rsidR="005A625C">
        <w:rPr>
          <w:sz w:val="24"/>
        </w:rPr>
        <w:t xml:space="preserve"> the same experience’</w:t>
      </w:r>
      <w:r w:rsidR="00BC39BA">
        <w:rPr>
          <w:sz w:val="24"/>
        </w:rPr>
        <w:t xml:space="preserve"> </w:t>
      </w:r>
      <w:sdt>
        <w:sdtPr>
          <w:rPr>
            <w:sz w:val="24"/>
          </w:rPr>
          <w:id w:val="-498501571"/>
          <w:citation/>
        </w:sdtPr>
        <w:sdtEndPr/>
        <w:sdtContent>
          <w:r w:rsidR="00BC39BA">
            <w:rPr>
              <w:sz w:val="24"/>
            </w:rPr>
            <w:fldChar w:fldCharType="begin"/>
          </w:r>
          <w:r w:rsidR="00BC39BA">
            <w:rPr>
              <w:sz w:val="24"/>
            </w:rPr>
            <w:instrText xml:space="preserve">CITATION Bar11 \p 76 \t  \l 2057 </w:instrText>
          </w:r>
          <w:r w:rsidR="00BC39BA">
            <w:rPr>
              <w:sz w:val="24"/>
            </w:rPr>
            <w:fldChar w:fldCharType="separate"/>
          </w:r>
          <w:r w:rsidR="00BC39BA" w:rsidRPr="00BC39BA">
            <w:rPr>
              <w:noProof/>
              <w:sz w:val="24"/>
            </w:rPr>
            <w:t>(Barnes, 2011, p. 76)</w:t>
          </w:r>
          <w:r w:rsidR="00BC39BA">
            <w:rPr>
              <w:sz w:val="24"/>
            </w:rPr>
            <w:fldChar w:fldCharType="end"/>
          </w:r>
        </w:sdtContent>
      </w:sdt>
      <w:r w:rsidR="005A625C">
        <w:rPr>
          <w:sz w:val="24"/>
        </w:rPr>
        <w:t xml:space="preserve">. Doing this helps cover many parts of the curriculum from one experience as children are able to take the learning in a </w:t>
      </w:r>
      <w:proofErr w:type="gramStart"/>
      <w:r w:rsidR="005A625C">
        <w:rPr>
          <w:sz w:val="24"/>
        </w:rPr>
        <w:t>direct</w:t>
      </w:r>
      <w:r w:rsidR="00BC39BA">
        <w:rPr>
          <w:sz w:val="24"/>
        </w:rPr>
        <w:t>ion</w:t>
      </w:r>
      <w:proofErr w:type="gramEnd"/>
      <w:r w:rsidR="005A625C">
        <w:rPr>
          <w:sz w:val="24"/>
        </w:rPr>
        <w:t xml:space="preserve"> they want which is </w:t>
      </w:r>
      <w:r w:rsidR="00710F31">
        <w:rPr>
          <w:sz w:val="24"/>
        </w:rPr>
        <w:t>an</w:t>
      </w:r>
      <w:r w:rsidR="005A625C">
        <w:rPr>
          <w:sz w:val="24"/>
        </w:rPr>
        <w:t xml:space="preserve"> opportunistic method of cross-curricular. </w:t>
      </w:r>
    </w:p>
    <w:p w14:paraId="27B80FD7" w14:textId="77777777" w:rsidR="00303B1D" w:rsidRDefault="00303B1D">
      <w:pPr>
        <w:spacing w:line="360" w:lineRule="auto"/>
        <w:rPr>
          <w:sz w:val="24"/>
        </w:rPr>
      </w:pPr>
    </w:p>
    <w:p w14:paraId="57AA78EC" w14:textId="6C4DDAE4" w:rsidR="00637379" w:rsidRDefault="00362EB3">
      <w:pPr>
        <w:spacing w:line="360" w:lineRule="auto"/>
        <w:rPr>
          <w:sz w:val="24"/>
        </w:rPr>
      </w:pPr>
      <w:r>
        <w:rPr>
          <w:sz w:val="24"/>
        </w:rPr>
        <w:t xml:space="preserve">However, </w:t>
      </w:r>
      <w:r w:rsidR="00A57B9C">
        <w:rPr>
          <w:sz w:val="24"/>
        </w:rPr>
        <w:t xml:space="preserve">an argument against cross-curricular teaching and learning is that ‘poor’ teaching can lead to ‘fragile, untransferable and difficult-to-articulate learning’ </w:t>
      </w:r>
      <w:sdt>
        <w:sdtPr>
          <w:rPr>
            <w:sz w:val="24"/>
          </w:rPr>
          <w:id w:val="-189298138"/>
          <w:citation/>
        </w:sdtPr>
        <w:sdtEndPr/>
        <w:sdtContent>
          <w:r w:rsidR="00A57B9C">
            <w:rPr>
              <w:sz w:val="24"/>
            </w:rPr>
            <w:fldChar w:fldCharType="begin"/>
          </w:r>
          <w:r w:rsidR="00A57B9C">
            <w:rPr>
              <w:sz w:val="24"/>
            </w:rPr>
            <w:instrText xml:space="preserve">CITATION Bar11 \p 56 \t  \l 2057 </w:instrText>
          </w:r>
          <w:r w:rsidR="00A57B9C">
            <w:rPr>
              <w:sz w:val="24"/>
            </w:rPr>
            <w:fldChar w:fldCharType="separate"/>
          </w:r>
          <w:r w:rsidR="00A57B9C" w:rsidRPr="00A57B9C">
            <w:rPr>
              <w:noProof/>
              <w:sz w:val="24"/>
            </w:rPr>
            <w:t>(Barnes, 2011, p. 56)</w:t>
          </w:r>
          <w:r w:rsidR="00A57B9C">
            <w:rPr>
              <w:sz w:val="24"/>
            </w:rPr>
            <w:fldChar w:fldCharType="end"/>
          </w:r>
        </w:sdtContent>
      </w:sdt>
      <w:r w:rsidR="00A57B9C">
        <w:rPr>
          <w:sz w:val="24"/>
        </w:rPr>
        <w:t>. This the affects the effectiveness of the children’s learning and is normally because the teacher is not confident in teaching cross-curricular</w:t>
      </w:r>
      <w:r w:rsidR="00E8430C">
        <w:rPr>
          <w:sz w:val="24"/>
        </w:rPr>
        <w:t xml:space="preserve"> and creates barriers to the children’s learning. </w:t>
      </w:r>
      <w:r w:rsidR="00637379">
        <w:rPr>
          <w:sz w:val="24"/>
        </w:rPr>
        <w:t xml:space="preserve">There is also the argument against cross-curricular pedagogy because it is ‘not simple’ as there are many types of teaching and learning cross-curricular such as hierarchical and inter-disciplinary </w:t>
      </w:r>
      <w:sdt>
        <w:sdtPr>
          <w:rPr>
            <w:sz w:val="24"/>
          </w:rPr>
          <w:id w:val="1234897437"/>
          <w:citation/>
        </w:sdtPr>
        <w:sdtEndPr/>
        <w:sdtContent>
          <w:r w:rsidR="00637379">
            <w:rPr>
              <w:sz w:val="24"/>
            </w:rPr>
            <w:fldChar w:fldCharType="begin"/>
          </w:r>
          <w:r w:rsidR="00637379">
            <w:rPr>
              <w:sz w:val="24"/>
            </w:rPr>
            <w:instrText xml:space="preserve">CITATION Bar11 \p 53 \t  \l 2057 </w:instrText>
          </w:r>
          <w:r w:rsidR="00637379">
            <w:rPr>
              <w:sz w:val="24"/>
            </w:rPr>
            <w:fldChar w:fldCharType="separate"/>
          </w:r>
          <w:r w:rsidR="00637379" w:rsidRPr="00637379">
            <w:rPr>
              <w:noProof/>
              <w:sz w:val="24"/>
            </w:rPr>
            <w:t>(Barnes, 2011, p. 53)</w:t>
          </w:r>
          <w:r w:rsidR="00637379">
            <w:rPr>
              <w:sz w:val="24"/>
            </w:rPr>
            <w:fldChar w:fldCharType="end"/>
          </w:r>
        </w:sdtContent>
      </w:sdt>
      <w:r w:rsidR="00637379">
        <w:rPr>
          <w:sz w:val="24"/>
        </w:rPr>
        <w:t>. This can make it confusing for teachers to teach but also if the children are being taught through five different methods of cross-curricular it ca</w:t>
      </w:r>
      <w:r w:rsidR="00ED5939">
        <w:rPr>
          <w:sz w:val="24"/>
        </w:rPr>
        <w:t>n</w:t>
      </w:r>
      <w:r w:rsidR="00637379">
        <w:rPr>
          <w:sz w:val="24"/>
        </w:rPr>
        <w:t xml:space="preserve"> become more difficult for them to understand the learning that is taking place.</w:t>
      </w:r>
      <w:r w:rsidR="008549D3">
        <w:rPr>
          <w:sz w:val="24"/>
        </w:rPr>
        <w:t xml:space="preserve"> A final argument against would be that ‘detailed and lengthy planning’ is essential in order to make sure that progression is being made and that it covers the curriculum well </w:t>
      </w:r>
      <w:sdt>
        <w:sdtPr>
          <w:rPr>
            <w:sz w:val="24"/>
          </w:rPr>
          <w:id w:val="-174959840"/>
          <w:citation/>
        </w:sdtPr>
        <w:sdtEndPr/>
        <w:sdtContent>
          <w:r w:rsidR="008549D3">
            <w:rPr>
              <w:sz w:val="24"/>
            </w:rPr>
            <w:fldChar w:fldCharType="begin"/>
          </w:r>
          <w:r w:rsidR="008549D3">
            <w:rPr>
              <w:sz w:val="24"/>
            </w:rPr>
            <w:instrText xml:space="preserve">CITATION Bar11 \p 95 \t  \l 2057 </w:instrText>
          </w:r>
          <w:r w:rsidR="008549D3">
            <w:rPr>
              <w:sz w:val="24"/>
            </w:rPr>
            <w:fldChar w:fldCharType="separate"/>
          </w:r>
          <w:r w:rsidR="008549D3" w:rsidRPr="008549D3">
            <w:rPr>
              <w:noProof/>
              <w:sz w:val="24"/>
            </w:rPr>
            <w:t>(Barnes, 2011, p. 95)</w:t>
          </w:r>
          <w:r w:rsidR="008549D3">
            <w:rPr>
              <w:sz w:val="24"/>
            </w:rPr>
            <w:fldChar w:fldCharType="end"/>
          </w:r>
        </w:sdtContent>
      </w:sdt>
      <w:r w:rsidR="008549D3">
        <w:rPr>
          <w:sz w:val="24"/>
        </w:rPr>
        <w:t xml:space="preserve">. </w:t>
      </w:r>
      <w:r w:rsidR="00B84492">
        <w:rPr>
          <w:sz w:val="24"/>
        </w:rPr>
        <w:t xml:space="preserve">Otherwise, the learning can become repetitive with links being weak or very similar in different topics. </w:t>
      </w:r>
      <w:r w:rsidR="00A77B73">
        <w:rPr>
          <w:sz w:val="24"/>
        </w:rPr>
        <w:t>Strong links can help enhance learning in a variety of subjects and areas of learning and experiences. Weak links and repetitive links</w:t>
      </w:r>
      <w:r w:rsidR="00B84492">
        <w:rPr>
          <w:sz w:val="24"/>
        </w:rPr>
        <w:t xml:space="preserve"> can be less motivating for the children to learn. It can also mean that is planning is not successful, topic-based activities can fail and not work properly where assessment is hard to complete and may not even be subject-specific enough to cover the curriculum.</w:t>
      </w:r>
    </w:p>
    <w:p w14:paraId="50C26625" w14:textId="382C0663" w:rsidR="0048629B" w:rsidRDefault="0048629B">
      <w:pPr>
        <w:spacing w:line="360" w:lineRule="auto"/>
        <w:rPr>
          <w:sz w:val="24"/>
        </w:rPr>
      </w:pPr>
    </w:p>
    <w:p w14:paraId="79E3D2B3" w14:textId="45CA44B1" w:rsidR="008F24D6" w:rsidRDefault="0048629B">
      <w:pPr>
        <w:spacing w:line="360" w:lineRule="auto"/>
        <w:rPr>
          <w:sz w:val="24"/>
        </w:rPr>
      </w:pPr>
      <w:r>
        <w:rPr>
          <w:sz w:val="24"/>
        </w:rPr>
        <w:t xml:space="preserve">In conclusion, I </w:t>
      </w:r>
      <w:r w:rsidR="008F24D6">
        <w:rPr>
          <w:sz w:val="24"/>
        </w:rPr>
        <w:t xml:space="preserve">believe that cross-curricular teaching and learning is a benefit to both children and teachers. After discussing the methods of cross-curricular, I feel that the most suitable method will depend on the topic and activities. However, I do have a better feeling towards the inter-disciplinary and multi-disciplinary as I believe that these are easier to plan for than the likes of opportunistic.  This is because from a teacher’s perspective it can be hard to plan for as the ‘children’s responses come unplanned and unexpected’ </w:t>
      </w:r>
      <w:sdt>
        <w:sdtPr>
          <w:rPr>
            <w:sz w:val="24"/>
          </w:rPr>
          <w:id w:val="173475903"/>
          <w:citation/>
        </w:sdtPr>
        <w:sdtEndPr/>
        <w:sdtContent>
          <w:r w:rsidR="008F24D6">
            <w:rPr>
              <w:sz w:val="24"/>
            </w:rPr>
            <w:fldChar w:fldCharType="begin"/>
          </w:r>
          <w:r w:rsidR="008F24D6">
            <w:rPr>
              <w:sz w:val="24"/>
            </w:rPr>
            <w:instrText xml:space="preserve">CITATION Bar11 \p 64 \t  \l 2057 </w:instrText>
          </w:r>
          <w:r w:rsidR="008F24D6">
            <w:rPr>
              <w:sz w:val="24"/>
            </w:rPr>
            <w:fldChar w:fldCharType="separate"/>
          </w:r>
          <w:r w:rsidR="008F24D6" w:rsidRPr="008F24D6">
            <w:rPr>
              <w:noProof/>
              <w:sz w:val="24"/>
            </w:rPr>
            <w:t>(Barnes, 2011, p. 64)</w:t>
          </w:r>
          <w:r w:rsidR="008F24D6">
            <w:rPr>
              <w:sz w:val="24"/>
            </w:rPr>
            <w:fldChar w:fldCharType="end"/>
          </w:r>
        </w:sdtContent>
      </w:sdt>
      <w:r w:rsidR="008F24D6">
        <w:rPr>
          <w:sz w:val="24"/>
        </w:rPr>
        <w:t xml:space="preserve">. </w:t>
      </w:r>
      <w:r w:rsidR="00BE7E7B">
        <w:rPr>
          <w:sz w:val="24"/>
        </w:rPr>
        <w:t xml:space="preserve">In general, I feel there is a better understanding now of how to teach, learn </w:t>
      </w:r>
      <w:r w:rsidR="00BE7E7B">
        <w:rPr>
          <w:sz w:val="24"/>
        </w:rPr>
        <w:lastRenderedPageBreak/>
        <w:t xml:space="preserve">and plan cross-curricular than there was previously as we now </w:t>
      </w:r>
      <w:r w:rsidR="0022773A">
        <w:rPr>
          <w:sz w:val="24"/>
        </w:rPr>
        <w:t xml:space="preserve">have an understanding of the ‘need’ to ‘develop a flexible and learning society’ </w:t>
      </w:r>
      <w:sdt>
        <w:sdtPr>
          <w:rPr>
            <w:sz w:val="24"/>
          </w:rPr>
          <w:id w:val="355160643"/>
          <w:citation/>
        </w:sdtPr>
        <w:sdtEndPr/>
        <w:sdtContent>
          <w:r w:rsidR="0022773A">
            <w:rPr>
              <w:sz w:val="24"/>
            </w:rPr>
            <w:fldChar w:fldCharType="begin"/>
          </w:r>
          <w:r w:rsidR="0022773A">
            <w:rPr>
              <w:sz w:val="24"/>
            </w:rPr>
            <w:instrText xml:space="preserve">CITATION Bar11 \p 15 \t  \l 2057 </w:instrText>
          </w:r>
          <w:r w:rsidR="0022773A">
            <w:rPr>
              <w:sz w:val="24"/>
            </w:rPr>
            <w:fldChar w:fldCharType="separate"/>
          </w:r>
          <w:r w:rsidR="0022773A" w:rsidRPr="0022773A">
            <w:rPr>
              <w:noProof/>
              <w:sz w:val="24"/>
            </w:rPr>
            <w:t>(Barnes, 2011, p. 15)</w:t>
          </w:r>
          <w:r w:rsidR="0022773A">
            <w:rPr>
              <w:sz w:val="24"/>
            </w:rPr>
            <w:fldChar w:fldCharType="end"/>
          </w:r>
        </w:sdtContent>
      </w:sdt>
      <w:r w:rsidR="00BE7E7B">
        <w:rPr>
          <w:sz w:val="24"/>
        </w:rPr>
        <w:t>. This makes it easier to cover more aspects of the curriculum without having to plan separate lesson plans and activities to cover each subject even though I understand that planning for cross-curricular activities can be more challenging to plan and more time consuming.</w:t>
      </w:r>
      <w:r w:rsidR="00B84FE9">
        <w:rPr>
          <w:sz w:val="24"/>
        </w:rPr>
        <w:t xml:space="preserve"> I do also understand the argument against teaching, learning and planning cross-curricular as I believe it may be harder for teachers who have not had much up-to-date training on teaching cross-curricular but for those of us who are currently being trained as teachers, I feel these arguments against are less likely to be barriers for us.</w:t>
      </w:r>
    </w:p>
    <w:p w14:paraId="7BBA0946" w14:textId="4CE27B67" w:rsidR="008A36C0" w:rsidRDefault="008A36C0">
      <w:pPr>
        <w:spacing w:line="360" w:lineRule="auto"/>
        <w:rPr>
          <w:sz w:val="24"/>
        </w:rPr>
      </w:pPr>
    </w:p>
    <w:p w14:paraId="27A50BF7" w14:textId="77777777" w:rsidR="0092666E" w:rsidRDefault="0092666E">
      <w:pPr>
        <w:spacing w:line="360" w:lineRule="auto"/>
        <w:rPr>
          <w:sz w:val="24"/>
        </w:rPr>
      </w:pPr>
      <w:bookmarkStart w:id="0" w:name="_GoBack"/>
      <w:bookmarkEnd w:id="0"/>
    </w:p>
    <w:p w14:paraId="1B442571" w14:textId="6857284B" w:rsidR="008A36C0" w:rsidRDefault="00C800D6">
      <w:pPr>
        <w:spacing w:line="360" w:lineRule="auto"/>
        <w:rPr>
          <w:sz w:val="24"/>
        </w:rPr>
      </w:pPr>
      <w:r>
        <w:rPr>
          <w:sz w:val="24"/>
        </w:rPr>
        <w:t>Word count: 2102</w:t>
      </w:r>
    </w:p>
    <w:p w14:paraId="3215A1ED" w14:textId="01C8CBA4" w:rsidR="008A36C0" w:rsidRDefault="008A36C0">
      <w:pPr>
        <w:spacing w:line="360" w:lineRule="auto"/>
        <w:rPr>
          <w:sz w:val="24"/>
        </w:rPr>
      </w:pPr>
    </w:p>
    <w:p w14:paraId="0F38FBF1" w14:textId="77777777" w:rsidR="0092666E" w:rsidRDefault="0092666E">
      <w:pPr>
        <w:spacing w:line="360" w:lineRule="auto"/>
        <w:rPr>
          <w:sz w:val="24"/>
        </w:rPr>
      </w:pPr>
    </w:p>
    <w:sdt>
      <w:sdtPr>
        <w:rPr>
          <w:rFonts w:ascii="Calibri" w:eastAsia="Calibri" w:hAnsi="Calibri" w:cs="Times New Roman"/>
          <w:color w:val="auto"/>
          <w:sz w:val="22"/>
          <w:szCs w:val="22"/>
          <w:lang w:val="en-GB"/>
        </w:rPr>
        <w:id w:val="124593668"/>
        <w:docPartObj>
          <w:docPartGallery w:val="Bibliographies"/>
          <w:docPartUnique/>
        </w:docPartObj>
      </w:sdtPr>
      <w:sdtEndPr/>
      <w:sdtContent>
        <w:p w14:paraId="0C0132C7" w14:textId="7BDDB6B2" w:rsidR="008A36C0" w:rsidRDefault="008A36C0">
          <w:pPr>
            <w:pStyle w:val="Heading1"/>
          </w:pPr>
          <w:r>
            <w:t>References</w:t>
          </w:r>
        </w:p>
        <w:sdt>
          <w:sdtPr>
            <w:id w:val="-573587230"/>
            <w:bibliography/>
          </w:sdtPr>
          <w:sdtEndPr/>
          <w:sdtContent>
            <w:p w14:paraId="06F0416B" w14:textId="77777777" w:rsidR="008A36C0" w:rsidRDefault="008A36C0" w:rsidP="008A36C0">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Barnes, J. (2011). </w:t>
              </w:r>
              <w:r>
                <w:rPr>
                  <w:i/>
                  <w:iCs/>
                  <w:noProof/>
                  <w:lang w:val="en-US"/>
                </w:rPr>
                <w:t>Cross-Curricular Learning 3-15</w:t>
              </w:r>
              <w:r>
                <w:rPr>
                  <w:noProof/>
                  <w:lang w:val="en-US"/>
                </w:rPr>
                <w:t xml:space="preserve"> (Second ed.). London: SAGE Publications Inc.</w:t>
              </w:r>
            </w:p>
            <w:p w14:paraId="4A0A6689" w14:textId="77777777" w:rsidR="008A36C0" w:rsidRDefault="008A36C0" w:rsidP="008A36C0">
              <w:pPr>
                <w:pStyle w:val="Bibliography"/>
                <w:ind w:left="720" w:hanging="720"/>
                <w:rPr>
                  <w:noProof/>
                  <w:lang w:val="en-US"/>
                </w:rPr>
              </w:pPr>
              <w:r>
                <w:rPr>
                  <w:noProof/>
                  <w:lang w:val="en-US"/>
                </w:rPr>
                <w:t xml:space="preserve">Barnes, J. (2015). </w:t>
              </w:r>
              <w:r>
                <w:rPr>
                  <w:i/>
                  <w:iCs/>
                  <w:noProof/>
                  <w:lang w:val="en-US"/>
                </w:rPr>
                <w:t>An Introduction to Cross-Curricular Learning.</w:t>
              </w:r>
              <w:r>
                <w:rPr>
                  <w:noProof/>
                  <w:lang w:val="en-US"/>
                </w:rPr>
                <w:t xml:space="preserve"> London: Sage Publications Inc.</w:t>
              </w:r>
            </w:p>
            <w:p w14:paraId="0C0C663F" w14:textId="77777777" w:rsidR="008A36C0" w:rsidRDefault="008A36C0" w:rsidP="008A36C0">
              <w:pPr>
                <w:pStyle w:val="Bibliography"/>
                <w:ind w:left="720" w:hanging="720"/>
                <w:rPr>
                  <w:noProof/>
                  <w:lang w:val="en-US"/>
                </w:rPr>
              </w:pPr>
              <w:r>
                <w:rPr>
                  <w:noProof/>
                  <w:lang w:val="en-US"/>
                </w:rPr>
                <w:t xml:space="preserve">DCELLS. (2008). </w:t>
              </w:r>
              <w:r>
                <w:rPr>
                  <w:i/>
                  <w:iCs/>
                  <w:noProof/>
                  <w:lang w:val="en-US"/>
                </w:rPr>
                <w:t>Education for Sustainable Development and Global Citizenship A Common Understanding for Schools .</w:t>
              </w:r>
              <w:r>
                <w:rPr>
                  <w:noProof/>
                  <w:lang w:val="en-US"/>
                </w:rPr>
                <w:t xml:space="preserve"> Cardiff: Welsh Assembly Government.</w:t>
              </w:r>
            </w:p>
            <w:p w14:paraId="52BB3582" w14:textId="77777777" w:rsidR="008A36C0" w:rsidRDefault="008A36C0" w:rsidP="008A36C0">
              <w:pPr>
                <w:pStyle w:val="Bibliography"/>
                <w:ind w:left="720" w:hanging="720"/>
                <w:rPr>
                  <w:noProof/>
                  <w:lang w:val="en-US"/>
                </w:rPr>
              </w:pPr>
              <w:r>
                <w:rPr>
                  <w:noProof/>
                  <w:lang w:val="en-US"/>
                </w:rPr>
                <w:t xml:space="preserve">DCELLS. (2008). </w:t>
              </w:r>
              <w:r>
                <w:rPr>
                  <w:i/>
                  <w:iCs/>
                  <w:noProof/>
                  <w:lang w:val="en-US"/>
                </w:rPr>
                <w:t>Geography in the National Curriculum for Wales.</w:t>
              </w:r>
              <w:r>
                <w:rPr>
                  <w:noProof/>
                  <w:lang w:val="en-US"/>
                </w:rPr>
                <w:t xml:space="preserve"> Cardiff: Welsh Government Assembly.</w:t>
              </w:r>
            </w:p>
            <w:p w14:paraId="7300A606" w14:textId="77777777" w:rsidR="008A36C0" w:rsidRDefault="008A36C0" w:rsidP="008A36C0">
              <w:pPr>
                <w:pStyle w:val="Bibliography"/>
                <w:ind w:left="720" w:hanging="720"/>
                <w:rPr>
                  <w:noProof/>
                  <w:lang w:val="en-US"/>
                </w:rPr>
              </w:pPr>
              <w:r>
                <w:rPr>
                  <w:noProof/>
                  <w:lang w:val="en-US"/>
                </w:rPr>
                <w:t xml:space="preserve">DCELLS. (2008). </w:t>
              </w:r>
              <w:r>
                <w:rPr>
                  <w:i/>
                  <w:iCs/>
                  <w:noProof/>
                  <w:lang w:val="en-US"/>
                </w:rPr>
                <w:t>Music in the National Curriculum for Wales .</w:t>
              </w:r>
              <w:r>
                <w:rPr>
                  <w:noProof/>
                  <w:lang w:val="en-US"/>
                </w:rPr>
                <w:t xml:space="preserve"> Cardiff: Welsh Assembly Government.</w:t>
              </w:r>
            </w:p>
            <w:p w14:paraId="7AEE204C" w14:textId="77777777" w:rsidR="008A36C0" w:rsidRDefault="008A36C0" w:rsidP="008A36C0">
              <w:pPr>
                <w:pStyle w:val="Bibliography"/>
                <w:ind w:left="720" w:hanging="720"/>
                <w:rPr>
                  <w:noProof/>
                  <w:lang w:val="en-US"/>
                </w:rPr>
              </w:pPr>
              <w:r>
                <w:rPr>
                  <w:noProof/>
                  <w:lang w:val="en-US"/>
                </w:rPr>
                <w:t xml:space="preserve">DCELLS. (2008). </w:t>
              </w:r>
              <w:r>
                <w:rPr>
                  <w:i/>
                  <w:iCs/>
                  <w:noProof/>
                  <w:lang w:val="en-US"/>
                </w:rPr>
                <w:t>Physical education in the National Curriculum for Wales .</w:t>
              </w:r>
              <w:r>
                <w:rPr>
                  <w:noProof/>
                  <w:lang w:val="en-US"/>
                </w:rPr>
                <w:t xml:space="preserve"> Cardiff: Welsh Assembly Government.</w:t>
              </w:r>
            </w:p>
            <w:p w14:paraId="1C5A0803" w14:textId="77777777" w:rsidR="008A36C0" w:rsidRDefault="008A36C0" w:rsidP="008A36C0">
              <w:pPr>
                <w:pStyle w:val="Bibliography"/>
                <w:ind w:left="720" w:hanging="720"/>
                <w:rPr>
                  <w:noProof/>
                  <w:lang w:val="en-US"/>
                </w:rPr>
              </w:pPr>
              <w:r>
                <w:rPr>
                  <w:noProof/>
                  <w:lang w:val="en-US"/>
                </w:rPr>
                <w:t xml:space="preserve">DCELLS. (2010). </w:t>
              </w:r>
              <w:r>
                <w:rPr>
                  <w:i/>
                  <w:iCs/>
                  <w:noProof/>
                  <w:lang w:val="en-US"/>
                </w:rPr>
                <w:t>How to develop thinking and assessment for learning in the classroom.</w:t>
              </w:r>
              <w:r>
                <w:rPr>
                  <w:noProof/>
                  <w:lang w:val="en-US"/>
                </w:rPr>
                <w:t xml:space="preserve"> Cardiff: Welsh Assembly Government.</w:t>
              </w:r>
            </w:p>
            <w:p w14:paraId="44F20D11" w14:textId="77777777" w:rsidR="008A36C0" w:rsidRDefault="008A36C0" w:rsidP="008A36C0">
              <w:pPr>
                <w:pStyle w:val="Bibliography"/>
                <w:ind w:left="720" w:hanging="720"/>
                <w:rPr>
                  <w:noProof/>
                  <w:lang w:val="en-US"/>
                </w:rPr>
              </w:pPr>
              <w:r>
                <w:rPr>
                  <w:noProof/>
                  <w:lang w:val="en-US"/>
                </w:rPr>
                <w:t xml:space="preserve">Donaldson, P. (2015). </w:t>
              </w:r>
              <w:r>
                <w:rPr>
                  <w:i/>
                  <w:iCs/>
                  <w:noProof/>
                  <w:lang w:val="en-US"/>
                </w:rPr>
                <w:t>Successful Futures.</w:t>
              </w:r>
              <w:r>
                <w:rPr>
                  <w:noProof/>
                  <w:lang w:val="en-US"/>
                </w:rPr>
                <w:t xml:space="preserve"> Cardiff: Welsh Assembly Government.</w:t>
              </w:r>
            </w:p>
            <w:p w14:paraId="14EC24F0" w14:textId="63612545" w:rsidR="008A36C0" w:rsidRDefault="008A36C0" w:rsidP="008A36C0">
              <w:pPr>
                <w:pStyle w:val="Bibliography"/>
                <w:ind w:left="720" w:hanging="720"/>
                <w:rPr>
                  <w:noProof/>
                  <w:lang w:val="en-US"/>
                </w:rPr>
              </w:pPr>
              <w:r>
                <w:rPr>
                  <w:noProof/>
                  <w:lang w:val="en-US"/>
                </w:rPr>
                <w:t xml:space="preserve">Savage, J. (2010, February 12). </w:t>
              </w:r>
              <w:r>
                <w:rPr>
                  <w:i/>
                  <w:iCs/>
                  <w:noProof/>
                  <w:lang w:val="en-US"/>
                </w:rPr>
                <w:t>Cross-curricular teaching and learning 5: Definitions</w:t>
              </w:r>
              <w:r>
                <w:rPr>
                  <w:noProof/>
                  <w:lang w:val="en-US"/>
                </w:rPr>
                <w:t>. Accessed date 20 December  2018, from Jonathan Savage - Supporting innovation in education: www.jsavage.org.uk/research/cross-curricular-teaching-and-learning-5-definitions/</w:t>
              </w:r>
            </w:p>
            <w:p w14:paraId="20C6F712" w14:textId="537075FA" w:rsidR="008A36C0" w:rsidRPr="008A36C0" w:rsidRDefault="008A36C0" w:rsidP="008A36C0">
              <w:r>
                <w:rPr>
                  <w:b/>
                  <w:bCs/>
                  <w:noProof/>
                </w:rPr>
                <w:fldChar w:fldCharType="end"/>
              </w:r>
            </w:p>
          </w:sdtContent>
        </w:sdt>
      </w:sdtContent>
    </w:sdt>
    <w:sectPr w:rsidR="008A36C0" w:rsidRPr="008A36C0">
      <w:headerReference w:type="default" r:id="rId9"/>
      <w:footerReference w:type="default" r:id="rId10"/>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CEC25B" w14:textId="77777777" w:rsidR="00C800D6" w:rsidRDefault="00C800D6">
      <w:pPr>
        <w:spacing w:after="0" w:line="240" w:lineRule="auto"/>
      </w:pPr>
      <w:r>
        <w:separator/>
      </w:r>
    </w:p>
  </w:endnote>
  <w:endnote w:type="continuationSeparator" w:id="0">
    <w:p w14:paraId="4F02DF5F" w14:textId="77777777" w:rsidR="00C800D6" w:rsidRDefault="00C80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B67BE" w14:textId="77777777" w:rsidR="00C800D6" w:rsidRDefault="00C800D6">
    <w:pPr>
      <w:pStyle w:val="Footer"/>
      <w:jc w:val="right"/>
    </w:pPr>
    <w:r>
      <w:t xml:space="preserve">Page </w:t>
    </w:r>
    <w:r>
      <w:rPr>
        <w:b/>
        <w:bCs/>
      </w:rPr>
      <w:fldChar w:fldCharType="begin"/>
    </w:r>
    <w:r>
      <w:rPr>
        <w:b/>
        <w:bCs/>
      </w:rPr>
      <w:instrText xml:space="preserve"> PAGE </w:instrText>
    </w:r>
    <w:r>
      <w:rPr>
        <w:b/>
        <w:bCs/>
      </w:rPr>
      <w:fldChar w:fldCharType="separate"/>
    </w:r>
    <w:r>
      <w:rPr>
        <w:b/>
        <w:bCs/>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rPr>
      <w:t>2</w:t>
    </w:r>
    <w:r>
      <w:rPr>
        <w:b/>
        <w:bCs/>
      </w:rPr>
      <w:fldChar w:fldCharType="end"/>
    </w:r>
  </w:p>
  <w:p w14:paraId="7B278C2F" w14:textId="77777777" w:rsidR="00C800D6" w:rsidRDefault="00C800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39CEB3" w14:textId="77777777" w:rsidR="00C800D6" w:rsidRDefault="00C800D6">
      <w:pPr>
        <w:spacing w:after="0" w:line="240" w:lineRule="auto"/>
      </w:pPr>
      <w:r>
        <w:rPr>
          <w:color w:val="000000"/>
        </w:rPr>
        <w:separator/>
      </w:r>
    </w:p>
  </w:footnote>
  <w:footnote w:type="continuationSeparator" w:id="0">
    <w:p w14:paraId="3FBB8AF5" w14:textId="77777777" w:rsidR="00C800D6" w:rsidRDefault="00C800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1644E" w14:textId="77777777" w:rsidR="00C800D6" w:rsidRDefault="00C800D6">
    <w:pPr>
      <w:pStyle w:val="Header"/>
    </w:pPr>
    <w:r>
      <w:t>Rhian Williams</w:t>
    </w:r>
    <w:r>
      <w:tab/>
    </w:r>
    <w:r>
      <w:tab/>
      <w:t>Student Number - 1801978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276B10"/>
    <w:multiLevelType w:val="multilevel"/>
    <w:tmpl w:val="059EBF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44B"/>
    <w:rsid w:val="00003CD1"/>
    <w:rsid w:val="00057486"/>
    <w:rsid w:val="00064502"/>
    <w:rsid w:val="000727B1"/>
    <w:rsid w:val="000D5CCF"/>
    <w:rsid w:val="00102E6A"/>
    <w:rsid w:val="001101A6"/>
    <w:rsid w:val="00194B1F"/>
    <w:rsid w:val="001B1788"/>
    <w:rsid w:val="0022773A"/>
    <w:rsid w:val="00243427"/>
    <w:rsid w:val="00245343"/>
    <w:rsid w:val="0025056B"/>
    <w:rsid w:val="00263AFE"/>
    <w:rsid w:val="0027269C"/>
    <w:rsid w:val="002A3F21"/>
    <w:rsid w:val="002C5650"/>
    <w:rsid w:val="00303B1D"/>
    <w:rsid w:val="00314B03"/>
    <w:rsid w:val="00362EB3"/>
    <w:rsid w:val="00371C94"/>
    <w:rsid w:val="003F00AC"/>
    <w:rsid w:val="00425771"/>
    <w:rsid w:val="0048629B"/>
    <w:rsid w:val="004C615A"/>
    <w:rsid w:val="004D49E3"/>
    <w:rsid w:val="004D735B"/>
    <w:rsid w:val="004D7F68"/>
    <w:rsid w:val="00526A93"/>
    <w:rsid w:val="00536F8C"/>
    <w:rsid w:val="00583C15"/>
    <w:rsid w:val="0058499C"/>
    <w:rsid w:val="00593AD0"/>
    <w:rsid w:val="005A625C"/>
    <w:rsid w:val="005B2154"/>
    <w:rsid w:val="005D79F6"/>
    <w:rsid w:val="00600719"/>
    <w:rsid w:val="0062314B"/>
    <w:rsid w:val="00637379"/>
    <w:rsid w:val="00677C6E"/>
    <w:rsid w:val="006962EC"/>
    <w:rsid w:val="006B706A"/>
    <w:rsid w:val="006C37E6"/>
    <w:rsid w:val="006D098B"/>
    <w:rsid w:val="006D328E"/>
    <w:rsid w:val="006E502C"/>
    <w:rsid w:val="00710F31"/>
    <w:rsid w:val="00713FDE"/>
    <w:rsid w:val="007219A1"/>
    <w:rsid w:val="00744FD2"/>
    <w:rsid w:val="007637F1"/>
    <w:rsid w:val="007867B0"/>
    <w:rsid w:val="007D0CCE"/>
    <w:rsid w:val="007D56FE"/>
    <w:rsid w:val="007E6235"/>
    <w:rsid w:val="00805283"/>
    <w:rsid w:val="008320C6"/>
    <w:rsid w:val="008549D3"/>
    <w:rsid w:val="0085511F"/>
    <w:rsid w:val="008A36C0"/>
    <w:rsid w:val="008E4D7E"/>
    <w:rsid w:val="008F24D6"/>
    <w:rsid w:val="008F37BE"/>
    <w:rsid w:val="008F5266"/>
    <w:rsid w:val="009116F5"/>
    <w:rsid w:val="009144ED"/>
    <w:rsid w:val="0092666E"/>
    <w:rsid w:val="009660CA"/>
    <w:rsid w:val="009A5977"/>
    <w:rsid w:val="009F15E0"/>
    <w:rsid w:val="00A25229"/>
    <w:rsid w:val="00A42CB7"/>
    <w:rsid w:val="00A57B9C"/>
    <w:rsid w:val="00A67C1E"/>
    <w:rsid w:val="00A77B73"/>
    <w:rsid w:val="00AA6C70"/>
    <w:rsid w:val="00AB3C5D"/>
    <w:rsid w:val="00AC6B83"/>
    <w:rsid w:val="00B0190D"/>
    <w:rsid w:val="00B110FF"/>
    <w:rsid w:val="00B25B4C"/>
    <w:rsid w:val="00B36250"/>
    <w:rsid w:val="00B8032F"/>
    <w:rsid w:val="00B84492"/>
    <w:rsid w:val="00B84FE9"/>
    <w:rsid w:val="00B85AD1"/>
    <w:rsid w:val="00B975B3"/>
    <w:rsid w:val="00BA4E64"/>
    <w:rsid w:val="00BC39BA"/>
    <w:rsid w:val="00BC4A2B"/>
    <w:rsid w:val="00BC716E"/>
    <w:rsid w:val="00BE5060"/>
    <w:rsid w:val="00BE7E7B"/>
    <w:rsid w:val="00C252B8"/>
    <w:rsid w:val="00C357B0"/>
    <w:rsid w:val="00C36B11"/>
    <w:rsid w:val="00C4510E"/>
    <w:rsid w:val="00C458B4"/>
    <w:rsid w:val="00C800D6"/>
    <w:rsid w:val="00CA729F"/>
    <w:rsid w:val="00D3144B"/>
    <w:rsid w:val="00D32741"/>
    <w:rsid w:val="00DA7F88"/>
    <w:rsid w:val="00DC09BD"/>
    <w:rsid w:val="00DF226D"/>
    <w:rsid w:val="00E077A2"/>
    <w:rsid w:val="00E336A9"/>
    <w:rsid w:val="00E4770E"/>
    <w:rsid w:val="00E61593"/>
    <w:rsid w:val="00E749C3"/>
    <w:rsid w:val="00E80DC5"/>
    <w:rsid w:val="00E8430C"/>
    <w:rsid w:val="00E84A50"/>
    <w:rsid w:val="00ED0E9A"/>
    <w:rsid w:val="00ED5939"/>
    <w:rsid w:val="00EE00B2"/>
    <w:rsid w:val="00EF4E51"/>
    <w:rsid w:val="00F03877"/>
    <w:rsid w:val="00F03971"/>
    <w:rsid w:val="00F07F9E"/>
    <w:rsid w:val="00F13295"/>
    <w:rsid w:val="00F2524F"/>
    <w:rsid w:val="00F369AF"/>
    <w:rsid w:val="00F40745"/>
    <w:rsid w:val="00F448A4"/>
    <w:rsid w:val="00F52716"/>
    <w:rsid w:val="00F900A6"/>
    <w:rsid w:val="00F95F97"/>
    <w:rsid w:val="00FA7CA3"/>
    <w:rsid w:val="00FC6D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919FE"/>
  <w15:docId w15:val="{8F73AF92-F852-4725-BD46-0150EA240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8A36C0"/>
    <w:pPr>
      <w:keepNext/>
      <w:keepLines/>
      <w:suppressAutoHyphens w:val="0"/>
      <w:autoSpaceDN/>
      <w:spacing w:before="240" w:after="0" w:line="259"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ListParagraph">
    <w:name w:val="List Paragraph"/>
    <w:basedOn w:val="Normal"/>
    <w:pPr>
      <w:ind w:left="720"/>
    </w:pPr>
  </w:style>
  <w:style w:type="character" w:customStyle="1" w:styleId="Heading1Char">
    <w:name w:val="Heading 1 Char"/>
    <w:basedOn w:val="DefaultParagraphFont"/>
    <w:link w:val="Heading1"/>
    <w:uiPriority w:val="9"/>
    <w:rsid w:val="008A36C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A36C0"/>
  </w:style>
  <w:style w:type="table" w:customStyle="1" w:styleId="TableGrid">
    <w:name w:val="TableGrid"/>
    <w:rsid w:val="00BC716E"/>
    <w:pPr>
      <w:autoSpaceDN/>
      <w:spacing w:after="0" w:line="240" w:lineRule="auto"/>
      <w:textAlignment w:val="auto"/>
    </w:pPr>
    <w:rPr>
      <w:rFonts w:asciiTheme="minorHAnsi" w:eastAsiaTheme="minorEastAsia" w:hAnsiTheme="minorHAnsi" w:cstheme="minorBidi"/>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95327">
      <w:bodyDiv w:val="1"/>
      <w:marLeft w:val="0"/>
      <w:marRight w:val="0"/>
      <w:marTop w:val="0"/>
      <w:marBottom w:val="0"/>
      <w:divBdr>
        <w:top w:val="none" w:sz="0" w:space="0" w:color="auto"/>
        <w:left w:val="none" w:sz="0" w:space="0" w:color="auto"/>
        <w:bottom w:val="none" w:sz="0" w:space="0" w:color="auto"/>
        <w:right w:val="none" w:sz="0" w:space="0" w:color="auto"/>
      </w:divBdr>
    </w:div>
    <w:div w:id="58410534">
      <w:bodyDiv w:val="1"/>
      <w:marLeft w:val="0"/>
      <w:marRight w:val="0"/>
      <w:marTop w:val="0"/>
      <w:marBottom w:val="0"/>
      <w:divBdr>
        <w:top w:val="none" w:sz="0" w:space="0" w:color="auto"/>
        <w:left w:val="none" w:sz="0" w:space="0" w:color="auto"/>
        <w:bottom w:val="none" w:sz="0" w:space="0" w:color="auto"/>
        <w:right w:val="none" w:sz="0" w:space="0" w:color="auto"/>
      </w:divBdr>
    </w:div>
    <w:div w:id="84956677">
      <w:bodyDiv w:val="1"/>
      <w:marLeft w:val="0"/>
      <w:marRight w:val="0"/>
      <w:marTop w:val="0"/>
      <w:marBottom w:val="0"/>
      <w:divBdr>
        <w:top w:val="none" w:sz="0" w:space="0" w:color="auto"/>
        <w:left w:val="none" w:sz="0" w:space="0" w:color="auto"/>
        <w:bottom w:val="none" w:sz="0" w:space="0" w:color="auto"/>
        <w:right w:val="none" w:sz="0" w:space="0" w:color="auto"/>
      </w:divBdr>
    </w:div>
    <w:div w:id="198864677">
      <w:bodyDiv w:val="1"/>
      <w:marLeft w:val="0"/>
      <w:marRight w:val="0"/>
      <w:marTop w:val="0"/>
      <w:marBottom w:val="0"/>
      <w:divBdr>
        <w:top w:val="none" w:sz="0" w:space="0" w:color="auto"/>
        <w:left w:val="none" w:sz="0" w:space="0" w:color="auto"/>
        <w:bottom w:val="none" w:sz="0" w:space="0" w:color="auto"/>
        <w:right w:val="none" w:sz="0" w:space="0" w:color="auto"/>
      </w:divBdr>
    </w:div>
    <w:div w:id="211695140">
      <w:bodyDiv w:val="1"/>
      <w:marLeft w:val="0"/>
      <w:marRight w:val="0"/>
      <w:marTop w:val="0"/>
      <w:marBottom w:val="0"/>
      <w:divBdr>
        <w:top w:val="none" w:sz="0" w:space="0" w:color="auto"/>
        <w:left w:val="none" w:sz="0" w:space="0" w:color="auto"/>
        <w:bottom w:val="none" w:sz="0" w:space="0" w:color="auto"/>
        <w:right w:val="none" w:sz="0" w:space="0" w:color="auto"/>
      </w:divBdr>
    </w:div>
    <w:div w:id="250286738">
      <w:bodyDiv w:val="1"/>
      <w:marLeft w:val="0"/>
      <w:marRight w:val="0"/>
      <w:marTop w:val="0"/>
      <w:marBottom w:val="0"/>
      <w:divBdr>
        <w:top w:val="none" w:sz="0" w:space="0" w:color="auto"/>
        <w:left w:val="none" w:sz="0" w:space="0" w:color="auto"/>
        <w:bottom w:val="none" w:sz="0" w:space="0" w:color="auto"/>
        <w:right w:val="none" w:sz="0" w:space="0" w:color="auto"/>
      </w:divBdr>
    </w:div>
    <w:div w:id="263151792">
      <w:bodyDiv w:val="1"/>
      <w:marLeft w:val="0"/>
      <w:marRight w:val="0"/>
      <w:marTop w:val="0"/>
      <w:marBottom w:val="0"/>
      <w:divBdr>
        <w:top w:val="none" w:sz="0" w:space="0" w:color="auto"/>
        <w:left w:val="none" w:sz="0" w:space="0" w:color="auto"/>
        <w:bottom w:val="none" w:sz="0" w:space="0" w:color="auto"/>
        <w:right w:val="none" w:sz="0" w:space="0" w:color="auto"/>
      </w:divBdr>
    </w:div>
    <w:div w:id="293104682">
      <w:bodyDiv w:val="1"/>
      <w:marLeft w:val="0"/>
      <w:marRight w:val="0"/>
      <w:marTop w:val="0"/>
      <w:marBottom w:val="0"/>
      <w:divBdr>
        <w:top w:val="none" w:sz="0" w:space="0" w:color="auto"/>
        <w:left w:val="none" w:sz="0" w:space="0" w:color="auto"/>
        <w:bottom w:val="none" w:sz="0" w:space="0" w:color="auto"/>
        <w:right w:val="none" w:sz="0" w:space="0" w:color="auto"/>
      </w:divBdr>
    </w:div>
    <w:div w:id="332950152">
      <w:bodyDiv w:val="1"/>
      <w:marLeft w:val="0"/>
      <w:marRight w:val="0"/>
      <w:marTop w:val="0"/>
      <w:marBottom w:val="0"/>
      <w:divBdr>
        <w:top w:val="none" w:sz="0" w:space="0" w:color="auto"/>
        <w:left w:val="none" w:sz="0" w:space="0" w:color="auto"/>
        <w:bottom w:val="none" w:sz="0" w:space="0" w:color="auto"/>
        <w:right w:val="none" w:sz="0" w:space="0" w:color="auto"/>
      </w:divBdr>
    </w:div>
    <w:div w:id="350373525">
      <w:bodyDiv w:val="1"/>
      <w:marLeft w:val="0"/>
      <w:marRight w:val="0"/>
      <w:marTop w:val="0"/>
      <w:marBottom w:val="0"/>
      <w:divBdr>
        <w:top w:val="none" w:sz="0" w:space="0" w:color="auto"/>
        <w:left w:val="none" w:sz="0" w:space="0" w:color="auto"/>
        <w:bottom w:val="none" w:sz="0" w:space="0" w:color="auto"/>
        <w:right w:val="none" w:sz="0" w:space="0" w:color="auto"/>
      </w:divBdr>
    </w:div>
    <w:div w:id="354963394">
      <w:bodyDiv w:val="1"/>
      <w:marLeft w:val="0"/>
      <w:marRight w:val="0"/>
      <w:marTop w:val="0"/>
      <w:marBottom w:val="0"/>
      <w:divBdr>
        <w:top w:val="none" w:sz="0" w:space="0" w:color="auto"/>
        <w:left w:val="none" w:sz="0" w:space="0" w:color="auto"/>
        <w:bottom w:val="none" w:sz="0" w:space="0" w:color="auto"/>
        <w:right w:val="none" w:sz="0" w:space="0" w:color="auto"/>
      </w:divBdr>
    </w:div>
    <w:div w:id="409894004">
      <w:bodyDiv w:val="1"/>
      <w:marLeft w:val="0"/>
      <w:marRight w:val="0"/>
      <w:marTop w:val="0"/>
      <w:marBottom w:val="0"/>
      <w:divBdr>
        <w:top w:val="none" w:sz="0" w:space="0" w:color="auto"/>
        <w:left w:val="none" w:sz="0" w:space="0" w:color="auto"/>
        <w:bottom w:val="none" w:sz="0" w:space="0" w:color="auto"/>
        <w:right w:val="none" w:sz="0" w:space="0" w:color="auto"/>
      </w:divBdr>
    </w:div>
    <w:div w:id="457190361">
      <w:bodyDiv w:val="1"/>
      <w:marLeft w:val="0"/>
      <w:marRight w:val="0"/>
      <w:marTop w:val="0"/>
      <w:marBottom w:val="0"/>
      <w:divBdr>
        <w:top w:val="none" w:sz="0" w:space="0" w:color="auto"/>
        <w:left w:val="none" w:sz="0" w:space="0" w:color="auto"/>
        <w:bottom w:val="none" w:sz="0" w:space="0" w:color="auto"/>
        <w:right w:val="none" w:sz="0" w:space="0" w:color="auto"/>
      </w:divBdr>
    </w:div>
    <w:div w:id="459953452">
      <w:bodyDiv w:val="1"/>
      <w:marLeft w:val="0"/>
      <w:marRight w:val="0"/>
      <w:marTop w:val="0"/>
      <w:marBottom w:val="0"/>
      <w:divBdr>
        <w:top w:val="none" w:sz="0" w:space="0" w:color="auto"/>
        <w:left w:val="none" w:sz="0" w:space="0" w:color="auto"/>
        <w:bottom w:val="none" w:sz="0" w:space="0" w:color="auto"/>
        <w:right w:val="none" w:sz="0" w:space="0" w:color="auto"/>
      </w:divBdr>
    </w:div>
    <w:div w:id="535894927">
      <w:bodyDiv w:val="1"/>
      <w:marLeft w:val="0"/>
      <w:marRight w:val="0"/>
      <w:marTop w:val="0"/>
      <w:marBottom w:val="0"/>
      <w:divBdr>
        <w:top w:val="none" w:sz="0" w:space="0" w:color="auto"/>
        <w:left w:val="none" w:sz="0" w:space="0" w:color="auto"/>
        <w:bottom w:val="none" w:sz="0" w:space="0" w:color="auto"/>
        <w:right w:val="none" w:sz="0" w:space="0" w:color="auto"/>
      </w:divBdr>
    </w:div>
    <w:div w:id="551506627">
      <w:bodyDiv w:val="1"/>
      <w:marLeft w:val="0"/>
      <w:marRight w:val="0"/>
      <w:marTop w:val="0"/>
      <w:marBottom w:val="0"/>
      <w:divBdr>
        <w:top w:val="none" w:sz="0" w:space="0" w:color="auto"/>
        <w:left w:val="none" w:sz="0" w:space="0" w:color="auto"/>
        <w:bottom w:val="none" w:sz="0" w:space="0" w:color="auto"/>
        <w:right w:val="none" w:sz="0" w:space="0" w:color="auto"/>
      </w:divBdr>
    </w:div>
    <w:div w:id="553352151">
      <w:bodyDiv w:val="1"/>
      <w:marLeft w:val="0"/>
      <w:marRight w:val="0"/>
      <w:marTop w:val="0"/>
      <w:marBottom w:val="0"/>
      <w:divBdr>
        <w:top w:val="none" w:sz="0" w:space="0" w:color="auto"/>
        <w:left w:val="none" w:sz="0" w:space="0" w:color="auto"/>
        <w:bottom w:val="none" w:sz="0" w:space="0" w:color="auto"/>
        <w:right w:val="none" w:sz="0" w:space="0" w:color="auto"/>
      </w:divBdr>
    </w:div>
    <w:div w:id="555094462">
      <w:bodyDiv w:val="1"/>
      <w:marLeft w:val="0"/>
      <w:marRight w:val="0"/>
      <w:marTop w:val="0"/>
      <w:marBottom w:val="0"/>
      <w:divBdr>
        <w:top w:val="none" w:sz="0" w:space="0" w:color="auto"/>
        <w:left w:val="none" w:sz="0" w:space="0" w:color="auto"/>
        <w:bottom w:val="none" w:sz="0" w:space="0" w:color="auto"/>
        <w:right w:val="none" w:sz="0" w:space="0" w:color="auto"/>
      </w:divBdr>
    </w:div>
    <w:div w:id="612832301">
      <w:bodyDiv w:val="1"/>
      <w:marLeft w:val="0"/>
      <w:marRight w:val="0"/>
      <w:marTop w:val="0"/>
      <w:marBottom w:val="0"/>
      <w:divBdr>
        <w:top w:val="none" w:sz="0" w:space="0" w:color="auto"/>
        <w:left w:val="none" w:sz="0" w:space="0" w:color="auto"/>
        <w:bottom w:val="none" w:sz="0" w:space="0" w:color="auto"/>
        <w:right w:val="none" w:sz="0" w:space="0" w:color="auto"/>
      </w:divBdr>
    </w:div>
    <w:div w:id="616133963">
      <w:bodyDiv w:val="1"/>
      <w:marLeft w:val="0"/>
      <w:marRight w:val="0"/>
      <w:marTop w:val="0"/>
      <w:marBottom w:val="0"/>
      <w:divBdr>
        <w:top w:val="none" w:sz="0" w:space="0" w:color="auto"/>
        <w:left w:val="none" w:sz="0" w:space="0" w:color="auto"/>
        <w:bottom w:val="none" w:sz="0" w:space="0" w:color="auto"/>
        <w:right w:val="none" w:sz="0" w:space="0" w:color="auto"/>
      </w:divBdr>
    </w:div>
    <w:div w:id="628516959">
      <w:bodyDiv w:val="1"/>
      <w:marLeft w:val="0"/>
      <w:marRight w:val="0"/>
      <w:marTop w:val="0"/>
      <w:marBottom w:val="0"/>
      <w:divBdr>
        <w:top w:val="none" w:sz="0" w:space="0" w:color="auto"/>
        <w:left w:val="none" w:sz="0" w:space="0" w:color="auto"/>
        <w:bottom w:val="none" w:sz="0" w:space="0" w:color="auto"/>
        <w:right w:val="none" w:sz="0" w:space="0" w:color="auto"/>
      </w:divBdr>
    </w:div>
    <w:div w:id="660549046">
      <w:bodyDiv w:val="1"/>
      <w:marLeft w:val="0"/>
      <w:marRight w:val="0"/>
      <w:marTop w:val="0"/>
      <w:marBottom w:val="0"/>
      <w:divBdr>
        <w:top w:val="none" w:sz="0" w:space="0" w:color="auto"/>
        <w:left w:val="none" w:sz="0" w:space="0" w:color="auto"/>
        <w:bottom w:val="none" w:sz="0" w:space="0" w:color="auto"/>
        <w:right w:val="none" w:sz="0" w:space="0" w:color="auto"/>
      </w:divBdr>
    </w:div>
    <w:div w:id="701631047">
      <w:bodyDiv w:val="1"/>
      <w:marLeft w:val="0"/>
      <w:marRight w:val="0"/>
      <w:marTop w:val="0"/>
      <w:marBottom w:val="0"/>
      <w:divBdr>
        <w:top w:val="none" w:sz="0" w:space="0" w:color="auto"/>
        <w:left w:val="none" w:sz="0" w:space="0" w:color="auto"/>
        <w:bottom w:val="none" w:sz="0" w:space="0" w:color="auto"/>
        <w:right w:val="none" w:sz="0" w:space="0" w:color="auto"/>
      </w:divBdr>
    </w:div>
    <w:div w:id="718473418">
      <w:bodyDiv w:val="1"/>
      <w:marLeft w:val="0"/>
      <w:marRight w:val="0"/>
      <w:marTop w:val="0"/>
      <w:marBottom w:val="0"/>
      <w:divBdr>
        <w:top w:val="none" w:sz="0" w:space="0" w:color="auto"/>
        <w:left w:val="none" w:sz="0" w:space="0" w:color="auto"/>
        <w:bottom w:val="none" w:sz="0" w:space="0" w:color="auto"/>
        <w:right w:val="none" w:sz="0" w:space="0" w:color="auto"/>
      </w:divBdr>
    </w:div>
    <w:div w:id="722171919">
      <w:bodyDiv w:val="1"/>
      <w:marLeft w:val="0"/>
      <w:marRight w:val="0"/>
      <w:marTop w:val="0"/>
      <w:marBottom w:val="0"/>
      <w:divBdr>
        <w:top w:val="none" w:sz="0" w:space="0" w:color="auto"/>
        <w:left w:val="none" w:sz="0" w:space="0" w:color="auto"/>
        <w:bottom w:val="none" w:sz="0" w:space="0" w:color="auto"/>
        <w:right w:val="none" w:sz="0" w:space="0" w:color="auto"/>
      </w:divBdr>
    </w:div>
    <w:div w:id="769811231">
      <w:bodyDiv w:val="1"/>
      <w:marLeft w:val="0"/>
      <w:marRight w:val="0"/>
      <w:marTop w:val="0"/>
      <w:marBottom w:val="0"/>
      <w:divBdr>
        <w:top w:val="none" w:sz="0" w:space="0" w:color="auto"/>
        <w:left w:val="none" w:sz="0" w:space="0" w:color="auto"/>
        <w:bottom w:val="none" w:sz="0" w:space="0" w:color="auto"/>
        <w:right w:val="none" w:sz="0" w:space="0" w:color="auto"/>
      </w:divBdr>
    </w:div>
    <w:div w:id="872423156">
      <w:bodyDiv w:val="1"/>
      <w:marLeft w:val="0"/>
      <w:marRight w:val="0"/>
      <w:marTop w:val="0"/>
      <w:marBottom w:val="0"/>
      <w:divBdr>
        <w:top w:val="none" w:sz="0" w:space="0" w:color="auto"/>
        <w:left w:val="none" w:sz="0" w:space="0" w:color="auto"/>
        <w:bottom w:val="none" w:sz="0" w:space="0" w:color="auto"/>
        <w:right w:val="none" w:sz="0" w:space="0" w:color="auto"/>
      </w:divBdr>
    </w:div>
    <w:div w:id="897546825">
      <w:bodyDiv w:val="1"/>
      <w:marLeft w:val="0"/>
      <w:marRight w:val="0"/>
      <w:marTop w:val="0"/>
      <w:marBottom w:val="0"/>
      <w:divBdr>
        <w:top w:val="none" w:sz="0" w:space="0" w:color="auto"/>
        <w:left w:val="none" w:sz="0" w:space="0" w:color="auto"/>
        <w:bottom w:val="none" w:sz="0" w:space="0" w:color="auto"/>
        <w:right w:val="none" w:sz="0" w:space="0" w:color="auto"/>
      </w:divBdr>
    </w:div>
    <w:div w:id="902832894">
      <w:bodyDiv w:val="1"/>
      <w:marLeft w:val="0"/>
      <w:marRight w:val="0"/>
      <w:marTop w:val="0"/>
      <w:marBottom w:val="0"/>
      <w:divBdr>
        <w:top w:val="none" w:sz="0" w:space="0" w:color="auto"/>
        <w:left w:val="none" w:sz="0" w:space="0" w:color="auto"/>
        <w:bottom w:val="none" w:sz="0" w:space="0" w:color="auto"/>
        <w:right w:val="none" w:sz="0" w:space="0" w:color="auto"/>
      </w:divBdr>
    </w:div>
    <w:div w:id="912667478">
      <w:bodyDiv w:val="1"/>
      <w:marLeft w:val="0"/>
      <w:marRight w:val="0"/>
      <w:marTop w:val="0"/>
      <w:marBottom w:val="0"/>
      <w:divBdr>
        <w:top w:val="none" w:sz="0" w:space="0" w:color="auto"/>
        <w:left w:val="none" w:sz="0" w:space="0" w:color="auto"/>
        <w:bottom w:val="none" w:sz="0" w:space="0" w:color="auto"/>
        <w:right w:val="none" w:sz="0" w:space="0" w:color="auto"/>
      </w:divBdr>
    </w:div>
    <w:div w:id="944000398">
      <w:bodyDiv w:val="1"/>
      <w:marLeft w:val="0"/>
      <w:marRight w:val="0"/>
      <w:marTop w:val="0"/>
      <w:marBottom w:val="0"/>
      <w:divBdr>
        <w:top w:val="none" w:sz="0" w:space="0" w:color="auto"/>
        <w:left w:val="none" w:sz="0" w:space="0" w:color="auto"/>
        <w:bottom w:val="none" w:sz="0" w:space="0" w:color="auto"/>
        <w:right w:val="none" w:sz="0" w:space="0" w:color="auto"/>
      </w:divBdr>
    </w:div>
    <w:div w:id="990059371">
      <w:bodyDiv w:val="1"/>
      <w:marLeft w:val="0"/>
      <w:marRight w:val="0"/>
      <w:marTop w:val="0"/>
      <w:marBottom w:val="0"/>
      <w:divBdr>
        <w:top w:val="none" w:sz="0" w:space="0" w:color="auto"/>
        <w:left w:val="none" w:sz="0" w:space="0" w:color="auto"/>
        <w:bottom w:val="none" w:sz="0" w:space="0" w:color="auto"/>
        <w:right w:val="none" w:sz="0" w:space="0" w:color="auto"/>
      </w:divBdr>
    </w:div>
    <w:div w:id="998263756">
      <w:bodyDiv w:val="1"/>
      <w:marLeft w:val="0"/>
      <w:marRight w:val="0"/>
      <w:marTop w:val="0"/>
      <w:marBottom w:val="0"/>
      <w:divBdr>
        <w:top w:val="none" w:sz="0" w:space="0" w:color="auto"/>
        <w:left w:val="none" w:sz="0" w:space="0" w:color="auto"/>
        <w:bottom w:val="none" w:sz="0" w:space="0" w:color="auto"/>
        <w:right w:val="none" w:sz="0" w:space="0" w:color="auto"/>
      </w:divBdr>
    </w:div>
    <w:div w:id="1062098697">
      <w:bodyDiv w:val="1"/>
      <w:marLeft w:val="0"/>
      <w:marRight w:val="0"/>
      <w:marTop w:val="0"/>
      <w:marBottom w:val="0"/>
      <w:divBdr>
        <w:top w:val="none" w:sz="0" w:space="0" w:color="auto"/>
        <w:left w:val="none" w:sz="0" w:space="0" w:color="auto"/>
        <w:bottom w:val="none" w:sz="0" w:space="0" w:color="auto"/>
        <w:right w:val="none" w:sz="0" w:space="0" w:color="auto"/>
      </w:divBdr>
    </w:div>
    <w:div w:id="1067648946">
      <w:bodyDiv w:val="1"/>
      <w:marLeft w:val="0"/>
      <w:marRight w:val="0"/>
      <w:marTop w:val="0"/>
      <w:marBottom w:val="0"/>
      <w:divBdr>
        <w:top w:val="none" w:sz="0" w:space="0" w:color="auto"/>
        <w:left w:val="none" w:sz="0" w:space="0" w:color="auto"/>
        <w:bottom w:val="none" w:sz="0" w:space="0" w:color="auto"/>
        <w:right w:val="none" w:sz="0" w:space="0" w:color="auto"/>
      </w:divBdr>
    </w:div>
    <w:div w:id="1125469199">
      <w:bodyDiv w:val="1"/>
      <w:marLeft w:val="0"/>
      <w:marRight w:val="0"/>
      <w:marTop w:val="0"/>
      <w:marBottom w:val="0"/>
      <w:divBdr>
        <w:top w:val="none" w:sz="0" w:space="0" w:color="auto"/>
        <w:left w:val="none" w:sz="0" w:space="0" w:color="auto"/>
        <w:bottom w:val="none" w:sz="0" w:space="0" w:color="auto"/>
        <w:right w:val="none" w:sz="0" w:space="0" w:color="auto"/>
      </w:divBdr>
    </w:div>
    <w:div w:id="1146244601">
      <w:bodyDiv w:val="1"/>
      <w:marLeft w:val="0"/>
      <w:marRight w:val="0"/>
      <w:marTop w:val="0"/>
      <w:marBottom w:val="0"/>
      <w:divBdr>
        <w:top w:val="none" w:sz="0" w:space="0" w:color="auto"/>
        <w:left w:val="none" w:sz="0" w:space="0" w:color="auto"/>
        <w:bottom w:val="none" w:sz="0" w:space="0" w:color="auto"/>
        <w:right w:val="none" w:sz="0" w:space="0" w:color="auto"/>
      </w:divBdr>
    </w:div>
    <w:div w:id="1169053175">
      <w:bodyDiv w:val="1"/>
      <w:marLeft w:val="0"/>
      <w:marRight w:val="0"/>
      <w:marTop w:val="0"/>
      <w:marBottom w:val="0"/>
      <w:divBdr>
        <w:top w:val="none" w:sz="0" w:space="0" w:color="auto"/>
        <w:left w:val="none" w:sz="0" w:space="0" w:color="auto"/>
        <w:bottom w:val="none" w:sz="0" w:space="0" w:color="auto"/>
        <w:right w:val="none" w:sz="0" w:space="0" w:color="auto"/>
      </w:divBdr>
    </w:div>
    <w:div w:id="1233852907">
      <w:bodyDiv w:val="1"/>
      <w:marLeft w:val="0"/>
      <w:marRight w:val="0"/>
      <w:marTop w:val="0"/>
      <w:marBottom w:val="0"/>
      <w:divBdr>
        <w:top w:val="none" w:sz="0" w:space="0" w:color="auto"/>
        <w:left w:val="none" w:sz="0" w:space="0" w:color="auto"/>
        <w:bottom w:val="none" w:sz="0" w:space="0" w:color="auto"/>
        <w:right w:val="none" w:sz="0" w:space="0" w:color="auto"/>
      </w:divBdr>
    </w:div>
    <w:div w:id="1246114536">
      <w:bodyDiv w:val="1"/>
      <w:marLeft w:val="0"/>
      <w:marRight w:val="0"/>
      <w:marTop w:val="0"/>
      <w:marBottom w:val="0"/>
      <w:divBdr>
        <w:top w:val="none" w:sz="0" w:space="0" w:color="auto"/>
        <w:left w:val="none" w:sz="0" w:space="0" w:color="auto"/>
        <w:bottom w:val="none" w:sz="0" w:space="0" w:color="auto"/>
        <w:right w:val="none" w:sz="0" w:space="0" w:color="auto"/>
      </w:divBdr>
    </w:div>
    <w:div w:id="1247962506">
      <w:bodyDiv w:val="1"/>
      <w:marLeft w:val="0"/>
      <w:marRight w:val="0"/>
      <w:marTop w:val="0"/>
      <w:marBottom w:val="0"/>
      <w:divBdr>
        <w:top w:val="none" w:sz="0" w:space="0" w:color="auto"/>
        <w:left w:val="none" w:sz="0" w:space="0" w:color="auto"/>
        <w:bottom w:val="none" w:sz="0" w:space="0" w:color="auto"/>
        <w:right w:val="none" w:sz="0" w:space="0" w:color="auto"/>
      </w:divBdr>
    </w:div>
    <w:div w:id="1272401159">
      <w:bodyDiv w:val="1"/>
      <w:marLeft w:val="0"/>
      <w:marRight w:val="0"/>
      <w:marTop w:val="0"/>
      <w:marBottom w:val="0"/>
      <w:divBdr>
        <w:top w:val="none" w:sz="0" w:space="0" w:color="auto"/>
        <w:left w:val="none" w:sz="0" w:space="0" w:color="auto"/>
        <w:bottom w:val="none" w:sz="0" w:space="0" w:color="auto"/>
        <w:right w:val="none" w:sz="0" w:space="0" w:color="auto"/>
      </w:divBdr>
    </w:div>
    <w:div w:id="1301884904">
      <w:bodyDiv w:val="1"/>
      <w:marLeft w:val="0"/>
      <w:marRight w:val="0"/>
      <w:marTop w:val="0"/>
      <w:marBottom w:val="0"/>
      <w:divBdr>
        <w:top w:val="none" w:sz="0" w:space="0" w:color="auto"/>
        <w:left w:val="none" w:sz="0" w:space="0" w:color="auto"/>
        <w:bottom w:val="none" w:sz="0" w:space="0" w:color="auto"/>
        <w:right w:val="none" w:sz="0" w:space="0" w:color="auto"/>
      </w:divBdr>
    </w:div>
    <w:div w:id="1305046757">
      <w:bodyDiv w:val="1"/>
      <w:marLeft w:val="0"/>
      <w:marRight w:val="0"/>
      <w:marTop w:val="0"/>
      <w:marBottom w:val="0"/>
      <w:divBdr>
        <w:top w:val="none" w:sz="0" w:space="0" w:color="auto"/>
        <w:left w:val="none" w:sz="0" w:space="0" w:color="auto"/>
        <w:bottom w:val="none" w:sz="0" w:space="0" w:color="auto"/>
        <w:right w:val="none" w:sz="0" w:space="0" w:color="auto"/>
      </w:divBdr>
    </w:div>
    <w:div w:id="1329021508">
      <w:bodyDiv w:val="1"/>
      <w:marLeft w:val="0"/>
      <w:marRight w:val="0"/>
      <w:marTop w:val="0"/>
      <w:marBottom w:val="0"/>
      <w:divBdr>
        <w:top w:val="none" w:sz="0" w:space="0" w:color="auto"/>
        <w:left w:val="none" w:sz="0" w:space="0" w:color="auto"/>
        <w:bottom w:val="none" w:sz="0" w:space="0" w:color="auto"/>
        <w:right w:val="none" w:sz="0" w:space="0" w:color="auto"/>
      </w:divBdr>
    </w:div>
    <w:div w:id="1332834112">
      <w:bodyDiv w:val="1"/>
      <w:marLeft w:val="0"/>
      <w:marRight w:val="0"/>
      <w:marTop w:val="0"/>
      <w:marBottom w:val="0"/>
      <w:divBdr>
        <w:top w:val="none" w:sz="0" w:space="0" w:color="auto"/>
        <w:left w:val="none" w:sz="0" w:space="0" w:color="auto"/>
        <w:bottom w:val="none" w:sz="0" w:space="0" w:color="auto"/>
        <w:right w:val="none" w:sz="0" w:space="0" w:color="auto"/>
      </w:divBdr>
    </w:div>
    <w:div w:id="1344748110">
      <w:bodyDiv w:val="1"/>
      <w:marLeft w:val="0"/>
      <w:marRight w:val="0"/>
      <w:marTop w:val="0"/>
      <w:marBottom w:val="0"/>
      <w:divBdr>
        <w:top w:val="none" w:sz="0" w:space="0" w:color="auto"/>
        <w:left w:val="none" w:sz="0" w:space="0" w:color="auto"/>
        <w:bottom w:val="none" w:sz="0" w:space="0" w:color="auto"/>
        <w:right w:val="none" w:sz="0" w:space="0" w:color="auto"/>
      </w:divBdr>
    </w:div>
    <w:div w:id="1349720162">
      <w:bodyDiv w:val="1"/>
      <w:marLeft w:val="0"/>
      <w:marRight w:val="0"/>
      <w:marTop w:val="0"/>
      <w:marBottom w:val="0"/>
      <w:divBdr>
        <w:top w:val="none" w:sz="0" w:space="0" w:color="auto"/>
        <w:left w:val="none" w:sz="0" w:space="0" w:color="auto"/>
        <w:bottom w:val="none" w:sz="0" w:space="0" w:color="auto"/>
        <w:right w:val="none" w:sz="0" w:space="0" w:color="auto"/>
      </w:divBdr>
    </w:div>
    <w:div w:id="1393191667">
      <w:bodyDiv w:val="1"/>
      <w:marLeft w:val="0"/>
      <w:marRight w:val="0"/>
      <w:marTop w:val="0"/>
      <w:marBottom w:val="0"/>
      <w:divBdr>
        <w:top w:val="none" w:sz="0" w:space="0" w:color="auto"/>
        <w:left w:val="none" w:sz="0" w:space="0" w:color="auto"/>
        <w:bottom w:val="none" w:sz="0" w:space="0" w:color="auto"/>
        <w:right w:val="none" w:sz="0" w:space="0" w:color="auto"/>
      </w:divBdr>
    </w:div>
    <w:div w:id="1514808481">
      <w:bodyDiv w:val="1"/>
      <w:marLeft w:val="0"/>
      <w:marRight w:val="0"/>
      <w:marTop w:val="0"/>
      <w:marBottom w:val="0"/>
      <w:divBdr>
        <w:top w:val="none" w:sz="0" w:space="0" w:color="auto"/>
        <w:left w:val="none" w:sz="0" w:space="0" w:color="auto"/>
        <w:bottom w:val="none" w:sz="0" w:space="0" w:color="auto"/>
        <w:right w:val="none" w:sz="0" w:space="0" w:color="auto"/>
      </w:divBdr>
    </w:div>
    <w:div w:id="1519809768">
      <w:bodyDiv w:val="1"/>
      <w:marLeft w:val="0"/>
      <w:marRight w:val="0"/>
      <w:marTop w:val="0"/>
      <w:marBottom w:val="0"/>
      <w:divBdr>
        <w:top w:val="none" w:sz="0" w:space="0" w:color="auto"/>
        <w:left w:val="none" w:sz="0" w:space="0" w:color="auto"/>
        <w:bottom w:val="none" w:sz="0" w:space="0" w:color="auto"/>
        <w:right w:val="none" w:sz="0" w:space="0" w:color="auto"/>
      </w:divBdr>
    </w:div>
    <w:div w:id="1562017563">
      <w:bodyDiv w:val="1"/>
      <w:marLeft w:val="0"/>
      <w:marRight w:val="0"/>
      <w:marTop w:val="0"/>
      <w:marBottom w:val="0"/>
      <w:divBdr>
        <w:top w:val="none" w:sz="0" w:space="0" w:color="auto"/>
        <w:left w:val="none" w:sz="0" w:space="0" w:color="auto"/>
        <w:bottom w:val="none" w:sz="0" w:space="0" w:color="auto"/>
        <w:right w:val="none" w:sz="0" w:space="0" w:color="auto"/>
      </w:divBdr>
    </w:div>
    <w:div w:id="1698850800">
      <w:bodyDiv w:val="1"/>
      <w:marLeft w:val="0"/>
      <w:marRight w:val="0"/>
      <w:marTop w:val="0"/>
      <w:marBottom w:val="0"/>
      <w:divBdr>
        <w:top w:val="none" w:sz="0" w:space="0" w:color="auto"/>
        <w:left w:val="none" w:sz="0" w:space="0" w:color="auto"/>
        <w:bottom w:val="none" w:sz="0" w:space="0" w:color="auto"/>
        <w:right w:val="none" w:sz="0" w:space="0" w:color="auto"/>
      </w:divBdr>
    </w:div>
    <w:div w:id="1717511161">
      <w:bodyDiv w:val="1"/>
      <w:marLeft w:val="0"/>
      <w:marRight w:val="0"/>
      <w:marTop w:val="0"/>
      <w:marBottom w:val="0"/>
      <w:divBdr>
        <w:top w:val="none" w:sz="0" w:space="0" w:color="auto"/>
        <w:left w:val="none" w:sz="0" w:space="0" w:color="auto"/>
        <w:bottom w:val="none" w:sz="0" w:space="0" w:color="auto"/>
        <w:right w:val="none" w:sz="0" w:space="0" w:color="auto"/>
      </w:divBdr>
    </w:div>
    <w:div w:id="1791781980">
      <w:bodyDiv w:val="1"/>
      <w:marLeft w:val="0"/>
      <w:marRight w:val="0"/>
      <w:marTop w:val="0"/>
      <w:marBottom w:val="0"/>
      <w:divBdr>
        <w:top w:val="none" w:sz="0" w:space="0" w:color="auto"/>
        <w:left w:val="none" w:sz="0" w:space="0" w:color="auto"/>
        <w:bottom w:val="none" w:sz="0" w:space="0" w:color="auto"/>
        <w:right w:val="none" w:sz="0" w:space="0" w:color="auto"/>
      </w:divBdr>
    </w:div>
    <w:div w:id="1825469358">
      <w:bodyDiv w:val="1"/>
      <w:marLeft w:val="0"/>
      <w:marRight w:val="0"/>
      <w:marTop w:val="0"/>
      <w:marBottom w:val="0"/>
      <w:divBdr>
        <w:top w:val="none" w:sz="0" w:space="0" w:color="auto"/>
        <w:left w:val="none" w:sz="0" w:space="0" w:color="auto"/>
        <w:bottom w:val="none" w:sz="0" w:space="0" w:color="auto"/>
        <w:right w:val="none" w:sz="0" w:space="0" w:color="auto"/>
      </w:divBdr>
    </w:div>
    <w:div w:id="1830053135">
      <w:bodyDiv w:val="1"/>
      <w:marLeft w:val="0"/>
      <w:marRight w:val="0"/>
      <w:marTop w:val="0"/>
      <w:marBottom w:val="0"/>
      <w:divBdr>
        <w:top w:val="none" w:sz="0" w:space="0" w:color="auto"/>
        <w:left w:val="none" w:sz="0" w:space="0" w:color="auto"/>
        <w:bottom w:val="none" w:sz="0" w:space="0" w:color="auto"/>
        <w:right w:val="none" w:sz="0" w:space="0" w:color="auto"/>
      </w:divBdr>
    </w:div>
    <w:div w:id="1834954666">
      <w:bodyDiv w:val="1"/>
      <w:marLeft w:val="0"/>
      <w:marRight w:val="0"/>
      <w:marTop w:val="0"/>
      <w:marBottom w:val="0"/>
      <w:divBdr>
        <w:top w:val="none" w:sz="0" w:space="0" w:color="auto"/>
        <w:left w:val="none" w:sz="0" w:space="0" w:color="auto"/>
        <w:bottom w:val="none" w:sz="0" w:space="0" w:color="auto"/>
        <w:right w:val="none" w:sz="0" w:space="0" w:color="auto"/>
      </w:divBdr>
    </w:div>
    <w:div w:id="1887257729">
      <w:bodyDiv w:val="1"/>
      <w:marLeft w:val="0"/>
      <w:marRight w:val="0"/>
      <w:marTop w:val="0"/>
      <w:marBottom w:val="0"/>
      <w:divBdr>
        <w:top w:val="none" w:sz="0" w:space="0" w:color="auto"/>
        <w:left w:val="none" w:sz="0" w:space="0" w:color="auto"/>
        <w:bottom w:val="none" w:sz="0" w:space="0" w:color="auto"/>
        <w:right w:val="none" w:sz="0" w:space="0" w:color="auto"/>
      </w:divBdr>
    </w:div>
    <w:div w:id="1939756604">
      <w:bodyDiv w:val="1"/>
      <w:marLeft w:val="0"/>
      <w:marRight w:val="0"/>
      <w:marTop w:val="0"/>
      <w:marBottom w:val="0"/>
      <w:divBdr>
        <w:top w:val="none" w:sz="0" w:space="0" w:color="auto"/>
        <w:left w:val="none" w:sz="0" w:space="0" w:color="auto"/>
        <w:bottom w:val="none" w:sz="0" w:space="0" w:color="auto"/>
        <w:right w:val="none" w:sz="0" w:space="0" w:color="auto"/>
      </w:divBdr>
    </w:div>
    <w:div w:id="2001885309">
      <w:bodyDiv w:val="1"/>
      <w:marLeft w:val="0"/>
      <w:marRight w:val="0"/>
      <w:marTop w:val="0"/>
      <w:marBottom w:val="0"/>
      <w:divBdr>
        <w:top w:val="none" w:sz="0" w:space="0" w:color="auto"/>
        <w:left w:val="none" w:sz="0" w:space="0" w:color="auto"/>
        <w:bottom w:val="none" w:sz="0" w:space="0" w:color="auto"/>
        <w:right w:val="none" w:sz="0" w:space="0" w:color="auto"/>
      </w:divBdr>
    </w:div>
    <w:div w:id="2052142937">
      <w:bodyDiv w:val="1"/>
      <w:marLeft w:val="0"/>
      <w:marRight w:val="0"/>
      <w:marTop w:val="0"/>
      <w:marBottom w:val="0"/>
      <w:divBdr>
        <w:top w:val="none" w:sz="0" w:space="0" w:color="auto"/>
        <w:left w:val="none" w:sz="0" w:space="0" w:color="auto"/>
        <w:bottom w:val="none" w:sz="0" w:space="0" w:color="auto"/>
        <w:right w:val="none" w:sz="0" w:space="0" w:color="auto"/>
      </w:divBdr>
    </w:div>
    <w:div w:id="2081051874">
      <w:bodyDiv w:val="1"/>
      <w:marLeft w:val="0"/>
      <w:marRight w:val="0"/>
      <w:marTop w:val="0"/>
      <w:marBottom w:val="0"/>
      <w:divBdr>
        <w:top w:val="none" w:sz="0" w:space="0" w:color="auto"/>
        <w:left w:val="none" w:sz="0" w:space="0" w:color="auto"/>
        <w:bottom w:val="none" w:sz="0" w:space="0" w:color="auto"/>
        <w:right w:val="none" w:sz="0" w:space="0" w:color="auto"/>
      </w:divBdr>
    </w:div>
    <w:div w:id="2081175032">
      <w:bodyDiv w:val="1"/>
      <w:marLeft w:val="0"/>
      <w:marRight w:val="0"/>
      <w:marTop w:val="0"/>
      <w:marBottom w:val="0"/>
      <w:divBdr>
        <w:top w:val="none" w:sz="0" w:space="0" w:color="auto"/>
        <w:left w:val="none" w:sz="0" w:space="0" w:color="auto"/>
        <w:bottom w:val="none" w:sz="0" w:space="0" w:color="auto"/>
        <w:right w:val="none" w:sz="0" w:space="0" w:color="auto"/>
      </w:divBdr>
    </w:div>
    <w:div w:id="20889632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Bar15</b:Tag>
    <b:SourceType>Book</b:SourceType>
    <b:Guid>{4BAB1270-C78A-4B3A-88F1-9A45D26A5DAB}</b:Guid>
    <b:Title>An Introduction to Cross-Curricular Learning</b:Title>
    <b:Year>2015</b:Year>
    <b:City>London</b:City>
    <b:Publisher>Sage Publications Inc.</b:Publisher>
    <b:Author>
      <b:Author>
        <b:NameList>
          <b:Person>
            <b:Last>Barnes</b:Last>
            <b:First>Jonathan</b:First>
          </b:Person>
        </b:NameList>
      </b:Author>
    </b:Author>
    <b:RefOrder>4</b:RefOrder>
  </b:Source>
  <b:Source>
    <b:Tag>Bar11</b:Tag>
    <b:SourceType>Book</b:SourceType>
    <b:Guid>{5F7AC0DE-9CB6-46A2-BA5D-A86F786A95F4}</b:Guid>
    <b:Title>Cross-Curricular Learning 3-15</b:Title>
    <b:Year>2011</b:Year>
    <b:City>London</b:City>
    <b:Publisher>SAGE Publications Inc.</b:Publisher>
    <b:Author>
      <b:Author>
        <b:NameList>
          <b:Person>
            <b:Last>Barnes</b:Last>
            <b:First>Jonathan</b:First>
          </b:Person>
        </b:NameList>
      </b:Author>
    </b:Author>
    <b:Edition>Second</b:Edition>
    <b:RefOrder>3</b:RefOrder>
  </b:Source>
  <b:Source>
    <b:Tag>Don152</b:Tag>
    <b:SourceType>Book</b:SourceType>
    <b:Guid>{3BFD3A68-841F-46BA-876C-8D4EA9A4D476}</b:Guid>
    <b:Title>Successful Futures</b:Title>
    <b:Year>2015</b:Year>
    <b:Author>
      <b:Author>
        <b:NameList>
          <b:Person>
            <b:Last>Donaldson</b:Last>
            <b:First>Professor Graham</b:First>
          </b:Person>
        </b:NameList>
      </b:Author>
    </b:Author>
    <b:City>Cardiff</b:City>
    <b:Publisher>Welsh Assembly Government</b:Publisher>
    <b:RefOrder>2</b:RefOrder>
  </b:Source>
  <b:Source>
    <b:Tag>Sav10</b:Tag>
    <b:SourceType>InternetSite</b:SourceType>
    <b:Guid>{087DAA12-43A0-4B2E-B0CD-558C5B137457}</b:Guid>
    <b:Title>Cross-curricular teaching and learning 5: Definitions</b:Title>
    <b:Year>2010</b:Year>
    <b:InternetSiteTitle>Jonathan Savage - Supporting innovation in education</b:InternetSiteTitle>
    <b:Month>February</b:Month>
    <b:Day>12</b:Day>
    <b:URL>www.jsavage.org.uk/research/cross-curricular-teaching-and-learning-5-definitions/</b:URL>
    <b:Author>
      <b:Author>
        <b:NameList>
          <b:Person>
            <b:Last>Savage</b:Last>
            <b:First>Jonathan</b:First>
          </b:Person>
        </b:NameList>
      </b:Author>
    </b:Author>
    <b:YearAccessed>2018</b:YearAccessed>
    <b:MonthAccessed>December</b:MonthAccessed>
    <b:DayAccessed>20</b:DayAccessed>
    <b:RefOrder>9</b:RefOrder>
  </b:Source>
  <b:Source>
    <b:Tag>DCE084</b:Tag>
    <b:SourceType>Book</b:SourceType>
    <b:Guid>{2B9B4604-0456-46E9-883C-1F631B5E90C3}</b:Guid>
    <b:Author>
      <b:Author>
        <b:Corporate>DCELLS</b:Corporate>
      </b:Author>
    </b:Author>
    <b:Title>Physical education in the National Curriculum for Wales </b:Title>
    <b:Year>2008</b:Year>
    <b:City>Cardiff</b:City>
    <b:Publisher>Welsh Assembly Government</b:Publisher>
    <b:RefOrder>1</b:RefOrder>
  </b:Source>
  <b:Source>
    <b:Tag>DCE085</b:Tag>
    <b:SourceType>Book</b:SourceType>
    <b:Guid>{BFE17EAE-60B6-4BA7-A504-265D0E01EA65}</b:Guid>
    <b:Author>
      <b:Author>
        <b:Corporate>DCELLS</b:Corporate>
      </b:Author>
    </b:Author>
    <b:Title>Geography in the National Curriculum for Wales</b:Title>
    <b:Year>2008</b:Year>
    <b:City>Cardiff</b:City>
    <b:Publisher>Welsh Government Assembly</b:Publisher>
    <b:RefOrder>5</b:RefOrder>
  </b:Source>
  <b:Source>
    <b:Tag>DCE086</b:Tag>
    <b:SourceType>Book</b:SourceType>
    <b:Guid>{7EC024A0-2732-4C1F-BEBB-CE90D06745FF}</b:Guid>
    <b:Author>
      <b:Author>
        <b:Corporate>DCELLS</b:Corporate>
      </b:Author>
    </b:Author>
    <b:Title>Education for Sustainable Development and Global Citizenship A Common Understanding for Schools  </b:Title>
    <b:Year>2008</b:Year>
    <b:City>Cardiff</b:City>
    <b:Publisher>Welsh Assembly Government</b:Publisher>
    <b:RefOrder>6</b:RefOrder>
  </b:Source>
  <b:Source>
    <b:Tag>DCE087</b:Tag>
    <b:SourceType>Book</b:SourceType>
    <b:Guid>{814079A3-A78E-4B7C-B330-4CE2D2101FE1}</b:Guid>
    <b:Author>
      <b:Author>
        <b:Corporate>DCELLS</b:Corporate>
      </b:Author>
    </b:Author>
    <b:Title>Music in the National Curriculum for Wales </b:Title>
    <b:Year>2008</b:Year>
    <b:City>Cardiff</b:City>
    <b:Publisher>Welsh Assembly Government</b:Publisher>
    <b:RefOrder>7</b:RefOrder>
  </b:Source>
  <b:Source>
    <b:Tag>How10</b:Tag>
    <b:SourceType>Book</b:SourceType>
    <b:Guid>{4ECAA04E-0478-4F20-A538-D994732440F8}</b:Guid>
    <b:Title>How to develop thinking and assessment for learning in the classroom</b:Title>
    <b:Year>2010</b:Year>
    <b:City>Cardiff</b:City>
    <b:Publisher>Welsh Assembly Government</b:Publisher>
    <b:Author>
      <b:Author>
        <b:Corporate>DCELLS</b:Corporate>
      </b:Author>
    </b:Author>
    <b:RefOrder>8</b:RefOrder>
  </b:Source>
</b:Sources>
</file>

<file path=customXml/itemProps1.xml><?xml version="1.0" encoding="utf-8"?>
<ds:datastoreItem xmlns:ds="http://schemas.openxmlformats.org/officeDocument/2006/customXml" ds:itemID="{8B1E361E-5F41-4260-97B7-994ED2187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1221</TotalTime>
  <Pages>7</Pages>
  <Words>2562</Words>
  <Characters>14606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Williams (1801978)</dc:creator>
  <dc:description/>
  <cp:lastModifiedBy>Rhian Williams (1801978)</cp:lastModifiedBy>
  <cp:revision>146</cp:revision>
  <dcterms:created xsi:type="dcterms:W3CDTF">2019-01-02T17:53:00Z</dcterms:created>
  <dcterms:modified xsi:type="dcterms:W3CDTF">2019-01-04T11:09:00Z</dcterms:modified>
</cp:coreProperties>
</file>