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06B37" w:rsidP="007B3BD6" w:rsidRDefault="00706B37" w14:paraId="3AF99A85" w14:textId="77777777">
      <w:pPr>
        <w:jc w:val="both"/>
      </w:pPr>
    </w:p>
    <w:p w:rsidR="00706B37" w:rsidP="007B3BD6" w:rsidRDefault="00706B37" w14:paraId="14A9BF07" w14:textId="77777777">
      <w:pPr>
        <w:jc w:val="both"/>
      </w:pPr>
    </w:p>
    <w:p w:rsidR="00706B37" w:rsidP="007B3BD6" w:rsidRDefault="00706B37" w14:paraId="4F1239CC" w14:textId="77777777">
      <w:pPr>
        <w:jc w:val="both"/>
      </w:pPr>
    </w:p>
    <w:p w:rsidR="00706B37" w:rsidP="007B3BD6" w:rsidRDefault="00706B37" w14:paraId="0940212D" w14:textId="77777777">
      <w:pPr>
        <w:jc w:val="both"/>
      </w:pPr>
    </w:p>
    <w:p w:rsidR="00706B37" w:rsidP="007B3BD6" w:rsidRDefault="00706B37" w14:paraId="7C457B8F" w14:textId="77777777">
      <w:pPr>
        <w:jc w:val="both"/>
      </w:pPr>
    </w:p>
    <w:p w:rsidR="00706B37" w:rsidP="007B3BD6" w:rsidRDefault="00706B37" w14:paraId="10A21058" w14:textId="77777777">
      <w:pPr>
        <w:jc w:val="both"/>
      </w:pPr>
    </w:p>
    <w:p w:rsidR="00706B37" w:rsidP="007B3BD6" w:rsidRDefault="00706B37" w14:paraId="3459A8F5" w14:textId="77777777">
      <w:pPr>
        <w:jc w:val="both"/>
      </w:pPr>
    </w:p>
    <w:p w:rsidRPr="00F753CC" w:rsidR="00706B37" w:rsidP="007B3BD6" w:rsidRDefault="00251330" w14:paraId="6EB38030" w14:textId="77777777">
      <w:pPr>
        <w:jc w:val="center"/>
        <w:rPr>
          <w:b/>
          <w:bCs/>
        </w:rPr>
      </w:pPr>
      <w:r w:rsidRPr="00F753CC">
        <w:rPr>
          <w:b/>
          <w:bCs/>
        </w:rPr>
        <w:t>Module: Legal Process</w:t>
      </w:r>
    </w:p>
    <w:p w:rsidR="00F05B9C" w:rsidP="007B3BD6" w:rsidRDefault="00251330" w14:paraId="7749B2B0" w14:textId="7A3534B7">
      <w:pPr>
        <w:jc w:val="center"/>
        <w:rPr>
          <w:b/>
          <w:bCs/>
        </w:rPr>
      </w:pPr>
      <w:r w:rsidRPr="4D9272F4" w:rsidR="4D9272F4">
        <w:rPr>
          <w:b w:val="1"/>
          <w:bCs w:val="1"/>
        </w:rPr>
        <w:t>Assignment: The Magistracy</w:t>
      </w:r>
    </w:p>
    <w:p w:rsidR="4D9272F4" w:rsidP="4D9272F4" w:rsidRDefault="4D9272F4" w14:paraId="283FA8CF" w14:textId="0A4605D7">
      <w:pPr>
        <w:pStyle w:val="Normal"/>
        <w:jc w:val="center"/>
        <w:rPr>
          <w:b w:val="1"/>
          <w:bCs w:val="1"/>
        </w:rPr>
      </w:pPr>
      <w:r w:rsidRPr="4D9272F4" w:rsidR="4D9272F4">
        <w:rPr>
          <w:b w:val="1"/>
          <w:bCs w:val="1"/>
        </w:rPr>
        <w:t>Maria-Madalina Feier (2207140)</w:t>
      </w:r>
    </w:p>
    <w:p w:rsidR="00F05B9C" w:rsidRDefault="00F05B9C" w14:paraId="66344E6F" w14:textId="77777777">
      <w:pPr>
        <w:spacing w:after="160" w:line="259" w:lineRule="auto"/>
        <w:rPr>
          <w:b/>
          <w:bCs/>
        </w:rPr>
      </w:pPr>
      <w:r>
        <w:rPr>
          <w:b/>
          <w:bCs/>
        </w:rPr>
        <w:br w:type="page"/>
      </w:r>
    </w:p>
    <w:sdt>
      <w:sdtPr>
        <w:rPr>
          <w:rFonts w:ascii="Times New Roman" w:hAnsi="Times New Roman" w:cs="Times New Roman" w:eastAsiaTheme="minorHAnsi"/>
          <w:b/>
          <w:bCs/>
          <w:color w:val="auto"/>
          <w:sz w:val="24"/>
          <w:szCs w:val="24"/>
          <w:lang w:val="en-GB"/>
        </w:rPr>
        <w:id w:val="610949078"/>
        <w:docPartObj>
          <w:docPartGallery w:val="Table of Contents"/>
          <w:docPartUnique/>
        </w:docPartObj>
      </w:sdtPr>
      <w:sdtEndPr>
        <w:rPr>
          <w:rFonts w:cstheme="minorBidi"/>
          <w:noProof/>
          <w:szCs w:val="22"/>
        </w:rPr>
      </w:sdtEndPr>
      <w:sdtContent>
        <w:p w:rsidRPr="00F05B9C" w:rsidR="00F05B9C" w:rsidP="00F05B9C" w:rsidRDefault="00F05B9C" w14:paraId="4741B627" w14:textId="5816FD45">
          <w:pPr>
            <w:pStyle w:val="TOCHeading"/>
            <w:jc w:val="center"/>
            <w:rPr>
              <w:rFonts w:ascii="Times New Roman" w:hAnsi="Times New Roman" w:cs="Times New Roman"/>
              <w:b/>
              <w:bCs/>
              <w:color w:val="auto"/>
              <w:sz w:val="24"/>
              <w:szCs w:val="24"/>
            </w:rPr>
          </w:pPr>
          <w:r w:rsidRPr="00F05B9C">
            <w:rPr>
              <w:rFonts w:ascii="Times New Roman" w:hAnsi="Times New Roman" w:cs="Times New Roman"/>
              <w:b/>
              <w:bCs/>
              <w:color w:val="auto"/>
              <w:sz w:val="24"/>
              <w:szCs w:val="24"/>
            </w:rPr>
            <w:t>Table of Contents</w:t>
          </w:r>
        </w:p>
        <w:p w:rsidR="00F05B9C" w:rsidRDefault="00F05B9C" w14:paraId="5819636F" w14:textId="38B45262">
          <w:pPr>
            <w:pStyle w:val="TOC1"/>
            <w:tabs>
              <w:tab w:val="left" w:pos="440"/>
              <w:tab w:val="right" w:leader="dot" w:pos="9350"/>
            </w:tabs>
            <w:rPr>
              <w:noProof/>
            </w:rPr>
          </w:pPr>
          <w:r>
            <w:fldChar w:fldCharType="begin"/>
          </w:r>
          <w:r>
            <w:instrText xml:space="preserve"> TOC \o "1-3" \h \z \u </w:instrText>
          </w:r>
          <w:r>
            <w:fldChar w:fldCharType="separate"/>
          </w:r>
          <w:hyperlink w:history="1" w:anchor="_Toc146369337">
            <w:r w:rsidRPr="00045523">
              <w:rPr>
                <w:rStyle w:val="Hyperlink"/>
                <w:noProof/>
              </w:rPr>
              <w:t>1</w:t>
            </w:r>
            <w:r>
              <w:rPr>
                <w:noProof/>
              </w:rPr>
              <w:tab/>
            </w:r>
            <w:r w:rsidRPr="00045523">
              <w:rPr>
                <w:rStyle w:val="Hyperlink"/>
                <w:noProof/>
              </w:rPr>
              <w:t>Introduction</w:t>
            </w:r>
            <w:r>
              <w:rPr>
                <w:noProof/>
                <w:webHidden/>
              </w:rPr>
              <w:tab/>
            </w:r>
            <w:r>
              <w:rPr>
                <w:noProof/>
                <w:webHidden/>
              </w:rPr>
              <w:fldChar w:fldCharType="begin"/>
            </w:r>
            <w:r>
              <w:rPr>
                <w:noProof/>
                <w:webHidden/>
              </w:rPr>
              <w:instrText xml:space="preserve"> PAGEREF _Toc146369337 \h </w:instrText>
            </w:r>
            <w:r>
              <w:rPr>
                <w:noProof/>
                <w:webHidden/>
              </w:rPr>
            </w:r>
            <w:r>
              <w:rPr>
                <w:noProof/>
                <w:webHidden/>
              </w:rPr>
              <w:fldChar w:fldCharType="separate"/>
            </w:r>
            <w:r>
              <w:rPr>
                <w:noProof/>
                <w:webHidden/>
              </w:rPr>
              <w:t>3</w:t>
            </w:r>
            <w:r>
              <w:rPr>
                <w:noProof/>
                <w:webHidden/>
              </w:rPr>
              <w:fldChar w:fldCharType="end"/>
            </w:r>
          </w:hyperlink>
        </w:p>
        <w:p w:rsidR="00F05B9C" w:rsidRDefault="00A5603E" w14:paraId="610884D8" w14:textId="4E912C21">
          <w:pPr>
            <w:pStyle w:val="TOC1"/>
            <w:tabs>
              <w:tab w:val="left" w:pos="440"/>
              <w:tab w:val="right" w:leader="dot" w:pos="9350"/>
            </w:tabs>
            <w:rPr>
              <w:noProof/>
            </w:rPr>
          </w:pPr>
          <w:hyperlink w:history="1" w:anchor="_Toc146369338">
            <w:r w:rsidRPr="00045523" w:rsidR="00F05B9C">
              <w:rPr>
                <w:rStyle w:val="Hyperlink"/>
                <w:noProof/>
              </w:rPr>
              <w:t>2</w:t>
            </w:r>
            <w:r w:rsidR="00F05B9C">
              <w:rPr>
                <w:noProof/>
              </w:rPr>
              <w:tab/>
            </w:r>
            <w:r w:rsidRPr="00045523" w:rsidR="00F05B9C">
              <w:rPr>
                <w:rStyle w:val="Hyperlink"/>
                <w:noProof/>
              </w:rPr>
              <w:t>Discussion</w:t>
            </w:r>
            <w:r w:rsidR="00F05B9C">
              <w:rPr>
                <w:noProof/>
                <w:webHidden/>
              </w:rPr>
              <w:tab/>
            </w:r>
            <w:r w:rsidR="00F05B9C">
              <w:rPr>
                <w:noProof/>
                <w:webHidden/>
              </w:rPr>
              <w:fldChar w:fldCharType="begin"/>
            </w:r>
            <w:r w:rsidR="00F05B9C">
              <w:rPr>
                <w:noProof/>
                <w:webHidden/>
              </w:rPr>
              <w:instrText xml:space="preserve"> PAGEREF _Toc146369338 \h </w:instrText>
            </w:r>
            <w:r w:rsidR="00F05B9C">
              <w:rPr>
                <w:noProof/>
                <w:webHidden/>
              </w:rPr>
            </w:r>
            <w:r w:rsidR="00F05B9C">
              <w:rPr>
                <w:noProof/>
                <w:webHidden/>
              </w:rPr>
              <w:fldChar w:fldCharType="separate"/>
            </w:r>
            <w:r w:rsidR="00F05B9C">
              <w:rPr>
                <w:noProof/>
                <w:webHidden/>
              </w:rPr>
              <w:t>3</w:t>
            </w:r>
            <w:r w:rsidR="00F05B9C">
              <w:rPr>
                <w:noProof/>
                <w:webHidden/>
              </w:rPr>
              <w:fldChar w:fldCharType="end"/>
            </w:r>
          </w:hyperlink>
        </w:p>
        <w:p w:rsidR="00F05B9C" w:rsidRDefault="00A5603E" w14:paraId="1EDD4569" w14:textId="14CC41F1">
          <w:pPr>
            <w:pStyle w:val="TOC1"/>
            <w:tabs>
              <w:tab w:val="left" w:pos="440"/>
              <w:tab w:val="right" w:leader="dot" w:pos="9350"/>
            </w:tabs>
            <w:rPr>
              <w:noProof/>
            </w:rPr>
          </w:pPr>
          <w:hyperlink w:history="1" w:anchor="_Toc146369339">
            <w:r w:rsidRPr="00045523" w:rsidR="00F05B9C">
              <w:rPr>
                <w:rStyle w:val="Hyperlink"/>
                <w:noProof/>
              </w:rPr>
              <w:t>3</w:t>
            </w:r>
            <w:r w:rsidR="00F05B9C">
              <w:rPr>
                <w:noProof/>
              </w:rPr>
              <w:tab/>
            </w:r>
            <w:r w:rsidRPr="00045523" w:rsidR="00F05B9C">
              <w:rPr>
                <w:rStyle w:val="Hyperlink"/>
                <w:noProof/>
              </w:rPr>
              <w:t>Conclusion</w:t>
            </w:r>
            <w:r w:rsidR="00F05B9C">
              <w:rPr>
                <w:noProof/>
                <w:webHidden/>
              </w:rPr>
              <w:tab/>
            </w:r>
            <w:r w:rsidR="00F05B9C">
              <w:rPr>
                <w:noProof/>
                <w:webHidden/>
              </w:rPr>
              <w:fldChar w:fldCharType="begin"/>
            </w:r>
            <w:r w:rsidR="00F05B9C">
              <w:rPr>
                <w:noProof/>
                <w:webHidden/>
              </w:rPr>
              <w:instrText xml:space="preserve"> PAGEREF _Toc146369339 \h </w:instrText>
            </w:r>
            <w:r w:rsidR="00F05B9C">
              <w:rPr>
                <w:noProof/>
                <w:webHidden/>
              </w:rPr>
            </w:r>
            <w:r w:rsidR="00F05B9C">
              <w:rPr>
                <w:noProof/>
                <w:webHidden/>
              </w:rPr>
              <w:fldChar w:fldCharType="separate"/>
            </w:r>
            <w:r w:rsidR="00F05B9C">
              <w:rPr>
                <w:noProof/>
                <w:webHidden/>
              </w:rPr>
              <w:t>9</w:t>
            </w:r>
            <w:r w:rsidR="00F05B9C">
              <w:rPr>
                <w:noProof/>
                <w:webHidden/>
              </w:rPr>
              <w:fldChar w:fldCharType="end"/>
            </w:r>
          </w:hyperlink>
        </w:p>
        <w:p w:rsidR="00F05B9C" w:rsidRDefault="00A5603E" w14:paraId="29BC990C" w14:textId="367D7888">
          <w:pPr>
            <w:pStyle w:val="TOC1"/>
            <w:tabs>
              <w:tab w:val="left" w:pos="440"/>
              <w:tab w:val="right" w:leader="dot" w:pos="9350"/>
            </w:tabs>
            <w:rPr>
              <w:noProof/>
            </w:rPr>
          </w:pPr>
          <w:hyperlink w:history="1" w:anchor="_Toc146369340">
            <w:r w:rsidRPr="00045523" w:rsidR="00F05B9C">
              <w:rPr>
                <w:rStyle w:val="Hyperlink"/>
                <w:noProof/>
              </w:rPr>
              <w:t>4</w:t>
            </w:r>
            <w:r w:rsidR="00F05B9C">
              <w:rPr>
                <w:noProof/>
              </w:rPr>
              <w:tab/>
            </w:r>
            <w:r w:rsidRPr="00045523" w:rsidR="00F05B9C">
              <w:rPr>
                <w:rStyle w:val="Hyperlink"/>
                <w:noProof/>
              </w:rPr>
              <w:t>References</w:t>
            </w:r>
            <w:r w:rsidR="00F05B9C">
              <w:rPr>
                <w:noProof/>
                <w:webHidden/>
              </w:rPr>
              <w:tab/>
            </w:r>
            <w:r w:rsidR="00F05B9C">
              <w:rPr>
                <w:noProof/>
                <w:webHidden/>
              </w:rPr>
              <w:fldChar w:fldCharType="begin"/>
            </w:r>
            <w:r w:rsidR="00F05B9C">
              <w:rPr>
                <w:noProof/>
                <w:webHidden/>
              </w:rPr>
              <w:instrText xml:space="preserve"> PAGEREF _Toc146369340 \h </w:instrText>
            </w:r>
            <w:r w:rsidR="00F05B9C">
              <w:rPr>
                <w:noProof/>
                <w:webHidden/>
              </w:rPr>
            </w:r>
            <w:r w:rsidR="00F05B9C">
              <w:rPr>
                <w:noProof/>
                <w:webHidden/>
              </w:rPr>
              <w:fldChar w:fldCharType="separate"/>
            </w:r>
            <w:r w:rsidR="00F05B9C">
              <w:rPr>
                <w:noProof/>
                <w:webHidden/>
              </w:rPr>
              <w:t>10</w:t>
            </w:r>
            <w:r w:rsidR="00F05B9C">
              <w:rPr>
                <w:noProof/>
                <w:webHidden/>
              </w:rPr>
              <w:fldChar w:fldCharType="end"/>
            </w:r>
          </w:hyperlink>
        </w:p>
        <w:p w:rsidR="00F05B9C" w:rsidRDefault="00F05B9C" w14:paraId="3EF5DF38" w14:textId="0685DA5E">
          <w:r>
            <w:rPr>
              <w:b/>
              <w:bCs/>
              <w:noProof/>
            </w:rPr>
            <w:fldChar w:fldCharType="end"/>
          </w:r>
        </w:p>
      </w:sdtContent>
    </w:sdt>
    <w:p w:rsidRPr="00F753CC" w:rsidR="00706B37" w:rsidP="007B3BD6" w:rsidRDefault="00706B37" w14:paraId="14C59015" w14:textId="77777777">
      <w:pPr>
        <w:jc w:val="center"/>
        <w:rPr>
          <w:b/>
          <w:bCs/>
        </w:rPr>
      </w:pPr>
    </w:p>
    <w:p w:rsidR="0059452A" w:rsidP="007B3BD6" w:rsidRDefault="00251330" w14:paraId="6158F083" w14:textId="77777777">
      <w:pPr>
        <w:spacing w:after="160" w:line="259" w:lineRule="auto"/>
        <w:jc w:val="both"/>
        <w:rPr>
          <w:b/>
        </w:rPr>
      </w:pPr>
      <w:r>
        <w:br w:type="page"/>
      </w:r>
    </w:p>
    <w:p w:rsidR="00686D2E" w:rsidP="007B3BD6" w:rsidRDefault="00251330" w14:paraId="2C0FC50E" w14:textId="77777777">
      <w:pPr>
        <w:pStyle w:val="Heading1"/>
        <w:jc w:val="both"/>
      </w:pPr>
      <w:bookmarkStart w:name="_Toc146369337" w:id="0"/>
      <w:r>
        <w:lastRenderedPageBreak/>
        <w:t>Introduction</w:t>
      </w:r>
      <w:bookmarkEnd w:id="0"/>
      <w:r>
        <w:t xml:space="preserve"> </w:t>
      </w:r>
    </w:p>
    <w:p w:rsidRPr="003D5DB7" w:rsidR="007B3BD6" w:rsidP="007B3BD6" w:rsidRDefault="007B3BD6" w14:paraId="22375FC4" w14:textId="2E37E6CA">
      <w:pPr>
        <w:jc w:val="both"/>
      </w:pPr>
      <w:r w:rsidR="11FCADE3">
        <w:rPr/>
        <w:t xml:space="preserve">The decisions </w:t>
      </w:r>
      <w:r w:rsidR="11FCADE3">
        <w:rPr/>
        <w:t>rendered</w:t>
      </w:r>
      <w:r w:rsidR="11FCADE3">
        <w:rPr/>
        <w:t xml:space="preserve"> by Magistrates in both criminal and civil cases hold significant importance in the operational dynamics of the British justice system. These individuals embody the viewpoint of the nearby community and offer </w:t>
      </w:r>
      <w:r w:rsidR="11FCADE3">
        <w:rPr/>
        <w:t>equitable</w:t>
      </w:r>
      <w:r w:rsidR="11FCADE3">
        <w:rPr/>
        <w:t xml:space="preserve"> and prompt resolutions, hence garnering the designation of "volunteers" within certain spheres. Magistrates </w:t>
      </w:r>
      <w:r w:rsidR="11FCADE3">
        <w:rPr/>
        <w:t>fulfil</w:t>
      </w:r>
      <w:r w:rsidR="11FCADE3">
        <w:rPr/>
        <w:t xml:space="preserve"> a vital role within society by promoting the principles of legal governance, safeguarding the public's right to seek legal recourse, and alleviating the workload of higher judicial bodies (Ross </w:t>
      </w:r>
      <w:r w:rsidRPr="11FCADE3" w:rsidR="11FCADE3">
        <w:rPr>
          <w:i w:val="1"/>
          <w:iCs w:val="1"/>
        </w:rPr>
        <w:t>et al</w:t>
      </w:r>
      <w:r w:rsidR="11FCADE3">
        <w:rPr/>
        <w:t xml:space="preserve">., 2022). The </w:t>
      </w:r>
      <w:r w:rsidR="11FCADE3">
        <w:rPr/>
        <w:t>objective</w:t>
      </w:r>
      <w:r w:rsidR="11FCADE3">
        <w:rPr/>
        <w:t xml:space="preserve"> of this essay is to critically evaluate the strengths and weaknesses inherent in the British magistrate system. This is achieved by an examination of their fundamental functions, distinctive characteristics, implemented changes, and possibility for cessation. </w:t>
      </w:r>
    </w:p>
    <w:p w:rsidR="004815DE" w:rsidP="007B3BD6" w:rsidRDefault="00251330" w14:paraId="5ED5D2D9" w14:textId="77777777">
      <w:pPr>
        <w:pStyle w:val="Heading1"/>
        <w:jc w:val="both"/>
      </w:pPr>
      <w:bookmarkStart w:name="_Toc146369338" w:id="1"/>
      <w:r>
        <w:t>Discussion</w:t>
      </w:r>
      <w:bookmarkEnd w:id="1"/>
      <w:r>
        <w:t xml:space="preserve"> </w:t>
      </w:r>
    </w:p>
    <w:p w:rsidR="007B3BD6" w:rsidP="007B3BD6" w:rsidRDefault="0063178B" w14:paraId="26E97713" w14:textId="5C86618F">
      <w:pPr>
        <w:jc w:val="both"/>
      </w:pPr>
      <w:r w:rsidR="11FCADE3">
        <w:rPr/>
        <w:t xml:space="preserve">Magistrates are court officers in the UK who judge over minor criminal and civil cases without compensation. This paper employs a critical analytical method to examine the influence of recent reforms on the larger judicial system, as well as the role, responsibilities, and characteristics of magistrates, drawing on pertinent case precedents. Magistrates, often known as lay judges, come from all levels of society and have authority over a wide variety of cases. A woman was found guilty of murder in connection with her abusive husband's death in the seminal case R v. Ahluwalia [1992]. However, the fact that her conviction was overturned shows how important magistrates are in cases involving domestic violence. Cases involving complex elements like domestic violence, like in the Ahluwalia case, highlight the need of magistrates in upholding the administration of justice. It is crucial to have the mental wherewithal to grasp complexities like this. In criminal proceedings, magistrate judges make bail determinations, preside over preliminary hearings, and assess the strength of the state's case. The case of R v Crown Prosecution Service [2000] </w:t>
      </w:r>
      <w:r w:rsidR="11FCADE3">
        <w:rPr/>
        <w:t>demonstrated</w:t>
      </w:r>
      <w:r w:rsidR="11FCADE3">
        <w:rPr/>
        <w:t xml:space="preserve"> notable instances of delays, highlighting the challenges faced by the magistrates' court system because of scheduling conflicts and organizational concerns. British magistrates are drawn from a diverse array of origins. The significance of magistrates in safeguarding the well-being of affected children and </w:t>
      </w:r>
      <w:r w:rsidR="11FCADE3">
        <w:rPr/>
        <w:t>maintaining</w:t>
      </w:r>
      <w:r w:rsidR="11FCADE3">
        <w:rPr/>
        <w:t xml:space="preserve"> stable family units was underscored in the recent legal matter of Medway Council v. Root [2019]. The Root case serves as a demonstration of how the </w:t>
      </w:r>
      <w:r w:rsidR="11FCADE3">
        <w:rPr/>
        <w:t>capacity</w:t>
      </w:r>
      <w:r w:rsidR="11FCADE3">
        <w:rPr/>
        <w:t xml:space="preserve"> of magistrates to exercise discernment in decision-making can yield favourable outcomes in matters </w:t>
      </w:r>
      <w:r w:rsidR="11FCADE3">
        <w:rPr/>
        <w:t>pertaining to</w:t>
      </w:r>
      <w:r w:rsidR="11FCADE3">
        <w:rPr/>
        <w:t xml:space="preserve"> familial issues, so underscoring their significance beyond the realm of criminal procedures. Magistrates often face challenges such as inadequate legal </w:t>
      </w:r>
      <w:r w:rsidR="11FCADE3">
        <w:rPr/>
        <w:t>expertise</w:t>
      </w:r>
      <w:r w:rsidR="11FCADE3">
        <w:rPr/>
        <w:t xml:space="preserve"> and overwhelming caseloads. Wright and Levine (2021) argue that </w:t>
      </w:r>
      <w:r w:rsidR="11FCADE3">
        <w:rPr/>
        <w:t>permitting</w:t>
      </w:r>
      <w:r w:rsidR="11FCADE3">
        <w:rPr/>
        <w:t xml:space="preserve"> the progression of these issues could potentially undermine the integrity and efficacy of the legal system. The research conducted by Wright and Levine emphasizes the significance of continuous training and support for magistrates to </w:t>
      </w:r>
      <w:r w:rsidR="11FCADE3">
        <w:rPr/>
        <w:t>assist</w:t>
      </w:r>
      <w:r w:rsidR="11FCADE3">
        <w:rPr/>
        <w:t xml:space="preserve"> them in overcoming challenges and delivering </w:t>
      </w:r>
      <w:r w:rsidR="11FCADE3">
        <w:rPr/>
        <w:t>equitable</w:t>
      </w:r>
      <w:r w:rsidR="11FCADE3">
        <w:rPr/>
        <w:t xml:space="preserve"> and consistent judgments. The closure of various magistrate courts in the UK has been </w:t>
      </w:r>
      <w:r w:rsidR="11FCADE3">
        <w:rPr/>
        <w:t>observed</w:t>
      </w:r>
      <w:r w:rsidR="11FCADE3">
        <w:rPr/>
        <w:t xml:space="preserve"> because of recent court reforms. The decision to close courts in the Sturge v. UK [2020] case resulted in cost savings; nevertheless, it also had the consequence of diminishing access to justice and depleting court resources. Sturge highlights the possible ramifications associated with the closing of courts, which encompass challenges </w:t>
      </w:r>
      <w:r w:rsidR="11FCADE3">
        <w:rPr/>
        <w:t>pertaining to</w:t>
      </w:r>
      <w:r w:rsidR="11FCADE3">
        <w:rPr/>
        <w:t xml:space="preserve"> the accessibility of justice, heightened caseloads, and diminished resources. The </w:t>
      </w:r>
      <w:r w:rsidR="11FCADE3">
        <w:rPr/>
        <w:t>objective</w:t>
      </w:r>
      <w:r w:rsidR="11FCADE3">
        <w:rPr/>
        <w:t xml:space="preserve"> of the revisions under consideration is to enhance the existing system. The proposal put forth by Lomax (2021) on the implementation of an intermediate court requires careful consideration. One potential approach to address the issues within the magistrates' court system is to enhance the authority of magistrates or </w:t>
      </w:r>
      <w:r w:rsidR="11FCADE3">
        <w:rPr/>
        <w:t>establish</w:t>
      </w:r>
      <w:r w:rsidR="11FCADE3">
        <w:rPr/>
        <w:t xml:space="preserve"> an intermediate court, as suggested by Lomax. Magistrates play a vital role within the justice system of the UK; however, they </w:t>
      </w:r>
      <w:r w:rsidR="11FCADE3">
        <w:rPr/>
        <w:t>encounter</w:t>
      </w:r>
      <w:r w:rsidR="11FCADE3">
        <w:rPr/>
        <w:t xml:space="preserve"> distinct challenges that want attention and resolution. Analyses and case studies </w:t>
      </w:r>
      <w:r w:rsidR="11FCADE3">
        <w:rPr/>
        <w:t>demonstrate</w:t>
      </w:r>
      <w:r w:rsidR="11FCADE3">
        <w:rPr/>
        <w:t xml:space="preserve"> the utility of these tools and </w:t>
      </w:r>
      <w:r w:rsidR="11FCADE3">
        <w:rPr/>
        <w:t>identify</w:t>
      </w:r>
      <w:r w:rsidR="11FCADE3">
        <w:rPr/>
        <w:t xml:space="preserve"> areas for potential improvement. The preservation of access to justice is vital throughout the evaluation of reforms, with the aim of enhancing the efficacy and equity of the magistrates' court system (Innes, 2022). The magistrates, who are commonly referred to as lay judges, hold a significant position within the legal system of the United Kingdom. To assure the comprehensive representation of the neighbourhood's perspectives, magistrates are chosen from a diverse range of candidates. Magistrate courts </w:t>
      </w:r>
      <w:r w:rsidR="11FCADE3">
        <w:rPr/>
        <w:t>possess</w:t>
      </w:r>
      <w:r w:rsidR="11FCADE3">
        <w:rPr/>
        <w:t xml:space="preserve"> the district to judge a diverse range of issues, encompassing minor criminal offenses, traffic infractions, and certain civil disputes. Furthermore, magistrates assume a pivotal role in the </w:t>
      </w:r>
      <w:r w:rsidR="11FCADE3">
        <w:rPr/>
        <w:t>expeditious</w:t>
      </w:r>
      <w:r w:rsidR="11FCADE3">
        <w:rPr/>
        <w:t xml:space="preserve"> and </w:t>
      </w:r>
      <w:r w:rsidR="11FCADE3">
        <w:rPr/>
        <w:t>equitable</w:t>
      </w:r>
      <w:r w:rsidR="11FCADE3">
        <w:rPr/>
        <w:t xml:space="preserve"> administration of justice. They </w:t>
      </w:r>
      <w:r w:rsidR="11FCADE3">
        <w:rPr/>
        <w:t>can render</w:t>
      </w:r>
      <w:r w:rsidR="11FCADE3">
        <w:rPr/>
        <w:t xml:space="preserve"> impartial decisions without the </w:t>
      </w:r>
      <w:r w:rsidR="11FCADE3">
        <w:rPr/>
        <w:t>assistance</w:t>
      </w:r>
      <w:r w:rsidR="11FCADE3">
        <w:rPr/>
        <w:t xml:space="preserve"> of legal professionals, so enhancing the availability of justice to a wider range of individuals. The commitment, diversity, and community involvement of magistrates in the United Kingdom contribute significantly to the promotion and enforcement of the rule of law (UK Government, 2022). </w:t>
      </w:r>
    </w:p>
    <w:p w:rsidR="007B3BD6" w:rsidP="007B3BD6" w:rsidRDefault="007B3BD6" w14:paraId="6589E6D9" w14:textId="2A176062">
      <w:pPr>
        <w:jc w:val="both"/>
      </w:pPr>
      <w:r w:rsidR="11FCADE3">
        <w:rPr/>
        <w:t xml:space="preserve">The magistrate is provided with the </w:t>
      </w:r>
      <w:r w:rsidR="11FCADE3">
        <w:rPr/>
        <w:t>assistance</w:t>
      </w:r>
      <w:r w:rsidR="11FCADE3">
        <w:rPr/>
        <w:t xml:space="preserve"> of a legal advisor to guarantee adherence to proper legal protocols (Ross </w:t>
      </w:r>
      <w:r w:rsidRPr="11FCADE3" w:rsidR="11FCADE3">
        <w:rPr>
          <w:i w:val="1"/>
          <w:iCs w:val="1"/>
        </w:rPr>
        <w:t>et al</w:t>
      </w:r>
      <w:r w:rsidR="11FCADE3">
        <w:rPr/>
        <w:t xml:space="preserve">., 2022). Magistrates in the United Kingdom hold a significant responsibility in the resolution of criminal cases and the management of matters </w:t>
      </w:r>
      <w:r w:rsidR="11FCADE3">
        <w:rPr/>
        <w:t>pertaining to</w:t>
      </w:r>
      <w:r w:rsidR="11FCADE3">
        <w:rPr/>
        <w:t xml:space="preserve"> offenses such as minor assaults, theft, motor vehicle violations, and the handling of stolen property. Bail is </w:t>
      </w:r>
      <w:r w:rsidR="11FCADE3">
        <w:rPr/>
        <w:t>established</w:t>
      </w:r>
      <w:r w:rsidR="11FCADE3">
        <w:rPr/>
        <w:t xml:space="preserve">, preliminary hearings are conducted, and the officials assess the strength of the prosecution's case. When </w:t>
      </w:r>
      <w:r w:rsidR="11FCADE3">
        <w:rPr/>
        <w:t>determining</w:t>
      </w:r>
      <w:r w:rsidR="11FCADE3">
        <w:rPr/>
        <w:t xml:space="preserve"> the sentencing for a defendant, careful consideration is given to </w:t>
      </w:r>
      <w:r w:rsidR="11FCADE3">
        <w:rPr/>
        <w:t>previous</w:t>
      </w:r>
      <w:r w:rsidR="11FCADE3">
        <w:rPr/>
        <w:t xml:space="preserve"> occurrences and </w:t>
      </w:r>
      <w:r w:rsidR="11FCADE3">
        <w:rPr/>
        <w:t>established</w:t>
      </w:r>
      <w:r w:rsidR="11FCADE3">
        <w:rPr/>
        <w:t xml:space="preserve"> legal precedents. Potential penalties may encompass monetary fines, community service, or a </w:t>
      </w:r>
      <w:r w:rsidR="11FCADE3">
        <w:rPr/>
        <w:t>maximum</w:t>
      </w:r>
      <w:r w:rsidR="11FCADE3">
        <w:rPr/>
        <w:t xml:space="preserve"> period of jail lasting one year. If the violations were of a particularly grave nature, it is possible that the case could be subjected to an appeal process in a higher court (UK Government, 2022). Furthermore, under Family Proceedings Courts, judges assume the responsibility of presiding over cases </w:t>
      </w:r>
      <w:r w:rsidR="11FCADE3">
        <w:rPr/>
        <w:t>pertaining to</w:t>
      </w:r>
      <w:r w:rsidR="11FCADE3">
        <w:rPr/>
        <w:t xml:space="preserve"> various matters such as domestic abuse, child custody, visitation rights, and child support.  The case of R v. Ahluwalia, in which a female defendant was convicted of the homicide of her spouse who had subjected her to abuse, is widely recognized as an illustrative instance of this nature. Further investigation uncovered that she had experienced domestic violence, leading to substantial modifications in the legal framework </w:t>
      </w:r>
      <w:r w:rsidR="11FCADE3">
        <w:rPr/>
        <w:t>pertaining to</w:t>
      </w:r>
      <w:r w:rsidR="11FCADE3">
        <w:rPr/>
        <w:t xml:space="preserve"> provocation and self-defences within the context of domestic violence (Mehta, 2022). Family courts </w:t>
      </w:r>
      <w:r w:rsidR="11FCADE3">
        <w:rPr/>
        <w:t>are responsible for</w:t>
      </w:r>
      <w:r w:rsidR="11FCADE3">
        <w:rPr/>
        <w:t xml:space="preserve"> handling many legal matters, including those </w:t>
      </w:r>
      <w:r w:rsidR="11FCADE3">
        <w:rPr/>
        <w:t>pertaining to</w:t>
      </w:r>
      <w:r w:rsidR="11FCADE3">
        <w:rPr/>
        <w:t xml:space="preserve"> parental responsibility and adoption. The primary </w:t>
      </w:r>
      <w:r w:rsidR="11FCADE3">
        <w:rPr/>
        <w:t>objective</w:t>
      </w:r>
      <w:r w:rsidR="11FCADE3">
        <w:rPr/>
        <w:t xml:space="preserve"> of these responsibilities is to guarantee the provision of adequate support for the children and their families in a manner that promotes their well-being (Harker and Ryan, 2022). This assertion is corroborated by the legal precedent of Medway Council v. Root [2019], wherein the fast resolution of the mother's childcare processes was </w:t>
      </w:r>
      <w:r w:rsidR="11FCADE3">
        <w:rPr/>
        <w:t>facilitated</w:t>
      </w:r>
      <w:r w:rsidR="11FCADE3">
        <w:rPr/>
        <w:t xml:space="preserve"> through the intervention of the family court. When </w:t>
      </w:r>
      <w:r w:rsidR="11FCADE3">
        <w:rPr/>
        <w:t>all</w:t>
      </w:r>
      <w:r w:rsidR="11FCADE3">
        <w:rPr/>
        <w:t xml:space="preserve"> these responsibilities are executed accurately, it becomes </w:t>
      </w:r>
      <w:r w:rsidR="11FCADE3">
        <w:rPr/>
        <w:t>evident</w:t>
      </w:r>
      <w:r w:rsidR="11FCADE3">
        <w:rPr/>
        <w:t xml:space="preserve"> that magistrates play a </w:t>
      </w:r>
      <w:r w:rsidR="11FCADE3">
        <w:rPr/>
        <w:t>substantial</w:t>
      </w:r>
      <w:r w:rsidR="11FCADE3">
        <w:rPr/>
        <w:t xml:space="preserve"> role in upholding the administration of justice. </w:t>
      </w:r>
    </w:p>
    <w:p w:rsidR="007B3BD6" w:rsidP="007B3BD6" w:rsidRDefault="007B3BD6" w14:paraId="7669EF97" w14:textId="1B3C2B8B">
      <w:pPr>
        <w:jc w:val="both"/>
      </w:pPr>
      <w:r w:rsidR="11FCADE3">
        <w:rPr/>
        <w:t xml:space="preserve">The attributes that delineate British judges play a pivotal role in </w:t>
      </w:r>
      <w:r w:rsidR="11FCADE3">
        <w:rPr/>
        <w:t>facilitating</w:t>
      </w:r>
      <w:r w:rsidR="11FCADE3">
        <w:rPr/>
        <w:t xml:space="preserve"> the efficient operation of the justice system. The involvement of individuals from diverse backgrounds contributes to a more comprehensive understanding of regional concerns and enhances objectivity by incorporating a wide range of opinions. Furthermore, the absence of monetary compensation for their services highlights the volunteers' dedication to </w:t>
      </w:r>
      <w:r w:rsidR="11FCADE3">
        <w:rPr/>
        <w:t>maintaining</w:t>
      </w:r>
      <w:r w:rsidR="11FCADE3">
        <w:rPr/>
        <w:t xml:space="preserve"> legal standards and </w:t>
      </w:r>
      <w:r w:rsidR="11FCADE3">
        <w:rPr/>
        <w:t>assisting</w:t>
      </w:r>
      <w:r w:rsidR="11FCADE3">
        <w:rPr/>
        <w:t xml:space="preserve"> the community. This further reinforces the notion that employing communal decision-making approaches enhances impartiality and mitigates prejudice. Furthermore, owing to their proximity, these entities </w:t>
      </w:r>
      <w:r w:rsidR="11FCADE3">
        <w:rPr/>
        <w:t>possess</w:t>
      </w:r>
      <w:r w:rsidR="11FCADE3">
        <w:rPr/>
        <w:t xml:space="preserve"> the capacity to expeditiously address minor disputes, so alleviating the workload of superior judicial bodies (Barnes and Whewell, 2021). The magistrate's demonstration of compassion, impartiality, and dedication has played a pivotal role in the establishment of a resilient and readily available court system in the United Kingdom, so </w:t>
      </w:r>
      <w:r w:rsidR="11FCADE3">
        <w:rPr/>
        <w:t>benefiting</w:t>
      </w:r>
      <w:r w:rsidR="11FCADE3">
        <w:rPr/>
        <w:t xml:space="preserve"> the entire populace. The British judicial system depends on magistrates; nonetheless, it is susceptible to several failures. The deficiency of legal comprehension among magistrates poses a significant problem as it undermines the ability to make consistent and </w:t>
      </w:r>
      <w:r w:rsidR="11FCADE3">
        <w:rPr/>
        <w:t>accurate</w:t>
      </w:r>
      <w:r w:rsidR="11FCADE3">
        <w:rPr/>
        <w:t xml:space="preserve"> determinations or interpretations of complex legal matters. Furthermore, given the volunteer nature of these jobs, it is possible for persons who are either underrepresented in the population or lack the requisite qualifications to assume leadership positions. According to Carpenter et al. (2018), the excessive workload of magistrates can have a detrimental impact on their capacity to make rational judgments. According to Wright and Levine (2021), the involvement of magistrates in difficult cases may result in procedural </w:t>
      </w:r>
      <w:r w:rsidR="11FCADE3">
        <w:rPr/>
        <w:t>delays since</w:t>
      </w:r>
      <w:r w:rsidR="11FCADE3">
        <w:rPr/>
        <w:t xml:space="preserve"> defendants would </w:t>
      </w:r>
      <w:r w:rsidR="11FCADE3">
        <w:rPr/>
        <w:t>be required</w:t>
      </w:r>
      <w:r w:rsidR="11FCADE3">
        <w:rPr/>
        <w:t xml:space="preserve"> to secure legal representation or be transferred to a higher court. Hence, it is imperative to address the concerns to ensure the ongoing fairness and efficacy of the legal system.</w:t>
      </w:r>
    </w:p>
    <w:p w:rsidR="007B3BD6" w:rsidP="007B3BD6" w:rsidRDefault="007B3BD6" w14:paraId="59196F1C" w14:textId="216C95CD">
      <w:pPr>
        <w:jc w:val="both"/>
      </w:pPr>
      <w:r w:rsidR="11FCADE3">
        <w:rPr/>
        <w:t xml:space="preserve">The judicial system in the United Kingdom has undergone substantial changes since 2010, leading to a dramatic alteration of the court estate. The primary </w:t>
      </w:r>
      <w:r w:rsidR="11FCADE3">
        <w:rPr/>
        <w:t>objective</w:t>
      </w:r>
      <w:r w:rsidR="11FCADE3">
        <w:rPr/>
        <w:t xml:space="preserve"> of the initiative is to minimize the need for physical presence at specific types of hearings. </w:t>
      </w:r>
      <w:r w:rsidR="11FCADE3">
        <w:rPr/>
        <w:t>Because of</w:t>
      </w:r>
      <w:r w:rsidR="11FCADE3">
        <w:rPr/>
        <w:t xml:space="preserve"> the implemented modifications, the closure of the courts has </w:t>
      </w:r>
      <w:r w:rsidR="11FCADE3">
        <w:rPr/>
        <w:t>transpired</w:t>
      </w:r>
      <w:r w:rsidR="11FCADE3">
        <w:rPr/>
        <w:t xml:space="preserve">, resulting in the relocation of their respective functions. To date, a total of 164 magistrate courts, out of the </w:t>
      </w:r>
      <w:r w:rsidR="11FCADE3">
        <w:rPr/>
        <w:t>initial</w:t>
      </w:r>
      <w:r w:rsidR="11FCADE3">
        <w:rPr/>
        <w:t xml:space="preserve"> count of 320, have been closed. According to Sturge (2020), the closure and sale of court buildings have resulted in a financial benefit of £223 million for the public. Nevertheless, it is indisputable that the closure of magistrate courts has had a detrimental impact on the judicial system in the United Kingdom. For example, individuals involved in judicial proceedings, such as defendants, witnesses, and legal experts, may incur </w:t>
      </w:r>
      <w:r w:rsidR="11FCADE3">
        <w:rPr/>
        <w:t>additional</w:t>
      </w:r>
      <w:r w:rsidR="11FCADE3">
        <w:rPr/>
        <w:t xml:space="preserve"> expenses and travel longer distances due to the remote locations of local courts. The decrease in the quantity of courts has resulted in an escalation in caseloads within the remaining courts, so engendering backlogs and delays that </w:t>
      </w:r>
      <w:r w:rsidR="11FCADE3">
        <w:rPr/>
        <w:t>provide</w:t>
      </w:r>
      <w:r w:rsidR="11FCADE3">
        <w:rPr/>
        <w:t xml:space="preserve"> a significant challenge to the </w:t>
      </w:r>
      <w:r w:rsidR="11FCADE3">
        <w:rPr/>
        <w:t>expeditious</w:t>
      </w:r>
      <w:r w:rsidR="11FCADE3">
        <w:rPr/>
        <w:t xml:space="preserve"> resolution of cases. The legal matter of R v. Crown Prosecution Service [2000] </w:t>
      </w:r>
      <w:r w:rsidR="11FCADE3">
        <w:rPr/>
        <w:t>witnessed</w:t>
      </w:r>
      <w:r w:rsidR="11FCADE3">
        <w:rPr/>
        <w:t xml:space="preserve"> significant delays due to scheduling conflicts and organizational challenges </w:t>
      </w:r>
      <w:r w:rsidR="11FCADE3">
        <w:rPr/>
        <w:t>encountered</w:t>
      </w:r>
      <w:r w:rsidR="11FCADE3">
        <w:rPr/>
        <w:t xml:space="preserve"> by the Crown Prosecution Service. Due to the imposed limitations, the magistrates are afforded diminished opportunities to </w:t>
      </w:r>
      <w:r w:rsidR="11FCADE3">
        <w:rPr/>
        <w:t>solicit</w:t>
      </w:r>
      <w:r w:rsidR="11FCADE3">
        <w:rPr/>
        <w:t xml:space="preserve"> the public's viewpoints </w:t>
      </w:r>
      <w:r w:rsidR="11FCADE3">
        <w:rPr/>
        <w:t>regarding</w:t>
      </w:r>
      <w:r w:rsidR="11FCADE3">
        <w:rPr/>
        <w:t xml:space="preserve"> matters and apprehensions of local significance. Furthermore, the closures have </w:t>
      </w:r>
      <w:r w:rsidR="11FCADE3">
        <w:rPr/>
        <w:t>exacerbated</w:t>
      </w:r>
      <w:r w:rsidR="11FCADE3">
        <w:rPr/>
        <w:t xml:space="preserve"> the strain on already few resources, so impeding the judicial system's ability to perform its duties with </w:t>
      </w:r>
      <w:r w:rsidR="11FCADE3">
        <w:rPr/>
        <w:t>optimal</w:t>
      </w:r>
      <w:r w:rsidR="11FCADE3">
        <w:rPr/>
        <w:t xml:space="preserve"> efficiency (Sturge, 2020; Wright and Levine, 2021).</w:t>
      </w:r>
    </w:p>
    <w:p w:rsidRPr="00EA2A5C" w:rsidR="007B3BD6" w:rsidP="007B3BD6" w:rsidRDefault="007B3BD6" w14:paraId="58F157C9" w14:textId="67A5D1A6">
      <w:pPr>
        <w:jc w:val="both"/>
      </w:pPr>
      <w:r w:rsidR="11FCADE3">
        <w:rPr/>
        <w:t xml:space="preserve"> The legislative framework governing the operational protocols of the Magistrates Court in the United Kingdom is provided by the Magistrates Court Act of 1980. Nevertheless, during time, </w:t>
      </w:r>
      <w:r w:rsidR="11FCADE3">
        <w:rPr/>
        <w:t>numerous</w:t>
      </w:r>
      <w:r w:rsidR="11FCADE3">
        <w:rPr/>
        <w:t xml:space="preserve"> modifications have been implemented to enhance the efficacy of case management. The advent of technology has led to enhanced efficiency and accessibility through the implementation of online case management and electronic evidence filing. There have been ongoing discussions </w:t>
      </w:r>
      <w:r w:rsidR="11FCADE3">
        <w:rPr/>
        <w:t>regarding</w:t>
      </w:r>
      <w:r w:rsidR="11FCADE3">
        <w:rPr/>
        <w:t xml:space="preserve"> the delegation of further decision-making authority to lower courts to alleviate the workload of the Supreme Court, particularly in relation to more intricate legal matters. According to Lakrisha </w:t>
      </w:r>
      <w:r w:rsidRPr="11FCADE3" w:rsidR="11FCADE3">
        <w:rPr>
          <w:i w:val="1"/>
          <w:iCs w:val="1"/>
        </w:rPr>
        <w:t>et al</w:t>
      </w:r>
      <w:r w:rsidR="11FCADE3">
        <w:rPr/>
        <w:t xml:space="preserve">. (2021), further modifications are </w:t>
      </w:r>
      <w:r w:rsidR="11FCADE3">
        <w:rPr/>
        <w:t>required</w:t>
      </w:r>
      <w:r w:rsidR="11FCADE3">
        <w:rPr/>
        <w:t xml:space="preserve"> within the criminal justice system to effectively </w:t>
      </w:r>
      <w:r w:rsidR="11FCADE3">
        <w:rPr/>
        <w:t>attain</w:t>
      </w:r>
      <w:r w:rsidR="11FCADE3">
        <w:rPr/>
        <w:t xml:space="preserve"> the desired </w:t>
      </w:r>
      <w:r w:rsidR="11FCADE3">
        <w:rPr/>
        <w:t>objective</w:t>
      </w:r>
      <w:r w:rsidR="11FCADE3">
        <w:rPr/>
        <w:t xml:space="preserve">. According to Lomax (2021), the proposition of enhancing magistrates' authority may not be the most efficacious approach for revitalizing the judicial system. Due to this rationale, the proposition to </w:t>
      </w:r>
      <w:r w:rsidR="11FCADE3">
        <w:rPr/>
        <w:t>establish</w:t>
      </w:r>
      <w:r w:rsidR="11FCADE3">
        <w:rPr/>
        <w:t xml:space="preserve"> a novel intermediate court endowed with the power to issue sentences has been put forth. Alternative suggestions have been put forth by various individuals on modifications to the existing framework aimed at safeguarding victims and recording testimonies provided by witnesses. Both judges and courts </w:t>
      </w:r>
      <w:r w:rsidR="11FCADE3">
        <w:rPr/>
        <w:t>possess</w:t>
      </w:r>
      <w:r w:rsidR="11FCADE3">
        <w:rPr/>
        <w:t xml:space="preserve"> distinct advantages and disadvantages in the realm of dispensing justice. The drawbacks in this scenario pertain to the responsibilities of the magistrates. For example, individuals who do not </w:t>
      </w:r>
      <w:r w:rsidR="11FCADE3">
        <w:rPr/>
        <w:t>possess</w:t>
      </w:r>
      <w:r w:rsidR="11FCADE3">
        <w:rPr/>
        <w:t xml:space="preserve"> specific knowledge and experience may </w:t>
      </w:r>
      <w:r w:rsidR="11FCADE3">
        <w:rPr/>
        <w:t>provide</w:t>
      </w:r>
      <w:r w:rsidR="11FCADE3">
        <w:rPr/>
        <w:t xml:space="preserve"> less nuanced findings due to the wide range of their perspective. Different courts </w:t>
      </w:r>
      <w:r w:rsidR="11FCADE3">
        <w:rPr/>
        <w:t>can</w:t>
      </w:r>
      <w:r w:rsidR="11FCADE3">
        <w:rPr/>
        <w:t xml:space="preserve"> impose different penalties due to the diverse composition of magistrates and the extensive array of </w:t>
      </w:r>
      <w:r w:rsidR="11FCADE3">
        <w:rPr/>
        <w:t>expertise</w:t>
      </w:r>
      <w:r w:rsidR="11FCADE3">
        <w:rPr/>
        <w:t xml:space="preserve"> they bring to their judicial roles. The potential existence of disparities in the implementation of legal processes has the potential to erode public confidence in the integrity of the judicial system (Carpenter </w:t>
      </w:r>
      <w:r w:rsidRPr="11FCADE3" w:rsidR="11FCADE3">
        <w:rPr>
          <w:i w:val="1"/>
          <w:iCs w:val="1"/>
        </w:rPr>
        <w:t>et al</w:t>
      </w:r>
      <w:r w:rsidR="11FCADE3">
        <w:rPr/>
        <w:t>., 2018).</w:t>
      </w:r>
    </w:p>
    <w:p w:rsidR="004815DE" w:rsidP="007B3BD6" w:rsidRDefault="00251330" w14:paraId="1C49A65F" w14:textId="77777777">
      <w:pPr>
        <w:pStyle w:val="Heading1"/>
        <w:jc w:val="both"/>
      </w:pPr>
      <w:bookmarkStart w:name="_Toc146369339" w:id="2"/>
      <w:r>
        <w:t>Conclusion</w:t>
      </w:r>
      <w:bookmarkEnd w:id="2"/>
      <w:r>
        <w:t xml:space="preserve"> </w:t>
      </w:r>
    </w:p>
    <w:p w:rsidR="00251B59" w:rsidP="007B3BD6" w:rsidRDefault="007B3BD6" w14:paraId="247BD2EF" w14:textId="7D6030A4">
      <w:pPr>
        <w:jc w:val="both"/>
      </w:pPr>
      <w:r w:rsidR="11FCADE3">
        <w:rPr/>
        <w:t xml:space="preserve">To cultivate a harmonious relationship with their respective communities and promote inclusivity and fairness, it is imperative for magistrates to </w:t>
      </w:r>
      <w:r w:rsidR="11FCADE3">
        <w:rPr/>
        <w:t>exhibit</w:t>
      </w:r>
      <w:r w:rsidR="11FCADE3">
        <w:rPr/>
        <w:t xml:space="preserve"> a diverse representation of the various cultural backgrounds prevalent within those areas. The collective </w:t>
      </w:r>
      <w:r w:rsidR="11FCADE3">
        <w:rPr/>
        <w:t>capacity</w:t>
      </w:r>
      <w:r w:rsidR="11FCADE3">
        <w:rPr/>
        <w:t xml:space="preserve"> to </w:t>
      </w:r>
      <w:r w:rsidR="11FCADE3">
        <w:rPr/>
        <w:t>render</w:t>
      </w:r>
      <w:r w:rsidR="11FCADE3">
        <w:rPr/>
        <w:t xml:space="preserve"> unbiased judgments enhances public confidence in their endeavours. However, there are also certain limitations associated with ensuring that every individual receives their fair opportunity to present their case in a court of law. One illustrative instance is to the potential ramifications of insufficient legal acumen, which might manifest in issues such as the generation of unreliable and inconsistent judgments. One of the potential disadvantages associated with the </w:t>
      </w:r>
      <w:r w:rsidR="11FCADE3">
        <w:rPr/>
        <w:t>utilization</w:t>
      </w:r>
      <w:r w:rsidR="11FCADE3">
        <w:rPr/>
        <w:t xml:space="preserve"> of magistrates is the requirement to await their verdict. If the </w:t>
      </w:r>
      <w:r w:rsidR="11FCADE3">
        <w:rPr/>
        <w:t>concerns</w:t>
      </w:r>
      <w:r w:rsidR="11FCADE3">
        <w:rPr/>
        <w:t xml:space="preserve"> are appropriately attended to by consistent training and support, there exists the potential for the justice system in the United Kingdom to enhance its fairness and efficacy.</w:t>
      </w:r>
    </w:p>
    <w:p w:rsidR="00251B59" w:rsidRDefault="00251B59" w14:paraId="61F291BA" w14:textId="77777777">
      <w:pPr>
        <w:spacing w:after="160" w:line="259" w:lineRule="auto"/>
      </w:pPr>
      <w:r>
        <w:br w:type="page"/>
      </w:r>
    </w:p>
    <w:p w:rsidR="0056135A" w:rsidP="007B3BD6" w:rsidRDefault="00251330" w14:paraId="14DE603F" w14:textId="77777777">
      <w:pPr>
        <w:pStyle w:val="Heading1"/>
        <w:jc w:val="both"/>
      </w:pPr>
      <w:bookmarkStart w:name="_Toc146369340" w:id="3"/>
      <w:r>
        <w:lastRenderedPageBreak/>
        <w:t>References</w:t>
      </w:r>
      <w:bookmarkEnd w:id="3"/>
      <w:r>
        <w:t xml:space="preserve"> </w:t>
      </w:r>
    </w:p>
    <w:p w:rsidRPr="00CC5F5A" w:rsidR="0059452A" w:rsidP="007B3BD6" w:rsidRDefault="00251330" w14:paraId="321F185F" w14:textId="608ED6CC">
      <w:pPr>
        <w:ind w:left="720" w:hanging="720"/>
        <w:jc w:val="both"/>
        <w:rPr>
          <w:rFonts w:cs="Times New Roman"/>
        </w:rPr>
      </w:pPr>
      <w:r w:rsidRPr="00CC5F5A">
        <w:rPr>
          <w:rFonts w:cs="Times New Roman"/>
          <w:shd w:val="clear" w:color="auto" w:fill="FFFFFF"/>
        </w:rPr>
        <w:t xml:space="preserve">Lakrisha, M., Abhijaya, N.H. and </w:t>
      </w:r>
      <w:r w:rsidRPr="00CC5F5A">
        <w:rPr>
          <w:rFonts w:cs="Times New Roman"/>
          <w:shd w:val="clear" w:color="auto" w:fill="FFFFFF"/>
        </w:rPr>
        <w:t>Mossadegh</w:t>
      </w:r>
      <w:r w:rsidRPr="00CC5F5A">
        <w:rPr>
          <w:rFonts w:cs="Times New Roman"/>
          <w:shd w:val="clear" w:color="auto" w:fill="FFFFFF"/>
        </w:rPr>
        <w:t>, F., 2021. Time limitations for intellectual property in criminal and civil litigation: a comparative study of England and Jordan. </w:t>
      </w:r>
      <w:r w:rsidRPr="11FCADE3">
        <w:rPr>
          <w:rFonts w:cs="Times New Roman"/>
          <w:i w:val="1"/>
          <w:iCs w:val="1"/>
          <w:shd w:val="clear" w:color="auto" w:fill="FFFFFF"/>
        </w:rPr>
        <w:t>International Journal of Private Law</w:t>
      </w:r>
      <w:r w:rsidRPr="00CC5F5A">
        <w:rPr>
          <w:rFonts w:cs="Times New Roman"/>
          <w:shd w:val="clear" w:color="auto" w:fill="FFFFFF"/>
        </w:rPr>
        <w:t>, </w:t>
      </w:r>
      <w:r w:rsidRPr="11FCADE3">
        <w:rPr>
          <w:rFonts w:cs="Times New Roman"/>
          <w:i w:val="1"/>
          <w:iCs w:val="1"/>
          <w:shd w:val="clear" w:color="auto" w:fill="FFFFFF"/>
        </w:rPr>
        <w:t>10</w:t>
      </w:r>
      <w:r w:rsidRPr="00CC5F5A">
        <w:rPr>
          <w:rFonts w:cs="Times New Roman"/>
          <w:shd w:val="clear" w:color="auto" w:fill="FFFFFF"/>
        </w:rPr>
        <w:t>(1), pp.18-30.</w:t>
      </w:r>
    </w:p>
    <w:p w:rsidRPr="00CC5F5A" w:rsidR="0059452A" w:rsidP="007B3BD6" w:rsidRDefault="00251330" w14:paraId="6DF6B2ED" w14:textId="77777777">
      <w:pPr>
        <w:ind w:left="720" w:hanging="720"/>
        <w:jc w:val="both"/>
        <w:rPr>
          <w:rFonts w:cs="Times New Roman"/>
          <w:shd w:val="clear" w:color="auto" w:fill="FFFFFF"/>
        </w:rPr>
      </w:pPr>
      <w:r w:rsidRPr="00CC5F5A">
        <w:rPr>
          <w:rFonts w:cs="Times New Roman"/>
          <w:shd w:val="clear" w:color="auto" w:fill="FFFFFF"/>
        </w:rPr>
        <w:t>Barnes, V. and Whewell, E., 2021. Judicial Biography in the British Empire. </w:t>
      </w:r>
      <w:r w:rsidRPr="00CC5F5A">
        <w:rPr>
          <w:rFonts w:cs="Times New Roman"/>
          <w:i/>
          <w:iCs/>
          <w:shd w:val="clear" w:color="auto" w:fill="FFFFFF"/>
        </w:rPr>
        <w:t>Ind. J. Global Legal Stud.</w:t>
      </w:r>
      <w:r w:rsidRPr="00CC5F5A">
        <w:rPr>
          <w:rFonts w:cs="Times New Roman"/>
          <w:shd w:val="clear" w:color="auto" w:fill="FFFFFF"/>
        </w:rPr>
        <w:t>, </w:t>
      </w:r>
      <w:r w:rsidRPr="00CC5F5A">
        <w:rPr>
          <w:rFonts w:cs="Times New Roman"/>
          <w:i/>
          <w:iCs/>
          <w:shd w:val="clear" w:color="auto" w:fill="FFFFFF"/>
        </w:rPr>
        <w:t>28</w:t>
      </w:r>
      <w:r w:rsidRPr="00CC5F5A">
        <w:rPr>
          <w:rFonts w:cs="Times New Roman"/>
          <w:shd w:val="clear" w:color="auto" w:fill="FFFFFF"/>
        </w:rPr>
        <w:t>, p.1.</w:t>
      </w:r>
    </w:p>
    <w:p w:rsidRPr="00CC5F5A" w:rsidR="0059452A" w:rsidP="007B3BD6" w:rsidRDefault="00251330" w14:paraId="2C3B13B4" w14:textId="77777777">
      <w:pPr>
        <w:ind w:left="720" w:hanging="720"/>
        <w:jc w:val="both"/>
        <w:rPr>
          <w:rFonts w:cs="Times New Roman"/>
          <w:shd w:val="clear" w:color="auto" w:fill="FFFFFF"/>
        </w:rPr>
      </w:pPr>
      <w:r w:rsidRPr="00CC5F5A">
        <w:rPr>
          <w:rFonts w:cs="Times New Roman"/>
          <w:shd w:val="clear" w:color="auto" w:fill="FFFFFF"/>
        </w:rPr>
        <w:t>Carpenter, A.E., Steinberg, J.K., Shanahan, C.F. and Mark, A., 2018. Studying the New Civil Judges. </w:t>
      </w:r>
      <w:r w:rsidRPr="00CC5F5A">
        <w:rPr>
          <w:rFonts w:cs="Times New Roman"/>
          <w:i/>
          <w:iCs/>
          <w:shd w:val="clear" w:color="auto" w:fill="FFFFFF"/>
        </w:rPr>
        <w:t>Wis. L. Rev.</w:t>
      </w:r>
      <w:r w:rsidRPr="00CC5F5A">
        <w:rPr>
          <w:rFonts w:cs="Times New Roman"/>
          <w:shd w:val="clear" w:color="auto" w:fill="FFFFFF"/>
        </w:rPr>
        <w:t>, p.249.</w:t>
      </w:r>
    </w:p>
    <w:p w:rsidRPr="00CC5F5A" w:rsidR="0059452A" w:rsidP="007B3BD6" w:rsidRDefault="00251330" w14:paraId="716F9F8D" w14:textId="77777777">
      <w:pPr>
        <w:ind w:left="720" w:hanging="720"/>
        <w:jc w:val="both"/>
        <w:rPr>
          <w:rFonts w:cs="Times New Roman"/>
          <w:shd w:val="clear" w:color="auto" w:fill="FFFFFF"/>
        </w:rPr>
      </w:pPr>
      <w:r w:rsidRPr="00CC5F5A">
        <w:rPr>
          <w:rFonts w:cs="Times New Roman"/>
          <w:shd w:val="clear" w:color="auto" w:fill="FFFFFF"/>
        </w:rPr>
        <w:t>Harker, L. and Ryan, M., 2022. Remote hearings in family courts in England and Wales during Covid‐19: Insights and lessons. </w:t>
      </w:r>
      <w:r w:rsidRPr="00CC5F5A">
        <w:rPr>
          <w:rFonts w:cs="Times New Roman"/>
          <w:i/>
          <w:iCs/>
          <w:shd w:val="clear" w:color="auto" w:fill="FFFFFF"/>
        </w:rPr>
        <w:t>Family Court Review</w:t>
      </w:r>
      <w:r w:rsidRPr="00CC5F5A">
        <w:rPr>
          <w:rFonts w:cs="Times New Roman"/>
          <w:shd w:val="clear" w:color="auto" w:fill="FFFFFF"/>
        </w:rPr>
        <w:t>, </w:t>
      </w:r>
      <w:r w:rsidRPr="00CC5F5A">
        <w:rPr>
          <w:rFonts w:cs="Times New Roman"/>
          <w:i/>
          <w:iCs/>
          <w:shd w:val="clear" w:color="auto" w:fill="FFFFFF"/>
        </w:rPr>
        <w:t>60</w:t>
      </w:r>
      <w:r w:rsidRPr="00CC5F5A">
        <w:rPr>
          <w:rFonts w:cs="Times New Roman"/>
          <w:shd w:val="clear" w:color="auto" w:fill="FFFFFF"/>
        </w:rPr>
        <w:t>(2), pp.207-219.</w:t>
      </w:r>
    </w:p>
    <w:p w:rsidRPr="00CC5F5A" w:rsidR="0059452A" w:rsidP="007B3BD6" w:rsidRDefault="00251330" w14:paraId="6248E925" w14:textId="77777777">
      <w:pPr>
        <w:ind w:left="720" w:hanging="720"/>
        <w:jc w:val="both"/>
        <w:rPr>
          <w:rFonts w:cs="Times New Roman"/>
          <w:shd w:val="clear" w:color="auto" w:fill="FFFFFF"/>
        </w:rPr>
      </w:pPr>
      <w:r w:rsidRPr="00CC5F5A">
        <w:rPr>
          <w:rFonts w:cs="Times New Roman"/>
          <w:shd w:val="clear" w:color="auto" w:fill="FFFFFF"/>
        </w:rPr>
        <w:t>Innes, J., 2022. Government without Prefects. Did the UK Offer an Alternative Model? In </w:t>
      </w:r>
      <w:r w:rsidRPr="00CC5F5A">
        <w:rPr>
          <w:rFonts w:cs="Times New Roman"/>
          <w:i/>
          <w:iCs/>
          <w:shd w:val="clear" w:color="auto" w:fill="FFFFFF"/>
        </w:rPr>
        <w:t>Prefects and Governors in Nineteenth-century Europe: Towards a Comparative History of Provincial Senior Officials</w:t>
      </w:r>
      <w:r w:rsidRPr="00CC5F5A">
        <w:rPr>
          <w:rFonts w:cs="Times New Roman"/>
          <w:shd w:val="clear" w:color="auto" w:fill="FFFFFF"/>
        </w:rPr>
        <w:t> (pp. 255-289). Cham: Springer International Publishing.</w:t>
      </w:r>
    </w:p>
    <w:p w:rsidRPr="00CC5F5A" w:rsidR="0059452A" w:rsidP="007B3BD6" w:rsidRDefault="00251330" w14:paraId="22251346" w14:textId="77777777">
      <w:pPr>
        <w:ind w:left="720" w:hanging="720"/>
        <w:jc w:val="both"/>
        <w:rPr>
          <w:rFonts w:cs="Times New Roman"/>
          <w:lang w:val="en-US"/>
        </w:rPr>
      </w:pPr>
      <w:r>
        <w:rPr>
          <w:rFonts w:cs="Times New Roman"/>
        </w:rPr>
        <w:t>Lomax</w:t>
      </w:r>
      <w:r w:rsidRPr="00CC5F5A">
        <w:rPr>
          <w:rFonts w:cs="Times New Roman"/>
        </w:rPr>
        <w:t xml:space="preserve">, R.L., 2021. </w:t>
      </w:r>
      <w:r w:rsidRPr="00CC5F5A">
        <w:rPr>
          <w:rFonts w:cs="Times New Roman"/>
          <w:i/>
          <w:iCs/>
        </w:rPr>
        <w:t>Don’t extend Magistrates’ powers – there’s a better way to reform the court system | letters</w:t>
      </w:r>
      <w:r w:rsidRPr="00CC5F5A">
        <w:rPr>
          <w:rFonts w:cs="Times New Roman"/>
        </w:rPr>
        <w:t xml:space="preserve">. [Online] The Guardian. Available at: &lt;https://www.theguardian.com/law/2021/oct/10/dont-extend-magistrates-powers-theres-a-better-way-to-reform-the-court-system&gt; [Accessed 20 Jul. 2023]. </w:t>
      </w:r>
    </w:p>
    <w:p w:rsidRPr="00CC5F5A" w:rsidR="0059452A" w:rsidP="007B3BD6" w:rsidRDefault="00251330" w14:paraId="03612E50" w14:textId="77777777">
      <w:pPr>
        <w:ind w:left="720" w:hanging="720"/>
        <w:jc w:val="both"/>
        <w:rPr>
          <w:rFonts w:cs="Times New Roman"/>
          <w:shd w:val="clear" w:color="auto" w:fill="FFFFFF"/>
        </w:rPr>
      </w:pPr>
      <w:r w:rsidRPr="00CC5F5A">
        <w:rPr>
          <w:rFonts w:cs="Times New Roman"/>
          <w:shd w:val="clear" w:color="auto" w:fill="FFFFFF"/>
        </w:rPr>
        <w:t>Mehta, D., 2022. Grave and sudden provocation: Revisiting R. v. Ahluwalia–implementing a new exception under section 300 of the Indian Penal Code and the defence of the battered woman syndrome. </w:t>
      </w:r>
      <w:r w:rsidRPr="00CC5F5A">
        <w:rPr>
          <w:rFonts w:cs="Times New Roman"/>
          <w:i/>
          <w:iCs/>
          <w:shd w:val="clear" w:color="auto" w:fill="FFFFFF"/>
        </w:rPr>
        <w:t>International Annals of Criminology</w:t>
      </w:r>
      <w:r w:rsidRPr="00CC5F5A">
        <w:rPr>
          <w:rFonts w:cs="Times New Roman"/>
          <w:shd w:val="clear" w:color="auto" w:fill="FFFFFF"/>
        </w:rPr>
        <w:t>, </w:t>
      </w:r>
      <w:r w:rsidRPr="00CC5F5A">
        <w:rPr>
          <w:rFonts w:cs="Times New Roman"/>
          <w:i/>
          <w:iCs/>
          <w:shd w:val="clear" w:color="auto" w:fill="FFFFFF"/>
        </w:rPr>
        <w:t>60</w:t>
      </w:r>
      <w:r w:rsidRPr="00CC5F5A">
        <w:rPr>
          <w:rFonts w:cs="Times New Roman"/>
          <w:shd w:val="clear" w:color="auto" w:fill="FFFFFF"/>
        </w:rPr>
        <w:t>(2), pp.241-250.</w:t>
      </w:r>
    </w:p>
    <w:p w:rsidRPr="00CC5F5A" w:rsidR="0059452A" w:rsidP="007B3BD6" w:rsidRDefault="00251330" w14:paraId="423A6A49" w14:textId="77777777">
      <w:pPr>
        <w:ind w:left="720" w:hanging="720"/>
        <w:jc w:val="both"/>
        <w:rPr>
          <w:rFonts w:cs="Times New Roman"/>
          <w:shd w:val="clear" w:color="auto" w:fill="FFFFFF"/>
        </w:rPr>
      </w:pPr>
      <w:r w:rsidRPr="00CC5F5A">
        <w:rPr>
          <w:rFonts w:cs="Times New Roman"/>
          <w:shd w:val="clear" w:color="auto" w:fill="FFFFFF"/>
        </w:rPr>
        <w:t>Ross, J., Sebire, J. and Strang, H., 2022. Tracking repeat victimisation after domestic abuse cases are heard with and without independent domestic violence advisors (IDVAs) in an English magistrate’s court. </w:t>
      </w:r>
      <w:r w:rsidRPr="00CC5F5A">
        <w:rPr>
          <w:rFonts w:cs="Times New Roman"/>
          <w:i/>
          <w:iCs/>
          <w:shd w:val="clear" w:color="auto" w:fill="FFFFFF"/>
        </w:rPr>
        <w:t>Cambridge Journal of Evidence-Based Policing</w:t>
      </w:r>
      <w:r w:rsidRPr="00CC5F5A">
        <w:rPr>
          <w:rFonts w:cs="Times New Roman"/>
          <w:shd w:val="clear" w:color="auto" w:fill="FFFFFF"/>
        </w:rPr>
        <w:t>, </w:t>
      </w:r>
      <w:r w:rsidRPr="00CC5F5A">
        <w:rPr>
          <w:rFonts w:cs="Times New Roman"/>
          <w:i/>
          <w:iCs/>
          <w:shd w:val="clear" w:color="auto" w:fill="FFFFFF"/>
        </w:rPr>
        <w:t>6</w:t>
      </w:r>
      <w:r w:rsidRPr="00CC5F5A">
        <w:rPr>
          <w:rFonts w:cs="Times New Roman"/>
          <w:shd w:val="clear" w:color="auto" w:fill="FFFFFF"/>
        </w:rPr>
        <w:t>(1-2), pp.54-68.</w:t>
      </w:r>
    </w:p>
    <w:p w:rsidRPr="00CC5F5A" w:rsidR="0059452A" w:rsidP="007B3BD6" w:rsidRDefault="00251330" w14:paraId="560C4756" w14:textId="77777777">
      <w:pPr>
        <w:ind w:left="720" w:hanging="720"/>
        <w:jc w:val="both"/>
        <w:rPr>
          <w:rFonts w:cs="Times New Roman"/>
        </w:rPr>
      </w:pPr>
      <w:r w:rsidRPr="00CC5F5A">
        <w:rPr>
          <w:rFonts w:cs="Times New Roman"/>
        </w:rPr>
        <w:lastRenderedPageBreak/>
        <w:t xml:space="preserve">Sturge, G., 2020. </w:t>
      </w:r>
      <w:r w:rsidRPr="00CC5F5A">
        <w:rPr>
          <w:rFonts w:cs="Times New Roman"/>
          <w:i/>
          <w:iCs/>
        </w:rPr>
        <w:t xml:space="preserve">Constituency data: Magistrates’ court closures - The House of Commons. </w:t>
      </w:r>
      <w:r>
        <w:rPr>
          <w:rFonts w:cs="Times New Roman"/>
        </w:rPr>
        <w:t>[online] Commons Library</w:t>
      </w:r>
      <w:r w:rsidRPr="00CC5F5A">
        <w:rPr>
          <w:rFonts w:cs="Times New Roman"/>
        </w:rPr>
        <w:t xml:space="preserve">. Available at: &lt;https://commonslibrary.parliament.uk/constituency-data-magistrates-court-closures/&gt; [Accessed 20 Jul. 2023]. </w:t>
      </w:r>
    </w:p>
    <w:p w:rsidRPr="00CC5F5A" w:rsidR="0059452A" w:rsidP="007B3BD6" w:rsidRDefault="00251330" w14:paraId="30199FC3" w14:textId="56242A94">
      <w:pPr>
        <w:ind w:left="720" w:hanging="720"/>
        <w:jc w:val="both"/>
        <w:rPr>
          <w:rFonts w:cs="Times New Roman"/>
        </w:rPr>
      </w:pPr>
      <w:r w:rsidRPr="00CC5F5A">
        <w:rPr>
          <w:rFonts w:cs="Times New Roman"/>
        </w:rPr>
        <w:t xml:space="preserve">UK Government, 2022. </w:t>
      </w:r>
      <w:r w:rsidRPr="00CC5F5A">
        <w:rPr>
          <w:rFonts w:cs="Times New Roman"/>
          <w:i/>
          <w:iCs/>
        </w:rPr>
        <w:t>Become a magistrate</w:t>
      </w:r>
      <w:r w:rsidRPr="00CC5F5A">
        <w:rPr>
          <w:rFonts w:cs="Times New Roman"/>
        </w:rPr>
        <w:t xml:space="preserve">. [Online] GOV.UK. Available at: &lt;https://www.gov.uk/become-magistrate [Accessed 20 Jul. 2023]. </w:t>
      </w:r>
    </w:p>
    <w:p w:rsidRPr="00CC5F5A" w:rsidR="0059452A" w:rsidP="007B3BD6" w:rsidRDefault="00251330" w14:paraId="6212B66F" w14:textId="77777777">
      <w:pPr>
        <w:ind w:left="720" w:hanging="720"/>
        <w:jc w:val="both"/>
        <w:rPr>
          <w:rFonts w:cs="Times New Roman"/>
          <w:shd w:val="clear" w:color="auto" w:fill="FFFFFF"/>
        </w:rPr>
      </w:pPr>
      <w:r w:rsidRPr="00CC5F5A">
        <w:rPr>
          <w:rFonts w:cs="Times New Roman"/>
          <w:shd w:val="clear" w:color="auto" w:fill="FFFFFF"/>
        </w:rPr>
        <w:t>Wright, R.F. and Levine, K.L., 2021. Models of prosecutor-led diversion programs in the United States and beyond. </w:t>
      </w:r>
      <w:r w:rsidRPr="00CC5F5A">
        <w:rPr>
          <w:rFonts w:cs="Times New Roman"/>
          <w:i/>
          <w:iCs/>
          <w:shd w:val="clear" w:color="auto" w:fill="FFFFFF"/>
        </w:rPr>
        <w:t>Annual Review of Criminology</w:t>
      </w:r>
      <w:r w:rsidRPr="00CC5F5A">
        <w:rPr>
          <w:rFonts w:cs="Times New Roman"/>
          <w:shd w:val="clear" w:color="auto" w:fill="FFFFFF"/>
        </w:rPr>
        <w:t>, </w:t>
      </w:r>
      <w:r w:rsidRPr="00CC5F5A">
        <w:rPr>
          <w:rFonts w:cs="Times New Roman"/>
          <w:i/>
          <w:iCs/>
          <w:shd w:val="clear" w:color="auto" w:fill="FFFFFF"/>
        </w:rPr>
        <w:t>4</w:t>
      </w:r>
      <w:r w:rsidRPr="00CC5F5A">
        <w:rPr>
          <w:rFonts w:cs="Times New Roman"/>
          <w:shd w:val="clear" w:color="auto" w:fill="FFFFFF"/>
        </w:rPr>
        <w:t>, pp.331-351.</w:t>
      </w:r>
    </w:p>
    <w:p w:rsidRPr="00CC5F5A" w:rsidR="00CC5F5A" w:rsidP="007B3BD6" w:rsidRDefault="00CC5F5A" w14:paraId="02ED9BD1" w14:textId="77777777">
      <w:pPr>
        <w:jc w:val="both"/>
      </w:pPr>
    </w:p>
    <w:sectPr w:rsidRPr="00CC5F5A" w:rsidR="00CC5F5A">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entireDocument int2:id="PFKMokn6">
      <int2:extLst>
        <oel:ext uri="E302BA01-7950-474C-9AD3-286E660C40A8">
          <int2:similaritySummary int2:version="1" int2:runId="1700990408833" int2:tilesCheckedInThisRun="29" int2:totalNumOfTiles="29" int2:similarityAnnotationCount="0" int2:numWords="0" int2:numFlaggedWords="0"/>
        </oel:ext>
      </int2:extLst>
    </int2:entireDocument>
  </int2:observations>
  <int2:intelligenceSettings/>
  <int2:onDemandWorkflows>
    <int2:onDemandWorkflow int2:type="SimilarityCheck" int2:paragraphVersions="3AF99A85-77777777 14A9BF07-77777777 4F1239CC-77777777 0940212D-77777777 7C457B8F-77777777 10A21058-77777777 3459A8F5-77777777 6EB38030-77777777 7749B2B0-7A3534B7 66344E6F-77777777 4741B627-5816FD45 5819636F-38B45262 610884D8-4E912C21 1EDD4569-14CC41F1 29BC990C-367D7888 3EF5DF38-0685DA5E 14C59015-77777777 6158F083-77777777 2C0FC50E-77777777 22375FC4-2E37E6CA 5ED5D2D9-77777777 26E97713-5C86618F 6589E6D9-2A176062 7669EF97-1B3C2B8B 59196F1C-216C95CD 58F157C9-67A5D1A6 1C49A65F-77777777 247BD2EF-7D6030A4 61F291BA-77777777 14DE603F-77777777 321F185F-608ED6CC 6DF6B2ED-77777777 2C3B13B4-77777777 716F9F8D-77777777 6248E925-77777777 22251346-77777777 03612E50-77777777 423A6A49-77777777 560C4756-77777777 30199FC3-56242A94 6212B66F-77777777 02ED9BD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053432146">
    <w:abstractNumId w:val="0"/>
  </w:num>
  <w:num w:numId="2" w16cid:durableId="659623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15DE"/>
    <w:rsid w:val="00022A94"/>
    <w:rsid w:val="00040CCF"/>
    <w:rsid w:val="00045F55"/>
    <w:rsid w:val="000A24EE"/>
    <w:rsid w:val="000C13F8"/>
    <w:rsid w:val="000C40CE"/>
    <w:rsid w:val="001205C6"/>
    <w:rsid w:val="00166C5C"/>
    <w:rsid w:val="00251330"/>
    <w:rsid w:val="00251B59"/>
    <w:rsid w:val="00251B7A"/>
    <w:rsid w:val="002951A0"/>
    <w:rsid w:val="002E4063"/>
    <w:rsid w:val="00345224"/>
    <w:rsid w:val="00371EA1"/>
    <w:rsid w:val="003B4EF7"/>
    <w:rsid w:val="003D5DB7"/>
    <w:rsid w:val="004815DE"/>
    <w:rsid w:val="004B3ACB"/>
    <w:rsid w:val="004F672B"/>
    <w:rsid w:val="0056135A"/>
    <w:rsid w:val="00581B29"/>
    <w:rsid w:val="0059452A"/>
    <w:rsid w:val="005B3FDB"/>
    <w:rsid w:val="005B7EC9"/>
    <w:rsid w:val="0063178B"/>
    <w:rsid w:val="006805F4"/>
    <w:rsid w:val="00685F04"/>
    <w:rsid w:val="00686D2E"/>
    <w:rsid w:val="006B167C"/>
    <w:rsid w:val="006C50D6"/>
    <w:rsid w:val="00705151"/>
    <w:rsid w:val="00706B37"/>
    <w:rsid w:val="00720459"/>
    <w:rsid w:val="00733930"/>
    <w:rsid w:val="00747F01"/>
    <w:rsid w:val="0076734D"/>
    <w:rsid w:val="007B135F"/>
    <w:rsid w:val="007B3BD6"/>
    <w:rsid w:val="0087345E"/>
    <w:rsid w:val="00883B38"/>
    <w:rsid w:val="00893C4B"/>
    <w:rsid w:val="00961BC9"/>
    <w:rsid w:val="00993ABC"/>
    <w:rsid w:val="009A5A2E"/>
    <w:rsid w:val="00A4308D"/>
    <w:rsid w:val="00A5603E"/>
    <w:rsid w:val="00A84359"/>
    <w:rsid w:val="00A91503"/>
    <w:rsid w:val="00A9648A"/>
    <w:rsid w:val="00AD6F4A"/>
    <w:rsid w:val="00B02BC2"/>
    <w:rsid w:val="00B05CC9"/>
    <w:rsid w:val="00B676CE"/>
    <w:rsid w:val="00B828C6"/>
    <w:rsid w:val="00B82E34"/>
    <w:rsid w:val="00C06F24"/>
    <w:rsid w:val="00C162C4"/>
    <w:rsid w:val="00C33098"/>
    <w:rsid w:val="00C66C68"/>
    <w:rsid w:val="00C84F27"/>
    <w:rsid w:val="00C94379"/>
    <w:rsid w:val="00C95A2F"/>
    <w:rsid w:val="00C97A0A"/>
    <w:rsid w:val="00CC2CB7"/>
    <w:rsid w:val="00CC5F5A"/>
    <w:rsid w:val="00CD4EEE"/>
    <w:rsid w:val="00D0725D"/>
    <w:rsid w:val="00D305EA"/>
    <w:rsid w:val="00D46B82"/>
    <w:rsid w:val="00D606AA"/>
    <w:rsid w:val="00D7657D"/>
    <w:rsid w:val="00D8295C"/>
    <w:rsid w:val="00D83004"/>
    <w:rsid w:val="00D94ED9"/>
    <w:rsid w:val="00E42B23"/>
    <w:rsid w:val="00E84756"/>
    <w:rsid w:val="00EA2A5C"/>
    <w:rsid w:val="00EB0326"/>
    <w:rsid w:val="00F05B9C"/>
    <w:rsid w:val="00F6409B"/>
    <w:rsid w:val="00F753CC"/>
    <w:rsid w:val="00F916C6"/>
    <w:rsid w:val="00F91A2E"/>
    <w:rsid w:val="00FD537F"/>
    <w:rsid w:val="00FD67B2"/>
    <w:rsid w:val="11FCADE3"/>
    <w:rsid w:val="4D9272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6B372"/>
  <w15:chartTrackingRefBased/>
  <w15:docId w15:val="{27413138-1A00-4CAB-8960-C92ADCC38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805F4"/>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1503"/>
    <w:rPr>
      <w:rFonts w:ascii="Times New Roman" w:hAnsi="Times New Roman"/>
      <w:b/>
      <w:sz w:val="24"/>
      <w:lang w:val="en-GB"/>
    </w:rPr>
  </w:style>
  <w:style w:type="character" w:styleId="Heading2Char" w:customStyle="1">
    <w:name w:val="Heading 2 Char"/>
    <w:basedOn w:val="DefaultParagraphFont"/>
    <w:link w:val="Heading2"/>
    <w:uiPriority w:val="9"/>
    <w:rsid w:val="00A91503"/>
    <w:rPr>
      <w:rFonts w:ascii="Times New Roman" w:hAnsi="Times New Roman" w:eastAsiaTheme="majorEastAsia" w:cstheme="majorBidi"/>
      <w:b/>
      <w:sz w:val="24"/>
      <w:szCs w:val="26"/>
      <w:lang w:val="en-GB"/>
    </w:rPr>
  </w:style>
  <w:style w:type="character" w:styleId="Heading3Char" w:customStyle="1">
    <w:name w:val="Heading 3 Char"/>
    <w:basedOn w:val="DefaultParagraphFont"/>
    <w:link w:val="Heading3"/>
    <w:uiPriority w:val="9"/>
    <w:rsid w:val="000A24EE"/>
    <w:rPr>
      <w:rFonts w:ascii="Times New Roman" w:hAnsi="Times New Roman" w:eastAsiaTheme="majorEastAsia" w:cstheme="majorBidi"/>
      <w:b/>
      <w:sz w:val="24"/>
      <w:szCs w:val="24"/>
      <w:lang w:val="en-GB"/>
    </w:rPr>
  </w:style>
  <w:style w:type="character" w:styleId="Strong">
    <w:name w:val="Strong"/>
    <w:basedOn w:val="DefaultParagraphFont"/>
    <w:uiPriority w:val="22"/>
    <w:qFormat/>
    <w:rsid w:val="005B7EC9"/>
    <w:rPr>
      <w:b/>
      <w:bCs/>
    </w:rPr>
  </w:style>
  <w:style w:type="paragraph" w:styleId="NormalWeb">
    <w:name w:val="Normal (Web)"/>
    <w:basedOn w:val="Normal"/>
    <w:uiPriority w:val="99"/>
    <w:semiHidden/>
    <w:unhideWhenUsed/>
    <w:rsid w:val="00CC5F5A"/>
    <w:pPr>
      <w:spacing w:before="100" w:beforeAutospacing="1" w:after="100" w:afterAutospacing="1" w:line="240" w:lineRule="auto"/>
    </w:pPr>
    <w:rPr>
      <w:rFonts w:eastAsia="Times New Roman" w:cs="Times New Roman"/>
      <w:szCs w:val="24"/>
      <w:lang w:val="en-US"/>
    </w:rPr>
  </w:style>
  <w:style w:type="character" w:styleId="CommentReference">
    <w:name w:val="annotation reference"/>
    <w:basedOn w:val="DefaultParagraphFont"/>
    <w:uiPriority w:val="99"/>
    <w:semiHidden/>
    <w:unhideWhenUsed/>
    <w:rsid w:val="003B4EF7"/>
    <w:rPr>
      <w:sz w:val="16"/>
      <w:szCs w:val="16"/>
    </w:rPr>
  </w:style>
  <w:style w:type="paragraph" w:styleId="CommentText">
    <w:name w:val="annotation text"/>
    <w:basedOn w:val="Normal"/>
    <w:link w:val="CommentTextChar"/>
    <w:uiPriority w:val="99"/>
    <w:unhideWhenUsed/>
    <w:rsid w:val="003B4EF7"/>
    <w:pPr>
      <w:spacing w:line="240" w:lineRule="auto"/>
    </w:pPr>
    <w:rPr>
      <w:sz w:val="20"/>
      <w:szCs w:val="20"/>
    </w:rPr>
  </w:style>
  <w:style w:type="character" w:styleId="CommentTextChar" w:customStyle="1">
    <w:name w:val="Comment Text Char"/>
    <w:basedOn w:val="DefaultParagraphFont"/>
    <w:link w:val="CommentText"/>
    <w:uiPriority w:val="99"/>
    <w:rsid w:val="003B4EF7"/>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B4EF7"/>
    <w:rPr>
      <w:b/>
      <w:bCs/>
    </w:rPr>
  </w:style>
  <w:style w:type="character" w:styleId="CommentSubjectChar" w:customStyle="1">
    <w:name w:val="Comment Subject Char"/>
    <w:basedOn w:val="CommentTextChar"/>
    <w:link w:val="CommentSubject"/>
    <w:uiPriority w:val="99"/>
    <w:semiHidden/>
    <w:rsid w:val="003B4EF7"/>
    <w:rPr>
      <w:rFonts w:ascii="Times New Roman" w:hAnsi="Times New Roman"/>
      <w:b/>
      <w:bCs/>
      <w:sz w:val="20"/>
      <w:szCs w:val="20"/>
      <w:lang w:val="en-GB"/>
    </w:rPr>
  </w:style>
  <w:style w:type="paragraph" w:styleId="TOCHeading">
    <w:name w:val="TOC Heading"/>
    <w:basedOn w:val="Heading1"/>
    <w:next w:val="Normal"/>
    <w:uiPriority w:val="39"/>
    <w:unhideWhenUsed/>
    <w:qFormat/>
    <w:rsid w:val="00F05B9C"/>
    <w:pPr>
      <w:keepNext/>
      <w:keepLines/>
      <w:numPr>
        <w:numId w:val="0"/>
      </w:numPr>
      <w:spacing w:before="240" w:line="259" w:lineRule="auto"/>
      <w:outlineLvl w:val="9"/>
    </w:pPr>
    <w:rPr>
      <w:rFonts w:asciiTheme="majorHAnsi" w:hAnsiTheme="majorHAnsi" w:eastAsiaTheme="majorEastAsia" w:cstheme="majorBidi"/>
      <w:b w:val="0"/>
      <w:color w:val="2E74B5" w:themeColor="accent1" w:themeShade="BF"/>
      <w:sz w:val="32"/>
      <w:szCs w:val="32"/>
      <w:lang w:val="en-US"/>
    </w:rPr>
  </w:style>
  <w:style w:type="paragraph" w:styleId="TOC1">
    <w:name w:val="toc 1"/>
    <w:basedOn w:val="Normal"/>
    <w:next w:val="Normal"/>
    <w:autoRedefine/>
    <w:uiPriority w:val="39"/>
    <w:unhideWhenUsed/>
    <w:rsid w:val="00F05B9C"/>
    <w:pPr>
      <w:spacing w:after="100"/>
    </w:pPr>
  </w:style>
  <w:style w:type="character" w:styleId="Hyperlink">
    <w:name w:val="Hyperlink"/>
    <w:basedOn w:val="DefaultParagraphFont"/>
    <w:uiPriority w:val="99"/>
    <w:unhideWhenUsed/>
    <w:rsid w:val="00F05B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2e0331dd2b6d46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B6ADF-249B-45D4-A0AB-5D1874F91B5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Microsoft account</dc:creator>
  <lastModifiedBy>Maria Madalina Feier</lastModifiedBy>
  <revision>4</revision>
  <dcterms:created xsi:type="dcterms:W3CDTF">2023-11-08T06:39:00.0000000Z</dcterms:created>
  <dcterms:modified xsi:type="dcterms:W3CDTF">2023-11-26T09:26:34.6603073Z</dcterms:modified>
</coreProperties>
</file>