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08D14" w14:textId="3647231D" w:rsidR="00E11096" w:rsidRDefault="00E11096" w:rsidP="0068575B">
      <w:pPr>
        <w:spacing w:after="0"/>
        <w:jc w:val="center"/>
      </w:pPr>
      <w:r>
        <w:t>A Cistercian Vita: The Life of St. Kentigern by Jocelyn of Furness</w:t>
      </w:r>
    </w:p>
    <w:p w14:paraId="6D612D9A" w14:textId="77777777" w:rsidR="00E11096" w:rsidRDefault="00E11096" w:rsidP="0068575B">
      <w:pPr>
        <w:spacing w:after="0"/>
        <w:jc w:val="center"/>
      </w:pPr>
      <w:r>
        <w:t>Mark A. Pierce</w:t>
      </w:r>
    </w:p>
    <w:p w14:paraId="241A041D" w14:textId="1419EC9A" w:rsidR="00E11096" w:rsidRDefault="00E11096" w:rsidP="0068575B">
      <w:pPr>
        <w:spacing w:after="0"/>
        <w:jc w:val="center"/>
      </w:pPr>
      <w:r>
        <w:t>2</w:t>
      </w:r>
      <w:r w:rsidR="0088770A">
        <w:t>7</w:t>
      </w:r>
      <w:r>
        <w:t xml:space="preserve">th </w:t>
      </w:r>
      <w:proofErr w:type="gramStart"/>
      <w:r>
        <w:t>May,</w:t>
      </w:r>
      <w:proofErr w:type="gramEnd"/>
      <w:r>
        <w:t xml:space="preserve"> 2024</w:t>
      </w:r>
    </w:p>
    <w:p w14:paraId="732378F6" w14:textId="77777777" w:rsidR="00E11096" w:rsidRDefault="00E11096" w:rsidP="00E11096"/>
    <w:p w14:paraId="5326F56C" w14:textId="5B56C76A" w:rsidR="0068575B" w:rsidRDefault="00E11096" w:rsidP="0068575B">
      <w:pPr>
        <w:spacing w:after="0"/>
      </w:pPr>
      <w:r>
        <w:tab/>
      </w:r>
      <w:r w:rsidRPr="00E11096">
        <w:t xml:space="preserve">The </w:t>
      </w:r>
      <w:r w:rsidR="003A4AB9" w:rsidRPr="003A4AB9">
        <w:rPr>
          <w:i/>
          <w:iCs/>
        </w:rPr>
        <w:t>L</w:t>
      </w:r>
      <w:r w:rsidRPr="003A4AB9">
        <w:rPr>
          <w:i/>
          <w:iCs/>
        </w:rPr>
        <w:t>ife of St. Kentigern</w:t>
      </w:r>
      <w:r w:rsidRPr="00E11096">
        <w:t xml:space="preserve">, also known as St. Mungo, provides a fascinating intersection of early medieval Christianity and the Cistercian monastic reform that swept through Europe in the 12th century. </w:t>
      </w:r>
      <w:r w:rsidR="00B44154">
        <w:t>T</w:t>
      </w:r>
      <w:r w:rsidRPr="00E11096">
        <w:t xml:space="preserve">he </w:t>
      </w:r>
      <w:r w:rsidR="00B44154">
        <w:t xml:space="preserve">Cumbrians’ veneration and the </w:t>
      </w:r>
      <w:r w:rsidRPr="00E11096">
        <w:t>Cistercians</w:t>
      </w:r>
      <w:r w:rsidR="00B44154">
        <w:t xml:space="preserve"> </w:t>
      </w:r>
      <w:r>
        <w:t xml:space="preserve">utilization </w:t>
      </w:r>
      <w:r w:rsidRPr="00E11096">
        <w:t xml:space="preserve">of his legacy significantly shaped the way his story was preserved and propagated. Emphasizing simplicity, asceticism, and a return to the foundational principles of monastic life, the Cistercian influence can be seen </w:t>
      </w:r>
      <w:r>
        <w:t>throughout</w:t>
      </w:r>
      <w:r w:rsidRPr="00E11096">
        <w:t xml:space="preserve"> th</w:t>
      </w:r>
      <w:r w:rsidR="00B44154">
        <w:t>is</w:t>
      </w:r>
      <w:r w:rsidRPr="00E11096">
        <w:t xml:space="preserve"> hagiographical account</w:t>
      </w:r>
      <w:r w:rsidR="00B44154">
        <w:t xml:space="preserve"> </w:t>
      </w:r>
      <w:r w:rsidRPr="00E11096">
        <w:t xml:space="preserve">of St. Kentigern, which highlight his piety, missionary zeal, and commitment to a life of rigorous spiritual discipline. By examining the Cistercian contributions to the cult of St. Kentigern, we gain a deeper understanding of how medieval monastic values were retroactively applied to early Christian saints, thereby reinforcing contemporary religious </w:t>
      </w:r>
      <w:proofErr w:type="gramStart"/>
      <w:r w:rsidRPr="00E11096">
        <w:t>ideals</w:t>
      </w:r>
      <w:proofErr w:type="gramEnd"/>
      <w:r w:rsidRPr="00E11096">
        <w:t xml:space="preserve"> and providing a model of sanctity that resonated with the spiritual and political aspirations of the time.</w:t>
      </w:r>
      <w:r w:rsidR="0068575B">
        <w:t xml:space="preserve"> </w:t>
      </w:r>
    </w:p>
    <w:p w14:paraId="61F33F01" w14:textId="693A693E" w:rsidR="00AE77C3" w:rsidRPr="0037236C" w:rsidRDefault="0068575B" w:rsidP="0037236C">
      <w:pPr>
        <w:spacing w:after="0"/>
        <w:ind w:firstLine="720"/>
      </w:pPr>
      <w:r>
        <w:t xml:space="preserve">Kentigern grew up in southwest Scotland around the River Clyde. </w:t>
      </w:r>
      <w:bookmarkStart w:id="0" w:name="_Hlk166597386"/>
      <w:r w:rsidR="0037236C" w:rsidRPr="0037236C">
        <w:rPr>
          <w:kern w:val="0"/>
          <w14:ligatures w14:val="none"/>
        </w:rPr>
        <w:t xml:space="preserve">The region known as Cumbria, later Strathclyde, was culturally </w:t>
      </w:r>
      <w:proofErr w:type="gramStart"/>
      <w:r w:rsidR="0037236C" w:rsidRPr="0037236C">
        <w:rPr>
          <w:kern w:val="0"/>
          <w14:ligatures w14:val="none"/>
        </w:rPr>
        <w:t>similar to</w:t>
      </w:r>
      <w:proofErr w:type="gramEnd"/>
      <w:r w:rsidR="0037236C" w:rsidRPr="0037236C">
        <w:rPr>
          <w:kern w:val="0"/>
          <w14:ligatures w14:val="none"/>
        </w:rPr>
        <w:t xml:space="preserve"> Wales and absorbed into Scotland by the 11th century. The Life of St. Kentigern, written 500 years after his death, reflects 12th-century ecclesiastical politics."</w:t>
      </w:r>
      <w:r w:rsidRPr="0068575B">
        <w:rPr>
          <w:kern w:val="0"/>
          <w:vertAlign w:val="superscript"/>
          <w14:ligatures w14:val="none"/>
        </w:rPr>
        <w:footnoteReference w:id="1"/>
      </w:r>
      <w:r w:rsidR="00823E8A">
        <w:rPr>
          <w:kern w:val="0"/>
          <w14:ligatures w14:val="none"/>
        </w:rPr>
        <w:t xml:space="preserve"> </w:t>
      </w:r>
    </w:p>
    <w:p w14:paraId="3DEE5777" w14:textId="6FD11B10" w:rsidR="00695CC4" w:rsidRPr="00695CC4" w:rsidRDefault="00823E8A" w:rsidP="0037236C">
      <w:pPr>
        <w:spacing w:after="0"/>
        <w:rPr>
          <w:b/>
          <w:bCs/>
          <w:kern w:val="0"/>
          <w14:ligatures w14:val="none"/>
        </w:rPr>
      </w:pPr>
      <w:r>
        <w:rPr>
          <w:kern w:val="0"/>
          <w14:ligatures w14:val="none"/>
        </w:rPr>
        <w:t xml:space="preserve">The </w:t>
      </w:r>
      <w:r>
        <w:rPr>
          <w:i/>
          <w:iCs/>
          <w:kern w:val="0"/>
          <w14:ligatures w14:val="none"/>
        </w:rPr>
        <w:t xml:space="preserve">Life of St. Kentigern </w:t>
      </w:r>
      <w:r>
        <w:rPr>
          <w:kern w:val="0"/>
          <w14:ligatures w14:val="none"/>
        </w:rPr>
        <w:t>was written by a Jocelyn of Furness</w:t>
      </w:r>
      <w:r w:rsidR="00200899">
        <w:rPr>
          <w:kern w:val="0"/>
          <w14:ligatures w14:val="none"/>
        </w:rPr>
        <w:t>,</w:t>
      </w:r>
      <w:r>
        <w:rPr>
          <w:kern w:val="0"/>
          <w14:ligatures w14:val="none"/>
        </w:rPr>
        <w:t xml:space="preserve"> a Cistercian monk from a monastery in north-east England.  </w:t>
      </w:r>
      <w:r w:rsidR="005F016D">
        <w:rPr>
          <w:kern w:val="0"/>
          <w14:ligatures w14:val="none"/>
        </w:rPr>
        <w:t>A</w:t>
      </w:r>
      <w:r w:rsidR="005F016D" w:rsidRPr="005F016D">
        <w:rPr>
          <w:kern w:val="0"/>
          <w14:ligatures w14:val="none"/>
        </w:rPr>
        <w:t>ccording to the vita itself,</w:t>
      </w:r>
      <w:r w:rsidR="005F016D">
        <w:rPr>
          <w:kern w:val="0"/>
          <w14:ligatures w14:val="none"/>
        </w:rPr>
        <w:t xml:space="preserve"> it</w:t>
      </w:r>
      <w:r w:rsidR="005F016D" w:rsidRPr="005F016D">
        <w:rPr>
          <w:kern w:val="0"/>
          <w14:ligatures w14:val="none"/>
        </w:rPr>
        <w:t xml:space="preserve"> was </w:t>
      </w:r>
      <w:r w:rsidR="005F016D">
        <w:rPr>
          <w:kern w:val="0"/>
          <w14:ligatures w14:val="none"/>
        </w:rPr>
        <w:t xml:space="preserve">created at the </w:t>
      </w:r>
      <w:r w:rsidR="005F016D" w:rsidRPr="005F016D">
        <w:rPr>
          <w:kern w:val="0"/>
          <w14:ligatures w14:val="none"/>
        </w:rPr>
        <w:t>bishop</w:t>
      </w:r>
      <w:r w:rsidR="005F016D">
        <w:rPr>
          <w:kern w:val="0"/>
          <w14:ligatures w14:val="none"/>
        </w:rPr>
        <w:t xml:space="preserve"> of Glasgow’s</w:t>
      </w:r>
      <w:r w:rsidR="005F016D" w:rsidRPr="005F016D">
        <w:rPr>
          <w:kern w:val="0"/>
          <w14:ligatures w14:val="none"/>
        </w:rPr>
        <w:t xml:space="preserve"> request.</w:t>
      </w:r>
      <w:r w:rsidR="00266184">
        <w:rPr>
          <w:rStyle w:val="FootnoteReference"/>
          <w:kern w:val="0"/>
          <w14:ligatures w14:val="none"/>
        </w:rPr>
        <w:footnoteReference w:id="2"/>
      </w:r>
      <w:r w:rsidR="00695CC4">
        <w:rPr>
          <w:b/>
          <w:bCs/>
          <w:kern w:val="0"/>
          <w14:ligatures w14:val="none"/>
        </w:rPr>
        <w:t xml:space="preserve"> </w:t>
      </w:r>
      <w:r w:rsidR="002C1359">
        <w:rPr>
          <w:kern w:val="0"/>
          <w14:ligatures w14:val="none"/>
        </w:rPr>
        <w:t>Jocelin,</w:t>
      </w:r>
      <w:r w:rsidR="00695CC4">
        <w:rPr>
          <w:kern w:val="0"/>
          <w14:ligatures w14:val="none"/>
        </w:rPr>
        <w:t xml:space="preserve"> the Bishop of Glasgow</w:t>
      </w:r>
      <w:r w:rsidR="00C542E3">
        <w:rPr>
          <w:kern w:val="0"/>
          <w14:ligatures w14:val="none"/>
        </w:rPr>
        <w:t>,</w:t>
      </w:r>
      <w:r w:rsidR="002C1359">
        <w:rPr>
          <w:kern w:val="0"/>
          <w14:ligatures w14:val="none"/>
        </w:rPr>
        <w:t xml:space="preserve"> a</w:t>
      </w:r>
      <w:r w:rsidR="00775781">
        <w:rPr>
          <w:kern w:val="0"/>
          <w14:ligatures w14:val="none"/>
        </w:rPr>
        <w:t xml:space="preserve"> former Cistercian Abbot of Melros</w:t>
      </w:r>
      <w:r w:rsidR="002C1359">
        <w:rPr>
          <w:kern w:val="0"/>
          <w14:ligatures w14:val="none"/>
        </w:rPr>
        <w:t>e</w:t>
      </w:r>
      <w:r w:rsidR="00C542E3">
        <w:rPr>
          <w:kern w:val="0"/>
          <w14:ligatures w14:val="none"/>
        </w:rPr>
        <w:t>,</w:t>
      </w:r>
      <w:r w:rsidR="002C1359">
        <w:rPr>
          <w:b/>
          <w:bCs/>
          <w:kern w:val="0"/>
          <w14:ligatures w14:val="none"/>
        </w:rPr>
        <w:t xml:space="preserve"> </w:t>
      </w:r>
      <w:r w:rsidR="00775781">
        <w:rPr>
          <w:kern w:val="0"/>
          <w14:ligatures w14:val="none"/>
        </w:rPr>
        <w:t>became the Bishop of Glasgow</w:t>
      </w:r>
      <w:r w:rsidR="00C36D32">
        <w:rPr>
          <w:kern w:val="0"/>
          <w14:ligatures w14:val="none"/>
        </w:rPr>
        <w:t xml:space="preserve"> in 1174</w:t>
      </w:r>
      <w:r w:rsidR="00C542E3">
        <w:rPr>
          <w:kern w:val="0"/>
          <w14:ligatures w14:val="none"/>
        </w:rPr>
        <w:t>.</w:t>
      </w:r>
      <w:r w:rsidR="00C542E3">
        <w:rPr>
          <w:rStyle w:val="FootnoteReference"/>
          <w:kern w:val="0"/>
          <w14:ligatures w14:val="none"/>
        </w:rPr>
        <w:footnoteReference w:id="3"/>
      </w:r>
      <w:r w:rsidR="00C542E3">
        <w:rPr>
          <w:b/>
          <w:bCs/>
          <w:kern w:val="0"/>
          <w14:ligatures w14:val="none"/>
        </w:rPr>
        <w:t xml:space="preserve"> </w:t>
      </w:r>
      <w:r w:rsidR="00C36D32">
        <w:rPr>
          <w:kern w:val="0"/>
          <w14:ligatures w14:val="none"/>
        </w:rPr>
        <w:t>Needless to say, this is highly unusual</w:t>
      </w:r>
      <w:r w:rsidR="00D62273">
        <w:rPr>
          <w:kern w:val="0"/>
          <w14:ligatures w14:val="none"/>
        </w:rPr>
        <w:t>, but the political situation within Scotland during the mid to late 12</w:t>
      </w:r>
      <w:r w:rsidR="00D62273" w:rsidRPr="00D62273">
        <w:rPr>
          <w:kern w:val="0"/>
          <w:vertAlign w:val="superscript"/>
          <w14:ligatures w14:val="none"/>
        </w:rPr>
        <w:t>t</w:t>
      </w:r>
      <w:r w:rsidR="00D62273">
        <w:rPr>
          <w:kern w:val="0"/>
          <w:vertAlign w:val="superscript"/>
          <w14:ligatures w14:val="none"/>
        </w:rPr>
        <w:t xml:space="preserve">h </w:t>
      </w:r>
      <w:r w:rsidR="00D62273">
        <w:rPr>
          <w:kern w:val="0"/>
          <w14:ligatures w14:val="none"/>
        </w:rPr>
        <w:t xml:space="preserve">century was highly volatile. </w:t>
      </w:r>
    </w:p>
    <w:p w14:paraId="39E7CAF1" w14:textId="47A48618" w:rsidR="001E5777" w:rsidRPr="0037236C" w:rsidRDefault="00AE1706" w:rsidP="009B7C5C">
      <w:pPr>
        <w:spacing w:after="0"/>
        <w:ind w:firstLine="720"/>
        <w:rPr>
          <w:b/>
          <w:bCs/>
          <w:kern w:val="0"/>
          <w14:ligatures w14:val="none"/>
        </w:rPr>
      </w:pPr>
      <w:r>
        <w:rPr>
          <w:kern w:val="0"/>
          <w14:ligatures w14:val="none"/>
        </w:rPr>
        <w:t>Where the Cistercians in Scotland differ is the unique relationship that the order had with the Scottish monarch</w:t>
      </w:r>
      <w:r w:rsidR="001E5777">
        <w:rPr>
          <w:kern w:val="0"/>
          <w14:ligatures w14:val="none"/>
        </w:rPr>
        <w:t>y</w:t>
      </w:r>
      <w:r>
        <w:rPr>
          <w:kern w:val="0"/>
          <w14:ligatures w14:val="none"/>
        </w:rPr>
        <w:t>.</w:t>
      </w:r>
      <w:r w:rsidR="0037236C" w:rsidRPr="0037236C">
        <w:t xml:space="preserve"> </w:t>
      </w:r>
      <w:r w:rsidR="0037236C" w:rsidRPr="0037236C">
        <w:rPr>
          <w:kern w:val="0"/>
          <w14:ligatures w14:val="none"/>
        </w:rPr>
        <w:t>King David I’s support for Cistercian monastic ideals resulted in several royal-founded monasteries, giving the order significant power in Scotland. The Scottish Cistercians were more insular, preferring native recruits, and faced papal rebuke in 1289.</w:t>
      </w:r>
      <w:r w:rsidR="00266184">
        <w:rPr>
          <w:rStyle w:val="FootnoteReference"/>
          <w:kern w:val="0"/>
          <w14:ligatures w14:val="none"/>
        </w:rPr>
        <w:footnoteReference w:id="4"/>
      </w:r>
      <w:r w:rsidR="00B878BE">
        <w:rPr>
          <w:b/>
          <w:bCs/>
          <w:kern w:val="0"/>
          <w14:ligatures w14:val="none"/>
        </w:rPr>
        <w:t xml:space="preserve"> </w:t>
      </w:r>
      <w:r w:rsidR="0037236C">
        <w:rPr>
          <w:kern w:val="0"/>
          <w14:ligatures w14:val="none"/>
        </w:rPr>
        <w:t xml:space="preserve">It has been suggested that the </w:t>
      </w:r>
      <w:r w:rsidR="0037236C">
        <w:rPr>
          <w:i/>
          <w:iCs/>
          <w:kern w:val="0"/>
          <w14:ligatures w14:val="none"/>
        </w:rPr>
        <w:t xml:space="preserve">Life of St. Kentigern </w:t>
      </w:r>
      <w:r w:rsidR="0037236C">
        <w:rPr>
          <w:kern w:val="0"/>
          <w14:ligatures w14:val="none"/>
        </w:rPr>
        <w:t xml:space="preserve">was written </w:t>
      </w:r>
      <w:r w:rsidR="0037236C" w:rsidRPr="0037236C">
        <w:rPr>
          <w:kern w:val="0"/>
          <w14:ligatures w14:val="none"/>
        </w:rPr>
        <w:t>to enhance the king's own reputation as a reformer and patron of the church, and link further the connections between Cumbria and the royal house of Scotland</w:t>
      </w:r>
      <w:r w:rsidR="0037236C">
        <w:rPr>
          <w:kern w:val="0"/>
          <w14:ligatures w14:val="none"/>
        </w:rPr>
        <w:t>.”</w:t>
      </w:r>
      <w:r w:rsidR="00266184">
        <w:rPr>
          <w:rStyle w:val="FootnoteReference"/>
          <w:kern w:val="0"/>
          <w14:ligatures w14:val="none"/>
        </w:rPr>
        <w:footnoteReference w:id="5"/>
      </w:r>
    </w:p>
    <w:p w14:paraId="171C5E35" w14:textId="03815086" w:rsidR="00B878BE" w:rsidRPr="00B878BE" w:rsidRDefault="002F30F3" w:rsidP="00B878BE">
      <w:pPr>
        <w:spacing w:after="0"/>
        <w:ind w:firstLine="720"/>
        <w:rPr>
          <w:b/>
          <w:bCs/>
        </w:rPr>
      </w:pPr>
      <w:r w:rsidRPr="00B878BE">
        <w:rPr>
          <w:kern w:val="0"/>
          <w14:ligatures w14:val="none"/>
        </w:rPr>
        <w:t>As the Bishopric of Glasgow grew in influence, it became more and more embroiled with the</w:t>
      </w:r>
      <w:r w:rsidR="00B878BE" w:rsidRPr="00B878BE">
        <w:rPr>
          <w:kern w:val="0"/>
          <w14:ligatures w14:val="none"/>
        </w:rPr>
        <w:t xml:space="preserve"> metropolitan controversy. “</w:t>
      </w:r>
      <w:proofErr w:type="gramStart"/>
      <w:r w:rsidR="00B878BE" w:rsidRPr="00B878BE">
        <w:rPr>
          <w:kern w:val="0"/>
          <w14:ligatures w14:val="none"/>
        </w:rPr>
        <w:t>David</w:t>
      </w:r>
      <w:proofErr w:type="gramEnd"/>
      <w:r w:rsidR="00B878BE" w:rsidRPr="00B878BE">
        <w:rPr>
          <w:kern w:val="0"/>
          <w14:ligatures w14:val="none"/>
        </w:rPr>
        <w:t xml:space="preserve"> I filed an inquest by the judices of Cumbria as to the possessions of St. </w:t>
      </w:r>
      <w:r w:rsidR="00E90B50" w:rsidRPr="00B878BE">
        <w:rPr>
          <w:kern w:val="0"/>
          <w14:ligatures w14:val="none"/>
        </w:rPr>
        <w:t>Kentigern’s</w:t>
      </w:r>
      <w:r w:rsidR="00B878BE" w:rsidRPr="00B878BE">
        <w:rPr>
          <w:kern w:val="0"/>
          <w14:ligatures w14:val="none"/>
        </w:rPr>
        <w:t xml:space="preserve"> church. He appointed his court chaplain into the long vacant seat.”</w:t>
      </w:r>
      <w:r w:rsidR="00266184">
        <w:rPr>
          <w:rStyle w:val="FootnoteReference"/>
          <w:kern w:val="0"/>
          <w14:ligatures w14:val="none"/>
        </w:rPr>
        <w:footnoteReference w:id="6"/>
      </w:r>
      <w:r w:rsidR="00B878BE" w:rsidRPr="00B878BE">
        <w:rPr>
          <w:kern w:val="0"/>
          <w14:ligatures w14:val="none"/>
        </w:rPr>
        <w:t xml:space="preserve">  As England was growing in </w:t>
      </w:r>
      <w:proofErr w:type="gramStart"/>
      <w:r w:rsidR="00B878BE" w:rsidRPr="00B878BE">
        <w:rPr>
          <w:kern w:val="0"/>
          <w14:ligatures w14:val="none"/>
        </w:rPr>
        <w:t>power</w:t>
      </w:r>
      <w:proofErr w:type="gramEnd"/>
      <w:r w:rsidR="00B878BE" w:rsidRPr="00B878BE">
        <w:rPr>
          <w:kern w:val="0"/>
          <w14:ligatures w14:val="none"/>
        </w:rPr>
        <w:t xml:space="preserve"> they tried to submit Scotland not just politically but religiously.  York in canonical debate claimed metropolitan status over all of Scotland in 1072, but the Scottish bishops largely refused to recognize it instead consecrating one another.</w:t>
      </w:r>
      <w:r w:rsidR="00266184">
        <w:rPr>
          <w:rStyle w:val="FootnoteReference"/>
          <w:kern w:val="0"/>
          <w14:ligatures w14:val="none"/>
        </w:rPr>
        <w:footnoteReference w:id="7"/>
      </w:r>
      <w:r w:rsidR="00B878BE" w:rsidRPr="00B878BE">
        <w:rPr>
          <w:b/>
          <w:bCs/>
          <w:kern w:val="0"/>
          <w14:ligatures w14:val="none"/>
        </w:rPr>
        <w:t xml:space="preserve"> </w:t>
      </w:r>
      <w:r w:rsidR="00B878BE" w:rsidRPr="00B878BE">
        <w:rPr>
          <w:kern w:val="0"/>
          <w14:ligatures w14:val="none"/>
        </w:rPr>
        <w:t xml:space="preserve">Rome may have granted the request because John, the </w:t>
      </w:r>
      <w:r w:rsidR="00B878BE" w:rsidRPr="00B878BE">
        <w:rPr>
          <w:kern w:val="0"/>
          <w14:ligatures w14:val="none"/>
        </w:rPr>
        <w:lastRenderedPageBreak/>
        <w:t xml:space="preserve">former court chaplain, changed his allegiance to Antipope </w:t>
      </w:r>
      <w:proofErr w:type="spellStart"/>
      <w:r w:rsidR="00B878BE" w:rsidRPr="00B878BE">
        <w:rPr>
          <w:kern w:val="0"/>
          <w14:ligatures w14:val="none"/>
        </w:rPr>
        <w:t>Anacletus</w:t>
      </w:r>
      <w:proofErr w:type="spellEnd"/>
      <w:r w:rsidR="00B878BE" w:rsidRPr="00B878BE">
        <w:rPr>
          <w:kern w:val="0"/>
          <w14:ligatures w14:val="none"/>
        </w:rPr>
        <w:t xml:space="preserve"> II around the same time.</w:t>
      </w:r>
      <w:r w:rsidR="00266184">
        <w:rPr>
          <w:rStyle w:val="FootnoteReference"/>
          <w:kern w:val="0"/>
          <w14:ligatures w14:val="none"/>
        </w:rPr>
        <w:footnoteReference w:id="8"/>
      </w:r>
      <w:r w:rsidR="00B878BE" w:rsidRPr="00B878BE">
        <w:rPr>
          <w:b/>
          <w:bCs/>
          <w:kern w:val="0"/>
          <w14:ligatures w14:val="none"/>
        </w:rPr>
        <w:t xml:space="preserve"> </w:t>
      </w:r>
      <w:r w:rsidR="00B878BE" w:rsidRPr="00B878BE">
        <w:rPr>
          <w:kern w:val="0"/>
          <w14:ligatures w14:val="none"/>
        </w:rPr>
        <w:t>This was eventually resolved in 1176, one year after Jocelin took office in Glasgow</w:t>
      </w:r>
      <w:r w:rsidR="00B878BE">
        <w:rPr>
          <w:kern w:val="0"/>
          <w14:ligatures w14:val="none"/>
        </w:rPr>
        <w:t xml:space="preserve">, </w:t>
      </w:r>
      <w:r w:rsidR="00B878BE" w:rsidRPr="00B878BE">
        <w:rPr>
          <w:kern w:val="0"/>
          <w14:ligatures w14:val="none"/>
        </w:rPr>
        <w:t xml:space="preserve">with </w:t>
      </w:r>
      <w:r w:rsidR="00B878BE">
        <w:t xml:space="preserve">the Papal Bull </w:t>
      </w:r>
      <w:r w:rsidR="00B878BE" w:rsidRPr="00B878BE">
        <w:rPr>
          <w:i/>
          <w:iCs/>
        </w:rPr>
        <w:t xml:space="preserve">Super </w:t>
      </w:r>
      <w:proofErr w:type="spellStart"/>
      <w:r w:rsidR="00B878BE" w:rsidRPr="00B878BE">
        <w:rPr>
          <w:i/>
          <w:iCs/>
        </w:rPr>
        <w:t>anxietatibus</w:t>
      </w:r>
      <w:proofErr w:type="spellEnd"/>
      <w:r w:rsidR="00B878BE" w:rsidRPr="00B878BE">
        <w:rPr>
          <w:i/>
          <w:iCs/>
        </w:rPr>
        <w:t xml:space="preserve"> </w:t>
      </w:r>
      <w:r w:rsidR="00B878BE">
        <w:t>which made the Scottish church independent only subject to Rome which was further strengthened in 1191 and 1192.</w:t>
      </w:r>
      <w:r w:rsidR="00266184">
        <w:rPr>
          <w:rStyle w:val="FootnoteReference"/>
        </w:rPr>
        <w:footnoteReference w:id="9"/>
      </w:r>
    </w:p>
    <w:p w14:paraId="1F2F6A1C" w14:textId="576695B1" w:rsidR="00B878BE" w:rsidRDefault="00B878BE" w:rsidP="00B878BE">
      <w:pPr>
        <w:spacing w:after="0"/>
        <w:ind w:firstLine="720"/>
        <w:rPr>
          <w:kern w:val="0"/>
          <w14:ligatures w14:val="none"/>
        </w:rPr>
      </w:pPr>
      <w:r>
        <w:rPr>
          <w:kern w:val="0"/>
          <w14:ligatures w14:val="none"/>
        </w:rPr>
        <w:t xml:space="preserve">I would argue based on the preponderance of the evidence that the </w:t>
      </w:r>
      <w:r>
        <w:rPr>
          <w:i/>
          <w:iCs/>
          <w:kern w:val="0"/>
          <w14:ligatures w14:val="none"/>
        </w:rPr>
        <w:t xml:space="preserve">Life of St. Kentigern </w:t>
      </w:r>
      <w:r w:rsidRPr="00B878BE">
        <w:rPr>
          <w:kern w:val="0"/>
          <w14:ligatures w14:val="none"/>
        </w:rPr>
        <w:t>was written for</w:t>
      </w:r>
      <w:r>
        <w:rPr>
          <w:i/>
          <w:iCs/>
          <w:kern w:val="0"/>
          <w14:ligatures w14:val="none"/>
        </w:rPr>
        <w:t xml:space="preserve"> </w:t>
      </w:r>
      <w:r w:rsidR="002C0418">
        <w:rPr>
          <w:kern w:val="0"/>
          <w14:ligatures w14:val="none"/>
        </w:rPr>
        <w:t>3</w:t>
      </w:r>
      <w:r>
        <w:rPr>
          <w:b/>
          <w:bCs/>
          <w:i/>
          <w:iCs/>
          <w:kern w:val="0"/>
          <w14:ligatures w14:val="none"/>
        </w:rPr>
        <w:t xml:space="preserve"> </w:t>
      </w:r>
      <w:r>
        <w:rPr>
          <w:kern w:val="0"/>
          <w14:ligatures w14:val="none"/>
        </w:rPr>
        <w:t xml:space="preserve">reasons: to endear himself to the newly acquired territory of </w:t>
      </w:r>
      <w:r w:rsidR="00BA26F9">
        <w:rPr>
          <w:kern w:val="0"/>
          <w14:ligatures w14:val="none"/>
        </w:rPr>
        <w:t>Cumbria</w:t>
      </w:r>
      <w:r>
        <w:rPr>
          <w:kern w:val="0"/>
          <w14:ligatures w14:val="none"/>
        </w:rPr>
        <w:t xml:space="preserve"> by promoting a local saint’s cult, to argue for independence from Rome, and to bend the life of the saint to </w:t>
      </w:r>
      <w:r w:rsidR="00B93F71">
        <w:rPr>
          <w:kern w:val="0"/>
          <w14:ligatures w14:val="none"/>
        </w:rPr>
        <w:t>match Catholic doctrine and Cistercian ideals more closely</w:t>
      </w:r>
      <w:r>
        <w:rPr>
          <w:kern w:val="0"/>
          <w14:ligatures w14:val="none"/>
        </w:rPr>
        <w:t>.</w:t>
      </w:r>
    </w:p>
    <w:p w14:paraId="2760916E" w14:textId="46A4AADD" w:rsidR="00B4518F" w:rsidRDefault="00B93F71" w:rsidP="00B93F71">
      <w:pPr>
        <w:spacing w:after="0"/>
        <w:ind w:firstLine="720"/>
        <w:rPr>
          <w:kern w:val="0"/>
          <w14:ligatures w14:val="none"/>
        </w:rPr>
      </w:pPr>
      <w:r>
        <w:rPr>
          <w:kern w:val="0"/>
          <w14:ligatures w14:val="none"/>
        </w:rPr>
        <w:t xml:space="preserve">St. Kentigern is clearly a Celtic saint; he was called “the Apostle to Strathclyde.” </w:t>
      </w:r>
      <w:r w:rsidR="007D460C" w:rsidRPr="007D460C">
        <w:rPr>
          <w:kern w:val="0"/>
          <w14:ligatures w14:val="none"/>
        </w:rPr>
        <w:t>The lands in the former Kingdom of Strathclyde and Lothian had a long tradition associated with Kentigern’s life. Their continued patronage of Kentigern and his diocese of Glasgow helped establish a stable relationship between the Norman families and the native Celtic peoples who inhabited the area and regarded Kentigern as their protector.</w:t>
      </w:r>
      <w:r w:rsidR="00266184">
        <w:rPr>
          <w:rStyle w:val="FootnoteReference"/>
          <w:kern w:val="0"/>
          <w14:ligatures w14:val="none"/>
        </w:rPr>
        <w:footnoteReference w:id="10"/>
      </w:r>
      <w:r w:rsidR="007D460C">
        <w:rPr>
          <w:b/>
          <w:bCs/>
          <w:kern w:val="0"/>
          <w14:ligatures w14:val="none"/>
        </w:rPr>
        <w:t xml:space="preserve"> </w:t>
      </w:r>
      <w:r>
        <w:rPr>
          <w:kern w:val="0"/>
          <w14:ligatures w14:val="none"/>
        </w:rPr>
        <w:t xml:space="preserve">The </w:t>
      </w:r>
      <w:r>
        <w:rPr>
          <w:i/>
          <w:iCs/>
          <w:kern w:val="0"/>
          <w14:ligatures w14:val="none"/>
        </w:rPr>
        <w:t>Life of St. Kentigern</w:t>
      </w:r>
      <w:r>
        <w:rPr>
          <w:kern w:val="0"/>
          <w14:ligatures w14:val="none"/>
        </w:rPr>
        <w:t xml:space="preserve"> clearly reflects that.</w:t>
      </w:r>
      <w:r w:rsidR="00266184">
        <w:rPr>
          <w:rStyle w:val="FootnoteReference"/>
          <w:kern w:val="0"/>
          <w14:ligatures w14:val="none"/>
        </w:rPr>
        <w:footnoteReference w:id="11"/>
      </w:r>
      <w:r>
        <w:rPr>
          <w:kern w:val="0"/>
          <w14:ligatures w14:val="none"/>
        </w:rPr>
        <w:t xml:space="preserve"> It is filled with Celtic hagiographical and cultural motifs such as the story of “the salmon and the ring” and the story with Merlin (known in the story as </w:t>
      </w:r>
      <w:r w:rsidRPr="00B93F71">
        <w:rPr>
          <w:kern w:val="0"/>
          <w14:ligatures w14:val="none"/>
        </w:rPr>
        <w:t>Lailoken</w:t>
      </w:r>
      <w:r>
        <w:rPr>
          <w:kern w:val="0"/>
          <w14:ligatures w14:val="none"/>
        </w:rPr>
        <w:t>)</w:t>
      </w:r>
      <w:r w:rsidR="00266184">
        <w:rPr>
          <w:kern w:val="0"/>
          <w14:ligatures w14:val="none"/>
        </w:rPr>
        <w:t>.</w:t>
      </w:r>
      <w:r w:rsidR="00266184">
        <w:rPr>
          <w:rStyle w:val="FootnoteReference"/>
          <w:kern w:val="0"/>
          <w14:ligatures w14:val="none"/>
        </w:rPr>
        <w:footnoteReference w:id="12"/>
      </w:r>
      <w:r>
        <w:rPr>
          <w:b/>
          <w:bCs/>
          <w:kern w:val="0"/>
          <w14:ligatures w14:val="none"/>
        </w:rPr>
        <w:t xml:space="preserve"> </w:t>
      </w:r>
      <w:r>
        <w:rPr>
          <w:kern w:val="0"/>
          <w14:ligatures w14:val="none"/>
        </w:rPr>
        <w:t xml:space="preserve">Although the author does acknowledge the Celtic nature of the saint, he does seem to either tone down or erase stories about the saint when they do not </w:t>
      </w:r>
      <w:r w:rsidR="00096C92">
        <w:rPr>
          <w:kern w:val="0"/>
          <w14:ligatures w14:val="none"/>
        </w:rPr>
        <w:t>agree with his Cistercian sensibilities.</w:t>
      </w:r>
      <w:r w:rsidR="00B4518F">
        <w:rPr>
          <w:kern w:val="0"/>
          <w14:ligatures w14:val="none"/>
        </w:rPr>
        <w:t xml:space="preserve"> In other </w:t>
      </w:r>
      <w:proofErr w:type="gramStart"/>
      <w:r w:rsidR="00B4518F">
        <w:rPr>
          <w:kern w:val="0"/>
          <w14:ligatures w14:val="none"/>
        </w:rPr>
        <w:t>words</w:t>
      </w:r>
      <w:proofErr w:type="gramEnd"/>
      <w:r w:rsidR="00B4518F">
        <w:rPr>
          <w:kern w:val="0"/>
          <w14:ligatures w14:val="none"/>
        </w:rPr>
        <w:t xml:space="preserve"> “</w:t>
      </w:r>
      <w:r w:rsidR="00E90B50">
        <w:t>Jocelyn</w:t>
      </w:r>
      <w:r w:rsidR="00B4518F">
        <w:t xml:space="preserve"> tries to balance his orthodox roman beliefs about a saint with the beliefs of his audience.”</w:t>
      </w:r>
      <w:r w:rsidR="00266184">
        <w:rPr>
          <w:rStyle w:val="FootnoteReference"/>
        </w:rPr>
        <w:footnoteReference w:id="13"/>
      </w:r>
      <w:r w:rsidR="00B4518F">
        <w:t xml:space="preserve"> </w:t>
      </w:r>
    </w:p>
    <w:p w14:paraId="289BB762" w14:textId="27D5B574" w:rsidR="00DC1B04" w:rsidRDefault="00096C92" w:rsidP="00B93F71">
      <w:pPr>
        <w:spacing w:after="0"/>
        <w:ind w:firstLine="720"/>
        <w:rPr>
          <w:b/>
          <w:bCs/>
          <w:kern w:val="0"/>
          <w14:ligatures w14:val="none"/>
        </w:rPr>
      </w:pPr>
      <w:r>
        <w:rPr>
          <w:kern w:val="0"/>
          <w14:ligatures w14:val="none"/>
        </w:rPr>
        <w:t xml:space="preserve">For </w:t>
      </w:r>
      <w:proofErr w:type="gramStart"/>
      <w:r>
        <w:rPr>
          <w:kern w:val="0"/>
          <w14:ligatures w14:val="none"/>
        </w:rPr>
        <w:t>example</w:t>
      </w:r>
      <w:proofErr w:type="gramEnd"/>
      <w:r>
        <w:rPr>
          <w:kern w:val="0"/>
          <w14:ligatures w14:val="none"/>
        </w:rPr>
        <w:t xml:space="preserve"> when he describes the story regarding Merlin, he does not mention the whole story that was related in another text, t</w:t>
      </w:r>
      <w:r w:rsidRPr="00096C92">
        <w:rPr>
          <w:kern w:val="0"/>
          <w14:ligatures w14:val="none"/>
        </w:rPr>
        <w:t xml:space="preserve">he </w:t>
      </w:r>
      <w:r w:rsidRPr="00096C92">
        <w:rPr>
          <w:i/>
          <w:iCs/>
          <w:kern w:val="0"/>
          <w14:ligatures w14:val="none"/>
        </w:rPr>
        <w:t xml:space="preserve">Vita </w:t>
      </w:r>
      <w:proofErr w:type="spellStart"/>
      <w:r w:rsidRPr="00096C92">
        <w:rPr>
          <w:i/>
          <w:iCs/>
          <w:kern w:val="0"/>
          <w14:ligatures w14:val="none"/>
        </w:rPr>
        <w:t>Merlini</w:t>
      </w:r>
      <w:proofErr w:type="spellEnd"/>
      <w:r w:rsidRPr="00096C92">
        <w:rPr>
          <w:i/>
          <w:iCs/>
          <w:kern w:val="0"/>
          <w14:ligatures w14:val="none"/>
        </w:rPr>
        <w:t xml:space="preserve"> </w:t>
      </w:r>
      <w:proofErr w:type="spellStart"/>
      <w:r w:rsidRPr="00096C92">
        <w:rPr>
          <w:i/>
          <w:iCs/>
          <w:kern w:val="0"/>
          <w14:ligatures w14:val="none"/>
        </w:rPr>
        <w:t>Silvestris</w:t>
      </w:r>
      <w:proofErr w:type="spellEnd"/>
      <w:r>
        <w:rPr>
          <w:i/>
          <w:iCs/>
          <w:kern w:val="0"/>
          <w14:ligatures w14:val="none"/>
        </w:rPr>
        <w:t>.</w:t>
      </w:r>
      <w:r w:rsidR="00266184" w:rsidRPr="00266184">
        <w:rPr>
          <w:rStyle w:val="FootnoteReference"/>
          <w:kern w:val="0"/>
          <w14:ligatures w14:val="none"/>
        </w:rPr>
        <w:footnoteReference w:id="14"/>
      </w:r>
      <w:r>
        <w:rPr>
          <w:b/>
          <w:bCs/>
          <w:kern w:val="0"/>
          <w14:ligatures w14:val="none"/>
        </w:rPr>
        <w:t xml:space="preserve"> </w:t>
      </w:r>
      <w:r>
        <w:rPr>
          <w:kern w:val="0"/>
          <w14:ligatures w14:val="none"/>
        </w:rPr>
        <w:t xml:space="preserve">Additionally, Kentigern is traditionally associated with Owain, son of </w:t>
      </w:r>
      <w:proofErr w:type="spellStart"/>
      <w:r>
        <w:rPr>
          <w:kern w:val="0"/>
          <w14:ligatures w14:val="none"/>
        </w:rPr>
        <w:t>Urien</w:t>
      </w:r>
      <w:proofErr w:type="spellEnd"/>
      <w:r>
        <w:rPr>
          <w:kern w:val="0"/>
          <w14:ligatures w14:val="none"/>
        </w:rPr>
        <w:t xml:space="preserve"> </w:t>
      </w:r>
      <w:proofErr w:type="spellStart"/>
      <w:r>
        <w:rPr>
          <w:kern w:val="0"/>
          <w14:ligatures w14:val="none"/>
        </w:rPr>
        <w:t>Rheged</w:t>
      </w:r>
      <w:proofErr w:type="spellEnd"/>
      <w:r>
        <w:rPr>
          <w:kern w:val="0"/>
          <w14:ligatures w14:val="none"/>
        </w:rPr>
        <w:t xml:space="preserve"> and King Arthur, but Jocelyn fails to mention either of them.</w:t>
      </w:r>
      <w:r w:rsidR="00266184">
        <w:rPr>
          <w:rStyle w:val="FootnoteReference"/>
          <w:kern w:val="0"/>
          <w14:ligatures w14:val="none"/>
        </w:rPr>
        <w:footnoteReference w:id="15"/>
      </w:r>
      <w:r w:rsidRPr="00096C92">
        <w:rPr>
          <w:b/>
          <w:bCs/>
          <w:kern w:val="0"/>
          <w14:ligatures w14:val="none"/>
        </w:rPr>
        <w:t xml:space="preserve"> </w:t>
      </w:r>
      <w:r>
        <w:rPr>
          <w:kern w:val="0"/>
          <w14:ligatures w14:val="none"/>
        </w:rPr>
        <w:t xml:space="preserve">Perhaps it was </w:t>
      </w:r>
      <w:r w:rsidRPr="00096C92">
        <w:rPr>
          <w:kern w:val="0"/>
          <w14:ligatures w14:val="none"/>
        </w:rPr>
        <w:t xml:space="preserve">to diminish </w:t>
      </w:r>
      <w:r>
        <w:rPr>
          <w:kern w:val="0"/>
          <w14:ligatures w14:val="none"/>
        </w:rPr>
        <w:t>O</w:t>
      </w:r>
      <w:r w:rsidRPr="00096C92">
        <w:rPr>
          <w:kern w:val="0"/>
          <w14:ligatures w14:val="none"/>
        </w:rPr>
        <w:t>wain as a folk hero in the area as we</w:t>
      </w:r>
      <w:r>
        <w:rPr>
          <w:kern w:val="0"/>
          <w14:ligatures w14:val="none"/>
        </w:rPr>
        <w:t>ll as tie the normal people of Cumbria into the Scottish fold. “</w:t>
      </w:r>
      <w:r w:rsidRPr="00096C92">
        <w:rPr>
          <w:kern w:val="0"/>
          <w14:ligatures w14:val="none"/>
        </w:rPr>
        <w:t xml:space="preserve">Since the Normans in the south had begun appropriating the stories of Arthur into their own </w:t>
      </w:r>
      <w:r w:rsidR="00200899" w:rsidRPr="00096C92">
        <w:rPr>
          <w:kern w:val="0"/>
          <w14:ligatures w14:val="none"/>
        </w:rPr>
        <w:t>reconstruct</w:t>
      </w:r>
      <w:r w:rsidR="00200899">
        <w:rPr>
          <w:kern w:val="0"/>
          <w14:ligatures w14:val="none"/>
        </w:rPr>
        <w:t>i</w:t>
      </w:r>
      <w:r w:rsidR="00200899" w:rsidRPr="00096C92">
        <w:rPr>
          <w:kern w:val="0"/>
          <w14:ligatures w14:val="none"/>
        </w:rPr>
        <w:t>ons</w:t>
      </w:r>
      <w:r w:rsidRPr="00096C92">
        <w:rPr>
          <w:kern w:val="0"/>
          <w14:ligatures w14:val="none"/>
        </w:rPr>
        <w:t xml:space="preserve"> as heirs of Arthur, it is not too farfetched to see the people of Strathclyde as perpetuating the tales of Owain as a means of authenticating their independence from the south.</w:t>
      </w:r>
      <w:r>
        <w:rPr>
          <w:kern w:val="0"/>
          <w14:ligatures w14:val="none"/>
        </w:rPr>
        <w:t>”</w:t>
      </w:r>
      <w:r w:rsidR="00266184">
        <w:rPr>
          <w:rStyle w:val="FootnoteReference"/>
          <w:kern w:val="0"/>
          <w14:ligatures w14:val="none"/>
        </w:rPr>
        <w:footnoteReference w:id="16"/>
      </w:r>
    </w:p>
    <w:bookmarkEnd w:id="0"/>
    <w:p w14:paraId="68E7F861" w14:textId="453370C8" w:rsidR="00B4518F" w:rsidRDefault="007D460C" w:rsidP="00B4518F">
      <w:pPr>
        <w:spacing w:after="0"/>
      </w:pPr>
      <w:r>
        <w:tab/>
        <w:t>Instances of Celtic idiosyncrasies become even more apparent regarding the story of how local stories at the time mentioned that Kentigern was born of a virgin.</w:t>
      </w:r>
      <w:r w:rsidR="00B4518F">
        <w:t xml:space="preserve"> This</w:t>
      </w:r>
      <w:r w:rsidR="00200899">
        <w:t xml:space="preserve">, </w:t>
      </w:r>
      <w:r w:rsidR="00B4518F">
        <w:t>however, is not in line with traditional Catholic Doctrine.</w:t>
      </w:r>
      <w:r w:rsidR="00B4518F" w:rsidRPr="00B4518F">
        <w:t xml:space="preserve"> </w:t>
      </w:r>
      <w:r w:rsidR="00B4518F">
        <w:t>Jocelyn uses a rhetorical appeal that compels his audience to agree with his authoritative voice, supported by the tradition of scripture, or be deemed ignorant for clinging to valueless secular tales. His use of the term "</w:t>
      </w:r>
      <w:proofErr w:type="spellStart"/>
      <w:r w:rsidR="00B4518F">
        <w:t>legimus</w:t>
      </w:r>
      <w:proofErr w:type="spellEnd"/>
      <w:r w:rsidR="00B4518F">
        <w:t>" suggests a literary audience—one capable of reading Latin and discerning truth from, as he calls it, “fable.”</w:t>
      </w:r>
      <w:r w:rsidR="00266184">
        <w:rPr>
          <w:rStyle w:val="FootnoteReference"/>
        </w:rPr>
        <w:footnoteReference w:id="17"/>
      </w:r>
      <w:r w:rsidR="00B4518F">
        <w:rPr>
          <w:b/>
          <w:bCs/>
        </w:rPr>
        <w:t xml:space="preserve"> </w:t>
      </w:r>
      <w:r w:rsidR="00B4518F">
        <w:t xml:space="preserve">This could imply a more clerical audience for the </w:t>
      </w:r>
      <w:r w:rsidR="00B4518F">
        <w:rPr>
          <w:i/>
          <w:iCs/>
        </w:rPr>
        <w:t>Life of St. Kentigern</w:t>
      </w:r>
      <w:r w:rsidR="00B4518F">
        <w:t xml:space="preserve">. It can be inferred that because he even directly addresses it instead of suppressing such a story suggests it was well known from the population. </w:t>
      </w:r>
    </w:p>
    <w:p w14:paraId="3E3D5824" w14:textId="3D4AB246" w:rsidR="00F35505" w:rsidRDefault="00B4518F" w:rsidP="00C542E3">
      <w:pPr>
        <w:spacing w:after="0"/>
        <w:ind w:firstLine="720"/>
      </w:pPr>
      <w:r>
        <w:lastRenderedPageBreak/>
        <w:t xml:space="preserve">What I find most interesting is the synchronization of Celtic and Cistercian values.  This can be best represented in Chapter 17 of the Vita where the author extolls Kentigern and his followers for </w:t>
      </w:r>
      <w:r w:rsidR="007A03DD">
        <w:t>g</w:t>
      </w:r>
      <w:r>
        <w:t>oing off into a des</w:t>
      </w:r>
      <w:r w:rsidR="007A03DD">
        <w:t>ert place every lent.</w:t>
      </w:r>
      <w:r w:rsidR="00266184">
        <w:rPr>
          <w:rStyle w:val="FootnoteReference"/>
        </w:rPr>
        <w:footnoteReference w:id="18"/>
      </w:r>
      <w:r w:rsidR="007A03DD">
        <w:rPr>
          <w:b/>
          <w:bCs/>
        </w:rPr>
        <w:t xml:space="preserve"> </w:t>
      </w:r>
      <w:r w:rsidR="007A03DD">
        <w:t>This directly connects Kentigern with Cistercian values such as seeking the desert. There are many</w:t>
      </w:r>
      <w:r w:rsidR="00C542E3">
        <w:t xml:space="preserve"> other such</w:t>
      </w:r>
      <w:r w:rsidR="007A03DD">
        <w:t xml:space="preserve"> instances of this being in the text. They praise his simplicity such as his </w:t>
      </w:r>
      <w:r w:rsidR="00BA26F9">
        <w:t>spartan attire consisting of a</w:t>
      </w:r>
      <w:r w:rsidR="007A03DD">
        <w:t xml:space="preserve"> </w:t>
      </w:r>
      <w:r w:rsidR="00BA26F9">
        <w:t xml:space="preserve"> </w:t>
      </w:r>
      <w:r w:rsidR="007A03DD" w:rsidRPr="007A03DD">
        <w:t xml:space="preserve">“Rough </w:t>
      </w:r>
      <w:proofErr w:type="gramStart"/>
      <w:r w:rsidR="007A03DD" w:rsidRPr="007A03DD">
        <w:t>hair-shirt</w:t>
      </w:r>
      <w:proofErr w:type="gramEnd"/>
      <w:r w:rsidR="007A03DD" w:rsidRPr="007A03DD">
        <w:t xml:space="preserve"> … a habit made entirely from the skin of goats</w:t>
      </w:r>
      <w:r w:rsidR="00BA26F9">
        <w:t xml:space="preserve"> …</w:t>
      </w:r>
      <w:r w:rsidR="007A03DD" w:rsidRPr="007A03DD">
        <w:t xml:space="preserve"> And he carried a shepherd’s staff, certainly not rounded, or gilded and adorned with gems as can be seen at this </w:t>
      </w:r>
      <w:proofErr w:type="gramStart"/>
      <w:r w:rsidR="007A03DD" w:rsidRPr="007A03DD">
        <w:t>time, but</w:t>
      </w:r>
      <w:proofErr w:type="gramEnd"/>
      <w:r w:rsidR="007A03DD" w:rsidRPr="007A03DD">
        <w:t xml:space="preserve"> made of simple wood that was merely bent. … And </w:t>
      </w:r>
      <w:proofErr w:type="gramStart"/>
      <w:r w:rsidR="007A03DD" w:rsidRPr="007A03DD">
        <w:t>so</w:t>
      </w:r>
      <w:proofErr w:type="gramEnd"/>
      <w:r w:rsidR="007A03DD" w:rsidRPr="007A03DD">
        <w:t xml:space="preserve"> he represented the radiance of the inner man with his garments of white and shunned vainglory.”</w:t>
      </w:r>
      <w:r w:rsidR="00266184">
        <w:rPr>
          <w:rStyle w:val="FootnoteReference"/>
        </w:rPr>
        <w:footnoteReference w:id="19"/>
      </w:r>
      <w:r w:rsidR="00C542E3">
        <w:t xml:space="preserve"> </w:t>
      </w:r>
      <w:r w:rsidR="00C542E3">
        <w:t>With its emphasis on simplicity, this aspect resonates well with the Cistercians. Intriguingly, they were also referred to as the White Monks, which further bolsters the association with Kentigern as a Cistercian archetype.</w:t>
      </w:r>
      <w:r w:rsidR="00C542E3">
        <w:t xml:space="preserve"> </w:t>
      </w:r>
      <w:r w:rsidR="00F35505">
        <w:t>Another instance of this concept is that of how hard Kentigern and his followers engaged in manual labor. “And a certain holy and wise man summoned his religious to consider the work of the bees, so that in their little bodies they might learn the beautiful discipline of ministry.”</w:t>
      </w:r>
    </w:p>
    <w:p w14:paraId="1D1ED463" w14:textId="210C2D17" w:rsidR="00B44154" w:rsidRDefault="007A03DD" w:rsidP="00B44154">
      <w:pPr>
        <w:spacing w:after="0"/>
        <w:ind w:firstLine="720"/>
      </w:pPr>
      <w:r>
        <w:t>Jocelyn, writing to a reform-minded Cistercian bishop, portrays Kentigern as a prophetic figure denouncing societal sins, aligning with twelfth-century monks' efforts to purify the church. Kentigern is depicted as a precursor to these monks, calling for a return to early church purity amid perceived laxity in institutions like Cluny. Jocelyn's "Life of Kentigern" emphasizes contemporary religious concerns, consistently using Cistercian imagery to align Kentigern with the order's ideals, particularly in his preaching and the establishment of his communities.</w:t>
      </w:r>
      <w:r w:rsidR="00F212DD">
        <w:rPr>
          <w:rStyle w:val="FootnoteReference"/>
        </w:rPr>
        <w:footnoteReference w:id="20"/>
      </w:r>
      <w:r w:rsidR="008F1694">
        <w:rPr>
          <w:b/>
          <w:bCs/>
        </w:rPr>
        <w:t xml:space="preserve"> </w:t>
      </w:r>
      <w:r w:rsidR="001433C7">
        <w:t>Especially prevalent are those concerning criticism of the clergy of 12</w:t>
      </w:r>
      <w:r w:rsidR="001433C7" w:rsidRPr="001433C7">
        <w:rPr>
          <w:vertAlign w:val="superscript"/>
        </w:rPr>
        <w:t>th</w:t>
      </w:r>
      <w:r w:rsidR="001433C7">
        <w:t xml:space="preserve"> century </w:t>
      </w:r>
      <w:r w:rsidR="00F35505">
        <w:t>Europe,</w:t>
      </w:r>
      <w:r w:rsidR="00BA26F9">
        <w:t xml:space="preserve"> </w:t>
      </w:r>
      <w:proofErr w:type="gramStart"/>
      <w:r w:rsidR="001433C7">
        <w:t>i.e.</w:t>
      </w:r>
      <w:proofErr w:type="gramEnd"/>
      <w:r w:rsidR="001433C7">
        <w:t xml:space="preserve"> the </w:t>
      </w:r>
      <w:proofErr w:type="spellStart"/>
      <w:r w:rsidR="001433C7">
        <w:t>Cluniacs</w:t>
      </w:r>
      <w:proofErr w:type="spellEnd"/>
      <w:r w:rsidR="006745C2">
        <w:t>.  When regarding a story about Kentigern’s mother getting pregnant before getting married</w:t>
      </w:r>
      <w:r w:rsidR="00B44154">
        <w:t>.</w:t>
      </w:r>
      <w:r w:rsidR="006745C2">
        <w:t xml:space="preserve"> </w:t>
      </w:r>
      <w:r w:rsidR="00B44154">
        <w:t>T</w:t>
      </w:r>
      <w:r w:rsidR="006745C2">
        <w:t xml:space="preserve">he author </w:t>
      </w:r>
      <w:r w:rsidR="00B44154">
        <w:t>contrasts the Pagan King’s taking sexual misconduct seriously as opposed to the clergy and laity in his day.</w:t>
      </w:r>
      <w:r w:rsidR="00F212DD">
        <w:rPr>
          <w:rStyle w:val="FootnoteReference"/>
        </w:rPr>
        <w:footnoteReference w:id="21"/>
      </w:r>
      <w:r w:rsidR="00F35505">
        <w:t xml:space="preserve"> </w:t>
      </w:r>
    </w:p>
    <w:p w14:paraId="7DC24CEA" w14:textId="7D26BEC0" w:rsidR="00F35505" w:rsidRDefault="006745C2" w:rsidP="00B44154">
      <w:pPr>
        <w:spacing w:after="0"/>
        <w:ind w:firstLine="720"/>
      </w:pPr>
      <w:r>
        <w:t>In Chapter Six, when Kentigern’s lighting of the fires for vespers were purposefully put out due to jealousy, Jocelyn remarked, “</w:t>
      </w:r>
      <w:r w:rsidRPr="006745C2">
        <w:t xml:space="preserve">And although he diligently and fittingly performed his duty, his rivals, burning with the torches of envy, indeed blinded as it is characteristic of the perverse to envy the growth of their betters, and to persecute, or pervert, or diminish the good in others, which they do not, nor </w:t>
      </w:r>
      <w:proofErr w:type="spellStart"/>
      <w:r w:rsidRPr="006745C2">
        <w:t>can not</w:t>
      </w:r>
      <w:proofErr w:type="spellEnd"/>
      <w:r w:rsidRPr="006745C2">
        <w:t>, nor will not have in themselves …”</w:t>
      </w:r>
      <w:r>
        <w:t xml:space="preserve"> This could be inferred as an insult to those who hinder the growth of the Cistercian order.</w:t>
      </w:r>
      <w:r w:rsidR="00F35505">
        <w:t xml:space="preserve"> As stated previously the writing style of this document is </w:t>
      </w:r>
      <w:r w:rsidR="00F212DD">
        <w:t>peculiarly</w:t>
      </w:r>
      <w:r w:rsidR="00F35505">
        <w:t xml:space="preserve"> </w:t>
      </w:r>
      <w:proofErr w:type="spellStart"/>
      <w:r w:rsidR="00C542E3">
        <w:t>high brow</w:t>
      </w:r>
      <w:proofErr w:type="spellEnd"/>
      <w:r w:rsidR="00F35505">
        <w:t xml:space="preserve">, requiring a highly educated audience, and with these many statements that directly point to church administration, there is a high likelihood that this was written for a clerical audience. </w:t>
      </w:r>
    </w:p>
    <w:p w14:paraId="0B8CC950" w14:textId="28971087" w:rsidR="00F35505" w:rsidRDefault="00F35505" w:rsidP="00B362AD">
      <w:pPr>
        <w:spacing w:after="0"/>
        <w:rPr>
          <w:b/>
          <w:bCs/>
        </w:rPr>
      </w:pPr>
      <w:r>
        <w:tab/>
        <w:t xml:space="preserve">This is supported by the greatest political statement within the text.  This text was written in between when Jocelin of Glasgow was made bishop, and it is known that </w:t>
      </w:r>
      <w:r w:rsidR="00B362AD">
        <w:t xml:space="preserve">the author was in Ireland in 1185, so this was written </w:t>
      </w:r>
      <w:proofErr w:type="gramStart"/>
      <w:r w:rsidR="00B362AD">
        <w:t>in the midst of</w:t>
      </w:r>
      <w:proofErr w:type="gramEnd"/>
      <w:r w:rsidR="00B362AD">
        <w:t xml:space="preserve"> Glasgow being considered independent from York. </w:t>
      </w:r>
      <w:r w:rsidR="00C542E3">
        <w:t xml:space="preserve">The vita states, </w:t>
      </w:r>
      <w:r w:rsidR="00B362AD" w:rsidRPr="00B362AD">
        <w:t>“And Kentigern had the special right sent to him by the highest Pontiff that he would not be subject to any bishop, but above all he should be called and should be the vicar and chaplain to the Pope of the Lord.”</w:t>
      </w:r>
      <w:r w:rsidR="00C542E3">
        <w:rPr>
          <w:rStyle w:val="FootnoteReference"/>
        </w:rPr>
        <w:footnoteReference w:id="22"/>
      </w:r>
      <w:r w:rsidR="00B362AD">
        <w:t xml:space="preserve"> It is possible that this was written to justify to the Pope that recognizing Glasgow as separate from York was restoring what was already given to St. Kentigern. If not to the pope, it could certainly justify it to other bishops who would challenge this ruling. The saint's punitive powers are depicted as overwhelming any who dare intrude upon his possessions, yet he also offers vindication to </w:t>
      </w:r>
      <w:r w:rsidR="00B362AD">
        <w:lastRenderedPageBreak/>
        <w:t>those who defend his name. For instance, when demons are dispatched from York to disturb Kentigern's property, he banishes them with his divine authority.</w:t>
      </w:r>
      <w:r w:rsidR="00F212DD">
        <w:rPr>
          <w:rStyle w:val="FootnoteReference"/>
        </w:rPr>
        <w:footnoteReference w:id="23"/>
      </w:r>
    </w:p>
    <w:p w14:paraId="22037E23" w14:textId="006FCD4D" w:rsidR="007A03DD" w:rsidRDefault="00B362AD" w:rsidP="00B362AD">
      <w:pPr>
        <w:spacing w:after="0"/>
        <w:ind w:firstLine="720"/>
      </w:pPr>
      <w:r w:rsidRPr="00B362AD">
        <w:t>In conclusion, "The Life of St. Kentigern" serves as a captivating nexus of early medieval Christianity and the 12th-century Cistercian monastic reform, intertwining the piety and missionary zeal of a 6th-century Celtic saint with the ascetic ideals and political complexities of a burgeoning religious order. The text's blending of Celtic hagiographical motifs with Cistercian ideals underscores the intricate negotiation of religious identity and power dynamics in medieval</w:t>
      </w:r>
      <w:r w:rsidR="00BA26F9">
        <w:t xml:space="preserve"> Scotland.</w:t>
      </w:r>
    </w:p>
    <w:p w14:paraId="7B0AD2C9" w14:textId="77777777" w:rsidR="007A03DD" w:rsidRDefault="007A03DD" w:rsidP="007A03DD">
      <w:pPr>
        <w:spacing w:after="0"/>
      </w:pPr>
    </w:p>
    <w:p w14:paraId="6945738F" w14:textId="77777777" w:rsidR="007A03DD" w:rsidRDefault="007A03DD" w:rsidP="007A03DD">
      <w:pPr>
        <w:spacing w:after="0"/>
      </w:pPr>
    </w:p>
    <w:p w14:paraId="286F2F9C" w14:textId="77777777" w:rsidR="007A03DD" w:rsidRDefault="007A03DD" w:rsidP="007A03DD">
      <w:pPr>
        <w:spacing w:after="0"/>
      </w:pPr>
    </w:p>
    <w:p w14:paraId="3FBB84B9" w14:textId="77777777" w:rsidR="00B4518F" w:rsidRDefault="00B4518F" w:rsidP="00B4518F">
      <w:pPr>
        <w:spacing w:after="0"/>
      </w:pPr>
    </w:p>
    <w:p w14:paraId="17DF9403" w14:textId="77777777" w:rsidR="00B4518F" w:rsidRDefault="00B4518F" w:rsidP="00B4518F">
      <w:pPr>
        <w:spacing w:after="0"/>
      </w:pPr>
    </w:p>
    <w:p w14:paraId="773DF2A8" w14:textId="77777777" w:rsidR="00B4518F" w:rsidRDefault="00B4518F" w:rsidP="00B4518F">
      <w:pPr>
        <w:spacing w:after="0"/>
      </w:pPr>
    </w:p>
    <w:p w14:paraId="1E930062" w14:textId="77777777" w:rsidR="00B4518F" w:rsidRDefault="00B4518F" w:rsidP="00B4518F">
      <w:pPr>
        <w:spacing w:after="0"/>
      </w:pPr>
    </w:p>
    <w:p w14:paraId="08827211" w14:textId="77777777" w:rsidR="00B4518F" w:rsidRDefault="00B4518F" w:rsidP="00B4518F">
      <w:pPr>
        <w:spacing w:after="0"/>
      </w:pPr>
    </w:p>
    <w:p w14:paraId="48E64B47" w14:textId="0F5EAE13" w:rsidR="0068575B" w:rsidRDefault="0068575B" w:rsidP="0068575B">
      <w:pPr>
        <w:spacing w:after="0"/>
      </w:pPr>
    </w:p>
    <w:p w14:paraId="14FAC074" w14:textId="77777777" w:rsidR="00F212DD" w:rsidRDefault="00F212DD" w:rsidP="0068575B">
      <w:pPr>
        <w:spacing w:after="0"/>
      </w:pPr>
    </w:p>
    <w:p w14:paraId="44E21F4B" w14:textId="77777777" w:rsidR="00F212DD" w:rsidRDefault="00F212DD" w:rsidP="0068575B">
      <w:pPr>
        <w:spacing w:after="0"/>
      </w:pPr>
    </w:p>
    <w:p w14:paraId="2FA1B8E7" w14:textId="77777777" w:rsidR="00F212DD" w:rsidRDefault="00F212DD" w:rsidP="0068575B">
      <w:pPr>
        <w:spacing w:after="0"/>
      </w:pPr>
    </w:p>
    <w:p w14:paraId="1A5C51B8" w14:textId="77777777" w:rsidR="00F212DD" w:rsidRDefault="00F212DD" w:rsidP="0068575B">
      <w:pPr>
        <w:spacing w:after="0"/>
      </w:pPr>
    </w:p>
    <w:p w14:paraId="3F2482E8" w14:textId="77777777" w:rsidR="00F212DD" w:rsidRDefault="00F212DD" w:rsidP="0068575B">
      <w:pPr>
        <w:spacing w:after="0"/>
      </w:pPr>
    </w:p>
    <w:p w14:paraId="112E3DAE" w14:textId="77777777" w:rsidR="00F212DD" w:rsidRDefault="00F212DD" w:rsidP="0068575B">
      <w:pPr>
        <w:spacing w:after="0"/>
      </w:pPr>
    </w:p>
    <w:p w14:paraId="5E50F517" w14:textId="77777777" w:rsidR="00F212DD" w:rsidRDefault="00F212DD" w:rsidP="0068575B">
      <w:pPr>
        <w:spacing w:after="0"/>
      </w:pPr>
    </w:p>
    <w:p w14:paraId="7949025E" w14:textId="77777777" w:rsidR="00F212DD" w:rsidRDefault="00F212DD" w:rsidP="0068575B">
      <w:pPr>
        <w:spacing w:after="0"/>
      </w:pPr>
    </w:p>
    <w:p w14:paraId="15CE77CB" w14:textId="77777777" w:rsidR="00F212DD" w:rsidRDefault="00F212DD" w:rsidP="0068575B">
      <w:pPr>
        <w:spacing w:after="0"/>
      </w:pPr>
    </w:p>
    <w:p w14:paraId="379AAB02" w14:textId="77777777" w:rsidR="00F212DD" w:rsidRDefault="00F212DD" w:rsidP="0068575B">
      <w:pPr>
        <w:spacing w:after="0"/>
      </w:pPr>
    </w:p>
    <w:p w14:paraId="50550C36" w14:textId="77777777" w:rsidR="00F212DD" w:rsidRDefault="00F212DD" w:rsidP="0068575B">
      <w:pPr>
        <w:spacing w:after="0"/>
      </w:pPr>
    </w:p>
    <w:p w14:paraId="5E0B5435" w14:textId="77777777" w:rsidR="00F212DD" w:rsidRDefault="00F212DD" w:rsidP="0068575B">
      <w:pPr>
        <w:spacing w:after="0"/>
      </w:pPr>
    </w:p>
    <w:p w14:paraId="6C88A543" w14:textId="77777777" w:rsidR="00F212DD" w:rsidRDefault="00F212DD" w:rsidP="0068575B">
      <w:pPr>
        <w:spacing w:after="0"/>
      </w:pPr>
    </w:p>
    <w:p w14:paraId="0E737F26" w14:textId="77777777" w:rsidR="00F212DD" w:rsidRDefault="00F212DD" w:rsidP="0068575B">
      <w:pPr>
        <w:spacing w:after="0"/>
      </w:pPr>
    </w:p>
    <w:p w14:paraId="0A10A583" w14:textId="77777777" w:rsidR="00F212DD" w:rsidRDefault="00F212DD" w:rsidP="0068575B">
      <w:pPr>
        <w:spacing w:after="0"/>
      </w:pPr>
    </w:p>
    <w:p w14:paraId="1087F23F" w14:textId="77777777" w:rsidR="00F212DD" w:rsidRDefault="00F212DD" w:rsidP="0068575B">
      <w:pPr>
        <w:spacing w:after="0"/>
      </w:pPr>
    </w:p>
    <w:p w14:paraId="2046EA15" w14:textId="77777777" w:rsidR="00F212DD" w:rsidRDefault="00F212DD" w:rsidP="0068575B">
      <w:pPr>
        <w:spacing w:after="0"/>
      </w:pPr>
    </w:p>
    <w:p w14:paraId="15190E39" w14:textId="77777777" w:rsidR="00F212DD" w:rsidRDefault="00F212DD" w:rsidP="0068575B">
      <w:pPr>
        <w:spacing w:after="0"/>
      </w:pPr>
    </w:p>
    <w:p w14:paraId="1A26EA94" w14:textId="77777777" w:rsidR="00F212DD" w:rsidRDefault="00F212DD" w:rsidP="0068575B">
      <w:pPr>
        <w:spacing w:after="0"/>
      </w:pPr>
    </w:p>
    <w:p w14:paraId="7E5D88D9" w14:textId="77777777" w:rsidR="00F212DD" w:rsidRDefault="00F212DD" w:rsidP="0068575B">
      <w:pPr>
        <w:spacing w:after="0"/>
      </w:pPr>
    </w:p>
    <w:p w14:paraId="75B22C1B" w14:textId="77777777" w:rsidR="00F212DD" w:rsidRDefault="00F212DD" w:rsidP="0068575B">
      <w:pPr>
        <w:spacing w:after="0"/>
      </w:pPr>
    </w:p>
    <w:p w14:paraId="3C5C2FCF" w14:textId="77777777" w:rsidR="00F212DD" w:rsidRDefault="00F212DD" w:rsidP="0068575B">
      <w:pPr>
        <w:spacing w:after="0"/>
      </w:pPr>
    </w:p>
    <w:p w14:paraId="01BED4B7" w14:textId="77777777" w:rsidR="00F212DD" w:rsidRDefault="00F212DD" w:rsidP="0068575B">
      <w:pPr>
        <w:spacing w:after="0"/>
      </w:pPr>
    </w:p>
    <w:p w14:paraId="57E5C023" w14:textId="77777777" w:rsidR="00F212DD" w:rsidRDefault="00F212DD" w:rsidP="0068575B">
      <w:pPr>
        <w:spacing w:after="0"/>
      </w:pPr>
    </w:p>
    <w:p w14:paraId="05932CCB" w14:textId="77777777" w:rsidR="00F212DD" w:rsidRDefault="00F212DD" w:rsidP="0068575B">
      <w:pPr>
        <w:spacing w:after="0"/>
      </w:pPr>
    </w:p>
    <w:p w14:paraId="3AA2BF8E" w14:textId="77777777" w:rsidR="00F212DD" w:rsidRDefault="00F212DD" w:rsidP="0068575B">
      <w:pPr>
        <w:spacing w:after="0"/>
      </w:pPr>
    </w:p>
    <w:p w14:paraId="32A8A39A" w14:textId="35980ECE" w:rsidR="00F212DD" w:rsidRDefault="00F212DD" w:rsidP="00F212DD">
      <w:pPr>
        <w:spacing w:after="0"/>
      </w:pPr>
      <w:r>
        <w:lastRenderedPageBreak/>
        <w:t>Bibliography</w:t>
      </w:r>
    </w:p>
    <w:p w14:paraId="30C9AF66" w14:textId="77777777" w:rsidR="00F212DD" w:rsidRDefault="00F212DD" w:rsidP="00F212DD">
      <w:pPr>
        <w:spacing w:after="0"/>
      </w:pPr>
    </w:p>
    <w:p w14:paraId="62F109C1" w14:textId="11923FDC" w:rsidR="00F212DD" w:rsidRPr="009A2020" w:rsidRDefault="00F212DD" w:rsidP="00F212DD">
      <w:pPr>
        <w:spacing w:after="0"/>
      </w:pPr>
      <w:r w:rsidRPr="009A2020">
        <w:t xml:space="preserve">Jocelyn of Furness. </w:t>
      </w:r>
      <w:r w:rsidRPr="009A2020">
        <w:rPr>
          <w:i/>
          <w:iCs/>
        </w:rPr>
        <w:t>The Life of Kentigern</w:t>
      </w:r>
      <w:r w:rsidRPr="009A2020">
        <w:t xml:space="preserve">. Trans. Cynthia W. Green. (Fordham University, 1998) Accessed March 13, 2024. URL: </w:t>
      </w:r>
      <w:hyperlink r:id="rId7" w:history="1">
        <w:r w:rsidRPr="009A2020">
          <w:rPr>
            <w:rStyle w:val="Hyperlink"/>
            <w:color w:val="auto"/>
            <w:u w:val="none"/>
          </w:rPr>
          <w:t>https://sourcebooks.web.fordham.edu/basis/Jocelyn-LifeofKentigern.asp</w:t>
        </w:r>
      </w:hyperlink>
    </w:p>
    <w:p w14:paraId="54100C13" w14:textId="77777777" w:rsidR="00F212DD" w:rsidRPr="009A2020" w:rsidRDefault="00F212DD" w:rsidP="00F212DD">
      <w:pPr>
        <w:spacing w:after="0"/>
      </w:pPr>
    </w:p>
    <w:p w14:paraId="06AC2260" w14:textId="77777777" w:rsidR="00F212DD" w:rsidRPr="009A2020" w:rsidRDefault="00F212DD" w:rsidP="00F212DD">
      <w:pPr>
        <w:spacing w:after="0"/>
      </w:pPr>
      <w:r w:rsidRPr="009A2020">
        <w:t xml:space="preserve">Clarkson, Timothy. </w:t>
      </w:r>
      <w:r w:rsidRPr="009A2020">
        <w:rPr>
          <w:i/>
          <w:iCs/>
        </w:rPr>
        <w:t>Strathclyde and the Anglo-Saxons in the Viking Age.</w:t>
      </w:r>
      <w:r w:rsidRPr="009A2020">
        <w:t xml:space="preserve"> (Edinburgh, </w:t>
      </w:r>
      <w:proofErr w:type="spellStart"/>
      <w:r w:rsidRPr="009A2020">
        <w:t>Birlinn</w:t>
      </w:r>
      <w:proofErr w:type="spellEnd"/>
      <w:r w:rsidRPr="009A2020">
        <w:t xml:space="preserve"> Ltd.: 2014)</w:t>
      </w:r>
    </w:p>
    <w:p w14:paraId="14AF7ED1" w14:textId="77777777" w:rsidR="00F212DD" w:rsidRPr="009A2020" w:rsidRDefault="00F212DD" w:rsidP="00F212DD">
      <w:pPr>
        <w:spacing w:after="0"/>
      </w:pPr>
    </w:p>
    <w:p w14:paraId="2BA0C569" w14:textId="6BA5E754" w:rsidR="00F212DD" w:rsidRPr="009A2020" w:rsidRDefault="00F212DD" w:rsidP="00F212DD">
      <w:pPr>
        <w:spacing w:after="0"/>
      </w:pPr>
      <w:r w:rsidRPr="009A2020">
        <w:t xml:space="preserve">Green, Cynthia W. </w:t>
      </w:r>
      <w:bookmarkStart w:id="2" w:name="_Hlk161264931"/>
      <w:r w:rsidRPr="009A2020">
        <w:t xml:space="preserve">“Saint Kentigern, Apostle to Strathclyde: A Critical Analysis of a Northern Saint.” </w:t>
      </w:r>
      <w:bookmarkEnd w:id="2"/>
      <w:r w:rsidRPr="009A2020">
        <w:t xml:space="preserve">(Fordham University, 1998) Accessed March 13, 2024. URL: </w:t>
      </w:r>
      <w:hyperlink r:id="rId8" w:history="1">
        <w:r w:rsidR="002C0418" w:rsidRPr="009A2020">
          <w:rPr>
            <w:rStyle w:val="Hyperlink"/>
            <w:color w:val="auto"/>
            <w:u w:val="none"/>
          </w:rPr>
          <w:t>https://sourcebooks.fordham.edu/basis/cynthiawhiddengreen-saintkentigern1998.asp#The%20Historical%20Context%20of%20Kentigern,%20Apostle%20to</w:t>
        </w:r>
      </w:hyperlink>
    </w:p>
    <w:p w14:paraId="57F95334" w14:textId="77777777" w:rsidR="002C0418" w:rsidRPr="009A2020" w:rsidRDefault="002C0418" w:rsidP="00F212DD">
      <w:pPr>
        <w:spacing w:after="0"/>
      </w:pPr>
    </w:p>
    <w:p w14:paraId="05D95E92" w14:textId="3174A72A" w:rsidR="002C0418" w:rsidRPr="009A2020" w:rsidRDefault="002C0418" w:rsidP="002C0418">
      <w:pPr>
        <w:spacing w:after="0"/>
      </w:pPr>
      <w:bookmarkStart w:id="3" w:name="_Hlk167728094"/>
      <w:r w:rsidRPr="009A2020">
        <w:t xml:space="preserve">Driscoll, Morag. The Scottish Cistercian Houses: 1136-1487. </w:t>
      </w:r>
      <w:r w:rsidRPr="009A2020">
        <w:t>(</w:t>
      </w:r>
      <w:r w:rsidRPr="009A2020">
        <w:t>MPhil thesis, University of St Andrews, 1988.)</w:t>
      </w:r>
    </w:p>
    <w:bookmarkEnd w:id="3"/>
    <w:p w14:paraId="12313C0C" w14:textId="77777777" w:rsidR="002C0418" w:rsidRPr="007D47B9" w:rsidRDefault="002C0418" w:rsidP="00F212DD">
      <w:pPr>
        <w:spacing w:after="0"/>
      </w:pPr>
    </w:p>
    <w:p w14:paraId="37C42BD3" w14:textId="4DB990B3" w:rsidR="00F212DD" w:rsidRDefault="00F212DD" w:rsidP="0068575B">
      <w:pPr>
        <w:spacing w:after="0"/>
      </w:pPr>
    </w:p>
    <w:sectPr w:rsidR="00F212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F15C3" w14:textId="77777777" w:rsidR="00734860" w:rsidRDefault="00734860" w:rsidP="00E11096">
      <w:pPr>
        <w:spacing w:after="0" w:line="240" w:lineRule="auto"/>
      </w:pPr>
      <w:r>
        <w:separator/>
      </w:r>
    </w:p>
  </w:endnote>
  <w:endnote w:type="continuationSeparator" w:id="0">
    <w:p w14:paraId="431E3CB2" w14:textId="77777777" w:rsidR="00734860" w:rsidRDefault="00734860" w:rsidP="00E11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80548" w14:textId="77777777" w:rsidR="00734860" w:rsidRDefault="00734860" w:rsidP="00E11096">
      <w:pPr>
        <w:spacing w:after="0" w:line="240" w:lineRule="auto"/>
      </w:pPr>
      <w:r>
        <w:separator/>
      </w:r>
    </w:p>
  </w:footnote>
  <w:footnote w:type="continuationSeparator" w:id="0">
    <w:p w14:paraId="12C2C7D7" w14:textId="77777777" w:rsidR="00734860" w:rsidRDefault="00734860" w:rsidP="00E11096">
      <w:pPr>
        <w:spacing w:after="0" w:line="240" w:lineRule="auto"/>
      </w:pPr>
      <w:r>
        <w:continuationSeparator/>
      </w:r>
    </w:p>
  </w:footnote>
  <w:footnote w:id="1">
    <w:p w14:paraId="0AFB8B99" w14:textId="34C19283" w:rsidR="0068575B" w:rsidRDefault="0068575B" w:rsidP="0068575B">
      <w:pPr>
        <w:pStyle w:val="FootnoteText"/>
      </w:pPr>
      <w:r>
        <w:rPr>
          <w:rStyle w:val="FootnoteReference"/>
        </w:rPr>
        <w:footnoteRef/>
      </w:r>
      <w:r>
        <w:t xml:space="preserve"> </w:t>
      </w:r>
      <w:r w:rsidR="00200899" w:rsidRPr="00200899">
        <w:t xml:space="preserve">Clarkson, Timothy. Strathclyde and the Anglo-Saxons in the Viking Age. (Edinburgh, </w:t>
      </w:r>
      <w:proofErr w:type="spellStart"/>
      <w:r w:rsidR="00200899" w:rsidRPr="00200899">
        <w:t>Birlinn</w:t>
      </w:r>
      <w:proofErr w:type="spellEnd"/>
      <w:r w:rsidR="00200899" w:rsidRPr="00200899">
        <w:t xml:space="preserve"> Ltd.: 2014), p15-16</w:t>
      </w:r>
      <w:r w:rsidR="00266184">
        <w:t xml:space="preserve">; </w:t>
      </w:r>
      <w:r w:rsidR="00266184" w:rsidRPr="00266184">
        <w:t>Green, Cynthia W. “Saint Kentigern, Apostle to Strathclyde: A Critical Analysis of a Northern Saint.” (Fordham University, 1998) Part Two.</w:t>
      </w:r>
    </w:p>
  </w:footnote>
  <w:footnote w:id="2">
    <w:p w14:paraId="52CC4050" w14:textId="4F761749" w:rsidR="00266184" w:rsidRDefault="00266184">
      <w:pPr>
        <w:pStyle w:val="FootnoteText"/>
      </w:pPr>
      <w:r>
        <w:rPr>
          <w:rStyle w:val="FootnoteReference"/>
        </w:rPr>
        <w:footnoteRef/>
      </w:r>
      <w:r>
        <w:t xml:space="preserve"> </w:t>
      </w:r>
      <w:r w:rsidRPr="007D47B9">
        <w:t>Jocelyn of Furness</w:t>
      </w:r>
      <w:r>
        <w:t xml:space="preserve">, </w:t>
      </w:r>
      <w:r>
        <w:rPr>
          <w:i/>
          <w:iCs/>
        </w:rPr>
        <w:t xml:space="preserve">The Life of St. Kentigern </w:t>
      </w:r>
      <w:r w:rsidRPr="007D47B9">
        <w:rPr>
          <w:i/>
          <w:iCs/>
        </w:rPr>
        <w:t xml:space="preserve">, </w:t>
      </w:r>
      <w:r w:rsidRPr="00266184">
        <w:t>Trans. Cynthia W. Green. (Fordham University, 1998)</w:t>
      </w:r>
      <w:r>
        <w:t>, Prologue.</w:t>
      </w:r>
    </w:p>
  </w:footnote>
  <w:footnote w:id="3">
    <w:p w14:paraId="7D5FF181" w14:textId="2E43BE6C" w:rsidR="00C542E3" w:rsidRDefault="00C542E3">
      <w:pPr>
        <w:pStyle w:val="FootnoteText"/>
      </w:pPr>
      <w:r>
        <w:rPr>
          <w:rStyle w:val="FootnoteReference"/>
        </w:rPr>
        <w:footnoteRef/>
      </w:r>
      <w:r>
        <w:t xml:space="preserve"> </w:t>
      </w:r>
      <w:r w:rsidRPr="00C542E3">
        <w:t>Morag</w:t>
      </w:r>
      <w:r>
        <w:t xml:space="preserve"> Driscoll</w:t>
      </w:r>
      <w:r w:rsidRPr="00C542E3">
        <w:t>. The Scottish Cistercian Houses: 1136-1487. (MPhil thesis, University of St Andrews, 1988.)</w:t>
      </w:r>
      <w:r>
        <w:t>, 23-24.</w:t>
      </w:r>
    </w:p>
  </w:footnote>
  <w:footnote w:id="4">
    <w:p w14:paraId="1C32A27E" w14:textId="06B725F4" w:rsidR="00266184" w:rsidRDefault="00266184">
      <w:pPr>
        <w:pStyle w:val="FootnoteText"/>
      </w:pPr>
      <w:r>
        <w:rPr>
          <w:rStyle w:val="FootnoteReference"/>
        </w:rPr>
        <w:footnoteRef/>
      </w:r>
      <w:r>
        <w:t xml:space="preserve"> Green, Part </w:t>
      </w:r>
      <w:proofErr w:type="gramStart"/>
      <w:r>
        <w:t>4;</w:t>
      </w:r>
      <w:proofErr w:type="gramEnd"/>
      <w:r>
        <w:t xml:space="preserve"> </w:t>
      </w:r>
    </w:p>
  </w:footnote>
  <w:footnote w:id="5">
    <w:p w14:paraId="656DD793" w14:textId="34D15239" w:rsidR="00266184" w:rsidRDefault="00266184">
      <w:pPr>
        <w:pStyle w:val="FootnoteText"/>
      </w:pPr>
      <w:r>
        <w:rPr>
          <w:rStyle w:val="FootnoteReference"/>
        </w:rPr>
        <w:footnoteRef/>
      </w:r>
      <w:r>
        <w:t xml:space="preserve"> </w:t>
      </w:r>
      <w:r w:rsidR="00526BEF">
        <w:t xml:space="preserve">Driscoll, 10, 111; </w:t>
      </w:r>
      <w:r>
        <w:t>Green, Part 4.</w:t>
      </w:r>
      <w:r w:rsidR="00526BEF">
        <w:t xml:space="preserve"> </w:t>
      </w:r>
    </w:p>
  </w:footnote>
  <w:footnote w:id="6">
    <w:p w14:paraId="2BAC047E" w14:textId="048CDA4C" w:rsidR="00266184" w:rsidRDefault="00266184">
      <w:pPr>
        <w:pStyle w:val="FootnoteText"/>
      </w:pPr>
      <w:r>
        <w:rPr>
          <w:rStyle w:val="FootnoteReference"/>
        </w:rPr>
        <w:footnoteRef/>
      </w:r>
      <w:r>
        <w:t xml:space="preserve"> Green, Part 4.</w:t>
      </w:r>
    </w:p>
  </w:footnote>
  <w:footnote w:id="7">
    <w:p w14:paraId="703F8042" w14:textId="4B1BBC0F" w:rsidR="00266184" w:rsidRDefault="00266184">
      <w:pPr>
        <w:pStyle w:val="FootnoteText"/>
      </w:pPr>
      <w:r>
        <w:rPr>
          <w:rStyle w:val="FootnoteReference"/>
        </w:rPr>
        <w:footnoteRef/>
      </w:r>
      <w:r>
        <w:t xml:space="preserve"> Green, Part 4.</w:t>
      </w:r>
    </w:p>
  </w:footnote>
  <w:footnote w:id="8">
    <w:p w14:paraId="1EDE5060" w14:textId="6FC80DFE" w:rsidR="00266184" w:rsidRDefault="00266184">
      <w:pPr>
        <w:pStyle w:val="FootnoteText"/>
      </w:pPr>
      <w:r>
        <w:rPr>
          <w:rStyle w:val="FootnoteReference"/>
        </w:rPr>
        <w:footnoteRef/>
      </w:r>
      <w:r>
        <w:t xml:space="preserve"> </w:t>
      </w:r>
      <w:r>
        <w:t>Green, Part 4.</w:t>
      </w:r>
    </w:p>
  </w:footnote>
  <w:footnote w:id="9">
    <w:p w14:paraId="389A8BCC" w14:textId="64FBDC4F" w:rsidR="00266184" w:rsidRDefault="00266184">
      <w:pPr>
        <w:pStyle w:val="FootnoteText"/>
      </w:pPr>
      <w:r>
        <w:rPr>
          <w:rStyle w:val="FootnoteReference"/>
        </w:rPr>
        <w:footnoteRef/>
      </w:r>
      <w:r>
        <w:t xml:space="preserve"> </w:t>
      </w:r>
      <w:r w:rsidRPr="00266184">
        <w:t>Green, Part 4.</w:t>
      </w:r>
    </w:p>
  </w:footnote>
  <w:footnote w:id="10">
    <w:p w14:paraId="55668A21" w14:textId="740FB2B4" w:rsidR="00266184" w:rsidRDefault="00266184">
      <w:pPr>
        <w:pStyle w:val="FootnoteText"/>
      </w:pPr>
      <w:r>
        <w:rPr>
          <w:rStyle w:val="FootnoteReference"/>
        </w:rPr>
        <w:footnoteRef/>
      </w:r>
      <w:r>
        <w:t xml:space="preserve"> </w:t>
      </w:r>
      <w:r>
        <w:t>Green, P</w:t>
      </w:r>
      <w:r>
        <w:t>reface</w:t>
      </w:r>
      <w:r>
        <w:t>.</w:t>
      </w:r>
    </w:p>
  </w:footnote>
  <w:footnote w:id="11">
    <w:p w14:paraId="5A311FB8" w14:textId="1DF38F2E" w:rsidR="00266184" w:rsidRDefault="00266184">
      <w:pPr>
        <w:pStyle w:val="FootnoteText"/>
      </w:pPr>
      <w:r>
        <w:rPr>
          <w:rStyle w:val="FootnoteReference"/>
        </w:rPr>
        <w:footnoteRef/>
      </w:r>
      <w:r>
        <w:t xml:space="preserve"> </w:t>
      </w:r>
      <w:r>
        <w:t>Green, P</w:t>
      </w:r>
      <w:r>
        <w:t>reface</w:t>
      </w:r>
      <w:r>
        <w:t>.</w:t>
      </w:r>
    </w:p>
  </w:footnote>
  <w:footnote w:id="12">
    <w:p w14:paraId="42BF26CB" w14:textId="2B202D9E" w:rsidR="00266184" w:rsidRDefault="00266184">
      <w:pPr>
        <w:pStyle w:val="FootnoteText"/>
      </w:pPr>
      <w:r>
        <w:rPr>
          <w:rStyle w:val="FootnoteReference"/>
        </w:rPr>
        <w:footnoteRef/>
      </w:r>
      <w:r>
        <w:t xml:space="preserve"> </w:t>
      </w:r>
      <w:r>
        <w:t xml:space="preserve">Green, </w:t>
      </w:r>
      <w:r>
        <w:t>Preface</w:t>
      </w:r>
      <w:r>
        <w:t>.</w:t>
      </w:r>
    </w:p>
  </w:footnote>
  <w:footnote w:id="13">
    <w:p w14:paraId="003562F5" w14:textId="06566B20" w:rsidR="00266184" w:rsidRDefault="00266184">
      <w:pPr>
        <w:pStyle w:val="FootnoteText"/>
      </w:pPr>
      <w:r>
        <w:rPr>
          <w:rStyle w:val="FootnoteReference"/>
        </w:rPr>
        <w:footnoteRef/>
      </w:r>
      <w:r>
        <w:t xml:space="preserve">Green, Part </w:t>
      </w:r>
      <w:r>
        <w:t>2</w:t>
      </w:r>
      <w:r>
        <w:t>.</w:t>
      </w:r>
      <w:r>
        <w:t xml:space="preserve"> </w:t>
      </w:r>
    </w:p>
  </w:footnote>
  <w:footnote w:id="14">
    <w:p w14:paraId="77C640B0" w14:textId="1960A281" w:rsidR="00266184" w:rsidRDefault="00266184">
      <w:pPr>
        <w:pStyle w:val="FootnoteText"/>
      </w:pPr>
      <w:r>
        <w:rPr>
          <w:rStyle w:val="FootnoteReference"/>
        </w:rPr>
        <w:footnoteRef/>
      </w:r>
      <w:r>
        <w:t xml:space="preserve"> </w:t>
      </w:r>
      <w:bookmarkStart w:id="1" w:name="_Hlk167726493"/>
      <w:r>
        <w:t>Green, P</w:t>
      </w:r>
      <w:r>
        <w:t>reface</w:t>
      </w:r>
      <w:r>
        <w:t>.</w:t>
      </w:r>
      <w:bookmarkEnd w:id="1"/>
    </w:p>
  </w:footnote>
  <w:footnote w:id="15">
    <w:p w14:paraId="7772E858" w14:textId="62D50D06" w:rsidR="00266184" w:rsidRDefault="00266184">
      <w:pPr>
        <w:pStyle w:val="FootnoteText"/>
      </w:pPr>
      <w:r>
        <w:rPr>
          <w:rStyle w:val="FootnoteReference"/>
        </w:rPr>
        <w:footnoteRef/>
      </w:r>
      <w:r>
        <w:t xml:space="preserve"> </w:t>
      </w:r>
      <w:r>
        <w:t>Green, Preface.</w:t>
      </w:r>
    </w:p>
  </w:footnote>
  <w:footnote w:id="16">
    <w:p w14:paraId="17898985" w14:textId="5612F8F7" w:rsidR="00266184" w:rsidRDefault="00266184">
      <w:pPr>
        <w:pStyle w:val="FootnoteText"/>
      </w:pPr>
      <w:r>
        <w:rPr>
          <w:rStyle w:val="FootnoteReference"/>
        </w:rPr>
        <w:footnoteRef/>
      </w:r>
      <w:r>
        <w:t xml:space="preserve"> </w:t>
      </w:r>
      <w:r>
        <w:t>Green, Preface.</w:t>
      </w:r>
    </w:p>
  </w:footnote>
  <w:footnote w:id="17">
    <w:p w14:paraId="05D58EFA" w14:textId="1D38D810" w:rsidR="00266184" w:rsidRDefault="00266184">
      <w:pPr>
        <w:pStyle w:val="FootnoteText"/>
      </w:pPr>
      <w:r>
        <w:rPr>
          <w:rStyle w:val="FootnoteReference"/>
        </w:rPr>
        <w:footnoteRef/>
      </w:r>
      <w:r>
        <w:t xml:space="preserve"> </w:t>
      </w:r>
      <w:r w:rsidRPr="00266184">
        <w:t>Green, P</w:t>
      </w:r>
      <w:r>
        <w:t>art 5</w:t>
      </w:r>
      <w:r w:rsidRPr="00266184">
        <w:t>.</w:t>
      </w:r>
    </w:p>
  </w:footnote>
  <w:footnote w:id="18">
    <w:p w14:paraId="3F0A4E0E" w14:textId="0DE71E19" w:rsidR="00266184" w:rsidRDefault="00266184">
      <w:pPr>
        <w:pStyle w:val="FootnoteText"/>
      </w:pPr>
      <w:r>
        <w:rPr>
          <w:rStyle w:val="FootnoteReference"/>
        </w:rPr>
        <w:footnoteRef/>
      </w:r>
      <w:r>
        <w:t xml:space="preserve"> Jocelyn of Furness, Chapter</w:t>
      </w:r>
      <w:r w:rsidR="00F212DD">
        <w:t xml:space="preserve"> </w:t>
      </w:r>
      <w:r>
        <w:t>17.</w:t>
      </w:r>
    </w:p>
  </w:footnote>
  <w:footnote w:id="19">
    <w:p w14:paraId="10208FA7" w14:textId="22C8D6DA" w:rsidR="00266184" w:rsidRDefault="00266184">
      <w:pPr>
        <w:pStyle w:val="FootnoteText"/>
      </w:pPr>
      <w:r>
        <w:rPr>
          <w:rStyle w:val="FootnoteReference"/>
        </w:rPr>
        <w:footnoteRef/>
      </w:r>
      <w:r>
        <w:t xml:space="preserve"> Jocelyn of Furness</w:t>
      </w:r>
      <w:r w:rsidR="00F212DD">
        <w:t>, Chapter 13.</w:t>
      </w:r>
    </w:p>
  </w:footnote>
  <w:footnote w:id="20">
    <w:p w14:paraId="5002E7D8" w14:textId="54445BC9" w:rsidR="00F212DD" w:rsidRDefault="00F212DD">
      <w:pPr>
        <w:pStyle w:val="FootnoteText"/>
      </w:pPr>
      <w:r>
        <w:rPr>
          <w:rStyle w:val="FootnoteReference"/>
        </w:rPr>
        <w:footnoteRef/>
      </w:r>
      <w:r>
        <w:t xml:space="preserve"> </w:t>
      </w:r>
      <w:r w:rsidRPr="00266184">
        <w:t>Green, P</w:t>
      </w:r>
      <w:r>
        <w:t xml:space="preserve">art </w:t>
      </w:r>
      <w:r>
        <w:t>6</w:t>
      </w:r>
      <w:r w:rsidRPr="00266184">
        <w:t>.</w:t>
      </w:r>
    </w:p>
  </w:footnote>
  <w:footnote w:id="21">
    <w:p w14:paraId="3927656D" w14:textId="18787DD5" w:rsidR="00F212DD" w:rsidRDefault="00F212DD">
      <w:pPr>
        <w:pStyle w:val="FootnoteText"/>
      </w:pPr>
      <w:r>
        <w:rPr>
          <w:rStyle w:val="FootnoteReference"/>
        </w:rPr>
        <w:footnoteRef/>
      </w:r>
      <w:r>
        <w:t xml:space="preserve"> Jocelyn of Furness, Chapter 1 – Chapter 2.</w:t>
      </w:r>
    </w:p>
  </w:footnote>
  <w:footnote w:id="22">
    <w:p w14:paraId="74F4B796" w14:textId="7EA17EBC" w:rsidR="00C542E3" w:rsidRDefault="00C542E3">
      <w:pPr>
        <w:pStyle w:val="FootnoteText"/>
      </w:pPr>
      <w:r>
        <w:rPr>
          <w:rStyle w:val="FootnoteReference"/>
        </w:rPr>
        <w:footnoteRef/>
      </w:r>
      <w:r>
        <w:t xml:space="preserve"> </w:t>
      </w:r>
      <w:r w:rsidRPr="00C542E3">
        <w:t xml:space="preserve">Jocelyn of Furness, Chapter </w:t>
      </w:r>
      <w:r>
        <w:t>3</w:t>
      </w:r>
      <w:r w:rsidRPr="00C542E3">
        <w:t>3.</w:t>
      </w:r>
    </w:p>
  </w:footnote>
  <w:footnote w:id="23">
    <w:p w14:paraId="6A3346AE" w14:textId="50C04E60" w:rsidR="00F212DD" w:rsidRDefault="00F212DD">
      <w:pPr>
        <w:pStyle w:val="FootnoteText"/>
      </w:pPr>
      <w:r>
        <w:rPr>
          <w:rStyle w:val="FootnoteReference"/>
        </w:rPr>
        <w:footnoteRef/>
      </w:r>
      <w:r>
        <w:t xml:space="preserve"> </w:t>
      </w:r>
      <w:r w:rsidRPr="00266184">
        <w:t>Green, P</w:t>
      </w:r>
      <w:r>
        <w:t xml:space="preserve">art </w:t>
      </w:r>
      <w:r>
        <w:t>7</w:t>
      </w:r>
      <w:r w:rsidRPr="00266184">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423F8"/>
    <w:multiLevelType w:val="hybridMultilevel"/>
    <w:tmpl w:val="36A01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649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96"/>
    <w:rsid w:val="00095B81"/>
    <w:rsid w:val="00096C92"/>
    <w:rsid w:val="001433C7"/>
    <w:rsid w:val="001E5777"/>
    <w:rsid w:val="001E5D12"/>
    <w:rsid w:val="00200899"/>
    <w:rsid w:val="00266184"/>
    <w:rsid w:val="00290FD7"/>
    <w:rsid w:val="002C0418"/>
    <w:rsid w:val="002C1359"/>
    <w:rsid w:val="002F30F3"/>
    <w:rsid w:val="0037236C"/>
    <w:rsid w:val="003A4AB9"/>
    <w:rsid w:val="004347E2"/>
    <w:rsid w:val="004B7346"/>
    <w:rsid w:val="005115CB"/>
    <w:rsid w:val="00526BEF"/>
    <w:rsid w:val="005F016D"/>
    <w:rsid w:val="006745C2"/>
    <w:rsid w:val="0068575B"/>
    <w:rsid w:val="00695CC4"/>
    <w:rsid w:val="00734860"/>
    <w:rsid w:val="00775781"/>
    <w:rsid w:val="007A03DD"/>
    <w:rsid w:val="007D460C"/>
    <w:rsid w:val="00823E8A"/>
    <w:rsid w:val="0088770A"/>
    <w:rsid w:val="008F1694"/>
    <w:rsid w:val="009A2020"/>
    <w:rsid w:val="009B7C5C"/>
    <w:rsid w:val="00AE1706"/>
    <w:rsid w:val="00AE77C3"/>
    <w:rsid w:val="00B362AD"/>
    <w:rsid w:val="00B44154"/>
    <w:rsid w:val="00B4518F"/>
    <w:rsid w:val="00B878BE"/>
    <w:rsid w:val="00B93F71"/>
    <w:rsid w:val="00BA26F9"/>
    <w:rsid w:val="00C36D32"/>
    <w:rsid w:val="00C542E3"/>
    <w:rsid w:val="00D62273"/>
    <w:rsid w:val="00D63981"/>
    <w:rsid w:val="00DC1B04"/>
    <w:rsid w:val="00E11096"/>
    <w:rsid w:val="00E90B50"/>
    <w:rsid w:val="00EC2DB0"/>
    <w:rsid w:val="00F06291"/>
    <w:rsid w:val="00F212DD"/>
    <w:rsid w:val="00F35505"/>
    <w:rsid w:val="00FC0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F3877"/>
  <w15:chartTrackingRefBased/>
  <w15:docId w15:val="{90A3233B-F87C-4255-B666-E2026D6BA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575B"/>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68575B"/>
    <w:rPr>
      <w:kern w:val="0"/>
      <w:sz w:val="20"/>
      <w:szCs w:val="20"/>
      <w14:ligatures w14:val="none"/>
    </w:rPr>
  </w:style>
  <w:style w:type="character" w:styleId="FootnoteReference">
    <w:name w:val="footnote reference"/>
    <w:basedOn w:val="DefaultParagraphFont"/>
    <w:uiPriority w:val="99"/>
    <w:semiHidden/>
    <w:unhideWhenUsed/>
    <w:rsid w:val="0068575B"/>
    <w:rPr>
      <w:vertAlign w:val="superscript"/>
    </w:rPr>
  </w:style>
  <w:style w:type="paragraph" w:styleId="ListParagraph">
    <w:name w:val="List Paragraph"/>
    <w:basedOn w:val="Normal"/>
    <w:uiPriority w:val="34"/>
    <w:qFormat/>
    <w:rsid w:val="00B878BE"/>
    <w:pPr>
      <w:ind w:left="720"/>
      <w:contextualSpacing/>
    </w:pPr>
  </w:style>
  <w:style w:type="character" w:styleId="Hyperlink">
    <w:name w:val="Hyperlink"/>
    <w:basedOn w:val="DefaultParagraphFont"/>
    <w:uiPriority w:val="99"/>
    <w:unhideWhenUsed/>
    <w:rsid w:val="00F212DD"/>
    <w:rPr>
      <w:color w:val="0563C1" w:themeColor="hyperlink"/>
      <w:u w:val="single"/>
    </w:rPr>
  </w:style>
  <w:style w:type="character" w:styleId="UnresolvedMention">
    <w:name w:val="Unresolved Mention"/>
    <w:basedOn w:val="DefaultParagraphFont"/>
    <w:uiPriority w:val="99"/>
    <w:semiHidden/>
    <w:unhideWhenUsed/>
    <w:rsid w:val="002C0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86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basis/cynthiawhiddengreen-saintkentigern1998.asp#The%20Historical%20Context%20of%20Kentigern,%20Apostle%20to" TargetMode="External"/><Relationship Id="rId3" Type="http://schemas.openxmlformats.org/officeDocument/2006/relationships/settings" Target="settings.xml"/><Relationship Id="rId7" Type="http://schemas.openxmlformats.org/officeDocument/2006/relationships/hyperlink" Target="https://sourcebooks.web.fordham.edu/basis/Jocelyn-LifeofKentigern.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1755</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Pierce</dc:creator>
  <cp:keywords/>
  <dc:description/>
  <cp:lastModifiedBy>Mark Pierce</cp:lastModifiedBy>
  <cp:revision>6</cp:revision>
  <cp:lastPrinted>2024-05-27T21:47:00Z</cp:lastPrinted>
  <dcterms:created xsi:type="dcterms:W3CDTF">2024-05-27T22:26:00Z</dcterms:created>
  <dcterms:modified xsi:type="dcterms:W3CDTF">2024-05-27T23:04:00Z</dcterms:modified>
</cp:coreProperties>
</file>