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9A7C1" w14:textId="0EF5B304" w:rsidR="00B47BB7" w:rsidRDefault="00B47BB7">
      <w:r>
        <w:t xml:space="preserve">Policing by consent has become a very important part of professional policing in the recent years. This is reinforced by Jackson et al (2012) who stated that there has been a massive interest in insuring that the public have a trustworthy and respectful concept of the police. This development in insuring that the police and public are one community has given the opportunity for the public to give consent to be policed (Williams and Harris 2008). This review will examine the understanding of the public’s view upon the police also how it affects the modern-day police service. </w:t>
      </w:r>
    </w:p>
    <w:p w14:paraId="02E14FF6" w14:textId="18C549FD" w:rsidR="00B47BB7" w:rsidRDefault="00B47BB7"/>
    <w:p w14:paraId="2CD45E3F" w14:textId="14DA200F" w:rsidR="00B47BB7" w:rsidRDefault="00B47BB7">
      <w:r>
        <w:t xml:space="preserve">During the 1980’s, </w:t>
      </w:r>
      <w:r w:rsidR="00A43B4A">
        <w:t>there were regular confrontations that happened between the police and the public that were violent, this also led to public criticism of the police being dishonest, brutal and racist (Alaine 1990). It’s important to state that the police in the UK are a</w:t>
      </w:r>
      <w:r w:rsidR="0001730F">
        <w:t xml:space="preserve"> </w:t>
      </w:r>
      <w:r w:rsidR="00A43B4A">
        <w:t xml:space="preserve">relatively modern </w:t>
      </w:r>
      <w:r w:rsidR="00D600D3">
        <w:t>mystery</w:t>
      </w:r>
      <w:r w:rsidR="00A43B4A">
        <w:t>, there has been a</w:t>
      </w:r>
      <w:r w:rsidR="00D600D3">
        <w:t xml:space="preserve"> frequent number of </w:t>
      </w:r>
      <w:r w:rsidR="00A43B4A">
        <w:t>occasions where they have been question</w:t>
      </w:r>
      <w:r w:rsidR="0001730F">
        <w:t>ed</w:t>
      </w:r>
      <w:r w:rsidR="00A43B4A">
        <w:t xml:space="preserve"> on their existence, but one key date in modern-day policing is 1829 where Sir Robert Peel and the Home Secretary introduce a bill in parliament for the beginning of the Metropolitan Police Force for London</w:t>
      </w:r>
      <w:r w:rsidR="00D600D3">
        <w:t xml:space="preserve"> (Wood 2021).</w:t>
      </w:r>
      <w:r w:rsidR="0001730F">
        <w:t xml:space="preserve"> In-light of this being implemented in 1829, the Metropolitan had already recruited 30,000 officers </w:t>
      </w:r>
      <w:r w:rsidR="00E63CB9">
        <w:t>by</w:t>
      </w:r>
      <w:r w:rsidR="0001730F">
        <w:t xml:space="preserve"> 2003, these officers had the role of being more visible and responsive and positively engag</w:t>
      </w:r>
      <w:r w:rsidR="00E63CB9">
        <w:t>ed</w:t>
      </w:r>
      <w:r w:rsidR="0001730F">
        <w:t xml:space="preserve"> in the local communities (Punch 2003). Comparing 1980’s – 2003, we can already see an increase in demand for accountability within the police force. This shows how much the publics perspective has changed over the years.</w:t>
      </w:r>
    </w:p>
    <w:p w14:paraId="71105B0A" w14:textId="1B818971" w:rsidR="0001730F" w:rsidRDefault="0001730F"/>
    <w:p w14:paraId="3F25C6BA" w14:textId="7153B18F" w:rsidR="001B6561" w:rsidRDefault="0001730F">
      <w:r>
        <w:t>However, the trust in police is still an issue within the UK after the events of George Floyd</w:t>
      </w:r>
      <w:r w:rsidR="00E63CB9">
        <w:t xml:space="preserve"> in America which had a very powerful effect on all police services across the world. D</w:t>
      </w:r>
      <w:r>
        <w:t>uring the summer of 2020 a vast amount of people gathered in more than 260 places within Great Britain to protest police brutality and anti-black racism, there was a key accusation that the UK is not innocent (</w:t>
      </w:r>
      <w:proofErr w:type="spellStart"/>
      <w:r w:rsidR="001B6561">
        <w:t>Monkova</w:t>
      </w:r>
      <w:proofErr w:type="spellEnd"/>
      <w:r w:rsidR="001B6561">
        <w:t xml:space="preserve"> 2021). Following the incident regarding George Floyd, the number of stop and search’s that were conducted by the metropolitan Police increased drastically during the months of January 2020 – July 2020 with April and May showing increased stop and searches regarding black ethnicity </w:t>
      </w:r>
      <w:r w:rsidR="00003F99">
        <w:t>(Desai 2020).</w:t>
      </w:r>
      <w:r w:rsidR="008045AE">
        <w:t xml:space="preserve"> </w:t>
      </w:r>
    </w:p>
    <w:p w14:paraId="434BC545" w14:textId="27AA5BEF" w:rsidR="001B6561" w:rsidRDefault="001B6561">
      <w:r>
        <w:rPr>
          <w:noProof/>
        </w:rPr>
        <w:drawing>
          <wp:inline distT="0" distB="0" distL="0" distR="0" wp14:anchorId="4D95B491" wp14:editId="49266232">
            <wp:extent cx="5731510" cy="3227705"/>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74F72AF5" w14:textId="4937E859" w:rsidR="001B6561" w:rsidRDefault="001B6561"/>
    <w:p w14:paraId="169A969F" w14:textId="3422C3AE" w:rsidR="00E63CB9" w:rsidRDefault="008045AE">
      <w:r>
        <w:lastRenderedPageBreak/>
        <w:t>This chart clearly shows that even modern-day policing still targets black ethnicity</w:t>
      </w:r>
      <w:r w:rsidR="00E63CB9">
        <w:t xml:space="preserve">. The events caused what were named as Black Lives Matter. This became a world-wide </w:t>
      </w:r>
      <w:proofErr w:type="gramStart"/>
      <w:r w:rsidR="00E63CB9">
        <w:t>protest against</w:t>
      </w:r>
      <w:proofErr w:type="gramEnd"/>
      <w:r w:rsidR="00E63CB9">
        <w:t xml:space="preserve"> the police forces. The nature of the event was to alert the world of the brutality that the black </w:t>
      </w:r>
      <w:r w:rsidR="00F342AF">
        <w:t xml:space="preserve">culture was being targeted even in modern society. </w:t>
      </w:r>
    </w:p>
    <w:p w14:paraId="585A2268" w14:textId="14E6DAB5" w:rsidR="00F342AF" w:rsidRDefault="00F342AF"/>
    <w:p w14:paraId="51B03F8A" w14:textId="6D946F03" w:rsidR="005C67D9" w:rsidRDefault="00F342AF" w:rsidP="005C67D9">
      <w:pPr>
        <w:pStyle w:val="NormalWeb"/>
        <w:rPr>
          <w:rFonts w:asciiTheme="minorHAnsi" w:hAnsiTheme="minorHAnsi" w:cstheme="minorHAnsi"/>
        </w:rPr>
      </w:pPr>
      <w:r>
        <w:rPr>
          <w:rFonts w:asciiTheme="minorHAnsi" w:hAnsiTheme="minorHAnsi" w:cstheme="minorHAnsi"/>
        </w:rPr>
        <w:t>In 1981, policing in the are</w:t>
      </w:r>
      <w:r w:rsidR="002510FD">
        <w:rPr>
          <w:rFonts w:asciiTheme="minorHAnsi" w:hAnsiTheme="minorHAnsi" w:cstheme="minorHAnsi"/>
        </w:rPr>
        <w:t>a</w:t>
      </w:r>
      <w:r>
        <w:rPr>
          <w:rFonts w:asciiTheme="minorHAnsi" w:hAnsiTheme="minorHAnsi" w:cstheme="minorHAnsi"/>
        </w:rPr>
        <w:t xml:space="preserve"> of Brixton</w:t>
      </w:r>
      <w:r w:rsidR="002F6D2F">
        <w:rPr>
          <w:rFonts w:asciiTheme="minorHAnsi" w:hAnsiTheme="minorHAnsi" w:cstheme="minorHAnsi"/>
        </w:rPr>
        <w:t xml:space="preserve">, </w:t>
      </w:r>
      <w:r>
        <w:rPr>
          <w:rFonts w:asciiTheme="minorHAnsi" w:hAnsiTheme="minorHAnsi" w:cstheme="minorHAnsi"/>
        </w:rPr>
        <w:t xml:space="preserve">which was </w:t>
      </w:r>
      <w:r w:rsidR="002510FD">
        <w:rPr>
          <w:rFonts w:asciiTheme="minorHAnsi" w:hAnsiTheme="minorHAnsi" w:cstheme="minorHAnsi"/>
        </w:rPr>
        <w:t xml:space="preserve">racially mixed, sparked severe rioting, in the lord </w:t>
      </w:r>
      <w:r w:rsidR="002F6D2F">
        <w:rPr>
          <w:rFonts w:asciiTheme="minorHAnsi" w:hAnsiTheme="minorHAnsi" w:cstheme="minorHAnsi"/>
        </w:rPr>
        <w:t>S</w:t>
      </w:r>
      <w:r w:rsidR="002510FD">
        <w:rPr>
          <w:rFonts w:asciiTheme="minorHAnsi" w:hAnsiTheme="minorHAnsi" w:cstheme="minorHAnsi"/>
        </w:rPr>
        <w:t>carman report in 1981, he debated for a stronger emphasis on the term ‘consent’ regarding the public and the involvement in the community (Punch 2003). The rebellions in Brixton 1981 were not intended to cause rebellion but more of an uprising against the lawful government, as it was an outburst of anger and resentment against the police during times of social and economic deprivation</w:t>
      </w:r>
      <w:r w:rsidR="002F6D2F">
        <w:rPr>
          <w:rFonts w:asciiTheme="minorHAnsi" w:hAnsiTheme="minorHAnsi" w:cstheme="minorHAnsi"/>
        </w:rPr>
        <w:t xml:space="preserve"> (Taylor 1984). There were also young black males affected by the riots as they were mostly involved with the attempt to overthrow the police. Following on the Scarman report, there were also tensions rising with the young black males as there were more stop and searches being committed and a lot of racial discrimination.</w:t>
      </w:r>
      <w:r w:rsidR="005C67D9">
        <w:rPr>
          <w:rFonts w:asciiTheme="minorHAnsi" w:hAnsiTheme="minorHAnsi" w:cstheme="minorHAnsi"/>
        </w:rPr>
        <w:t xml:space="preserve"> Comparing these past events to modern day events are similar, this is because the meaning of policing by consent is by having the public approve of </w:t>
      </w:r>
      <w:proofErr w:type="gramStart"/>
      <w:r w:rsidR="005C67D9">
        <w:rPr>
          <w:rFonts w:asciiTheme="minorHAnsi" w:hAnsiTheme="minorHAnsi" w:cstheme="minorHAnsi"/>
        </w:rPr>
        <w:t>policing</w:t>
      </w:r>
      <w:proofErr w:type="gramEnd"/>
      <w:r w:rsidR="005C67D9">
        <w:rPr>
          <w:rFonts w:asciiTheme="minorHAnsi" w:hAnsiTheme="minorHAnsi" w:cstheme="minorHAnsi"/>
        </w:rPr>
        <w:t xml:space="preserve"> but this isn’t achievable if the racial targeting doesn’t stop. This is backed up by the Black Lives Matter protest, the riots in 1981 were targeted by young black males and then in 2020 with the uprising of Black Lives Matter which targets the black community.</w:t>
      </w:r>
    </w:p>
    <w:p w14:paraId="77610CF2" w14:textId="1E61C60E" w:rsidR="00F342AF" w:rsidRPr="005C67D9" w:rsidRDefault="005C67D9" w:rsidP="005C67D9">
      <w:pPr>
        <w:pStyle w:val="NormalWeb"/>
        <w:rPr>
          <w:rFonts w:asciiTheme="minorHAnsi" w:hAnsiTheme="minorHAnsi" w:cstheme="minorHAnsi"/>
        </w:rPr>
      </w:pPr>
      <w:r>
        <w:rPr>
          <w:rFonts w:asciiTheme="minorHAnsi" w:hAnsiTheme="minorHAnsi" w:cstheme="minorHAnsi"/>
        </w:rPr>
        <w:t xml:space="preserve">(Wood 2021) states that the police are required to work in partnership and engage with communities as this is a defining feature for them to create neighbourhood policing. The public trust is massive on the impact of effectiveness and the legitimacy of the police force, </w:t>
      </w:r>
      <w:r w:rsidR="00960A78">
        <w:rPr>
          <w:rFonts w:asciiTheme="minorHAnsi" w:hAnsiTheme="minorHAnsi" w:cstheme="minorHAnsi"/>
        </w:rPr>
        <w:t>there are many studies that have collectively shown that the trust in the police can lead to public’s voluntary cooperation and voluntary compliance with the laws (Boateng 2013).</w:t>
      </w:r>
    </w:p>
    <w:p w14:paraId="78D6835D" w14:textId="77777777" w:rsidR="00E63CB9" w:rsidRDefault="00E63CB9"/>
    <w:p w14:paraId="67DC22E8" w14:textId="77777777" w:rsidR="003262A5" w:rsidRDefault="003262A5"/>
    <w:p w14:paraId="7A642AB8" w14:textId="77777777" w:rsidR="008045AE" w:rsidRDefault="008045AE"/>
    <w:p w14:paraId="67A4C0CD" w14:textId="77777777" w:rsidR="008045AE" w:rsidRDefault="008045AE"/>
    <w:p w14:paraId="6CCC5A95" w14:textId="77777777" w:rsidR="00D600D3" w:rsidRDefault="00D600D3"/>
    <w:p w14:paraId="5C0BA7A7" w14:textId="77777777" w:rsidR="00B47BB7" w:rsidRDefault="00B47BB7"/>
    <w:p w14:paraId="295A6059" w14:textId="77777777" w:rsidR="00B47BB7" w:rsidRDefault="00B47BB7"/>
    <w:p w14:paraId="6554AF14" w14:textId="77777777" w:rsidR="00B47BB7" w:rsidRDefault="00B47BB7"/>
    <w:p w14:paraId="020E9EF0" w14:textId="5E0D4194" w:rsidR="00B47BB7" w:rsidRDefault="00B47BB7">
      <w:r>
        <w:br w:type="page"/>
      </w:r>
    </w:p>
    <w:p w14:paraId="2AACEBE7" w14:textId="29282461" w:rsidR="00B47BB7" w:rsidRDefault="00B47BB7">
      <w:r>
        <w:lastRenderedPageBreak/>
        <w:t xml:space="preserve">Reference List: </w:t>
      </w:r>
    </w:p>
    <w:p w14:paraId="4F1D3898" w14:textId="77777777" w:rsidR="005C67D9" w:rsidRDefault="005C67D9">
      <w:pPr>
        <w:rPr>
          <w:rFonts w:asciiTheme="majorHAnsi" w:hAnsiTheme="majorHAnsi" w:cstheme="majorHAnsi"/>
          <w:color w:val="222222"/>
          <w:sz w:val="20"/>
          <w:szCs w:val="20"/>
          <w:shd w:val="clear" w:color="auto" w:fill="FFFFFF"/>
        </w:rPr>
      </w:pPr>
    </w:p>
    <w:p w14:paraId="040856A3" w14:textId="4E8E95FF" w:rsidR="00B47BB7" w:rsidRPr="002F6D2F" w:rsidRDefault="00B47BB7">
      <w:pPr>
        <w:rPr>
          <w:rFonts w:asciiTheme="majorHAnsi" w:hAnsiTheme="majorHAnsi" w:cstheme="majorHAnsi"/>
          <w:color w:val="222222"/>
          <w:sz w:val="20"/>
          <w:szCs w:val="20"/>
          <w:shd w:val="clear" w:color="auto" w:fill="FFFFFF"/>
        </w:rPr>
      </w:pPr>
      <w:r w:rsidRPr="002F6D2F">
        <w:rPr>
          <w:rFonts w:asciiTheme="majorHAnsi" w:hAnsiTheme="majorHAnsi" w:cstheme="majorHAnsi"/>
          <w:color w:val="222222"/>
          <w:sz w:val="20"/>
          <w:szCs w:val="20"/>
          <w:shd w:val="clear" w:color="auto" w:fill="FFFFFF"/>
        </w:rPr>
        <w:t>Jackson, J., Bradford, B., Hough, M. and Murray, K., 2012. Compliance with the law and policing by consent: notes on police and legal legitimacy. In</w:t>
      </w:r>
      <w:r w:rsidRPr="002F6D2F">
        <w:rPr>
          <w:rStyle w:val="apple-converted-space"/>
          <w:rFonts w:asciiTheme="majorHAnsi" w:hAnsiTheme="majorHAnsi" w:cstheme="majorHAnsi"/>
          <w:color w:val="222222"/>
          <w:sz w:val="20"/>
          <w:szCs w:val="20"/>
          <w:shd w:val="clear" w:color="auto" w:fill="FFFFFF"/>
        </w:rPr>
        <w:t> </w:t>
      </w:r>
      <w:r w:rsidRPr="002F6D2F">
        <w:rPr>
          <w:rFonts w:asciiTheme="majorHAnsi" w:hAnsiTheme="majorHAnsi" w:cstheme="majorHAnsi"/>
          <w:i/>
          <w:iCs/>
          <w:color w:val="222222"/>
          <w:sz w:val="20"/>
          <w:szCs w:val="20"/>
        </w:rPr>
        <w:t>Legitimacy and compliance in criminal justice</w:t>
      </w:r>
      <w:r w:rsidRPr="002F6D2F">
        <w:rPr>
          <w:rStyle w:val="apple-converted-space"/>
          <w:rFonts w:asciiTheme="majorHAnsi" w:hAnsiTheme="majorHAnsi" w:cstheme="majorHAnsi"/>
          <w:color w:val="222222"/>
          <w:sz w:val="20"/>
          <w:szCs w:val="20"/>
          <w:shd w:val="clear" w:color="auto" w:fill="FFFFFF"/>
        </w:rPr>
        <w:t> </w:t>
      </w:r>
      <w:r w:rsidRPr="002F6D2F">
        <w:rPr>
          <w:rFonts w:asciiTheme="majorHAnsi" w:hAnsiTheme="majorHAnsi" w:cstheme="majorHAnsi"/>
          <w:color w:val="222222"/>
          <w:sz w:val="20"/>
          <w:szCs w:val="20"/>
          <w:shd w:val="clear" w:color="auto" w:fill="FFFFFF"/>
        </w:rPr>
        <w:t>(pp. 38-58). Routledge.</w:t>
      </w:r>
    </w:p>
    <w:p w14:paraId="6EE69B30" w14:textId="77777777" w:rsidR="00B47BB7" w:rsidRPr="002F6D2F" w:rsidRDefault="00B47BB7">
      <w:pPr>
        <w:rPr>
          <w:rFonts w:asciiTheme="majorHAnsi" w:hAnsiTheme="majorHAnsi" w:cstheme="majorHAnsi"/>
          <w:color w:val="222222"/>
          <w:sz w:val="20"/>
          <w:szCs w:val="20"/>
          <w:shd w:val="clear" w:color="auto" w:fill="FFFFFF"/>
        </w:rPr>
      </w:pPr>
    </w:p>
    <w:p w14:paraId="3F4AB0E9" w14:textId="7382445D" w:rsidR="00B47BB7" w:rsidRPr="002F6D2F" w:rsidRDefault="00B47BB7">
      <w:pPr>
        <w:rPr>
          <w:rFonts w:asciiTheme="majorHAnsi" w:hAnsiTheme="majorHAnsi" w:cstheme="majorHAnsi"/>
          <w:color w:val="222222"/>
          <w:sz w:val="20"/>
          <w:szCs w:val="20"/>
          <w:shd w:val="clear" w:color="auto" w:fill="FFFFFF"/>
        </w:rPr>
      </w:pPr>
      <w:r w:rsidRPr="002F6D2F">
        <w:rPr>
          <w:rFonts w:asciiTheme="majorHAnsi" w:hAnsiTheme="majorHAnsi" w:cstheme="majorHAnsi"/>
          <w:color w:val="222222"/>
          <w:sz w:val="20"/>
          <w:szCs w:val="20"/>
          <w:shd w:val="clear" w:color="auto" w:fill="FFFFFF"/>
        </w:rPr>
        <w:t>Williams, E. and Harris, J., 2008. Scotland Yard. Beginnings and principles of British thought.</w:t>
      </w:r>
    </w:p>
    <w:p w14:paraId="6785AA81" w14:textId="0DEB077C" w:rsidR="00A43B4A" w:rsidRPr="002F6D2F" w:rsidRDefault="00A43B4A">
      <w:pPr>
        <w:rPr>
          <w:rFonts w:asciiTheme="majorHAnsi" w:hAnsiTheme="majorHAnsi" w:cstheme="majorHAnsi"/>
          <w:color w:val="222222"/>
          <w:sz w:val="20"/>
          <w:szCs w:val="20"/>
          <w:shd w:val="clear" w:color="auto" w:fill="FFFFFF"/>
        </w:rPr>
      </w:pPr>
    </w:p>
    <w:p w14:paraId="0C8AD3C0" w14:textId="52C8E82B" w:rsidR="00A43B4A" w:rsidRPr="002F6D2F" w:rsidRDefault="00A43B4A">
      <w:pPr>
        <w:rPr>
          <w:rFonts w:asciiTheme="majorHAnsi" w:hAnsiTheme="majorHAnsi" w:cstheme="majorHAnsi"/>
          <w:color w:val="222222"/>
          <w:sz w:val="20"/>
          <w:szCs w:val="20"/>
          <w:shd w:val="clear" w:color="auto" w:fill="FFFFFF"/>
        </w:rPr>
      </w:pPr>
      <w:proofErr w:type="spellStart"/>
      <w:r w:rsidRPr="002F6D2F">
        <w:rPr>
          <w:rFonts w:asciiTheme="majorHAnsi" w:hAnsiTheme="majorHAnsi" w:cstheme="majorHAnsi"/>
          <w:color w:val="222222"/>
          <w:sz w:val="20"/>
          <w:szCs w:val="20"/>
          <w:shd w:val="clear" w:color="auto" w:fill="FFFFFF"/>
        </w:rPr>
        <w:t>Guyomarch</w:t>
      </w:r>
      <w:proofErr w:type="spellEnd"/>
      <w:r w:rsidRPr="002F6D2F">
        <w:rPr>
          <w:rFonts w:asciiTheme="majorHAnsi" w:hAnsiTheme="majorHAnsi" w:cstheme="majorHAnsi"/>
          <w:color w:val="222222"/>
          <w:sz w:val="20"/>
          <w:szCs w:val="20"/>
          <w:shd w:val="clear" w:color="auto" w:fill="FFFFFF"/>
        </w:rPr>
        <w:t>, A., 1990.</w:t>
      </w:r>
      <w:r w:rsidRPr="002F6D2F">
        <w:rPr>
          <w:rStyle w:val="apple-converted-space"/>
          <w:rFonts w:asciiTheme="majorHAnsi" w:hAnsiTheme="majorHAnsi" w:cstheme="majorHAnsi"/>
          <w:color w:val="222222"/>
          <w:sz w:val="20"/>
          <w:szCs w:val="20"/>
          <w:shd w:val="clear" w:color="auto" w:fill="FFFFFF"/>
        </w:rPr>
        <w:t> </w:t>
      </w:r>
      <w:r w:rsidRPr="002F6D2F">
        <w:rPr>
          <w:rFonts w:asciiTheme="majorHAnsi" w:hAnsiTheme="majorHAnsi" w:cstheme="majorHAnsi"/>
          <w:i/>
          <w:iCs/>
          <w:color w:val="222222"/>
          <w:sz w:val="20"/>
          <w:szCs w:val="20"/>
        </w:rPr>
        <w:t>Policing by consent in the 1980s: National initiatives and local adaptation in Sussex</w:t>
      </w:r>
      <w:r w:rsidRPr="002F6D2F">
        <w:rPr>
          <w:rFonts w:asciiTheme="majorHAnsi" w:hAnsiTheme="majorHAnsi" w:cstheme="majorHAnsi"/>
          <w:color w:val="222222"/>
          <w:sz w:val="20"/>
          <w:szCs w:val="20"/>
          <w:shd w:val="clear" w:color="auto" w:fill="FFFFFF"/>
        </w:rPr>
        <w:t>. University of London, London School of Economics (United Kingdom).</w:t>
      </w:r>
    </w:p>
    <w:p w14:paraId="0A923D5E" w14:textId="26B67CA5" w:rsidR="00A43B4A" w:rsidRPr="002F6D2F" w:rsidRDefault="00A43B4A">
      <w:pPr>
        <w:rPr>
          <w:rFonts w:asciiTheme="majorHAnsi" w:hAnsiTheme="majorHAnsi" w:cstheme="majorHAnsi"/>
          <w:color w:val="222222"/>
          <w:sz w:val="20"/>
          <w:szCs w:val="20"/>
          <w:shd w:val="clear" w:color="auto" w:fill="FFFFFF"/>
        </w:rPr>
      </w:pPr>
    </w:p>
    <w:p w14:paraId="0C0744D3" w14:textId="650E1128" w:rsidR="00D600D3" w:rsidRPr="002F6D2F" w:rsidRDefault="00D600D3" w:rsidP="00D600D3">
      <w:pPr>
        <w:rPr>
          <w:rFonts w:asciiTheme="majorHAnsi" w:hAnsiTheme="majorHAnsi" w:cstheme="majorHAnsi"/>
          <w:color w:val="222222"/>
          <w:sz w:val="20"/>
          <w:szCs w:val="20"/>
          <w:shd w:val="clear" w:color="auto" w:fill="FFFFFF"/>
        </w:rPr>
      </w:pPr>
      <w:r w:rsidRPr="002F6D2F">
        <w:rPr>
          <w:rFonts w:asciiTheme="majorHAnsi" w:hAnsiTheme="majorHAnsi" w:cstheme="majorHAnsi"/>
          <w:color w:val="222222"/>
          <w:sz w:val="20"/>
          <w:szCs w:val="20"/>
          <w:shd w:val="clear" w:color="auto" w:fill="FFFFFF"/>
        </w:rPr>
        <w:t>Wood, D. (2021) Blackstone’s handbook for policing students. Sixteenth edition. Edited by D. Wood. Oxford: Oxford University Press.</w:t>
      </w:r>
    </w:p>
    <w:p w14:paraId="4B7E79E0" w14:textId="4E166323" w:rsidR="0001730F" w:rsidRPr="002F6D2F" w:rsidRDefault="0001730F" w:rsidP="00D600D3">
      <w:pPr>
        <w:rPr>
          <w:rFonts w:asciiTheme="majorHAnsi" w:hAnsiTheme="majorHAnsi" w:cstheme="majorHAnsi"/>
          <w:color w:val="222222"/>
          <w:sz w:val="20"/>
          <w:szCs w:val="20"/>
          <w:shd w:val="clear" w:color="auto" w:fill="FFFFFF"/>
        </w:rPr>
      </w:pPr>
    </w:p>
    <w:p w14:paraId="4BE60A9C" w14:textId="5979F2B9" w:rsidR="0001730F" w:rsidRPr="002F6D2F" w:rsidRDefault="0001730F" w:rsidP="00D600D3">
      <w:pPr>
        <w:rPr>
          <w:rFonts w:asciiTheme="majorHAnsi" w:hAnsiTheme="majorHAnsi" w:cstheme="majorHAnsi"/>
          <w:color w:val="222222"/>
          <w:sz w:val="20"/>
          <w:szCs w:val="20"/>
          <w:shd w:val="clear" w:color="auto" w:fill="FFFFFF"/>
        </w:rPr>
      </w:pPr>
      <w:r w:rsidRPr="002F6D2F">
        <w:rPr>
          <w:rFonts w:asciiTheme="majorHAnsi" w:hAnsiTheme="majorHAnsi" w:cstheme="majorHAnsi"/>
          <w:color w:val="222222"/>
          <w:sz w:val="20"/>
          <w:szCs w:val="20"/>
          <w:shd w:val="clear" w:color="auto" w:fill="FFFFFF"/>
        </w:rPr>
        <w:t>Punch, M., 2003. Policing for London and “honest policing”.</w:t>
      </w:r>
      <w:r w:rsidRPr="002F6D2F">
        <w:rPr>
          <w:rStyle w:val="apple-converted-space"/>
          <w:rFonts w:asciiTheme="majorHAnsi" w:hAnsiTheme="majorHAnsi" w:cstheme="majorHAnsi"/>
          <w:color w:val="222222"/>
          <w:sz w:val="20"/>
          <w:szCs w:val="20"/>
          <w:shd w:val="clear" w:color="auto" w:fill="FFFFFF"/>
        </w:rPr>
        <w:t> </w:t>
      </w:r>
      <w:proofErr w:type="spellStart"/>
      <w:r w:rsidRPr="002F6D2F">
        <w:rPr>
          <w:rFonts w:asciiTheme="majorHAnsi" w:hAnsiTheme="majorHAnsi" w:cstheme="majorHAnsi"/>
          <w:i/>
          <w:iCs/>
          <w:color w:val="222222"/>
          <w:sz w:val="20"/>
          <w:szCs w:val="20"/>
        </w:rPr>
        <w:t>Polizei</w:t>
      </w:r>
      <w:proofErr w:type="spellEnd"/>
      <w:r w:rsidRPr="002F6D2F">
        <w:rPr>
          <w:rFonts w:asciiTheme="majorHAnsi" w:hAnsiTheme="majorHAnsi" w:cstheme="majorHAnsi"/>
          <w:i/>
          <w:iCs/>
          <w:color w:val="222222"/>
          <w:sz w:val="20"/>
          <w:szCs w:val="20"/>
        </w:rPr>
        <w:t xml:space="preserve">-Newsletter. http://www. </w:t>
      </w:r>
      <w:proofErr w:type="spellStart"/>
      <w:r w:rsidRPr="002F6D2F">
        <w:rPr>
          <w:rFonts w:asciiTheme="majorHAnsi" w:hAnsiTheme="majorHAnsi" w:cstheme="majorHAnsi"/>
          <w:i/>
          <w:iCs/>
          <w:color w:val="222222"/>
          <w:sz w:val="20"/>
          <w:szCs w:val="20"/>
        </w:rPr>
        <w:t>polizei</w:t>
      </w:r>
      <w:proofErr w:type="spellEnd"/>
      <w:r w:rsidRPr="002F6D2F">
        <w:rPr>
          <w:rFonts w:asciiTheme="majorHAnsi" w:hAnsiTheme="majorHAnsi" w:cstheme="majorHAnsi"/>
          <w:i/>
          <w:iCs/>
          <w:color w:val="222222"/>
          <w:sz w:val="20"/>
          <w:szCs w:val="20"/>
        </w:rPr>
        <w:t>-newsletter. de</w:t>
      </w:r>
      <w:r w:rsidRPr="002F6D2F">
        <w:rPr>
          <w:rFonts w:asciiTheme="majorHAnsi" w:hAnsiTheme="majorHAnsi" w:cstheme="majorHAnsi"/>
          <w:color w:val="222222"/>
          <w:sz w:val="20"/>
          <w:szCs w:val="20"/>
          <w:shd w:val="clear" w:color="auto" w:fill="FFFFFF"/>
        </w:rPr>
        <w:t>.</w:t>
      </w:r>
    </w:p>
    <w:p w14:paraId="6B9CAF50" w14:textId="77777777" w:rsidR="005C67D9" w:rsidRDefault="005C67D9" w:rsidP="00D600D3">
      <w:pPr>
        <w:rPr>
          <w:rFonts w:asciiTheme="majorHAnsi" w:hAnsiTheme="majorHAnsi" w:cstheme="majorHAnsi"/>
          <w:color w:val="222222"/>
          <w:sz w:val="20"/>
          <w:szCs w:val="20"/>
          <w:shd w:val="clear" w:color="auto" w:fill="FFFFFF"/>
        </w:rPr>
      </w:pPr>
    </w:p>
    <w:p w14:paraId="018D929E" w14:textId="7D34BF52" w:rsidR="001B6561" w:rsidRPr="002F6D2F" w:rsidRDefault="001B6561" w:rsidP="00D600D3">
      <w:pPr>
        <w:rPr>
          <w:rFonts w:asciiTheme="majorHAnsi" w:hAnsiTheme="majorHAnsi" w:cstheme="majorHAnsi"/>
          <w:color w:val="222222"/>
          <w:sz w:val="20"/>
          <w:szCs w:val="20"/>
          <w:shd w:val="clear" w:color="auto" w:fill="FFFFFF"/>
        </w:rPr>
      </w:pPr>
      <w:proofErr w:type="spellStart"/>
      <w:r w:rsidRPr="002F6D2F">
        <w:rPr>
          <w:rFonts w:asciiTheme="majorHAnsi" w:hAnsiTheme="majorHAnsi" w:cstheme="majorHAnsi"/>
          <w:color w:val="222222"/>
          <w:sz w:val="20"/>
          <w:szCs w:val="20"/>
          <w:shd w:val="clear" w:color="auto" w:fill="FFFFFF"/>
        </w:rPr>
        <w:t>Monkova</w:t>
      </w:r>
      <w:proofErr w:type="spellEnd"/>
      <w:r w:rsidRPr="002F6D2F">
        <w:rPr>
          <w:rFonts w:asciiTheme="majorHAnsi" w:hAnsiTheme="majorHAnsi" w:cstheme="majorHAnsi"/>
          <w:color w:val="222222"/>
          <w:sz w:val="20"/>
          <w:szCs w:val="20"/>
          <w:shd w:val="clear" w:color="auto" w:fill="FFFFFF"/>
        </w:rPr>
        <w:t>, T., 2021.</w:t>
      </w:r>
      <w:r w:rsidRPr="002F6D2F">
        <w:rPr>
          <w:rStyle w:val="apple-converted-space"/>
          <w:rFonts w:asciiTheme="majorHAnsi" w:hAnsiTheme="majorHAnsi" w:cstheme="majorHAnsi"/>
          <w:color w:val="222222"/>
          <w:sz w:val="20"/>
          <w:szCs w:val="20"/>
          <w:shd w:val="clear" w:color="auto" w:fill="FFFFFF"/>
        </w:rPr>
        <w:t> </w:t>
      </w:r>
      <w:r w:rsidRPr="002F6D2F">
        <w:rPr>
          <w:rFonts w:asciiTheme="majorHAnsi" w:hAnsiTheme="majorHAnsi" w:cstheme="majorHAnsi"/>
          <w:i/>
          <w:iCs/>
          <w:color w:val="222222"/>
          <w:sz w:val="20"/>
          <w:szCs w:val="20"/>
        </w:rPr>
        <w:t>Policing in Britain and America: Between Consent and Force</w:t>
      </w:r>
      <w:r w:rsidRPr="002F6D2F">
        <w:rPr>
          <w:rStyle w:val="apple-converted-space"/>
          <w:rFonts w:asciiTheme="majorHAnsi" w:hAnsiTheme="majorHAnsi" w:cstheme="majorHAnsi"/>
          <w:color w:val="222222"/>
          <w:sz w:val="20"/>
          <w:szCs w:val="20"/>
          <w:shd w:val="clear" w:color="auto" w:fill="FFFFFF"/>
        </w:rPr>
        <w:t> </w:t>
      </w:r>
      <w:r w:rsidRPr="002F6D2F">
        <w:rPr>
          <w:rFonts w:asciiTheme="majorHAnsi" w:hAnsiTheme="majorHAnsi" w:cstheme="majorHAnsi"/>
          <w:color w:val="222222"/>
          <w:sz w:val="20"/>
          <w:szCs w:val="20"/>
          <w:shd w:val="clear" w:color="auto" w:fill="FFFFFF"/>
        </w:rPr>
        <w:t>(Doctoral dissertation, McGill University (Canada)).</w:t>
      </w:r>
    </w:p>
    <w:p w14:paraId="3ADFCE50" w14:textId="2F518734" w:rsidR="00003F99" w:rsidRPr="002F6D2F" w:rsidRDefault="00003F99" w:rsidP="005C67D9">
      <w:pPr>
        <w:pStyle w:val="NormalWeb"/>
        <w:rPr>
          <w:rStyle w:val="apple-converted-space"/>
          <w:rFonts w:asciiTheme="majorHAnsi" w:hAnsiTheme="majorHAnsi" w:cstheme="majorHAnsi"/>
          <w:color w:val="000000"/>
          <w:sz w:val="20"/>
          <w:szCs w:val="20"/>
        </w:rPr>
      </w:pPr>
      <w:r w:rsidRPr="002F6D2F">
        <w:rPr>
          <w:rFonts w:asciiTheme="majorHAnsi" w:hAnsiTheme="majorHAnsi" w:cstheme="majorHAnsi"/>
          <w:color w:val="000000"/>
          <w:sz w:val="20"/>
          <w:szCs w:val="20"/>
        </w:rPr>
        <w:t>Desai, E. (2020)</w:t>
      </w:r>
      <w:r w:rsidRPr="002F6D2F">
        <w:rPr>
          <w:rStyle w:val="apple-converted-space"/>
          <w:rFonts w:asciiTheme="majorHAnsi" w:hAnsiTheme="majorHAnsi" w:cstheme="majorHAnsi"/>
          <w:color w:val="000000"/>
          <w:sz w:val="20"/>
          <w:szCs w:val="20"/>
        </w:rPr>
        <w:t> </w:t>
      </w:r>
      <w:r w:rsidRPr="002F6D2F">
        <w:rPr>
          <w:rFonts w:asciiTheme="majorHAnsi" w:hAnsiTheme="majorHAnsi" w:cstheme="majorHAnsi"/>
          <w:i/>
          <w:iCs/>
          <w:color w:val="000000"/>
          <w:sz w:val="20"/>
          <w:szCs w:val="20"/>
        </w:rPr>
        <w:t>Policing with consent - london.gov.uk</w:t>
      </w:r>
      <w:r w:rsidRPr="002F6D2F">
        <w:rPr>
          <w:rFonts w:asciiTheme="majorHAnsi" w:hAnsiTheme="majorHAnsi" w:cstheme="majorHAnsi"/>
          <w:color w:val="000000"/>
          <w:sz w:val="20"/>
          <w:szCs w:val="20"/>
        </w:rPr>
        <w:t>,</w:t>
      </w:r>
      <w:r w:rsidRPr="002F6D2F">
        <w:rPr>
          <w:rStyle w:val="apple-converted-space"/>
          <w:rFonts w:asciiTheme="majorHAnsi" w:hAnsiTheme="majorHAnsi" w:cstheme="majorHAnsi"/>
          <w:color w:val="000000"/>
          <w:sz w:val="20"/>
          <w:szCs w:val="20"/>
        </w:rPr>
        <w:t> </w:t>
      </w:r>
      <w:r w:rsidRPr="002F6D2F">
        <w:rPr>
          <w:rFonts w:asciiTheme="majorHAnsi" w:hAnsiTheme="majorHAnsi" w:cstheme="majorHAnsi"/>
          <w:i/>
          <w:iCs/>
          <w:color w:val="000000"/>
          <w:sz w:val="20"/>
          <w:szCs w:val="20"/>
        </w:rPr>
        <w:t>Policing with Consent</w:t>
      </w:r>
      <w:r w:rsidRPr="002F6D2F">
        <w:rPr>
          <w:rFonts w:asciiTheme="majorHAnsi" w:hAnsiTheme="majorHAnsi" w:cstheme="majorHAnsi"/>
          <w:color w:val="000000"/>
          <w:sz w:val="20"/>
          <w:szCs w:val="20"/>
        </w:rPr>
        <w:t>. Available at: https://www.london.gov.uk/sites/default/files/policing_with_consent.pdf (Accessed: November 5, 2022).</w:t>
      </w:r>
      <w:r w:rsidRPr="002F6D2F">
        <w:rPr>
          <w:rStyle w:val="apple-converted-space"/>
          <w:rFonts w:asciiTheme="majorHAnsi" w:hAnsiTheme="majorHAnsi" w:cstheme="majorHAnsi"/>
          <w:color w:val="000000"/>
          <w:sz w:val="20"/>
          <w:szCs w:val="20"/>
        </w:rPr>
        <w:t> </w:t>
      </w:r>
    </w:p>
    <w:p w14:paraId="65BCA17E" w14:textId="607DC169" w:rsidR="002510FD" w:rsidRPr="002F6D2F" w:rsidRDefault="002510FD" w:rsidP="00003F99">
      <w:pPr>
        <w:pStyle w:val="NormalWeb"/>
        <w:ind w:left="567" w:hanging="567"/>
        <w:rPr>
          <w:rFonts w:asciiTheme="majorHAnsi" w:hAnsiTheme="majorHAnsi" w:cstheme="majorHAnsi"/>
          <w:color w:val="222222"/>
          <w:sz w:val="20"/>
          <w:szCs w:val="20"/>
          <w:shd w:val="clear" w:color="auto" w:fill="FFFFFF"/>
        </w:rPr>
      </w:pPr>
      <w:r w:rsidRPr="002F6D2F">
        <w:rPr>
          <w:rFonts w:asciiTheme="majorHAnsi" w:hAnsiTheme="majorHAnsi" w:cstheme="majorHAnsi"/>
          <w:color w:val="222222"/>
          <w:sz w:val="20"/>
          <w:szCs w:val="20"/>
          <w:shd w:val="clear" w:color="auto" w:fill="FFFFFF"/>
        </w:rPr>
        <w:t>Punch, M., 2003. Policing for London and “honest policing”.</w:t>
      </w:r>
      <w:r w:rsidRPr="002F6D2F">
        <w:rPr>
          <w:rStyle w:val="apple-converted-space"/>
          <w:rFonts w:asciiTheme="majorHAnsi" w:hAnsiTheme="majorHAnsi" w:cstheme="majorHAnsi"/>
          <w:color w:val="222222"/>
          <w:sz w:val="20"/>
          <w:szCs w:val="20"/>
          <w:shd w:val="clear" w:color="auto" w:fill="FFFFFF"/>
        </w:rPr>
        <w:t> </w:t>
      </w:r>
      <w:proofErr w:type="spellStart"/>
      <w:r w:rsidRPr="002F6D2F">
        <w:rPr>
          <w:rFonts w:asciiTheme="majorHAnsi" w:hAnsiTheme="majorHAnsi" w:cstheme="majorHAnsi"/>
          <w:i/>
          <w:iCs/>
          <w:color w:val="222222"/>
          <w:sz w:val="20"/>
          <w:szCs w:val="20"/>
        </w:rPr>
        <w:t>Polizei</w:t>
      </w:r>
      <w:proofErr w:type="spellEnd"/>
      <w:r w:rsidRPr="002F6D2F">
        <w:rPr>
          <w:rFonts w:asciiTheme="majorHAnsi" w:hAnsiTheme="majorHAnsi" w:cstheme="majorHAnsi"/>
          <w:i/>
          <w:iCs/>
          <w:color w:val="222222"/>
          <w:sz w:val="20"/>
          <w:szCs w:val="20"/>
        </w:rPr>
        <w:t xml:space="preserve">-Newsletter. http://www. </w:t>
      </w:r>
      <w:proofErr w:type="spellStart"/>
      <w:r w:rsidRPr="002F6D2F">
        <w:rPr>
          <w:rFonts w:asciiTheme="majorHAnsi" w:hAnsiTheme="majorHAnsi" w:cstheme="majorHAnsi"/>
          <w:i/>
          <w:iCs/>
          <w:color w:val="222222"/>
          <w:sz w:val="20"/>
          <w:szCs w:val="20"/>
        </w:rPr>
        <w:t>polizei</w:t>
      </w:r>
      <w:proofErr w:type="spellEnd"/>
      <w:r w:rsidRPr="002F6D2F">
        <w:rPr>
          <w:rFonts w:asciiTheme="majorHAnsi" w:hAnsiTheme="majorHAnsi" w:cstheme="majorHAnsi"/>
          <w:i/>
          <w:iCs/>
          <w:color w:val="222222"/>
          <w:sz w:val="20"/>
          <w:szCs w:val="20"/>
        </w:rPr>
        <w:t>-newsletter. de</w:t>
      </w:r>
      <w:r w:rsidRPr="002F6D2F">
        <w:rPr>
          <w:rFonts w:asciiTheme="majorHAnsi" w:hAnsiTheme="majorHAnsi" w:cstheme="majorHAnsi"/>
          <w:color w:val="222222"/>
          <w:sz w:val="20"/>
          <w:szCs w:val="20"/>
          <w:shd w:val="clear" w:color="auto" w:fill="FFFFFF"/>
        </w:rPr>
        <w:t>.</w:t>
      </w:r>
    </w:p>
    <w:p w14:paraId="31E4D160" w14:textId="4C026DC7" w:rsidR="002F6D2F" w:rsidRPr="002F6D2F" w:rsidRDefault="002F6D2F" w:rsidP="005C67D9">
      <w:pPr>
        <w:pStyle w:val="NormalWeb"/>
        <w:rPr>
          <w:rFonts w:asciiTheme="majorHAnsi" w:hAnsiTheme="majorHAnsi" w:cstheme="majorHAnsi"/>
          <w:color w:val="222222"/>
          <w:sz w:val="20"/>
          <w:szCs w:val="20"/>
          <w:shd w:val="clear" w:color="auto" w:fill="FFFFFF"/>
        </w:rPr>
      </w:pPr>
      <w:r w:rsidRPr="002F6D2F">
        <w:rPr>
          <w:rFonts w:asciiTheme="majorHAnsi" w:hAnsiTheme="majorHAnsi" w:cstheme="majorHAnsi"/>
          <w:color w:val="222222"/>
          <w:sz w:val="20"/>
          <w:szCs w:val="20"/>
          <w:shd w:val="clear" w:color="auto" w:fill="FFFFFF"/>
        </w:rPr>
        <w:t>Taylor, S., 1984. The Scarman Report and explanations of riots. In</w:t>
      </w:r>
      <w:r w:rsidRPr="002F6D2F">
        <w:rPr>
          <w:rStyle w:val="apple-converted-space"/>
          <w:rFonts w:asciiTheme="majorHAnsi" w:hAnsiTheme="majorHAnsi" w:cstheme="majorHAnsi"/>
          <w:color w:val="222222"/>
          <w:sz w:val="20"/>
          <w:szCs w:val="20"/>
          <w:shd w:val="clear" w:color="auto" w:fill="FFFFFF"/>
        </w:rPr>
        <w:t> </w:t>
      </w:r>
      <w:r w:rsidRPr="002F6D2F">
        <w:rPr>
          <w:rFonts w:asciiTheme="majorHAnsi" w:hAnsiTheme="majorHAnsi" w:cstheme="majorHAnsi"/>
          <w:i/>
          <w:iCs/>
          <w:color w:val="222222"/>
          <w:sz w:val="20"/>
          <w:szCs w:val="20"/>
        </w:rPr>
        <w:t>Scarman and after</w:t>
      </w:r>
      <w:r w:rsidRPr="002F6D2F">
        <w:rPr>
          <w:rStyle w:val="apple-converted-space"/>
          <w:rFonts w:asciiTheme="majorHAnsi" w:hAnsiTheme="majorHAnsi" w:cstheme="majorHAnsi"/>
          <w:color w:val="222222"/>
          <w:sz w:val="20"/>
          <w:szCs w:val="20"/>
          <w:shd w:val="clear" w:color="auto" w:fill="FFFFFF"/>
        </w:rPr>
        <w:t> </w:t>
      </w:r>
      <w:r w:rsidRPr="002F6D2F">
        <w:rPr>
          <w:rFonts w:asciiTheme="majorHAnsi" w:hAnsiTheme="majorHAnsi" w:cstheme="majorHAnsi"/>
          <w:color w:val="222222"/>
          <w:sz w:val="20"/>
          <w:szCs w:val="20"/>
          <w:shd w:val="clear" w:color="auto" w:fill="FFFFFF"/>
        </w:rPr>
        <w:t>(pp. 20-34). Pergamon.</w:t>
      </w:r>
    </w:p>
    <w:p w14:paraId="7978153D" w14:textId="27F7D9E2" w:rsidR="005C67D9" w:rsidRDefault="005C67D9" w:rsidP="005C67D9">
      <w:pPr>
        <w:pStyle w:val="NormalWeb"/>
        <w:rPr>
          <w:rFonts w:ascii="Arial" w:hAnsi="Arial" w:cs="Arial"/>
          <w:color w:val="222222"/>
          <w:sz w:val="20"/>
          <w:szCs w:val="20"/>
          <w:shd w:val="clear" w:color="auto" w:fill="FFFFFF"/>
        </w:rPr>
      </w:pPr>
      <w:r w:rsidRPr="005C67D9">
        <w:rPr>
          <w:rFonts w:ascii="Arial" w:hAnsi="Arial" w:cs="Arial"/>
          <w:color w:val="222222"/>
          <w:sz w:val="20"/>
          <w:szCs w:val="20"/>
          <w:shd w:val="clear" w:color="auto" w:fill="FFFFFF"/>
        </w:rPr>
        <w:t xml:space="preserve"> Wood, D. (2021) Blackstone’s handbook for policing students. Sixteenth edition. Edited by D. Wood. Oxford: Oxford University Press.</w:t>
      </w:r>
    </w:p>
    <w:p w14:paraId="6A6E8D6D" w14:textId="4BAEE878" w:rsidR="00960A78" w:rsidRPr="005C67D9" w:rsidRDefault="00960A78" w:rsidP="005C67D9">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Boateng, F.D., 2013. Restoring the lost hope: A multidimensional approach for building public trust in the police.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JIJIS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 p.33.</w:t>
      </w:r>
    </w:p>
    <w:p w14:paraId="7ECCDC27" w14:textId="77777777" w:rsidR="002F6D2F" w:rsidRDefault="002F6D2F" w:rsidP="002F6D2F">
      <w:pPr>
        <w:pStyle w:val="NormalWeb"/>
        <w:rPr>
          <w:rFonts w:ascii="Arial" w:hAnsi="Arial" w:cs="Arial"/>
          <w:color w:val="222222"/>
          <w:sz w:val="20"/>
          <w:szCs w:val="20"/>
          <w:shd w:val="clear" w:color="auto" w:fill="FFFFFF"/>
        </w:rPr>
      </w:pPr>
    </w:p>
    <w:p w14:paraId="72D857A5" w14:textId="77777777" w:rsidR="00003F99" w:rsidRDefault="00003F99" w:rsidP="00D600D3">
      <w:pPr>
        <w:rPr>
          <w:rFonts w:ascii="Arial" w:hAnsi="Arial" w:cs="Arial"/>
          <w:color w:val="222222"/>
          <w:sz w:val="20"/>
          <w:szCs w:val="20"/>
          <w:shd w:val="clear" w:color="auto" w:fill="FFFFFF"/>
        </w:rPr>
      </w:pPr>
    </w:p>
    <w:p w14:paraId="2B84CC72" w14:textId="20A3F899" w:rsidR="001B6561" w:rsidRDefault="001B6561" w:rsidP="00D600D3">
      <w:pPr>
        <w:rPr>
          <w:rFonts w:ascii="Arial" w:hAnsi="Arial" w:cs="Arial"/>
          <w:color w:val="222222"/>
          <w:sz w:val="20"/>
          <w:szCs w:val="20"/>
          <w:shd w:val="clear" w:color="auto" w:fill="FFFFFF"/>
        </w:rPr>
      </w:pPr>
    </w:p>
    <w:p w14:paraId="4D84CE7D" w14:textId="77777777" w:rsidR="001B6561" w:rsidRPr="00D600D3" w:rsidRDefault="001B6561" w:rsidP="00D600D3">
      <w:pPr>
        <w:rPr>
          <w:rFonts w:ascii="Arial" w:hAnsi="Arial" w:cs="Arial"/>
          <w:color w:val="222222"/>
          <w:sz w:val="20"/>
          <w:szCs w:val="20"/>
          <w:shd w:val="clear" w:color="auto" w:fill="FFFFFF"/>
        </w:rPr>
      </w:pPr>
    </w:p>
    <w:p w14:paraId="41D8973D" w14:textId="77777777" w:rsidR="00D600D3" w:rsidRDefault="00D600D3">
      <w:pPr>
        <w:rPr>
          <w:rFonts w:ascii="Arial" w:hAnsi="Arial" w:cs="Arial"/>
          <w:color w:val="222222"/>
          <w:sz w:val="20"/>
          <w:szCs w:val="20"/>
          <w:shd w:val="clear" w:color="auto" w:fill="FFFFFF"/>
        </w:rPr>
      </w:pPr>
    </w:p>
    <w:p w14:paraId="34EF9188" w14:textId="77777777" w:rsidR="00A43B4A" w:rsidRDefault="00A43B4A">
      <w:pPr>
        <w:rPr>
          <w:rFonts w:ascii="Arial" w:hAnsi="Arial" w:cs="Arial"/>
          <w:color w:val="222222"/>
          <w:sz w:val="20"/>
          <w:szCs w:val="20"/>
          <w:shd w:val="clear" w:color="auto" w:fill="FFFFFF"/>
        </w:rPr>
      </w:pPr>
    </w:p>
    <w:p w14:paraId="66490777" w14:textId="1AB04E61" w:rsidR="00B47BB7" w:rsidRDefault="00B47BB7">
      <w:pPr>
        <w:rPr>
          <w:rFonts w:ascii="Arial" w:hAnsi="Arial" w:cs="Arial"/>
          <w:color w:val="222222"/>
          <w:sz w:val="20"/>
          <w:szCs w:val="20"/>
          <w:shd w:val="clear" w:color="auto" w:fill="FFFFFF"/>
        </w:rPr>
      </w:pPr>
    </w:p>
    <w:p w14:paraId="78BB9329" w14:textId="77777777" w:rsidR="00B47BB7" w:rsidRDefault="00B47BB7">
      <w:pPr>
        <w:rPr>
          <w:rFonts w:ascii="Arial" w:hAnsi="Arial" w:cs="Arial"/>
          <w:color w:val="222222"/>
          <w:sz w:val="20"/>
          <w:szCs w:val="20"/>
          <w:shd w:val="clear" w:color="auto" w:fill="FFFFFF"/>
        </w:rPr>
      </w:pPr>
    </w:p>
    <w:p w14:paraId="25BA76EB" w14:textId="77777777" w:rsidR="00B47BB7" w:rsidRDefault="00B47BB7"/>
    <w:sectPr w:rsidR="00B47B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BB7"/>
    <w:rsid w:val="00003F99"/>
    <w:rsid w:val="0001730F"/>
    <w:rsid w:val="001B6561"/>
    <w:rsid w:val="002510FD"/>
    <w:rsid w:val="002F6D2F"/>
    <w:rsid w:val="003262A5"/>
    <w:rsid w:val="005C67D9"/>
    <w:rsid w:val="008045AE"/>
    <w:rsid w:val="00960A78"/>
    <w:rsid w:val="00A43B4A"/>
    <w:rsid w:val="00B47BB7"/>
    <w:rsid w:val="00D600D3"/>
    <w:rsid w:val="00E63CB9"/>
    <w:rsid w:val="00F34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AE6676"/>
  <w15:chartTrackingRefBased/>
  <w15:docId w15:val="{306CFD8B-1EBF-2449-97DA-B8016F36C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47BB7"/>
  </w:style>
  <w:style w:type="paragraph" w:styleId="NormalWeb">
    <w:name w:val="Normal (Web)"/>
    <w:basedOn w:val="Normal"/>
    <w:uiPriority w:val="99"/>
    <w:unhideWhenUsed/>
    <w:rsid w:val="00003F9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228852">
      <w:bodyDiv w:val="1"/>
      <w:marLeft w:val="0"/>
      <w:marRight w:val="0"/>
      <w:marTop w:val="0"/>
      <w:marBottom w:val="0"/>
      <w:divBdr>
        <w:top w:val="none" w:sz="0" w:space="0" w:color="auto"/>
        <w:left w:val="none" w:sz="0" w:space="0" w:color="auto"/>
        <w:bottom w:val="none" w:sz="0" w:space="0" w:color="auto"/>
        <w:right w:val="none" w:sz="0" w:space="0" w:color="auto"/>
      </w:divBdr>
      <w:divsChild>
        <w:div w:id="565648753">
          <w:marLeft w:val="0"/>
          <w:marRight w:val="0"/>
          <w:marTop w:val="0"/>
          <w:marBottom w:val="0"/>
          <w:divBdr>
            <w:top w:val="none" w:sz="0" w:space="0" w:color="auto"/>
            <w:left w:val="none" w:sz="0" w:space="0" w:color="auto"/>
            <w:bottom w:val="none" w:sz="0" w:space="0" w:color="auto"/>
            <w:right w:val="none" w:sz="0" w:space="0" w:color="auto"/>
          </w:divBdr>
          <w:divsChild>
            <w:div w:id="1334800429">
              <w:marLeft w:val="0"/>
              <w:marRight w:val="0"/>
              <w:marTop w:val="0"/>
              <w:marBottom w:val="0"/>
              <w:divBdr>
                <w:top w:val="none" w:sz="0" w:space="0" w:color="auto"/>
                <w:left w:val="none" w:sz="0" w:space="0" w:color="auto"/>
                <w:bottom w:val="none" w:sz="0" w:space="0" w:color="auto"/>
                <w:right w:val="none" w:sz="0" w:space="0" w:color="auto"/>
              </w:divBdr>
              <w:divsChild>
                <w:div w:id="158538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109772">
      <w:bodyDiv w:val="1"/>
      <w:marLeft w:val="0"/>
      <w:marRight w:val="0"/>
      <w:marTop w:val="0"/>
      <w:marBottom w:val="0"/>
      <w:divBdr>
        <w:top w:val="none" w:sz="0" w:space="0" w:color="auto"/>
        <w:left w:val="none" w:sz="0" w:space="0" w:color="auto"/>
        <w:bottom w:val="none" w:sz="0" w:space="0" w:color="auto"/>
        <w:right w:val="none" w:sz="0" w:space="0" w:color="auto"/>
      </w:divBdr>
    </w:div>
    <w:div w:id="2044204131">
      <w:bodyDiv w:val="1"/>
      <w:marLeft w:val="0"/>
      <w:marRight w:val="0"/>
      <w:marTop w:val="0"/>
      <w:marBottom w:val="0"/>
      <w:divBdr>
        <w:top w:val="none" w:sz="0" w:space="0" w:color="auto"/>
        <w:left w:val="none" w:sz="0" w:space="0" w:color="auto"/>
        <w:bottom w:val="none" w:sz="0" w:space="0" w:color="auto"/>
        <w:right w:val="none" w:sz="0" w:space="0" w:color="auto"/>
      </w:divBdr>
      <w:divsChild>
        <w:div w:id="636452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3B04CF-0A8A-634B-B016-6822ADE5F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3</Pages>
  <Words>882</Words>
  <Characters>5031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3</cp:revision>
  <dcterms:created xsi:type="dcterms:W3CDTF">2022-11-05T11:17:00Z</dcterms:created>
  <dcterms:modified xsi:type="dcterms:W3CDTF">2022-11-07T18:49:00Z</dcterms:modified>
</cp:coreProperties>
</file>