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A83064" w14:textId="77777777" w:rsidR="006B4E86" w:rsidRDefault="006B4E86" w:rsidP="00F30274">
      <w:pPr>
        <w:jc w:val="center"/>
        <w:rPr>
          <w:b/>
          <w:bCs/>
          <w:sz w:val="28"/>
          <w:szCs w:val="24"/>
        </w:rPr>
      </w:pPr>
    </w:p>
    <w:p w14:paraId="52935631" w14:textId="77777777" w:rsidR="006B4E86" w:rsidRDefault="006B4E86" w:rsidP="00F30274">
      <w:pPr>
        <w:jc w:val="center"/>
        <w:rPr>
          <w:b/>
          <w:bCs/>
          <w:sz w:val="28"/>
          <w:szCs w:val="24"/>
        </w:rPr>
      </w:pPr>
    </w:p>
    <w:p w14:paraId="36555F1B" w14:textId="77777777" w:rsidR="006B4E86" w:rsidRDefault="006B4E86" w:rsidP="00F30274">
      <w:pPr>
        <w:jc w:val="center"/>
        <w:rPr>
          <w:b/>
          <w:bCs/>
          <w:sz w:val="28"/>
          <w:szCs w:val="24"/>
        </w:rPr>
      </w:pPr>
    </w:p>
    <w:p w14:paraId="74F95D7C" w14:textId="77777777" w:rsidR="002F37A8" w:rsidRPr="002F37A8" w:rsidRDefault="002F37A8" w:rsidP="002F37A8">
      <w:pPr>
        <w:jc w:val="center"/>
        <w:rPr>
          <w:b/>
          <w:bCs/>
          <w:sz w:val="32"/>
          <w:szCs w:val="28"/>
        </w:rPr>
      </w:pPr>
      <w:r w:rsidRPr="002F37A8">
        <w:rPr>
          <w:b/>
          <w:bCs/>
          <w:sz w:val="32"/>
          <w:szCs w:val="28"/>
        </w:rPr>
        <w:t xml:space="preserve">Module title: Community Engagement (LCBB4002) </w:t>
      </w:r>
    </w:p>
    <w:p w14:paraId="56B29B21" w14:textId="77777777" w:rsidR="007E7FCC" w:rsidRDefault="007E7FCC" w:rsidP="00F30274">
      <w:pPr>
        <w:jc w:val="center"/>
        <w:rPr>
          <w:b/>
          <w:bCs/>
          <w:sz w:val="28"/>
          <w:szCs w:val="24"/>
        </w:rPr>
      </w:pPr>
    </w:p>
    <w:p w14:paraId="65715D15" w14:textId="2B836FFB" w:rsidR="002F37A8" w:rsidRPr="002F37A8" w:rsidRDefault="007E7FCC" w:rsidP="002F37A8">
      <w:pPr>
        <w:jc w:val="center"/>
        <w:rPr>
          <w:b/>
          <w:bCs/>
          <w:sz w:val="32"/>
          <w:szCs w:val="28"/>
        </w:rPr>
      </w:pPr>
      <w:r w:rsidRPr="007E7FCC">
        <w:rPr>
          <w:b/>
          <w:bCs/>
          <w:sz w:val="32"/>
          <w:szCs w:val="28"/>
        </w:rPr>
        <w:t xml:space="preserve">An Essay on Community Engagement project </w:t>
      </w:r>
      <w:r w:rsidRPr="007E7FCC">
        <w:rPr>
          <w:b/>
          <w:bCs/>
          <w:sz w:val="36"/>
          <w:szCs w:val="32"/>
        </w:rPr>
        <w:t>“</w:t>
      </w:r>
      <w:proofErr w:type="spellStart"/>
      <w:r w:rsidRPr="007E7FCC">
        <w:rPr>
          <w:b/>
          <w:bCs/>
          <w:sz w:val="32"/>
          <w:szCs w:val="28"/>
        </w:rPr>
        <w:t>FoodCycle</w:t>
      </w:r>
      <w:proofErr w:type="spellEnd"/>
      <w:r w:rsidRPr="007E7FCC">
        <w:rPr>
          <w:b/>
          <w:bCs/>
          <w:sz w:val="32"/>
          <w:szCs w:val="28"/>
        </w:rPr>
        <w:t xml:space="preserve"> Acton”</w:t>
      </w:r>
    </w:p>
    <w:p w14:paraId="0C2B417B" w14:textId="77777777" w:rsidR="002F37A8" w:rsidRDefault="002F37A8" w:rsidP="002F37A8">
      <w:pPr>
        <w:jc w:val="center"/>
        <w:rPr>
          <w:b/>
          <w:bCs/>
          <w:sz w:val="32"/>
          <w:szCs w:val="28"/>
        </w:rPr>
      </w:pPr>
    </w:p>
    <w:p w14:paraId="7E0F9B66" w14:textId="77777777" w:rsidR="002F37A8" w:rsidRPr="002F37A8" w:rsidRDefault="002F37A8" w:rsidP="002F37A8">
      <w:pPr>
        <w:jc w:val="center"/>
        <w:rPr>
          <w:b/>
          <w:bCs/>
          <w:sz w:val="32"/>
          <w:szCs w:val="28"/>
        </w:rPr>
      </w:pPr>
    </w:p>
    <w:p w14:paraId="1B9178B7" w14:textId="727BD45C" w:rsidR="006B4E86" w:rsidRDefault="002F37A8" w:rsidP="002F37A8">
      <w:pPr>
        <w:jc w:val="center"/>
        <w:rPr>
          <w:b/>
          <w:bCs/>
          <w:sz w:val="32"/>
          <w:szCs w:val="28"/>
        </w:rPr>
      </w:pPr>
      <w:r w:rsidRPr="002F37A8">
        <w:rPr>
          <w:b/>
          <w:bCs/>
          <w:sz w:val="32"/>
          <w:szCs w:val="28"/>
        </w:rPr>
        <w:t>Lecturer: Dr Molly Jack</w:t>
      </w:r>
    </w:p>
    <w:p w14:paraId="00DA7BEC" w14:textId="77777777" w:rsidR="006B4E86" w:rsidRDefault="006B4E86" w:rsidP="00F30274">
      <w:pPr>
        <w:jc w:val="center"/>
        <w:rPr>
          <w:b/>
          <w:bCs/>
          <w:sz w:val="32"/>
          <w:szCs w:val="28"/>
        </w:rPr>
      </w:pPr>
    </w:p>
    <w:p w14:paraId="58CA078D" w14:textId="77777777" w:rsidR="006B4E86" w:rsidRDefault="006B4E86" w:rsidP="00F30274">
      <w:pPr>
        <w:jc w:val="center"/>
        <w:rPr>
          <w:b/>
          <w:bCs/>
          <w:sz w:val="32"/>
          <w:szCs w:val="28"/>
        </w:rPr>
      </w:pPr>
    </w:p>
    <w:p w14:paraId="2AE761B6" w14:textId="15A30F02" w:rsidR="006B4E86" w:rsidRPr="002F37A8" w:rsidRDefault="006B4E86" w:rsidP="002F37A8">
      <w:pPr>
        <w:jc w:val="center"/>
        <w:rPr>
          <w:b/>
          <w:bCs/>
          <w:sz w:val="32"/>
          <w:szCs w:val="28"/>
        </w:rPr>
      </w:pPr>
      <w:r w:rsidRPr="00F30274">
        <w:rPr>
          <w:b/>
          <w:bCs/>
          <w:sz w:val="28"/>
          <w:szCs w:val="24"/>
        </w:rPr>
        <w:t>Student ID</w:t>
      </w:r>
      <w:r>
        <w:rPr>
          <w:b/>
          <w:bCs/>
          <w:sz w:val="28"/>
          <w:szCs w:val="24"/>
        </w:rPr>
        <w:t xml:space="preserve">: </w:t>
      </w:r>
      <w:r w:rsidR="002F37A8" w:rsidRPr="002F37A8">
        <w:rPr>
          <w:b/>
          <w:bCs/>
          <w:sz w:val="32"/>
          <w:szCs w:val="28"/>
        </w:rPr>
        <w:t>2027975</w:t>
      </w:r>
    </w:p>
    <w:p w14:paraId="7818467A" w14:textId="77777777" w:rsidR="002F37A8" w:rsidRPr="002F37A8" w:rsidRDefault="006B4E86" w:rsidP="002F37A8">
      <w:pPr>
        <w:jc w:val="center"/>
        <w:rPr>
          <w:b/>
          <w:bCs/>
          <w:sz w:val="32"/>
          <w:szCs w:val="28"/>
        </w:rPr>
      </w:pPr>
      <w:r>
        <w:rPr>
          <w:b/>
          <w:bCs/>
          <w:sz w:val="28"/>
          <w:szCs w:val="24"/>
        </w:rPr>
        <w:t xml:space="preserve">Student Name: </w:t>
      </w:r>
      <w:r w:rsidR="002F37A8" w:rsidRPr="002F37A8">
        <w:rPr>
          <w:b/>
          <w:bCs/>
          <w:sz w:val="32"/>
          <w:szCs w:val="28"/>
        </w:rPr>
        <w:t xml:space="preserve">Shah Fahim Ahmed </w:t>
      </w:r>
    </w:p>
    <w:p w14:paraId="099C55EB" w14:textId="5654AEA7" w:rsidR="006B4E86" w:rsidRDefault="006B4E86" w:rsidP="006B4E86">
      <w:pPr>
        <w:jc w:val="center"/>
        <w:rPr>
          <w:b/>
          <w:bCs/>
          <w:sz w:val="28"/>
          <w:szCs w:val="24"/>
        </w:rPr>
      </w:pPr>
    </w:p>
    <w:p w14:paraId="1AE3A96C" w14:textId="77777777" w:rsidR="006B4E86" w:rsidRPr="007E7FCC" w:rsidRDefault="006B4E86" w:rsidP="00F30274">
      <w:pPr>
        <w:jc w:val="center"/>
        <w:rPr>
          <w:b/>
          <w:bCs/>
          <w:sz w:val="32"/>
          <w:szCs w:val="28"/>
        </w:rPr>
      </w:pPr>
    </w:p>
    <w:p w14:paraId="7ABB5D70" w14:textId="77777777" w:rsidR="00F30274" w:rsidRDefault="00F30274" w:rsidP="00A95DC7">
      <w:pPr>
        <w:spacing w:line="259" w:lineRule="auto"/>
        <w:jc w:val="left"/>
      </w:pPr>
    </w:p>
    <w:p w14:paraId="72E61B79" w14:textId="77777777" w:rsidR="00A95DC7" w:rsidRDefault="00A95DC7" w:rsidP="00A95DC7">
      <w:pPr>
        <w:spacing w:line="259" w:lineRule="auto"/>
        <w:jc w:val="left"/>
      </w:pPr>
    </w:p>
    <w:p w14:paraId="08492709" w14:textId="255117ED" w:rsidR="00A95DC7" w:rsidRDefault="00A95DC7" w:rsidP="00A95DC7">
      <w:pPr>
        <w:spacing w:line="259" w:lineRule="auto"/>
        <w:jc w:val="left"/>
        <w:sectPr w:rsidR="00A95DC7">
          <w:pgSz w:w="12240" w:h="15840"/>
          <w:pgMar w:top="1440" w:right="1440" w:bottom="1440" w:left="1440" w:header="720" w:footer="720" w:gutter="0"/>
          <w:cols w:space="720"/>
          <w:docGrid w:linePitch="360"/>
        </w:sectPr>
      </w:pPr>
    </w:p>
    <w:p w14:paraId="35EF727E" w14:textId="77777777" w:rsidR="00805C79" w:rsidRDefault="00805C79"/>
    <w:p w14:paraId="4F0D693D" w14:textId="26BB047E" w:rsidR="008974C7" w:rsidRDefault="008974C7" w:rsidP="00272CC9">
      <w:pPr>
        <w:pStyle w:val="Heading1"/>
      </w:pPr>
      <w:r>
        <w:lastRenderedPageBreak/>
        <w:t>Introduction</w:t>
      </w:r>
    </w:p>
    <w:p w14:paraId="060C7A31" w14:textId="2AF9E84D" w:rsidR="008974C7" w:rsidRDefault="00BE2FFC" w:rsidP="00BE2FFC">
      <w:r>
        <w:t xml:space="preserve">Connecting with the community is crucial for promoting sustainable social development projects with meaningful impact. The paper will discuss </w:t>
      </w:r>
      <w:proofErr w:type="spellStart"/>
      <w:r>
        <w:t>FoodCycle</w:t>
      </w:r>
      <w:proofErr w:type="spellEnd"/>
      <w:r>
        <w:t xml:space="preserve"> Acton, a social development project at Acton Gardens Community Centre in the UK</w:t>
      </w:r>
      <w:r w:rsidR="009E4A10">
        <w:t xml:space="preserve"> </w:t>
      </w:r>
      <w:r w:rsidR="00F30274">
        <w:fldChar w:fldCharType="begin"/>
      </w:r>
      <w:r w:rsidR="00F30274">
        <w:instrText xml:space="preserve"> ADDIN ZOTERO_ITEM CSL_CITATION {"citationID":"aFPK8uWA","properties":{"formattedCitation":"(FoodCycle Action, 2023)","plainCitation":"(FoodCycle Action, 2023)","noteIndex":0},"citationItems":[{"id":1414,"uris":["http://zotero.org/users/11937150/items/GJI62XN9"],"itemData":{"id":1414,"type":"webpage","title":"FoodCycle Acton - Acton Gardens Community Centre - Do Something Good","URL":"https://www.dosomethinggood.org.uk/project/foodcycle-acton-acton-gardens-community-centre/","author":[{"family":"FoodCycle Action","given":""}],"accessed":{"date-parts":[["2023",12,12]]},"issued":{"date-parts":[["2023"]]}}}],"schema":"https://github.com/citation-style-language/schema/raw/master/csl-citation.json"} </w:instrText>
      </w:r>
      <w:r w:rsidR="00F30274">
        <w:fldChar w:fldCharType="separate"/>
      </w:r>
      <w:r w:rsidR="00F30274" w:rsidRPr="00F30274">
        <w:rPr>
          <w:rFonts w:cs="Times New Roman"/>
        </w:rPr>
        <w:t>(FoodCycle Action, 2023)</w:t>
      </w:r>
      <w:r w:rsidR="00F30274">
        <w:fldChar w:fldCharType="end"/>
      </w:r>
      <w:r>
        <w:t xml:space="preserve">. The paper focuses on community engagement. The project helps people with food scarcity by getting volunteers to make and give out meals. This paper helps to understand the project better. The </w:t>
      </w:r>
      <w:r w:rsidR="00F30274">
        <w:t>essay</w:t>
      </w:r>
      <w:r>
        <w:t xml:space="preserve"> will also include objectives, target audience, and usage scenarios. It aims to assess community involvement and interaction. </w:t>
      </w:r>
      <w:r w:rsidR="00272CC9">
        <w:t>They</w:t>
      </w:r>
      <w:r>
        <w:t xml:space="preserve"> will analyse the areas with the most community involvement and the approaches used to uncover the strategies that led to the project's success. </w:t>
      </w:r>
      <w:r w:rsidR="00F30274">
        <w:t>The essay explores</w:t>
      </w:r>
      <w:r>
        <w:t xml:space="preserve"> community engagement in the planning process. After finishing the project, </w:t>
      </w:r>
      <w:r w:rsidR="00F30274">
        <w:t>the essay</w:t>
      </w:r>
      <w:r>
        <w:t xml:space="preserve"> will evaluate what </w:t>
      </w:r>
      <w:r w:rsidR="00272CC9">
        <w:t>They</w:t>
      </w:r>
      <w:r>
        <w:t xml:space="preserve"> learned and note its advantages, difficulties, and flexibility. </w:t>
      </w:r>
      <w:r w:rsidR="00272CC9">
        <w:t>They</w:t>
      </w:r>
      <w:r>
        <w:t xml:space="preserve"> will also outline </w:t>
      </w:r>
      <w:r w:rsidR="00272CC9">
        <w:t>their</w:t>
      </w:r>
      <w:r>
        <w:t xml:space="preserve"> post-project plan. It will include sustainability actions and knowledge dissemination. This paper will explore </w:t>
      </w:r>
      <w:proofErr w:type="spellStart"/>
      <w:r>
        <w:t>FoodCycle</w:t>
      </w:r>
      <w:proofErr w:type="spellEnd"/>
      <w:r>
        <w:t xml:space="preserve"> Acton through a narrative and investigation.</w:t>
      </w:r>
    </w:p>
    <w:p w14:paraId="66A0014F" w14:textId="77777777" w:rsidR="008974C7" w:rsidRDefault="008974C7"/>
    <w:p w14:paraId="5E611019" w14:textId="77777777" w:rsidR="00272CC9" w:rsidRDefault="00272CC9"/>
    <w:p w14:paraId="1BE0BF7C" w14:textId="77777777" w:rsidR="00272CC9" w:rsidRDefault="00272CC9"/>
    <w:p w14:paraId="6C509DB8" w14:textId="77777777" w:rsidR="00272CC9" w:rsidRDefault="00272CC9"/>
    <w:p w14:paraId="2ECFC12F" w14:textId="77777777" w:rsidR="00272CC9" w:rsidRDefault="00272CC9"/>
    <w:p w14:paraId="025F736A" w14:textId="77777777" w:rsidR="00272CC9" w:rsidRDefault="00272CC9"/>
    <w:p w14:paraId="545183CF" w14:textId="77777777" w:rsidR="00272CC9" w:rsidRDefault="00272CC9"/>
    <w:p w14:paraId="1A4B20C4" w14:textId="77777777" w:rsidR="00272CC9" w:rsidRDefault="00272CC9"/>
    <w:p w14:paraId="36890E6C" w14:textId="77777777" w:rsidR="00272CC9" w:rsidRDefault="00272CC9"/>
    <w:p w14:paraId="129CA187" w14:textId="77777777" w:rsidR="008974C7" w:rsidRDefault="008974C7"/>
    <w:p w14:paraId="3BEF75E3" w14:textId="77777777" w:rsidR="008974C7" w:rsidRDefault="008974C7"/>
    <w:p w14:paraId="1AE47716" w14:textId="2E53B354" w:rsidR="008974C7" w:rsidRDefault="00F14932" w:rsidP="00272CC9">
      <w:pPr>
        <w:pStyle w:val="Heading1"/>
      </w:pPr>
      <w:proofErr w:type="spellStart"/>
      <w:r>
        <w:lastRenderedPageBreak/>
        <w:t>Mainb</w:t>
      </w:r>
      <w:r w:rsidR="008974C7">
        <w:t>ody</w:t>
      </w:r>
      <w:proofErr w:type="spellEnd"/>
    </w:p>
    <w:p w14:paraId="7063A840" w14:textId="40925843" w:rsidR="00BE2FFC" w:rsidRDefault="00BE2FFC" w:rsidP="00A429BA">
      <w:r>
        <w:t xml:space="preserve">The </w:t>
      </w:r>
      <w:proofErr w:type="spellStart"/>
      <w:r>
        <w:t>FoodCycle</w:t>
      </w:r>
      <w:proofErr w:type="spellEnd"/>
      <w:r>
        <w:t xml:space="preserve"> Acton </w:t>
      </w:r>
      <w:r w:rsidR="00272CC9">
        <w:t xml:space="preserve">project </w:t>
      </w:r>
      <w:r>
        <w:t>is at Acton Gardens Community Centre. This project addresses food insecurity in the community. Volunteers help provide nutritious meals to those who have trouble accessing food. The project does more than provide meals. Its goal is to promote belonging, inclusivity, and skill enhancement for volunteers and those receiving assistance.</w:t>
      </w:r>
      <w:r w:rsidR="00AA1A9D">
        <w:t xml:space="preserve"> </w:t>
      </w:r>
      <w:r w:rsidR="00A429BA">
        <w:t xml:space="preserve"> </w:t>
      </w:r>
      <w:proofErr w:type="spellStart"/>
      <w:r w:rsidR="00A429BA">
        <w:t>FoodCycle</w:t>
      </w:r>
      <w:proofErr w:type="spellEnd"/>
      <w:r w:rsidR="00A429BA">
        <w:t xml:space="preserve"> Acton enhances activity. In addition to improving their culinary skills, community volunteers contribute to meal preparation by collaborating as a unit</w:t>
      </w:r>
      <w:r w:rsidR="00F30274">
        <w:t xml:space="preserve"> </w:t>
      </w:r>
      <w:r w:rsidR="00F30274">
        <w:fldChar w:fldCharType="begin"/>
      </w:r>
      <w:r w:rsidR="00F30274">
        <w:instrText xml:space="preserve"> ADDIN ZOTERO_ITEM CSL_CITATION {"citationID":"2Z8qGsYc","properties":{"formattedCitation":"(FoodCycle Action, 2023)","plainCitation":"(FoodCycle Action, 2023)","noteIndex":0},"citationItems":[{"id":1414,"uris":["http://zotero.org/users/11937150/items/GJI62XN9"],"itemData":{"id":1414,"type":"webpage","title":"FoodCycle Acton - Acton Gardens Community Centre - Do Something Good","URL":"https://www.dosomethinggood.org.uk/project/foodcycle-acton-acton-gardens-community-centre/","author":[{"family":"FoodCycle Action","given":""}],"accessed":{"date-parts":[["2023",12,12]]},"issued":{"date-parts":[["2023"]]}}}],"schema":"https://github.com/citation-style-language/schema/raw/master/csl-citation.json"} </w:instrText>
      </w:r>
      <w:r w:rsidR="00F30274">
        <w:fldChar w:fldCharType="separate"/>
      </w:r>
      <w:r w:rsidR="00F30274" w:rsidRPr="00F30274">
        <w:rPr>
          <w:rFonts w:cs="Times New Roman"/>
        </w:rPr>
        <w:t>(FoodCycle Action, 2023)</w:t>
      </w:r>
      <w:r w:rsidR="00F30274">
        <w:fldChar w:fldCharType="end"/>
      </w:r>
      <w:r w:rsidR="00A429BA">
        <w:t xml:space="preserve">. The initiative enables members of the community to effect substantial good. </w:t>
      </w:r>
      <w:r w:rsidR="009E4A10" w:rsidRPr="009E4A10">
        <w:t xml:space="preserve">The project upholds the principles of integrity, openness, and cooperation. To tailor the project to the needs of the community, collaborative decision-making is used. Numerous individuals and organisations have </w:t>
      </w:r>
      <w:r w:rsidR="009E4A10">
        <w:t>contributions</w:t>
      </w:r>
      <w:r w:rsidR="009E4A10" w:rsidRPr="009E4A10">
        <w:t xml:space="preserve"> on the project. </w:t>
      </w:r>
      <w:proofErr w:type="spellStart"/>
      <w:r w:rsidR="009E4A10" w:rsidRPr="009E4A10">
        <w:t>FoodCycle</w:t>
      </w:r>
      <w:proofErr w:type="spellEnd"/>
      <w:r w:rsidR="009E4A10" w:rsidRPr="009E4A10">
        <w:t xml:space="preserve"> Acton activities incorporate a variety of cultural perspectives. This approach promotes the integration of social and cultural dimensions</w:t>
      </w:r>
      <w:r w:rsidR="009E4A10">
        <w:t>. The project also prioritises</w:t>
      </w:r>
      <w:r w:rsidR="009E4A10" w:rsidRPr="009E4A10">
        <w:t xml:space="preserve"> the value of community diversity. </w:t>
      </w:r>
      <w:proofErr w:type="spellStart"/>
      <w:r w:rsidR="009E4A10" w:rsidRPr="009E4A10">
        <w:t>FoodCycle</w:t>
      </w:r>
      <w:proofErr w:type="spellEnd"/>
      <w:r w:rsidR="009E4A10" w:rsidRPr="009E4A10">
        <w:t xml:space="preserve"> Acton uses social media to expand its reach. People use social media platforms like Facebook, Twitter, and Instagram to exchange information with others in their community. By providing a common goal, these platforms improve community spaces and foster a sense of belonging and unity among members</w:t>
      </w:r>
      <w:r w:rsidR="00A429BA">
        <w:t>. The project facilitates community preparation for the future. Awareness-raising regarding matters that impact the community is the purpose of the initiative. Implementing this strategy facilitates community adaptation, opportunity capitalization, and sustainability contributions</w:t>
      </w:r>
      <w:r w:rsidR="00F30274">
        <w:t xml:space="preserve"> </w:t>
      </w:r>
      <w:r w:rsidR="00F30274">
        <w:fldChar w:fldCharType="begin"/>
      </w:r>
      <w:r w:rsidR="00F30274">
        <w:instrText xml:space="preserve"> ADDIN ZOTERO_ITEM CSL_CITATION {"citationID":"UqOm70Qx","properties":{"formattedCitation":"(Cyril {\\i{}et al.}, 2015)","plainCitation":"(Cyril et al., 2015)","noteIndex":0},"citationItems":[{"id":1394,"uris":["http://zotero.org/users/11937150/items/I96LENJZ"],"itemData":{"id":1394,"type":"article-journal","container-title":"Global Health Action","DOI":"10.3402/gha.v8.29842","ISSN":"1654-9716, 1654-9880","issue":"1","journalAbbreviation":"Global Health Action","language":"en","page":"29842","source":"DOI.org (Crossref)","title":"Exploring the role of community engagement in improving the health of disadvantaged populations: a systematic review","title-short":"Exploring the role of community engagement in improving the health of disadvantaged populations","volume":"8","author":[{"family":"Cyril","given":"Sheila"},{"family":"Smith","given":"Ben J."},{"family":"Possamai-Inesedy","given":"Alphia"},{"family":"Renzaho","given":"Andre M. N."}],"issued":{"date-parts":[["2015",12]]}}}],"schema":"https://github.com/citation-style-language/schema/raw/master/csl-citation.json"} </w:instrText>
      </w:r>
      <w:r w:rsidR="00F30274">
        <w:fldChar w:fldCharType="separate"/>
      </w:r>
      <w:r w:rsidR="00F30274" w:rsidRPr="00F30274">
        <w:rPr>
          <w:rFonts w:cs="Times New Roman"/>
          <w:kern w:val="0"/>
          <w:szCs w:val="24"/>
        </w:rPr>
        <w:t xml:space="preserve">(Cyril </w:t>
      </w:r>
      <w:r w:rsidR="00F30274" w:rsidRPr="00F30274">
        <w:rPr>
          <w:rFonts w:cs="Times New Roman"/>
          <w:i/>
          <w:iCs/>
          <w:kern w:val="0"/>
          <w:szCs w:val="24"/>
        </w:rPr>
        <w:t>et al.</w:t>
      </w:r>
      <w:r w:rsidR="00F30274" w:rsidRPr="00F30274">
        <w:rPr>
          <w:rFonts w:cs="Times New Roman"/>
          <w:kern w:val="0"/>
          <w:szCs w:val="24"/>
        </w:rPr>
        <w:t>, 2015)</w:t>
      </w:r>
      <w:r w:rsidR="00F30274">
        <w:fldChar w:fldCharType="end"/>
      </w:r>
      <w:r w:rsidR="00A429BA">
        <w:t>.</w:t>
      </w:r>
    </w:p>
    <w:p w14:paraId="3DC60C53" w14:textId="3A4728E9" w:rsidR="00272CC9" w:rsidRDefault="00BE2FFC" w:rsidP="00547A91">
      <w:r>
        <w:t xml:space="preserve">Primary stakeholders include volunteers, </w:t>
      </w:r>
      <w:r w:rsidR="00272CC9">
        <w:t>needy individuals</w:t>
      </w:r>
      <w:r>
        <w:t>, local businesses, and community groups. The project values diversity for making a lasting impact.</w:t>
      </w:r>
      <w:r w:rsidR="00272CC9">
        <w:t xml:space="preserve"> </w:t>
      </w:r>
      <w:proofErr w:type="spellStart"/>
      <w:r w:rsidR="00272CC9">
        <w:t>FoodCycle</w:t>
      </w:r>
      <w:proofErr w:type="spellEnd"/>
      <w:r w:rsidR="00272CC9">
        <w:t xml:space="preserve"> </w:t>
      </w:r>
      <w:r>
        <w:t>want</w:t>
      </w:r>
      <w:r w:rsidR="00272CC9">
        <w:t>s</w:t>
      </w:r>
      <w:r>
        <w:t xml:space="preserve"> to help people experiencing food insecurity by providing nutritious </w:t>
      </w:r>
      <w:r w:rsidR="00272CC9">
        <w:t>meals. Community</w:t>
      </w:r>
      <w:r>
        <w:t xml:space="preserve"> building fosters belonging and shared purpose among community members.</w:t>
      </w:r>
      <w:r w:rsidR="00272CC9">
        <w:t xml:space="preserve"> They</w:t>
      </w:r>
      <w:r>
        <w:t xml:space="preserve"> develop volunteer skills in cooking and teamwork.</w:t>
      </w:r>
      <w:r w:rsidR="00272CC9">
        <w:t xml:space="preserve"> </w:t>
      </w:r>
      <w:r>
        <w:t>Inclusion and clarity are important.</w:t>
      </w:r>
      <w:r w:rsidR="00272CC9">
        <w:t xml:space="preserve"> </w:t>
      </w:r>
      <w:r>
        <w:t>The project aims to involve community members in decision-making to consider different perspectives.</w:t>
      </w:r>
      <w:r w:rsidR="00272CC9">
        <w:t xml:space="preserve"> </w:t>
      </w:r>
      <w:r>
        <w:t xml:space="preserve">The project promotes clear and open communication to </w:t>
      </w:r>
      <w:r w:rsidR="00272CC9">
        <w:t>inform stakeholders</w:t>
      </w:r>
      <w:r>
        <w:t xml:space="preserve"> about activities and decisions</w:t>
      </w:r>
      <w:r w:rsidR="00F30274">
        <w:t xml:space="preserve"> </w:t>
      </w:r>
      <w:r w:rsidR="00F30274">
        <w:fldChar w:fldCharType="begin"/>
      </w:r>
      <w:r w:rsidR="00F30274">
        <w:instrText xml:space="preserve"> ADDIN ZOTERO_ITEM CSL_CITATION {"citationID":"FLZKlBcg","properties":{"formattedCitation":"(Cherney and Hartley, 2017)","plainCitation":"(Cherney and Hartley, 2017)","noteIndex":0},"citationItems":[{"id":1392,"uris":["http://zotero.org/users/11937150/items/QZIGCT2A"],"itemData":{"id":1392,"type":"article-journal","container-title":"Policing and Society","DOI":"10.1080/10439463.2015.1089871","ISSN":"1043-9463, 1477-2728","issue":"7","journalAbbreviation":"Policing and Society","language":"en","page":"750-763","source":"DOI.org (Crossref)","title":"Community engagement to tackle terrorism and violent extremism: challenges, tensions and pitfalls","title-short":"Community engagement to tackle terrorism and violent extremism","volume":"27","author":[{"family":"Cherney","given":"Adrian"},{"family":"Hartley","given":"Jason"}],"issued":{"date-parts":[["2017",10,3]]}}}],"schema":"https://github.com/citation-style-language/schema/raw/master/csl-citation.json"} </w:instrText>
      </w:r>
      <w:r w:rsidR="00F30274">
        <w:fldChar w:fldCharType="separate"/>
      </w:r>
      <w:r w:rsidR="00F30274" w:rsidRPr="00F30274">
        <w:rPr>
          <w:rFonts w:cs="Times New Roman"/>
        </w:rPr>
        <w:t>(Cherney and Hartley, 2017)</w:t>
      </w:r>
      <w:r w:rsidR="00F30274">
        <w:fldChar w:fldCharType="end"/>
      </w:r>
      <w:r>
        <w:t>.</w:t>
      </w:r>
      <w:r w:rsidR="00F30274">
        <w:t xml:space="preserve"> </w:t>
      </w:r>
      <w:r>
        <w:t xml:space="preserve">Collaboration and stakeholder participation are important in </w:t>
      </w:r>
      <w:r w:rsidR="00272CC9">
        <w:t>their</w:t>
      </w:r>
      <w:r>
        <w:t xml:space="preserve"> work. </w:t>
      </w:r>
      <w:r w:rsidR="00272CC9">
        <w:t>They</w:t>
      </w:r>
      <w:r>
        <w:t xml:space="preserve"> collaborate with the community to achieve </w:t>
      </w:r>
      <w:r w:rsidR="00272CC9">
        <w:t>their</w:t>
      </w:r>
      <w:r>
        <w:t xml:space="preserve"> goals. Teaming with local businesses and organisations broadens </w:t>
      </w:r>
      <w:r w:rsidR="00272CC9">
        <w:t>their</w:t>
      </w:r>
      <w:r>
        <w:t xml:space="preserve"> project's reach and impact.</w:t>
      </w:r>
      <w:r w:rsidR="00272CC9">
        <w:t xml:space="preserve"> </w:t>
      </w:r>
      <w:r w:rsidR="00547A91">
        <w:t xml:space="preserve">Stakeholders are volunteers, </w:t>
      </w:r>
      <w:r w:rsidR="00272CC9">
        <w:t xml:space="preserve">needy </w:t>
      </w:r>
      <w:r w:rsidR="00547A91">
        <w:t xml:space="preserve">people, and local groups who work </w:t>
      </w:r>
      <w:r w:rsidR="00547A91">
        <w:lastRenderedPageBreak/>
        <w:t>together to form a cooperative network</w:t>
      </w:r>
      <w:r w:rsidR="00272CC9">
        <w:t>—t</w:t>
      </w:r>
      <w:r w:rsidR="00547A91">
        <w:t xml:space="preserve">his </w:t>
      </w:r>
      <w:r w:rsidR="00272CC9">
        <w:t>anchors</w:t>
      </w:r>
      <w:r w:rsidR="00547A91">
        <w:t xml:space="preserve"> collaboration and commitment</w:t>
      </w:r>
      <w:r w:rsidR="00F30274">
        <w:t xml:space="preserve"> </w:t>
      </w:r>
      <w:r w:rsidR="00F30274">
        <w:fldChar w:fldCharType="begin"/>
      </w:r>
      <w:r w:rsidR="00F30274">
        <w:instrText xml:space="preserve"> ADDIN ZOTERO_ITEM CSL_CITATION {"citationID":"j6kC0YOm","properties":{"formattedCitation":"(Chivite Cebolla, Jorge V\\uc0\\u225{}zquez and Chivite Cebolla, 2021)","plainCitation":"(Chivite Cebolla, Jorge Vázquez and Chivite Cebolla, 2021)","noteIndex":0},"citationItems":[{"id":695,"uris":["http://zotero.org/users/11937150/items/FKH6IH4Z"],"itemData":{"id":695,"type":"article-journal","abstract":"Abstract\n            The company at the service of today's society is reinventing itself to satisfy people's needs in a more efficient and adapted way. Globalization and digitization promote increasing interaction and new forms of economic organization such as collaborative economy. However, can it be understood that this new business model, more than others, has as its raison d'être in the search for the “common good”? A first approach suggests the presence of values related to collaboration between equals aiming at a common good. However, the possible existence of a profit motive and the labor relations framework in which certain activities are carried out have created a debate on their ethical qualification. In this context, considering 278 companies in the collaborative economy sector, the relationship between the concept of “common good” and the collaborative economy is analyzed, while examining whether these new realities have an explicit ethical intention (of search for goods for people). According to the results, it is not possible to assert that these platforms have an ethical concern, but it is observed that they are in line with the common good and implicitly contribute to the service of society.","container-title":"Business Ethics, the Environment &amp; Responsibility","DOI":"10.1111/beer.12339","ISSN":"2694-6416, 2694-6424","issue":"4","journalAbbreviation":"Business Ethics Env &amp; Resp","language":"en","page":"657-674","source":"DOI.org (Crossref)","title":"Collaborative economy, a society service? Involvement with ethics and the common good","title-short":"Collaborative economy, a society service?","volume":"30","author":[{"family":"Chivite Cebolla","given":"María Peana"},{"family":"Jorge Vázquez","given":"Javier"},{"family":"Chivite Cebolla","given":"Carmen Mª"}],"issued":{"date-parts":[["2021",10]]}}}],"schema":"https://github.com/citation-style-language/schema/raw/master/csl-citation.json"} </w:instrText>
      </w:r>
      <w:r w:rsidR="00F30274">
        <w:fldChar w:fldCharType="separate"/>
      </w:r>
      <w:r w:rsidR="00F30274" w:rsidRPr="00F30274">
        <w:rPr>
          <w:rFonts w:cs="Times New Roman"/>
          <w:kern w:val="0"/>
          <w:szCs w:val="24"/>
        </w:rPr>
        <w:t>(Chivite Cebolla, Jorge Vázquez and Chivite Cebolla, 2021)</w:t>
      </w:r>
      <w:r w:rsidR="00F30274">
        <w:fldChar w:fldCharType="end"/>
      </w:r>
      <w:r w:rsidR="00547A91">
        <w:t>.</w:t>
      </w:r>
      <w:r w:rsidR="00272CC9">
        <w:t xml:space="preserve"> </w:t>
      </w:r>
    </w:p>
    <w:p w14:paraId="5AE0957A" w14:textId="07C35B17" w:rsidR="00272CC9" w:rsidRDefault="00272CC9" w:rsidP="00272CC9">
      <w:r>
        <w:t>Valuing diversity is of utmost importance. The project greatly depends on the presence of cultural diversity. Within their community, there is a strong emphasis on appreciating and honouring diverse cultural backgrounds. They aim to foster inclusivity and demonstrate thoughtfulness towards individuals from diverse cultural backgrounds</w:t>
      </w:r>
      <w:r w:rsidR="00F30274">
        <w:t xml:space="preserve"> </w:t>
      </w:r>
      <w:r w:rsidR="00F30274">
        <w:fldChar w:fldCharType="begin"/>
      </w:r>
      <w:r w:rsidR="00F30274">
        <w:instrText xml:space="preserve"> ADDIN ZOTERO_ITEM CSL_CITATION {"citationID":"eJiZqyGR","properties":{"formattedCitation":"(Bolton {\\i{}et al.}, 2016)","plainCitation":"(Bolton et al., 2016)","noteIndex":0},"citationItems":[{"id":1389,"uris":["http://zotero.org/users/11937150/items/9RW6S7IG"],"itemData":{"id":1389,"type":"article-journal","container-title":"Journal of Public Health","issue":"1","note":"publisher: Oxford University Press","page":"115–121","source":"Google Scholar","title":"Community organizing and community health: piloting an innovative approach to community engagement applied to an early intervention project in South London","title-short":"Community organizing and community health","volume":"38","author":[{"family":"Bolton","given":"Matthew"},{"family":"Moore","given":"Imogen"},{"family":"Ferreira","given":"Ana"},{"family":"Day","given":"Crispin"},{"family":"Bolton","given":"Derek"}],"issued":{"date-parts":[["2016"]]}}}],"schema":"https://github.com/citation-style-language/schema/raw/master/csl-citation.json"} </w:instrText>
      </w:r>
      <w:r w:rsidR="00F30274">
        <w:fldChar w:fldCharType="separate"/>
      </w:r>
      <w:r w:rsidR="00F30274" w:rsidRPr="00F30274">
        <w:rPr>
          <w:rFonts w:cs="Times New Roman"/>
          <w:kern w:val="0"/>
          <w:szCs w:val="24"/>
        </w:rPr>
        <w:t xml:space="preserve">(Bolton </w:t>
      </w:r>
      <w:r w:rsidR="00F30274" w:rsidRPr="00F30274">
        <w:rPr>
          <w:rFonts w:cs="Times New Roman"/>
          <w:i/>
          <w:iCs/>
          <w:kern w:val="0"/>
          <w:szCs w:val="24"/>
        </w:rPr>
        <w:t>et al.</w:t>
      </w:r>
      <w:r w:rsidR="00F30274" w:rsidRPr="00F30274">
        <w:rPr>
          <w:rFonts w:cs="Times New Roman"/>
          <w:kern w:val="0"/>
          <w:szCs w:val="24"/>
        </w:rPr>
        <w:t>, 2016)</w:t>
      </w:r>
      <w:r w:rsidR="00F30274">
        <w:fldChar w:fldCharType="end"/>
      </w:r>
      <w:r>
        <w:t>. Collaborating with various individuals and organisations enhances their project by infusing different perspectives, and assistance.</w:t>
      </w:r>
      <w:r w:rsidR="00F30274">
        <w:t xml:space="preserve"> </w:t>
      </w:r>
      <w:r>
        <w:t>Skill development opportunities have the power to empower communities and drive progress. They offer chances for community members to enhance their abilities through skill development. Cooking lessons are offered to volunteers who express interest. The endeavour aims to aid individuals in making informed dietary selections. This provides them with a feeling of autonomy and empowerment.</w:t>
      </w:r>
      <w:r w:rsidR="00F30274">
        <w:t xml:space="preserve"> </w:t>
      </w:r>
      <w:r>
        <w:t xml:space="preserve">The project </w:t>
      </w:r>
      <w:r w:rsidR="00AE5BFD">
        <w:t>is adjusting</w:t>
      </w:r>
      <w:r>
        <w:t xml:space="preserve"> to the requirements of the local population. The project's activities can be customised to fulfil the community's requirements. Knowledge from challenges enables individuals to cultivate a flexible mindset and enhance their approach</w:t>
      </w:r>
      <w:r w:rsidR="00F30274">
        <w:t xml:space="preserve"> </w:t>
      </w:r>
      <w:r w:rsidR="00F30274">
        <w:fldChar w:fldCharType="begin"/>
      </w:r>
      <w:r w:rsidR="00F30274">
        <w:instrText xml:space="preserve"> ADDIN ZOTERO_ITEM CSL_CITATION {"citationID":"ceA4YHwQ","properties":{"formattedCitation":"(Geekiyanage, Fernando and Keraminiyage, 2020)","plainCitation":"(Geekiyanage, Fernando and Keraminiyage, 2020)","noteIndex":0},"citationItems":[{"id":1408,"uris":["http://zotero.org/users/11937150/items/8ABUDVLH"],"itemData":{"id":1408,"type":"article-journal","container-title":"International journal of disaster risk reduction","note":"publisher: Elsevier","page":"101847","source":"Google Scholar","title":"Assessing the state of the art in community engagement for participatory decision-making in disaster risk-sensitive urban development","volume":"51","author":[{"family":"Geekiyanage","given":"Devindi"},{"family":"Fernando","given":"Terrence"},{"family":"Keraminiyage","given":"Kaushal"}],"issued":{"date-parts":[["2020"]]}}}],"schema":"https://github.com/citation-style-language/schema/raw/master/csl-citation.json"} </w:instrText>
      </w:r>
      <w:r w:rsidR="00F30274">
        <w:fldChar w:fldCharType="separate"/>
      </w:r>
      <w:r w:rsidR="00F30274" w:rsidRPr="00F30274">
        <w:rPr>
          <w:rFonts w:cs="Times New Roman"/>
        </w:rPr>
        <w:t>(Geekiyanage, Fernando and Keraminiyage, 2020)</w:t>
      </w:r>
      <w:r w:rsidR="00F30274">
        <w:fldChar w:fldCharType="end"/>
      </w:r>
      <w:r>
        <w:t xml:space="preserve">. </w:t>
      </w:r>
    </w:p>
    <w:p w14:paraId="54E6B5B9" w14:textId="3EA1DA46" w:rsidR="00BE2FFC" w:rsidRDefault="00272CC9" w:rsidP="00BE2FFC">
      <w:r>
        <w:t>Success stories and volunteer testimonials are regularly posted on their Facebook page. This encourages increased engagement and substantial conversations within the community. The project utilises Twitter for its updates.</w:t>
      </w:r>
      <w:r w:rsidR="00BE2FFC">
        <w:t xml:space="preserve"> Twitter is used to share updates, engage with others, and reach a wider audience using hashtags.</w:t>
      </w:r>
      <w:r>
        <w:t xml:space="preserve"> </w:t>
      </w:r>
      <w:r w:rsidR="00BE2FFC">
        <w:t>Instagram has diverse pictures and videos of people doing exciting activities at different events.</w:t>
      </w:r>
      <w:r w:rsidR="00F30274">
        <w:t xml:space="preserve"> </w:t>
      </w:r>
      <w:r w:rsidR="00BE2FFC">
        <w:t>Community-led governance ensures community engagement and dedication.</w:t>
      </w:r>
      <w:r>
        <w:t xml:space="preserve"> </w:t>
      </w:r>
      <w:r w:rsidR="00BE2FFC">
        <w:t>Documenting effective methods and lessons learned facilitates knowledge sharing. It benefits future projects by learning from past experiences. Stakeholders can be involved in various ways in a  decision-making process</w:t>
      </w:r>
      <w:r w:rsidR="00F30274">
        <w:t xml:space="preserve"> </w:t>
      </w:r>
      <w:r w:rsidR="00F30274">
        <w:fldChar w:fldCharType="begin"/>
      </w:r>
      <w:r w:rsidR="00F30274">
        <w:instrText xml:space="preserve"> ADDIN ZOTERO_ITEM CSL_CITATION {"citationID":"98lDfIWz","properties":{"formattedCitation":"(Cook {\\i{}et al.}, 2013)","plainCitation":"(Cook et al., 2013)","noteIndex":0},"citationItems":[{"id":1150,"uris":["http://zotero.org/users/11937150/items/8R5HWMIS"],"itemData":{"id":1150,"type":"chapter","container-title":"Handbook of Social Psychology","event-place":"Dordrecht","ISBN":"978-94-007-6771-3","language":"en","note":"collection-title: Handbooks of Sociology and Social Research\nDOI: 10.1007/978-94-007-6772-0_3","page":"61-88","publisher":"Springer Netherlands","publisher-place":"Dordrecht","source":"DOI.org (Crossref)","title":"Social Exchange Theory","URL":"https://link.springer.com/10.1007/978-94-007-6772-0_3","editor":[{"family":"DeLamater","given":"John"},{"family":"Ward","given":"Amanda"}],"author":[{"family":"Cook","given":"Karen S."},{"family":"Cheshire","given":"Coye"},{"family":"Rice","given":"Eric R. W."},{"family":"Nakagawa","given":"Sandra"}],"accessed":{"date-parts":[["2023",12,4]]},"issued":{"date-parts":[["2013"]]}}}],"schema":"https://github.com/citation-style-language/schema/raw/master/csl-citation.json"} </w:instrText>
      </w:r>
      <w:r w:rsidR="00F30274">
        <w:fldChar w:fldCharType="separate"/>
      </w:r>
      <w:r w:rsidR="00F30274" w:rsidRPr="00F30274">
        <w:rPr>
          <w:rFonts w:cs="Times New Roman"/>
          <w:kern w:val="0"/>
          <w:szCs w:val="24"/>
        </w:rPr>
        <w:t xml:space="preserve">(Cook </w:t>
      </w:r>
      <w:r w:rsidR="00F30274" w:rsidRPr="00F30274">
        <w:rPr>
          <w:rFonts w:cs="Times New Roman"/>
          <w:i/>
          <w:iCs/>
          <w:kern w:val="0"/>
          <w:szCs w:val="24"/>
        </w:rPr>
        <w:t>et al.</w:t>
      </w:r>
      <w:r w:rsidR="00F30274" w:rsidRPr="00F30274">
        <w:rPr>
          <w:rFonts w:cs="Times New Roman"/>
          <w:kern w:val="0"/>
          <w:szCs w:val="24"/>
        </w:rPr>
        <w:t>, 2013)</w:t>
      </w:r>
      <w:r w:rsidR="00F30274">
        <w:fldChar w:fldCharType="end"/>
      </w:r>
      <w:r w:rsidR="00BE2FFC">
        <w:t xml:space="preserve">. </w:t>
      </w:r>
    </w:p>
    <w:p w14:paraId="3D713B14" w14:textId="2EE68C4E" w:rsidR="00BE2FFC" w:rsidRDefault="00272CC9" w:rsidP="00BE2FFC">
      <w:r>
        <w:t>The project</w:t>
      </w:r>
      <w:r w:rsidR="00BE2FFC">
        <w:t xml:space="preserve"> hold</w:t>
      </w:r>
      <w:r>
        <w:t>s</w:t>
      </w:r>
      <w:r w:rsidR="00BE2FFC">
        <w:t xml:space="preserve"> regular gatherings for the community.</w:t>
      </w:r>
      <w:r>
        <w:t xml:space="preserve"> </w:t>
      </w:r>
      <w:r w:rsidR="00BE2FFC">
        <w:t xml:space="preserve">Meetings facilitate collaboration and decision-making. </w:t>
      </w:r>
      <w:r w:rsidR="00547A91">
        <w:t xml:space="preserve">Volunteers and </w:t>
      </w:r>
      <w:r>
        <w:t>needy people are both</w:t>
      </w:r>
      <w:r w:rsidR="00547A91">
        <w:t xml:space="preserve"> included.</w:t>
      </w:r>
      <w:r>
        <w:t xml:space="preserve"> </w:t>
      </w:r>
      <w:r w:rsidR="00547A91">
        <w:t xml:space="preserve">Individuals come together to </w:t>
      </w:r>
      <w:r>
        <w:t>decide</w:t>
      </w:r>
      <w:r w:rsidR="00547A91">
        <w:t xml:space="preserve"> a group decision-making process.</w:t>
      </w:r>
      <w:r>
        <w:t xml:space="preserve"> </w:t>
      </w:r>
      <w:r w:rsidR="00547A91">
        <w:t>Stakeholders make decisions about meals, and events.</w:t>
      </w:r>
      <w:r>
        <w:t xml:space="preserve"> </w:t>
      </w:r>
      <w:r w:rsidR="00547A91">
        <w:t xml:space="preserve">Stakeholders </w:t>
      </w:r>
      <w:r>
        <w:t>can</w:t>
      </w:r>
      <w:r w:rsidR="00547A91">
        <w:t xml:space="preserve"> influence and feel ownership of the project.</w:t>
      </w:r>
      <w:r>
        <w:t xml:space="preserve"> They</w:t>
      </w:r>
      <w:r w:rsidR="00BE2FFC">
        <w:t xml:space="preserve"> can collaborate with local organisations to embrace diversity.</w:t>
      </w:r>
      <w:r w:rsidR="00F30274">
        <w:t xml:space="preserve"> </w:t>
      </w:r>
      <w:r w:rsidR="00BE2FFC">
        <w:t>Partnering with local businesses, NGOs, and community organisations provides extra support and res</w:t>
      </w:r>
      <w:r w:rsidR="00AE5BFD">
        <w:t>ources</w:t>
      </w:r>
      <w:r w:rsidR="00BE2FFC">
        <w:t xml:space="preserve"> for </w:t>
      </w:r>
      <w:r>
        <w:t>their</w:t>
      </w:r>
      <w:r w:rsidR="00BE2FFC">
        <w:t xml:space="preserve"> project.</w:t>
      </w:r>
      <w:r>
        <w:t xml:space="preserve"> </w:t>
      </w:r>
      <w:r w:rsidR="00BE2FFC">
        <w:t>Partnerships strengthen the project and create a collaborative network</w:t>
      </w:r>
      <w:r w:rsidR="00F30274">
        <w:t xml:space="preserve"> </w:t>
      </w:r>
      <w:r w:rsidR="00F30274">
        <w:fldChar w:fldCharType="begin"/>
      </w:r>
      <w:r w:rsidR="00F30274">
        <w:instrText xml:space="preserve"> ADDIN ZOTERO_ITEM CSL_CITATION {"citationID":"Tq77ffim","properties":{"formattedCitation":"(Questa {\\i{}et al.}, 2020)","plainCitation":"(Questa et al., 2020)","noteIndex":0},"citationItems":[{"id":1391,"uris":["http://zotero.org/users/11937150/items/NZFLRV9G"],"itemData":{"id":1391,"type":"article-journal","abstract":"Abstract\n            \n              Background\n              Community engagement (CE) interventions include a range of approaches to involve communities in the improvement of their health and wellbeing. Working with communities defined by location or some other shared interest, these interventions may be important in assisting equity and reach of communicable disease control (CDC) in low and lower-middle income countries (LLMIC). We conducted an umbrella review to identify approaches to CE in communicable disease control, effectiveness of these approaches, mechanisms and factors influencing success.\n            \n            \n              Methods\n              We included systematic reviews that: i) focussed on CE interventions; ii) involved adult community members; iii) included outcomes relevant to communicable diseases in LLMIC; iv) were written in English. Quantitative results were extracted and synthesised narratively. A qualitative synthesis process enabled identification of mechanisms of effect and influencing factors. We followed guidance from the Joanna Briggs Institute, assessed quality with the DARE tool and reported according to standard systematic review methodology.\n            \n            \n              Results\n              Thirteen systematic reviews of medium-to-high quality were identified between June and July 2017. Reviews covered the following outcomes: HIV and STIs (6); malaria (2); TB (1); child and maternal health (3) and mixed (1). Approaches included: CE through peer education and community health workers, community empowerment interventions and more general community participation or mobilisation. Techniques included sensitisation with the community and involvement in the identification of resources, intervention development and delivery. Evidence of effectiveness of CE on health outcomes was mixed and quality of primary studies variable. We found: i) significantly reduced neonatal mortality following women’s participatory learning and action groups; ii) significant reductions in HIV and other STIs with empowerment and mobilisation interventions with marginalised groups; iii) significant reductions in malaria incidence or prevalence in a small number of primary studies; iv) significant reductions in infant diarrhoea following community health worker interventions. Mechanisms of impact commonly occurred through social and behavioural processes, particularly: changing social norms, increasing social cohesion and social capacity. Factors influencing effectiveness of CE interventions included extent of population coverage, shared leadership and community control over outcomes.\n            \n            \n              Conclusion\n              Community engagement interventions may be effective in supporting CDC in LLMIC. Careful design of CE interventions appropriate to context, disease and community is vital.","container-title":"International Journal for Equity in Health","DOI":"10.1186/s12939-020-01169-5","ISSN":"1475-9276","issue":"1","journalAbbreviation":"Int J Equity Health","language":"en","page":"51","source":"DOI.org (Crossref)","title":"Community engagement interventions for communicable disease control in low- and lower- middle-income countries: evidence from a review of systematic reviews","title-short":"Community engagement interventions for communicable disease control in low- and lower- middle-income countries","volume":"19","author":[{"family":"Questa","given":"K."},{"family":"Das","given":"M."},{"family":"King","given":"R."},{"family":"Everitt","given":"M."},{"family":"Rassi","given":"C."},{"family":"Cartwright","given":"C."},{"family":"Ferdous","given":"T."},{"family":"Barua","given":"D."},{"family":"Putnis","given":"N."},{"family":"Snell","given":"A. C."},{"family":"Huque","given":"R."},{"family":"Newell","given":"J."},{"family":"Elsey","given":"H."}],"issued":{"date-parts":[["2020",12]]}}}],"schema":"https://github.com/citation-style-language/schema/raw/master/csl-citation.json"} </w:instrText>
      </w:r>
      <w:r w:rsidR="00F30274">
        <w:fldChar w:fldCharType="separate"/>
      </w:r>
      <w:r w:rsidR="00F30274" w:rsidRPr="00F30274">
        <w:rPr>
          <w:rFonts w:cs="Times New Roman"/>
          <w:kern w:val="0"/>
          <w:szCs w:val="24"/>
        </w:rPr>
        <w:t xml:space="preserve">(Questa </w:t>
      </w:r>
      <w:r w:rsidR="00F30274" w:rsidRPr="00F30274">
        <w:rPr>
          <w:rFonts w:cs="Times New Roman"/>
          <w:i/>
          <w:iCs/>
          <w:kern w:val="0"/>
          <w:szCs w:val="24"/>
        </w:rPr>
        <w:t>et al.</w:t>
      </w:r>
      <w:r w:rsidR="00F30274" w:rsidRPr="00F30274">
        <w:rPr>
          <w:rFonts w:cs="Times New Roman"/>
          <w:kern w:val="0"/>
          <w:szCs w:val="24"/>
        </w:rPr>
        <w:t>, 2020)</w:t>
      </w:r>
      <w:r w:rsidR="00F30274">
        <w:fldChar w:fldCharType="end"/>
      </w:r>
      <w:r w:rsidR="00BE2FFC">
        <w:t>.</w:t>
      </w:r>
    </w:p>
    <w:p w14:paraId="78A5C1EB" w14:textId="561FDFB6" w:rsidR="00BE2FFC" w:rsidRDefault="00272CC9" w:rsidP="00BE2FFC">
      <w:r>
        <w:lastRenderedPageBreak/>
        <w:t xml:space="preserve">The project emphasizes </w:t>
      </w:r>
      <w:r w:rsidR="00BE2FFC">
        <w:t>the significance of celebrating diverse cultures.</w:t>
      </w:r>
      <w:r>
        <w:t xml:space="preserve"> </w:t>
      </w:r>
      <w:r w:rsidR="00BE2FFC">
        <w:t>The project celebrates diverse cultures in the community.</w:t>
      </w:r>
      <w:r>
        <w:t xml:space="preserve"> </w:t>
      </w:r>
      <w:r w:rsidR="00BE2FFC">
        <w:t xml:space="preserve">The project organises cultural events and activities to </w:t>
      </w:r>
      <w:proofErr w:type="spellStart"/>
      <w:r w:rsidR="00BE2FFC">
        <w:t>hon</w:t>
      </w:r>
      <w:r>
        <w:t>or</w:t>
      </w:r>
      <w:proofErr w:type="spellEnd"/>
      <w:r w:rsidR="00BE2FFC">
        <w:t xml:space="preserve"> the contributions of different cultural groups.</w:t>
      </w:r>
      <w:r w:rsidR="00F30274">
        <w:t xml:space="preserve"> </w:t>
      </w:r>
      <w:r>
        <w:t xml:space="preserve">The project </w:t>
      </w:r>
      <w:r w:rsidR="00BE2FFC">
        <w:t>creat</w:t>
      </w:r>
      <w:r>
        <w:t>ed</w:t>
      </w:r>
      <w:r w:rsidR="00BE2FFC">
        <w:t xml:space="preserve"> an inclusive</w:t>
      </w:r>
      <w:r>
        <w:t xml:space="preserve"> environment</w:t>
      </w:r>
      <w:r w:rsidR="00BE2FFC">
        <w:t>.</w:t>
      </w:r>
      <w:r>
        <w:t xml:space="preserve"> </w:t>
      </w:r>
      <w:r w:rsidR="00BE2FFC">
        <w:t>The programme design considers social and cultural aspects to ensure inclusive participation and access.</w:t>
      </w:r>
      <w:r>
        <w:t xml:space="preserve"> They</w:t>
      </w:r>
      <w:r w:rsidR="00BE2FFC">
        <w:t xml:space="preserve"> respect and </w:t>
      </w:r>
      <w:r w:rsidR="00A95DC7">
        <w:t>honour</w:t>
      </w:r>
      <w:r>
        <w:t xml:space="preserve"> their</w:t>
      </w:r>
      <w:r w:rsidR="00BE2FFC">
        <w:t xml:space="preserve"> different cultures and individual preferences.</w:t>
      </w:r>
      <w:r>
        <w:t xml:space="preserve"> They</w:t>
      </w:r>
      <w:r w:rsidR="00BE2FFC">
        <w:t xml:space="preserve"> offer open workshops and training sessions for the community.</w:t>
      </w:r>
      <w:r>
        <w:t xml:space="preserve"> They</w:t>
      </w:r>
      <w:r w:rsidR="00BE2FFC">
        <w:t xml:space="preserve"> hold workshops to educate stakeholders on inclusivity and socio-cultural incorporation.</w:t>
      </w:r>
      <w:r>
        <w:t xml:space="preserve"> </w:t>
      </w:r>
      <w:r w:rsidR="00BE2FFC">
        <w:t>The training sessions help volunteers understand and appreciate diverse cultures</w:t>
      </w:r>
      <w:r w:rsidR="00F30274">
        <w:t xml:space="preserve"> </w:t>
      </w:r>
      <w:r w:rsidR="00F30274">
        <w:fldChar w:fldCharType="begin"/>
      </w:r>
      <w:r w:rsidR="00F30274">
        <w:instrText xml:space="preserve"> ADDIN ZOTERO_ITEM CSL_CITATION {"citationID":"sRtKDOWG","properties":{"formattedCitation":"(Nogu\\uc0\\u233{}s-Pedregal, 2012)","plainCitation":"(Nogués-Pedregal, 2012)","noteIndex":0},"citationItems":[{"id":252,"uris":["http://zotero.org/users/11937150/items/JHDIK8Y2"],"itemData":{"id":252,"type":"book","publisher":"Emerald Group Publishing Limited","source":"Google Scholar","title":"Culture and society in tourism contexts","author":[{"family":"Nogués-Pedregal","given":"A.-M."}],"issued":{"date-parts":[["2012"]]}}}],"schema":"https://github.com/citation-style-language/schema/raw/master/csl-citation.json"} </w:instrText>
      </w:r>
      <w:r w:rsidR="00F30274">
        <w:fldChar w:fldCharType="separate"/>
      </w:r>
      <w:r w:rsidR="00F30274" w:rsidRPr="00F30274">
        <w:rPr>
          <w:rFonts w:cs="Times New Roman"/>
          <w:kern w:val="0"/>
          <w:szCs w:val="24"/>
        </w:rPr>
        <w:t>(Nogués-Pedregal, 2012)</w:t>
      </w:r>
      <w:r w:rsidR="00F30274">
        <w:fldChar w:fldCharType="end"/>
      </w:r>
      <w:r w:rsidR="00BE2FFC">
        <w:t>.</w:t>
      </w:r>
    </w:p>
    <w:p w14:paraId="042E52C7" w14:textId="193EAE9E" w:rsidR="00BE2FFC" w:rsidRDefault="00272CC9" w:rsidP="00BE2FFC">
      <w:r>
        <w:t>The project</w:t>
      </w:r>
      <w:r w:rsidR="00BE2FFC">
        <w:t xml:space="preserve"> collaborate</w:t>
      </w:r>
      <w:r>
        <w:t>s</w:t>
      </w:r>
      <w:r w:rsidR="00BE2FFC">
        <w:t xml:space="preserve"> with multiple agencies.</w:t>
      </w:r>
      <w:r>
        <w:t xml:space="preserve"> </w:t>
      </w:r>
      <w:r w:rsidR="00BE2FFC">
        <w:t xml:space="preserve">Collaborating with local government is beneficial as it aligns </w:t>
      </w:r>
      <w:r>
        <w:t>their</w:t>
      </w:r>
      <w:r w:rsidR="00BE2FFC">
        <w:t xml:space="preserve"> goals with the community and facilitates access to financial support and res</w:t>
      </w:r>
      <w:r>
        <w:t>our</w:t>
      </w:r>
      <w:r w:rsidR="00BE2FFC">
        <w:t>ces.</w:t>
      </w:r>
      <w:r>
        <w:t xml:space="preserve"> </w:t>
      </w:r>
      <w:r w:rsidR="00BE2FFC">
        <w:t>Individuals participating in government-led projects enhance the project's reputation in community development.</w:t>
      </w:r>
      <w:r>
        <w:t xml:space="preserve"> </w:t>
      </w:r>
      <w:r w:rsidR="00BE2FFC">
        <w:t>Professional gatherings are events for networking and building professional connections.</w:t>
      </w:r>
      <w:r>
        <w:t xml:space="preserve"> </w:t>
      </w:r>
      <w:r w:rsidR="00BE2FFC">
        <w:t>Networking events are gatherings for collaboration and information exchange among individuals from different organisations</w:t>
      </w:r>
      <w:r w:rsidR="00F30274">
        <w:t xml:space="preserve"> </w:t>
      </w:r>
      <w:r w:rsidR="00F30274">
        <w:fldChar w:fldCharType="begin"/>
      </w:r>
      <w:r w:rsidR="00F30274">
        <w:instrText xml:space="preserve"> ADDIN ZOTERO_ITEM CSL_CITATION {"citationID":"BWKtCkvz","properties":{"formattedCitation":"(Chivite Cebolla, Jorge V\\uc0\\u225{}zquez and Chivite Cebolla, 2021)","plainCitation":"(Chivite Cebolla, Jorge Vázquez and Chivite Cebolla, 2021)","noteIndex":0},"citationItems":[{"id":695,"uris":["http://zotero.org/users/11937150/items/FKH6IH4Z"],"itemData":{"id":695,"type":"article-journal","abstract":"Abstract\n            The company at the service of today's society is reinventing itself to satisfy people's needs in a more efficient and adapted way. Globalization and digitization promote increasing interaction and new forms of economic organization such as collaborative economy. However, can it be understood that this new business model, more than others, has as its raison d'être in the search for the “common good”? A first approach suggests the presence of values related to collaboration between equals aiming at a common good. However, the possible existence of a profit motive and the labor relations framework in which certain activities are carried out have created a debate on their ethical qualification. In this context, considering 278 companies in the collaborative economy sector, the relationship between the concept of “common good” and the collaborative economy is analyzed, while examining whether these new realities have an explicit ethical intention (of search for goods for people). According to the results, it is not possible to assert that these platforms have an ethical concern, but it is observed that they are in line with the common good and implicitly contribute to the service of society.","container-title":"Business Ethics, the Environment &amp; Responsibility","DOI":"10.1111/beer.12339","ISSN":"2694-6416, 2694-6424","issue":"4","journalAbbreviation":"Business Ethics Env &amp; Resp","language":"en","page":"657-674","source":"DOI.org (Crossref)","title":"Collaborative economy, a society service? Involvement with ethics and the common good","title-short":"Collaborative economy, a society service?","volume":"30","author":[{"family":"Chivite Cebolla","given":"María Peana"},{"family":"Jorge Vázquez","given":"Javier"},{"family":"Chivite Cebolla","given":"Carmen Mª"}],"issued":{"date-parts":[["2021",10]]}}}],"schema":"https://github.com/citation-style-language/schema/raw/master/csl-citation.json"} </w:instrText>
      </w:r>
      <w:r w:rsidR="00F30274">
        <w:fldChar w:fldCharType="separate"/>
      </w:r>
      <w:r w:rsidR="00F30274" w:rsidRPr="00F30274">
        <w:rPr>
          <w:rFonts w:cs="Times New Roman"/>
          <w:kern w:val="0"/>
          <w:szCs w:val="24"/>
        </w:rPr>
        <w:t>(Chivite Cebolla, Jorge Vázquez and Chivite Cebolla, 2021)</w:t>
      </w:r>
      <w:r w:rsidR="00F30274">
        <w:fldChar w:fldCharType="end"/>
      </w:r>
      <w:r w:rsidR="00BE2FFC">
        <w:t>.</w:t>
      </w:r>
      <w:r>
        <w:t xml:space="preserve"> </w:t>
      </w:r>
    </w:p>
    <w:p w14:paraId="5CD670F5" w14:textId="55137DCB" w:rsidR="00BE2FFC" w:rsidRDefault="00DB0935" w:rsidP="00BE2FFC">
      <w:r w:rsidRPr="00DB0935">
        <w:t>Social media platforms are utilised for the project's work. Through social media, they are able to reach out to a wide variety of people and encourage dialogue. You can find the latest project news, upcoming events, and community discussions on the project's Facebook page. There is a lot of back-and-forth between volunteers and community people. You can connect with people and have conversations on Twitter. Twitter allows users to post updates and engage with a wider audience through the use of hashtags. Getting involved with popular topics can increase their online exposure.</w:t>
      </w:r>
      <w:r>
        <w:t xml:space="preserve"> </w:t>
      </w:r>
      <w:r w:rsidR="00BE2FFC">
        <w:t>Instagram is a photo and video</w:t>
      </w:r>
      <w:r w:rsidR="00272CC9">
        <w:t>-</w:t>
      </w:r>
      <w:r w:rsidR="00BE2FFC">
        <w:t>sharing platform.</w:t>
      </w:r>
      <w:r w:rsidR="00272CC9">
        <w:t xml:space="preserve"> </w:t>
      </w:r>
      <w:r w:rsidR="00BE2FFC">
        <w:t>Instagram uses visual storytelling to showcase the project's impact and influence.</w:t>
      </w:r>
      <w:r w:rsidR="00272CC9">
        <w:t xml:space="preserve"> </w:t>
      </w:r>
      <w:r w:rsidR="00BE2FFC">
        <w:t xml:space="preserve">To enhance </w:t>
      </w:r>
      <w:r w:rsidR="00272CC9">
        <w:t>their</w:t>
      </w:r>
      <w:r w:rsidR="00BE2FFC">
        <w:t xml:space="preserve"> online presence, share behind-the-scenes content, success stories, and visuals of community involvement</w:t>
      </w:r>
      <w:r w:rsidR="00F30274">
        <w:t xml:space="preserve"> </w:t>
      </w:r>
      <w:r w:rsidR="00F30274">
        <w:fldChar w:fldCharType="begin"/>
      </w:r>
      <w:r w:rsidR="00F30274">
        <w:instrText xml:space="preserve"> ADDIN ZOTERO_ITEM CSL_CITATION {"citationID":"U27vKL3f","properties":{"formattedCitation":"(Damico and Panos, 2018)","plainCitation":"(Damico and Panos, 2018)","noteIndex":0},"citationItems":[{"id":948,"uris":["http://zotero.org/users/11937150/items/5BJHE4EG"],"itemData":{"id":948,"type":"article-journal","abstract":"Civic media literacy entails understanding complex topics and events that are increasingly mediated by digital sources of information and where it can be challenging to evaluate the reliability merits of these sources. The goal of this study was to discern the ways undergraduate preservice social studies teachers with different climate change beliefs read and evaluated the reliability of four diverse Web sources about the complex socioscientific topic of climate change. Findings highlight clear alignment between most participants with climate change beliefs at either end of a beliefs continuum with less alignment for participants with climate change beliefs toward the middle of a continuum. Findings also point to the benefits of whole group deliberation to help participants more critically evaluate a Web source that opposed the scientific consensus about climate change. In an age of “alternative facts,” this study points to the importance of students and educators having opportunities to evaluate, discuss, and determine the credibility of a range of online sources.","container-title":"The Journal of Social Studies Research","DOI":"10.1016/j.jssr.2017.10.001","ISSN":"2352-2798, 0885-985X","issue":"4","journalAbbreviation":"The Journal of Social Studies Research","language":"en","page":"345-359","source":"DOI.org (Crossref)","title":"Civic media literacy as 21st century source work: Future social studies teachers examine web sources about climate change","title-short":"Civic media literacy as 21st century source work","volume":"42","author":[{"family":"Damico","given":"James S."},{"family":"Panos","given":"Alexandra"}],"issued":{"date-parts":[["2018",10]]}}}],"schema":"https://github.com/citation-style-language/schema/raw/master/csl-citation.json"} </w:instrText>
      </w:r>
      <w:r w:rsidR="00F30274">
        <w:fldChar w:fldCharType="separate"/>
      </w:r>
      <w:r w:rsidR="00F30274" w:rsidRPr="00F30274">
        <w:rPr>
          <w:rFonts w:cs="Times New Roman"/>
        </w:rPr>
        <w:t>(Damico and Panos, 2018)</w:t>
      </w:r>
      <w:r w:rsidR="00F30274">
        <w:fldChar w:fldCharType="end"/>
      </w:r>
      <w:r w:rsidR="00BE2FFC">
        <w:t>.</w:t>
      </w:r>
    </w:p>
    <w:p w14:paraId="61C15B62" w14:textId="19C0FB5F" w:rsidR="00272CC9" w:rsidRDefault="00272CC9" w:rsidP="00BE2FFC">
      <w:r>
        <w:t>The project u</w:t>
      </w:r>
      <w:r w:rsidR="00BE2FFC">
        <w:t>tili</w:t>
      </w:r>
      <w:r>
        <w:t>zes</w:t>
      </w:r>
      <w:r w:rsidR="00BE2FFC">
        <w:t xml:space="preserve"> online platforms for information sharing and conversations.</w:t>
      </w:r>
      <w:r>
        <w:t xml:space="preserve"> </w:t>
      </w:r>
      <w:r w:rsidR="00BE2FFC">
        <w:t>Social media platforms are like online forums for sharing thoughts and experiences.</w:t>
      </w:r>
      <w:r>
        <w:t xml:space="preserve"> </w:t>
      </w:r>
      <w:r w:rsidR="00BE2FFC">
        <w:t>Facebook polls and surveys gather opinions on project decisions.</w:t>
      </w:r>
      <w:r>
        <w:t xml:space="preserve"> </w:t>
      </w:r>
      <w:r w:rsidR="00BE2FFC">
        <w:t>Interactive and Q&amp;A sessions are offered.</w:t>
      </w:r>
      <w:r>
        <w:t xml:space="preserve"> </w:t>
      </w:r>
      <w:r w:rsidR="00BE2FFC">
        <w:t>Real-time interaction is possible during live sessions on Facebook or Instagram. Users can ask questions, express opinions, and get quick responses.</w:t>
      </w:r>
      <w:r>
        <w:t xml:space="preserve"> </w:t>
      </w:r>
      <w:r w:rsidR="00BE2FFC">
        <w:t>Q&amp;A sessions foster openness and honesty.</w:t>
      </w:r>
      <w:r>
        <w:t xml:space="preserve"> </w:t>
      </w:r>
      <w:r w:rsidR="00BE2FFC">
        <w:t xml:space="preserve">Outreach events are important to </w:t>
      </w:r>
      <w:r>
        <w:t>their</w:t>
      </w:r>
      <w:r w:rsidR="00BE2FFC">
        <w:t xml:space="preserve"> work. </w:t>
      </w:r>
      <w:r w:rsidR="00F30274">
        <w:t xml:space="preserve">The project has </w:t>
      </w:r>
      <w:r w:rsidR="00BE2FFC">
        <w:t xml:space="preserve">been working on my online marketing </w:t>
      </w:r>
      <w:r w:rsidR="00BE2FFC">
        <w:lastRenderedPageBreak/>
        <w:t>strategies.</w:t>
      </w:r>
      <w:r>
        <w:t xml:space="preserve"> </w:t>
      </w:r>
      <w:r w:rsidR="00BE2FFC">
        <w:t>Online campaigns gather internet support. Campaigns involve fundraisers and challenges.</w:t>
      </w:r>
      <w:r>
        <w:t xml:space="preserve"> </w:t>
      </w:r>
      <w:r w:rsidR="00BE2FFC">
        <w:t>Hashtags and shareable content enc</w:t>
      </w:r>
      <w:r>
        <w:t>our</w:t>
      </w:r>
      <w:r w:rsidR="00BE2FFC">
        <w:t>age people to share the message with friends.</w:t>
      </w:r>
      <w:r>
        <w:t xml:space="preserve"> </w:t>
      </w:r>
      <w:r w:rsidR="00BE2FFC">
        <w:t>Instagram uses visual content to showcase community participation.</w:t>
      </w:r>
      <w:r>
        <w:t xml:space="preserve"> </w:t>
      </w:r>
      <w:r w:rsidR="00BE2FFC">
        <w:t xml:space="preserve">Attractive pictures and interesting graphics enhance online presence and visual appeal. This makes it easier for others to share </w:t>
      </w:r>
      <w:r>
        <w:t>their</w:t>
      </w:r>
      <w:r w:rsidR="00BE2FFC">
        <w:t xml:space="preserve"> content.</w:t>
      </w:r>
      <w:r>
        <w:t xml:space="preserve"> They were </w:t>
      </w:r>
      <w:r w:rsidR="00BE2FFC">
        <w:t>proactive</w:t>
      </w:r>
      <w:r>
        <w:t>, which</w:t>
      </w:r>
      <w:r w:rsidR="00BE2FFC">
        <w:t xml:space="preserve"> means taking action </w:t>
      </w:r>
      <w:r w:rsidR="00F30274">
        <w:t xml:space="preserve">pre-emptively </w:t>
      </w:r>
      <w:r w:rsidR="00F30274">
        <w:fldChar w:fldCharType="begin"/>
      </w:r>
      <w:r w:rsidR="00F30274">
        <w:instrText xml:space="preserve"> ADDIN ZOTERO_ITEM CSL_CITATION {"citationID":"aaBwcDBq","properties":{"formattedCitation":"(Cyril {\\i{}et al.}, 2015)","plainCitation":"(Cyril et al., 2015)","noteIndex":0},"citationItems":[{"id":1394,"uris":["http://zotero.org/users/11937150/items/I96LENJZ"],"itemData":{"id":1394,"type":"article-journal","container-title":"Global Health Action","DOI":"10.3402/gha.v8.29842","ISSN":"1654-9716, 1654-9880","issue":"1","journalAbbreviation":"Global Health Action","language":"en","page":"29842","source":"DOI.org (Crossref)","title":"Exploring the role of community engagement in improving the health of disadvantaged populations: a systematic review","title-short":"Exploring the role of community engagement in improving the health of disadvantaged populations","volume":"8","author":[{"family":"Cyril","given":"Sheila"},{"family":"Smith","given":"Ben J."},{"family":"Possamai-Inesedy","given":"Alphia"},{"family":"Renzaho","given":"Andre M. N."}],"issued":{"date-parts":[["2015",12]]}}}],"schema":"https://github.com/citation-style-language/schema/raw/master/csl-citation.json"} </w:instrText>
      </w:r>
      <w:r w:rsidR="00F30274">
        <w:fldChar w:fldCharType="separate"/>
      </w:r>
      <w:r w:rsidR="00F30274" w:rsidRPr="00F30274">
        <w:rPr>
          <w:rFonts w:cs="Times New Roman"/>
          <w:kern w:val="0"/>
          <w:szCs w:val="24"/>
        </w:rPr>
        <w:t xml:space="preserve">(Cyril </w:t>
      </w:r>
      <w:r w:rsidR="00F30274" w:rsidRPr="00F30274">
        <w:rPr>
          <w:rFonts w:cs="Times New Roman"/>
          <w:i/>
          <w:iCs/>
          <w:kern w:val="0"/>
          <w:szCs w:val="24"/>
        </w:rPr>
        <w:t>et al.</w:t>
      </w:r>
      <w:r w:rsidR="00F30274" w:rsidRPr="00F30274">
        <w:rPr>
          <w:rFonts w:cs="Times New Roman"/>
          <w:kern w:val="0"/>
          <w:szCs w:val="24"/>
        </w:rPr>
        <w:t>, 2015)</w:t>
      </w:r>
      <w:r w:rsidR="00F30274">
        <w:fldChar w:fldCharType="end"/>
      </w:r>
      <w:r w:rsidR="00BE2FFC">
        <w:t xml:space="preserve">. </w:t>
      </w:r>
    </w:p>
    <w:p w14:paraId="005693BB" w14:textId="462A8EF3" w:rsidR="00547A91" w:rsidRDefault="00272CC9" w:rsidP="00547A91">
      <w:r>
        <w:t xml:space="preserve">The project was </w:t>
      </w:r>
      <w:r w:rsidR="00BE2FFC">
        <w:t>affected by internal and external factors.</w:t>
      </w:r>
      <w:r>
        <w:t xml:space="preserve"> </w:t>
      </w:r>
      <w:r w:rsidR="00BE2FFC">
        <w:t>There are many factors in a community. I have many assets and abilities.</w:t>
      </w:r>
      <w:r>
        <w:t xml:space="preserve"> They</w:t>
      </w:r>
      <w:r w:rsidR="00547A91">
        <w:t xml:space="preserve"> assess and solicit feedback from the community in order to maximise </w:t>
      </w:r>
      <w:r>
        <w:t>their</w:t>
      </w:r>
      <w:r w:rsidR="00547A91">
        <w:t xml:space="preserve"> strengths.</w:t>
      </w:r>
      <w:r>
        <w:t xml:space="preserve"> The project u</w:t>
      </w:r>
      <w:r w:rsidR="00547A91">
        <w:t>s</w:t>
      </w:r>
      <w:r>
        <w:t>es existing skills to help strengthen the community and promote</w:t>
      </w:r>
      <w:r w:rsidR="00547A91">
        <w:t xml:space="preserve"> long-term, sustainable development.</w:t>
      </w:r>
      <w:r w:rsidR="00F30274">
        <w:t xml:space="preserve"> </w:t>
      </w:r>
      <w:r>
        <w:t xml:space="preserve">The project </w:t>
      </w:r>
      <w:r w:rsidR="00547A91">
        <w:t>provide</w:t>
      </w:r>
      <w:r>
        <w:t>s</w:t>
      </w:r>
      <w:r w:rsidR="00547A91">
        <w:t xml:space="preserve"> </w:t>
      </w:r>
      <w:r>
        <w:t>their</w:t>
      </w:r>
      <w:r w:rsidR="00547A91">
        <w:t xml:space="preserve"> volunteers with ongoing training and opportunities to improve their skills.</w:t>
      </w:r>
      <w:r>
        <w:t xml:space="preserve"> The project a</w:t>
      </w:r>
      <w:r w:rsidR="00547A91">
        <w:t>ssist</w:t>
      </w:r>
      <w:r>
        <w:t>s</w:t>
      </w:r>
      <w:r w:rsidR="00547A91">
        <w:t xml:space="preserve"> volunteers in developing skills to respond to community needs.</w:t>
      </w:r>
      <w:r>
        <w:t xml:space="preserve"> </w:t>
      </w:r>
      <w:r w:rsidR="00547A91">
        <w:t>Economic and social trends are being studied.</w:t>
      </w:r>
      <w:r>
        <w:t xml:space="preserve"> </w:t>
      </w:r>
      <w:r w:rsidR="00547A91">
        <w:t>Being proactive entails staying informed about community trends.</w:t>
      </w:r>
      <w:r>
        <w:t xml:space="preserve"> </w:t>
      </w:r>
      <w:r w:rsidR="00547A91">
        <w:t xml:space="preserve">The project </w:t>
      </w:r>
      <w:r>
        <w:t>can make sound decisions and effectively respond</w:t>
      </w:r>
      <w:r w:rsidR="00547A91">
        <w:t xml:space="preserve"> to new challenges or opportunities</w:t>
      </w:r>
      <w:r w:rsidR="00F30274">
        <w:t xml:space="preserve"> </w:t>
      </w:r>
      <w:r w:rsidR="00F30274">
        <w:fldChar w:fldCharType="begin"/>
      </w:r>
      <w:r w:rsidR="00F30274">
        <w:instrText xml:space="preserve"> ADDIN ZOTERO_ITEM CSL_CITATION {"citationID":"Kxoe8s6g","properties":{"formattedCitation":"(Sewry {\\i{}et al.}, 2014)","plainCitation":"(Sewry et al., 2014)","noteIndex":0},"citationItems":[{"id":1403,"uris":["http://zotero.org/users/11937150/items/9BZ3MP6S"],"itemData":{"id":1403,"type":"article-journal","container-title":"Journal of Chemical Education","DOI":"10.1021/ed400495m","ISSN":"0021-9584, 1938-1328","issue":"10","journalAbbreviation":"J. Chem. Educ.","language":"en","page":"1611-1617","source":"DOI.org (Crossref)","title":"Offering Community Engagement Activities To Increase Chemistry Knowledge and Confidence for Teachers and Students","volume":"91","author":[{"family":"Sewry","given":"Joyce D."},{"family":"Glover","given":"Sarah R."},{"family":"Harrison","given":"Timothy G."},{"family":"Shallcross","given":"Dudley E."},{"family":"Ngcoza","given":"Kenneth M."}],"issued":{"date-parts":[["2014",10,14]]}}}],"schema":"https://github.com/citation-style-language/schema/raw/master/csl-citation.json"} </w:instrText>
      </w:r>
      <w:r w:rsidR="00F30274">
        <w:fldChar w:fldCharType="separate"/>
      </w:r>
      <w:r w:rsidR="00F30274" w:rsidRPr="00F30274">
        <w:rPr>
          <w:rFonts w:cs="Times New Roman"/>
          <w:kern w:val="0"/>
          <w:szCs w:val="24"/>
        </w:rPr>
        <w:t xml:space="preserve">(Sewry </w:t>
      </w:r>
      <w:r w:rsidR="00F30274" w:rsidRPr="00F30274">
        <w:rPr>
          <w:rFonts w:cs="Times New Roman"/>
          <w:i/>
          <w:iCs/>
          <w:kern w:val="0"/>
          <w:szCs w:val="24"/>
        </w:rPr>
        <w:t>et al.</w:t>
      </w:r>
      <w:r w:rsidR="00F30274" w:rsidRPr="00F30274">
        <w:rPr>
          <w:rFonts w:cs="Times New Roman"/>
          <w:kern w:val="0"/>
          <w:szCs w:val="24"/>
        </w:rPr>
        <w:t>, 2014)</w:t>
      </w:r>
      <w:r w:rsidR="00F30274">
        <w:fldChar w:fldCharType="end"/>
      </w:r>
      <w:r w:rsidR="00547A91">
        <w:t>.</w:t>
      </w:r>
    </w:p>
    <w:p w14:paraId="29B81567" w14:textId="54EFF058" w:rsidR="00547A91" w:rsidRDefault="00547A91" w:rsidP="00547A91">
      <w:r>
        <w:t>There are important policy updates available.</w:t>
      </w:r>
      <w:r w:rsidR="00272CC9">
        <w:t xml:space="preserve"> The project works</w:t>
      </w:r>
      <w:r>
        <w:t xml:space="preserve"> with </w:t>
      </w:r>
      <w:r w:rsidR="00272CC9">
        <w:t xml:space="preserve">the </w:t>
      </w:r>
      <w:r>
        <w:t>local government to stay up</w:t>
      </w:r>
      <w:r w:rsidR="00272CC9">
        <w:t>dated</w:t>
      </w:r>
      <w:r>
        <w:t xml:space="preserve"> on policy changes.</w:t>
      </w:r>
      <w:r w:rsidR="00272CC9">
        <w:t xml:space="preserve"> </w:t>
      </w:r>
      <w:r>
        <w:t>For maximum impact, align the project with policy changes and regulations.</w:t>
      </w:r>
      <w:r w:rsidR="00272CC9">
        <w:t xml:space="preserve"> They</w:t>
      </w:r>
      <w:r>
        <w:t xml:space="preserve"> use cutting-edge technologies to improve project management and reach a larger audience.</w:t>
      </w:r>
      <w:r w:rsidR="00272CC9">
        <w:t xml:space="preserve"> The project</w:t>
      </w:r>
      <w:r>
        <w:t xml:space="preserve"> improved the project by figuring out how to reach out to more people</w:t>
      </w:r>
      <w:r w:rsidR="00F30274">
        <w:t xml:space="preserve"> </w:t>
      </w:r>
      <w:r w:rsidR="00F30274">
        <w:fldChar w:fldCharType="begin"/>
      </w:r>
      <w:r w:rsidR="00F30274">
        <w:instrText xml:space="preserve"> ADDIN ZOTERO_ITEM CSL_CITATION {"citationID":"4Tyl549G","properties":{"formattedCitation":"(Preece, 2017)","plainCitation":"(Preece, 2017)","noteIndex":0},"citationItems":[{"id":1402,"uris":["http://zotero.org/users/11937150/items/5VI2R7CT"],"itemData":{"id":1402,"type":"book","publisher":"Springer","source":"Google Scholar","title":"University community engagement and lifelong learning: The Porous University","title-short":"University community engagement and lifelong learning","URL":"https://books.google.com/books?hl=en&amp;lr=&amp;id=Xa4sDwAAQBAJ&amp;oi=fnd&amp;pg=PR6&amp;dq=Community+Engagement+in+UK&amp;ots=k-EwuGnjiV&amp;sig=2KMLeSFdVxIzjQqIFLMBAE3mAWw","author":[{"family":"Preece","given":"Julia"}],"accessed":{"date-parts":[["2023",12,12]]},"issued":{"date-parts":[["2017"]]}}}],"schema":"https://github.com/citation-style-language/schema/raw/master/csl-citation.json"} </w:instrText>
      </w:r>
      <w:r w:rsidR="00F30274">
        <w:fldChar w:fldCharType="separate"/>
      </w:r>
      <w:r w:rsidR="00F30274" w:rsidRPr="00F30274">
        <w:rPr>
          <w:rFonts w:cs="Times New Roman"/>
        </w:rPr>
        <w:t>(Preece, 2017)</w:t>
      </w:r>
      <w:r w:rsidR="00F30274">
        <w:fldChar w:fldCharType="end"/>
      </w:r>
      <w:r>
        <w:t>.</w:t>
      </w:r>
      <w:r w:rsidR="00272CC9">
        <w:t>They</w:t>
      </w:r>
      <w:r>
        <w:t xml:space="preserve"> hold workshops to teach members of the community about project decision-making.</w:t>
      </w:r>
      <w:r w:rsidR="00272CC9">
        <w:t xml:space="preserve"> </w:t>
      </w:r>
      <w:r>
        <w:t>The community has become more involved and influential in the project.</w:t>
      </w:r>
      <w:r w:rsidR="00272CC9">
        <w:t xml:space="preserve"> </w:t>
      </w:r>
      <w:r>
        <w:t>Training sessions centred on the community.</w:t>
      </w:r>
      <w:r w:rsidR="00272CC9">
        <w:t xml:space="preserve"> </w:t>
      </w:r>
      <w:r>
        <w:t>As a result, community members can advocate for their own needs and effect positive change</w:t>
      </w:r>
      <w:r w:rsidR="00F30274">
        <w:t xml:space="preserve"> </w:t>
      </w:r>
      <w:r w:rsidR="00F30274">
        <w:fldChar w:fldCharType="begin"/>
      </w:r>
      <w:r w:rsidR="00F30274">
        <w:instrText xml:space="preserve"> ADDIN ZOTERO_ITEM CSL_CITATION {"citationID":"BGVQrgKa","properties":{"formattedCitation":"(McIlrath and Lyons, 2012)","plainCitation":"(McIlrath and Lyons, 2012)","noteIndex":0},"citationItems":[{"id":1404,"uris":["http://zotero.org/users/11937150/items/YINHZFRU"],"itemData":{"id":1404,"type":"book","publisher":"Springer","source":"Google Scholar","title":"Higher education and civic engagement: Comparative perspectives","title-short":"Higher education and civic engagement","URL":"https://books.google.com/books?hl=en&amp;lr=&amp;id=WdzFAAAAQBAJ&amp;oi=fnd&amp;pg=PP1&amp;dq=Community+Engagement+in+UK&amp;ots=i67D_3CThP&amp;sig=K61yXkbL2ySpZmx6SCAgyWTxMuw","author":[{"family":"McIlrath","given":"Lorraine"},{"family":"Lyons","given":"Ann"}],"accessed":{"date-parts":[["2023",12,12]]},"issued":{"date-parts":[["2012"]]}}}],"schema":"https://github.com/citation-style-language/schema/raw/master/csl-citation.json"} </w:instrText>
      </w:r>
      <w:r w:rsidR="00F30274">
        <w:fldChar w:fldCharType="separate"/>
      </w:r>
      <w:r w:rsidR="00F30274" w:rsidRPr="00F30274">
        <w:rPr>
          <w:rFonts w:cs="Times New Roman"/>
        </w:rPr>
        <w:t>(McIlrath and Lyons, 2012)</w:t>
      </w:r>
      <w:r w:rsidR="00F30274">
        <w:fldChar w:fldCharType="end"/>
      </w:r>
      <w:r>
        <w:t>.</w:t>
      </w:r>
    </w:p>
    <w:p w14:paraId="1D0294B3" w14:textId="2F3B2CF7" w:rsidR="00BE2FFC" w:rsidRDefault="00272CC9" w:rsidP="00BE2FFC">
      <w:r>
        <w:t>The project c</w:t>
      </w:r>
      <w:r w:rsidR="00547A91">
        <w:t>onsider</w:t>
      </w:r>
      <w:r>
        <w:t>s</w:t>
      </w:r>
      <w:r w:rsidR="00547A91">
        <w:t xml:space="preserve"> external factors to increase </w:t>
      </w:r>
      <w:r>
        <w:t>their</w:t>
      </w:r>
      <w:r w:rsidR="00547A91">
        <w:t xml:space="preserve"> flexibility.</w:t>
      </w:r>
      <w:r>
        <w:t xml:space="preserve"> </w:t>
      </w:r>
      <w:r w:rsidR="00547A91">
        <w:t>Through educational programmes, a proactive strategy targets external factors influencing community development.</w:t>
      </w:r>
      <w:r>
        <w:t xml:space="preserve"> They</w:t>
      </w:r>
      <w:r w:rsidR="00547A91">
        <w:t xml:space="preserve"> </w:t>
      </w:r>
      <w:r>
        <w:t>seek</w:t>
      </w:r>
      <w:r w:rsidR="00547A91">
        <w:t xml:space="preserve"> knowledgeable community members who can adapt to change and recover quickly from setbacks.</w:t>
      </w:r>
      <w:r>
        <w:t xml:space="preserve"> They</w:t>
      </w:r>
      <w:r w:rsidR="00547A91">
        <w:t xml:space="preserve"> must take proactive steps to foster a culture of continuous learning.</w:t>
      </w:r>
      <w:r>
        <w:t xml:space="preserve"> They</w:t>
      </w:r>
      <w:r w:rsidR="00547A91">
        <w:t xml:space="preserve"> require a flexible society that embraces change and innovation while also being long-term adaptable.</w:t>
      </w:r>
      <w:r>
        <w:t xml:space="preserve"> </w:t>
      </w:r>
      <w:r w:rsidR="00547A91">
        <w:t>Creating community boards is required to establish community-led governance.</w:t>
      </w:r>
      <w:r w:rsidR="00F30274">
        <w:t xml:space="preserve"> </w:t>
      </w:r>
      <w:r>
        <w:t>The project is s</w:t>
      </w:r>
      <w:r w:rsidR="00BE2FFC">
        <w:t>hifting to community-led governance structures.</w:t>
      </w:r>
      <w:r>
        <w:t xml:space="preserve"> </w:t>
      </w:r>
      <w:r w:rsidR="00BE2FFC">
        <w:t>Improved self-management in the community and lasting impact of the project, even without outside help.</w:t>
      </w:r>
      <w:r>
        <w:t xml:space="preserve"> The project is </w:t>
      </w:r>
      <w:r w:rsidR="00BE2FFC">
        <w:t xml:space="preserve">community leaders' </w:t>
      </w:r>
      <w:r w:rsidR="00BE2FFC">
        <w:lastRenderedPageBreak/>
        <w:t>skills and abilities.</w:t>
      </w:r>
      <w:r>
        <w:t xml:space="preserve"> The project is </w:t>
      </w:r>
      <w:r w:rsidR="00BE2FFC">
        <w:t>developing training programmes to empo</w:t>
      </w:r>
      <w:r>
        <w:t>we</w:t>
      </w:r>
      <w:r w:rsidR="00BE2FFC">
        <w:t xml:space="preserve">r individuals in </w:t>
      </w:r>
      <w:r>
        <w:t>their</w:t>
      </w:r>
      <w:r w:rsidR="00BE2FFC">
        <w:t xml:space="preserve"> community to enhance their leadership skills.</w:t>
      </w:r>
      <w:r>
        <w:t xml:space="preserve"> Their</w:t>
      </w:r>
      <w:r w:rsidR="00BE2FFC">
        <w:t xml:space="preserve"> skilled community leaders are dedicated to the project's long-term success</w:t>
      </w:r>
      <w:r w:rsidR="00F30274">
        <w:t xml:space="preserve"> </w:t>
      </w:r>
      <w:r w:rsidR="00F30274">
        <w:fldChar w:fldCharType="begin"/>
      </w:r>
      <w:r w:rsidR="00F30274">
        <w:instrText xml:space="preserve"> ADDIN ZOTERO_ITEM CSL_CITATION {"citationID":"aJi6INGD","properties":{"formattedCitation":"(Iverson and James, 2014)","plainCitation":"(Iverson and James, 2014)","noteIndex":0},"citationItems":[{"id":1405,"uris":["http://zotero.org/users/11937150/items/6LF358I7"],"itemData":{"id":1405,"type":"book","publisher":"Springer","source":"Google Scholar","title":"Feminist community engagement: Achieving praxis","title-short":"Feminist community engagement","author":[{"family":"Iverson","given":"Susan"},{"family":"James","given":"J."}],"issued":{"date-parts":[["2014"]]}}}],"schema":"https://github.com/citation-style-language/schema/raw/master/csl-citation.json"} </w:instrText>
      </w:r>
      <w:r w:rsidR="00F30274">
        <w:fldChar w:fldCharType="separate"/>
      </w:r>
      <w:r w:rsidR="00F30274" w:rsidRPr="00F30274">
        <w:rPr>
          <w:rFonts w:cs="Times New Roman"/>
        </w:rPr>
        <w:t>(Iverson and James, 2014)</w:t>
      </w:r>
      <w:r w:rsidR="00F30274">
        <w:fldChar w:fldCharType="end"/>
      </w:r>
      <w:r w:rsidR="00BE2FFC">
        <w:t>.</w:t>
      </w:r>
    </w:p>
    <w:p w14:paraId="29535D8A" w14:textId="1FD63D7C" w:rsidR="008974C7" w:rsidRDefault="00272CC9">
      <w:r>
        <w:t xml:space="preserve">The project </w:t>
      </w:r>
      <w:r w:rsidR="00BE2FFC">
        <w:t xml:space="preserve">want to share knowledge with </w:t>
      </w:r>
      <w:r>
        <w:t>people</w:t>
      </w:r>
      <w:r w:rsidR="00BE2FFC">
        <w:t xml:space="preserve">. </w:t>
      </w:r>
      <w:r>
        <w:t>The project has provided w</w:t>
      </w:r>
      <w:r w:rsidR="00BE2FFC">
        <w:t>ritten guides and instructional materials.</w:t>
      </w:r>
      <w:r>
        <w:t xml:space="preserve"> </w:t>
      </w:r>
      <w:r w:rsidR="00BE2FFC">
        <w:t xml:space="preserve">Anticipatory Methodology helps with project organisation and step tracking. It creates helpful </w:t>
      </w:r>
      <w:r>
        <w:t>direction</w:t>
      </w:r>
      <w:r w:rsidR="00BE2FFC">
        <w:t>s.</w:t>
      </w:r>
      <w:r>
        <w:t xml:space="preserve"> They</w:t>
      </w:r>
      <w:r w:rsidR="00BE2FFC">
        <w:t xml:space="preserve"> aim to simplify knowledge sharing for new volunteers and leaders to prevent any loss of important information.</w:t>
      </w:r>
      <w:r>
        <w:t xml:space="preserve"> The project i</w:t>
      </w:r>
      <w:r w:rsidR="00BE2FFC">
        <w:t>mplement</w:t>
      </w:r>
      <w:r>
        <w:t>ed</w:t>
      </w:r>
      <w:r w:rsidR="00BE2FFC">
        <w:t xml:space="preserve"> mentorship programmes to enc</w:t>
      </w:r>
      <w:r>
        <w:t>ourage</w:t>
      </w:r>
      <w:r w:rsidR="00BE2FFC">
        <w:t xml:space="preserve"> knowledge sharing bet</w:t>
      </w:r>
      <w:r>
        <w:t>we</w:t>
      </w:r>
      <w:r w:rsidR="00BE2FFC">
        <w:t>en experienced and new community members. This approach will support learning.</w:t>
      </w:r>
      <w:r>
        <w:t xml:space="preserve"> The project has </w:t>
      </w:r>
      <w:r w:rsidR="00BE2FFC">
        <w:t>create</w:t>
      </w:r>
      <w:r>
        <w:t>d</w:t>
      </w:r>
      <w:r w:rsidR="00BE2FFC">
        <w:t xml:space="preserve"> a collaborative learning environment for long-term success</w:t>
      </w:r>
      <w:r w:rsidR="00F30274">
        <w:t xml:space="preserve"> </w:t>
      </w:r>
      <w:r w:rsidR="00F30274">
        <w:fldChar w:fldCharType="begin"/>
      </w:r>
      <w:r w:rsidR="00F30274">
        <w:instrText xml:space="preserve"> ADDIN ZOTERO_ITEM CSL_CITATION {"citationID":"Ctz6iIOn","properties":{"formattedCitation":"(O\\uc0\\u8217{}Mara-Eves {\\i{}et al.}, 2015)","plainCitation":"(O’Mara-Eves et al., 2015)","noteIndex":0},"citationItems":[{"id":1400,"uris":["http://zotero.org/users/11937150/items/MW8V34K8"],"itemData":{"id":1400,"type":"article-journal","container-title":"BMC Public Health","DOI":"10.1186/s12889-015-1352-y","ISSN":"1471-2458","issue":"1","journalAbbreviation":"BMC Public Health","language":"en","page":"129","source":"DOI.org (Crossref)","title":"The effectiveness of community engagement in public health interventions for disadvantaged groups: a meta-analysis","title-short":"The effectiveness of community engagement in public health interventions for disadvantaged groups","volume":"15","author":[{"family":"O’Mara-Eves","given":"Alison"},{"family":"Brunton","given":"Ginny"},{"family":"Oliver","given":"Sandy"},{"family":"Kavanagh","given":"Josephine"},{"family":"Jamal","given":"Farah"},{"family":"Thomas","given":"James"}],"issued":{"date-parts":[["2015",12]]}}}],"schema":"https://github.com/citation-style-language/schema/raw/master/csl-citation.json"} </w:instrText>
      </w:r>
      <w:r w:rsidR="00F30274">
        <w:fldChar w:fldCharType="separate"/>
      </w:r>
      <w:r w:rsidR="00F30274" w:rsidRPr="00F30274">
        <w:rPr>
          <w:rFonts w:cs="Times New Roman"/>
          <w:kern w:val="0"/>
          <w:szCs w:val="24"/>
        </w:rPr>
        <w:t xml:space="preserve">(O’Mara-Eves </w:t>
      </w:r>
      <w:r w:rsidR="00F30274" w:rsidRPr="00F30274">
        <w:rPr>
          <w:rFonts w:cs="Times New Roman"/>
          <w:i/>
          <w:iCs/>
          <w:kern w:val="0"/>
          <w:szCs w:val="24"/>
        </w:rPr>
        <w:t>et al.</w:t>
      </w:r>
      <w:r w:rsidR="00F30274" w:rsidRPr="00F30274">
        <w:rPr>
          <w:rFonts w:cs="Times New Roman"/>
          <w:kern w:val="0"/>
          <w:szCs w:val="24"/>
        </w:rPr>
        <w:t>, 2015)</w:t>
      </w:r>
      <w:r w:rsidR="00F30274">
        <w:fldChar w:fldCharType="end"/>
      </w:r>
      <w:r w:rsidR="00BE2FFC">
        <w:t>.</w:t>
      </w:r>
      <w:r w:rsidR="00A95DC7">
        <w:t xml:space="preserve"> </w:t>
      </w:r>
    </w:p>
    <w:p w14:paraId="47EE4D88" w14:textId="77777777" w:rsidR="00A95DC7" w:rsidRDefault="00A95DC7"/>
    <w:p w14:paraId="41C41C36" w14:textId="77777777" w:rsidR="00A95DC7" w:rsidRDefault="00A95DC7"/>
    <w:p w14:paraId="5F6A890D" w14:textId="77777777" w:rsidR="00A95DC7" w:rsidRDefault="00A95DC7"/>
    <w:p w14:paraId="6C3E7FD7" w14:textId="77777777" w:rsidR="00A95DC7" w:rsidRDefault="00A95DC7"/>
    <w:p w14:paraId="132EF180" w14:textId="77777777" w:rsidR="00A95DC7" w:rsidRDefault="00A95DC7"/>
    <w:p w14:paraId="39458F5D" w14:textId="77777777" w:rsidR="00A95DC7" w:rsidRDefault="00A95DC7"/>
    <w:p w14:paraId="6D905E34" w14:textId="77777777" w:rsidR="00A95DC7" w:rsidRDefault="00A95DC7"/>
    <w:p w14:paraId="44E1DE81" w14:textId="77777777" w:rsidR="00A95DC7" w:rsidRDefault="00A95DC7"/>
    <w:p w14:paraId="345175EB" w14:textId="77777777" w:rsidR="00A95DC7" w:rsidRDefault="00A95DC7"/>
    <w:p w14:paraId="1E92685F" w14:textId="77777777" w:rsidR="00A95DC7" w:rsidRDefault="00A95DC7"/>
    <w:p w14:paraId="260E359B" w14:textId="77777777" w:rsidR="00A95DC7" w:rsidRDefault="00A95DC7"/>
    <w:p w14:paraId="391E3F1E" w14:textId="77777777" w:rsidR="00A95DC7" w:rsidRDefault="00A95DC7"/>
    <w:p w14:paraId="32750B93" w14:textId="77777777" w:rsidR="00A95DC7" w:rsidRDefault="00A95DC7"/>
    <w:p w14:paraId="5D8BDA75" w14:textId="77777777" w:rsidR="00A95DC7" w:rsidRDefault="00A95DC7"/>
    <w:p w14:paraId="4583AC8F" w14:textId="7D137686" w:rsidR="008974C7" w:rsidRDefault="008974C7" w:rsidP="00F30274">
      <w:pPr>
        <w:pStyle w:val="Heading1"/>
      </w:pPr>
      <w:r>
        <w:lastRenderedPageBreak/>
        <w:t>Conclusion</w:t>
      </w:r>
    </w:p>
    <w:p w14:paraId="595CA420" w14:textId="59489923" w:rsidR="008974C7" w:rsidRDefault="00BE2FFC" w:rsidP="00BE2FFC">
      <w:r w:rsidRPr="00BE2FFC">
        <w:t xml:space="preserve">The Acton Gardens Community Centre's </w:t>
      </w:r>
      <w:proofErr w:type="spellStart"/>
      <w:r w:rsidRPr="00BE2FFC">
        <w:t>FoodCycle</w:t>
      </w:r>
      <w:proofErr w:type="spellEnd"/>
      <w:r w:rsidRPr="00BE2FFC">
        <w:t xml:space="preserve"> Acton project successfully engages the community. The project's goal is to alleviate food scarcity. Inclusion, transparency, and collaboration are important to us. </w:t>
      </w:r>
      <w:r w:rsidR="00547A91" w:rsidRPr="00547A91">
        <w:t xml:space="preserve">The decision-making process involves volunteers, individuals seeking assistance, local businesses, and community organisations. They collaborate to ensure that everyone's input is valued, which makes them feel involved and accountable for the results. Individual involvement in the project improves the project's quality while </w:t>
      </w:r>
      <w:r w:rsidR="00272CC9">
        <w:t>empowering community members to contribute to their</w:t>
      </w:r>
      <w:r w:rsidR="00547A91" w:rsidRPr="00547A91">
        <w:t xml:space="preserve"> </w:t>
      </w:r>
      <w:r w:rsidR="00272CC9">
        <w:t>We</w:t>
      </w:r>
      <w:r w:rsidR="00547A91" w:rsidRPr="00547A91">
        <w:t xml:space="preserve">ll-being. </w:t>
      </w:r>
      <w:r w:rsidR="00272CC9">
        <w:t>Besides communication, the project effectively uses</w:t>
      </w:r>
      <w:r w:rsidR="00547A91" w:rsidRPr="00547A91">
        <w:t xml:space="preserve"> social media platforms such as Facebook, Twitter, and Instagram. </w:t>
      </w:r>
      <w:r w:rsidR="00AA1A9D" w:rsidRPr="00AA1A9D">
        <w:t>Digital platforms act as virtual gathering places</w:t>
      </w:r>
      <w:r w:rsidR="00AA1A9D">
        <w:t>. They</w:t>
      </w:r>
      <w:r w:rsidR="00AA1A9D" w:rsidRPr="00AA1A9D">
        <w:t xml:space="preserve"> allow people to connect and share knowledge. They can connect with and captivate a larger audience for their project by leveraging digital platforms. </w:t>
      </w:r>
      <w:proofErr w:type="spellStart"/>
      <w:r w:rsidR="00AA1A9D" w:rsidRPr="00AA1A9D">
        <w:t>FoodCycle</w:t>
      </w:r>
      <w:proofErr w:type="spellEnd"/>
      <w:r w:rsidR="00AA1A9D" w:rsidRPr="00AA1A9D">
        <w:t xml:space="preserve"> Acton </w:t>
      </w:r>
      <w:r w:rsidR="00AA1A9D">
        <w:t>proactively identifies and addresses</w:t>
      </w:r>
      <w:r w:rsidR="00AA1A9D" w:rsidRPr="00AA1A9D">
        <w:t xml:space="preserve"> the various factors that contribute to the community's growth. Being proactive is critical to ensuring the success of a project. It allows you to embrace flexibility and seize unexpected opportunities. An organised strategy, improved digital tactics, allocated training materials, and engaged stakeholders are all necessary for a project's success. The initiative will be better able to face future challenges if these strategies are put into action. For those who work in community service, </w:t>
      </w:r>
      <w:proofErr w:type="spellStart"/>
      <w:r w:rsidR="00AA1A9D" w:rsidRPr="00AA1A9D">
        <w:t>FoodCycle</w:t>
      </w:r>
      <w:proofErr w:type="spellEnd"/>
      <w:r w:rsidR="00AA1A9D" w:rsidRPr="00AA1A9D">
        <w:t xml:space="preserve"> Acton is a fantastic dining option. Modern and welcoming approaches are necessary for the plan's success. Participation in the initiative is encouraged in order to advance the goal of linked societies.</w:t>
      </w:r>
      <w:r w:rsidR="00A95DC7">
        <w:t xml:space="preserve"> </w:t>
      </w:r>
    </w:p>
    <w:p w14:paraId="7C9876F7" w14:textId="77777777" w:rsidR="00A95DC7" w:rsidRDefault="00A95DC7" w:rsidP="00BE2FFC"/>
    <w:p w14:paraId="577AAA28" w14:textId="77777777" w:rsidR="00A95DC7" w:rsidRDefault="00A95DC7" w:rsidP="00BE2FFC"/>
    <w:p w14:paraId="53591C5C" w14:textId="77777777" w:rsidR="00A95DC7" w:rsidRDefault="00A95DC7" w:rsidP="00BE2FFC"/>
    <w:p w14:paraId="09BB0AEF" w14:textId="77777777" w:rsidR="00A95DC7" w:rsidRDefault="00A95DC7" w:rsidP="00BE2FFC"/>
    <w:p w14:paraId="5FA7087B" w14:textId="77777777" w:rsidR="00A95DC7" w:rsidRDefault="00A95DC7" w:rsidP="00BE2FFC"/>
    <w:p w14:paraId="7D5AF4ED" w14:textId="77777777" w:rsidR="00A95DC7" w:rsidRDefault="00A95DC7" w:rsidP="00BE2FFC"/>
    <w:p w14:paraId="0C5AF08E" w14:textId="77777777" w:rsidR="00A95DC7" w:rsidRDefault="00A95DC7" w:rsidP="00BE2FFC"/>
    <w:p w14:paraId="6F497D6B" w14:textId="136987DC" w:rsidR="00F30274" w:rsidRDefault="00F30274" w:rsidP="00AF0AAA">
      <w:pPr>
        <w:pStyle w:val="Heading1"/>
      </w:pPr>
      <w:r>
        <w:lastRenderedPageBreak/>
        <w:t>References</w:t>
      </w:r>
    </w:p>
    <w:p w14:paraId="35F9525F" w14:textId="77777777" w:rsidR="00F30274" w:rsidRPr="00F30274" w:rsidRDefault="00F30274" w:rsidP="00F30274">
      <w:pPr>
        <w:ind w:left="1440" w:hanging="1440"/>
        <w:rPr>
          <w:lang w:val="en-US"/>
        </w:rPr>
      </w:pPr>
      <w:r w:rsidRPr="00F30274">
        <w:rPr>
          <w:lang w:val="en-US"/>
        </w:rPr>
        <w:t xml:space="preserve">Bernardo, M.A.C., Butcher, J. and Howard, P. (2012) ‘An international comparison of community engagement in higher education’, </w:t>
      </w:r>
      <w:r w:rsidRPr="00F30274">
        <w:rPr>
          <w:i/>
          <w:iCs/>
          <w:lang w:val="en-US"/>
        </w:rPr>
        <w:t>International journal of educational development</w:t>
      </w:r>
      <w:r w:rsidRPr="00F30274">
        <w:rPr>
          <w:lang w:val="en-US"/>
        </w:rPr>
        <w:t>, 32(1), pp. 187–192.</w:t>
      </w:r>
    </w:p>
    <w:p w14:paraId="38D9D0B1" w14:textId="77777777" w:rsidR="00F30274" w:rsidRPr="00F30274" w:rsidRDefault="00F30274" w:rsidP="00F30274">
      <w:pPr>
        <w:ind w:left="1440" w:hanging="1440"/>
        <w:rPr>
          <w:lang w:val="en-US"/>
        </w:rPr>
      </w:pPr>
      <w:r w:rsidRPr="00F30274">
        <w:rPr>
          <w:lang w:val="en-US"/>
        </w:rPr>
        <w:t xml:space="preserve">Bolton, M. </w:t>
      </w:r>
      <w:r w:rsidRPr="00F30274">
        <w:rPr>
          <w:i/>
          <w:iCs/>
          <w:lang w:val="en-US"/>
        </w:rPr>
        <w:t>et al.</w:t>
      </w:r>
      <w:r w:rsidRPr="00F30274">
        <w:rPr>
          <w:lang w:val="en-US"/>
        </w:rPr>
        <w:t xml:space="preserve"> (2016) ‘Community organizing and community health: piloting an innovative approach to community engagement applied to an early intervention project in South London’, </w:t>
      </w:r>
      <w:r w:rsidRPr="00F30274">
        <w:rPr>
          <w:i/>
          <w:iCs/>
          <w:lang w:val="en-US"/>
        </w:rPr>
        <w:t>Journal of Public Health</w:t>
      </w:r>
      <w:r w:rsidRPr="00F30274">
        <w:rPr>
          <w:lang w:val="en-US"/>
        </w:rPr>
        <w:t>, 38(1), pp. 115–121.</w:t>
      </w:r>
    </w:p>
    <w:p w14:paraId="1727E966" w14:textId="77777777" w:rsidR="00F30274" w:rsidRPr="00F30274" w:rsidRDefault="00F30274" w:rsidP="00F30274">
      <w:pPr>
        <w:ind w:left="1440" w:hanging="1440"/>
        <w:rPr>
          <w:lang w:val="en-US"/>
        </w:rPr>
      </w:pPr>
      <w:r w:rsidRPr="00F30274">
        <w:rPr>
          <w:lang w:val="en-US"/>
        </w:rPr>
        <w:t xml:space="preserve">Cherney, A. and Hartley, J. (2017) ‘Community engagement to tackle terrorism and violent extremism: challenges, tensions and pitfalls’, </w:t>
      </w:r>
      <w:r w:rsidRPr="00F30274">
        <w:rPr>
          <w:i/>
          <w:iCs/>
          <w:lang w:val="en-US"/>
        </w:rPr>
        <w:t>Policing and Society</w:t>
      </w:r>
      <w:r w:rsidRPr="00F30274">
        <w:rPr>
          <w:lang w:val="en-US"/>
        </w:rPr>
        <w:t xml:space="preserve">, 27(7), pp. 750–763. Available at: </w:t>
      </w:r>
      <w:hyperlink r:id="rId6" w:history="1">
        <w:r w:rsidRPr="00F30274">
          <w:rPr>
            <w:rStyle w:val="Hyperlink"/>
            <w:lang w:val="en-US"/>
          </w:rPr>
          <w:t>https://doi.org/10.1080/10439463.2015.1089871</w:t>
        </w:r>
      </w:hyperlink>
      <w:r w:rsidRPr="00F30274">
        <w:rPr>
          <w:lang w:val="en-US"/>
        </w:rPr>
        <w:t>.</w:t>
      </w:r>
    </w:p>
    <w:p w14:paraId="7131B263" w14:textId="77777777" w:rsidR="00F30274" w:rsidRPr="00F30274" w:rsidRDefault="00F30274" w:rsidP="00F30274">
      <w:pPr>
        <w:ind w:left="1440" w:hanging="1440"/>
        <w:rPr>
          <w:lang w:val="en-US"/>
        </w:rPr>
      </w:pPr>
      <w:r w:rsidRPr="00F30274">
        <w:rPr>
          <w:lang w:val="en-US"/>
        </w:rPr>
        <w:t xml:space="preserve">Cyril, S. </w:t>
      </w:r>
      <w:r w:rsidRPr="00F30274">
        <w:rPr>
          <w:i/>
          <w:iCs/>
          <w:lang w:val="en-US"/>
        </w:rPr>
        <w:t>et al.</w:t>
      </w:r>
      <w:r w:rsidRPr="00F30274">
        <w:rPr>
          <w:lang w:val="en-US"/>
        </w:rPr>
        <w:t xml:space="preserve"> (2015) ‘Exploring the role of community engagement in improving the health of disadvantaged populations: a systematic review’, </w:t>
      </w:r>
      <w:r w:rsidRPr="00F30274">
        <w:rPr>
          <w:i/>
          <w:iCs/>
          <w:lang w:val="en-US"/>
        </w:rPr>
        <w:t>Global Health Action</w:t>
      </w:r>
      <w:r w:rsidRPr="00F30274">
        <w:rPr>
          <w:lang w:val="en-US"/>
        </w:rPr>
        <w:t xml:space="preserve">, 8(1), p. 29842. Available at: </w:t>
      </w:r>
      <w:hyperlink r:id="rId7" w:history="1">
        <w:r w:rsidRPr="00F30274">
          <w:rPr>
            <w:rStyle w:val="Hyperlink"/>
            <w:lang w:val="en-US"/>
          </w:rPr>
          <w:t>https://doi.org/10.3402/gha.v8.29842</w:t>
        </w:r>
      </w:hyperlink>
      <w:r w:rsidRPr="00F30274">
        <w:rPr>
          <w:lang w:val="en-US"/>
        </w:rPr>
        <w:t>.</w:t>
      </w:r>
    </w:p>
    <w:p w14:paraId="1A9572FB" w14:textId="77777777" w:rsidR="00F30274" w:rsidRPr="00F30274" w:rsidRDefault="00F30274" w:rsidP="00F30274">
      <w:pPr>
        <w:ind w:left="1440" w:hanging="1440"/>
        <w:rPr>
          <w:lang w:val="en-US"/>
        </w:rPr>
      </w:pPr>
      <w:r w:rsidRPr="00F30274">
        <w:rPr>
          <w:lang w:val="en-US"/>
        </w:rPr>
        <w:t xml:space="preserve">Dare, M. (Lain), Schirmer, J. and </w:t>
      </w:r>
      <w:proofErr w:type="spellStart"/>
      <w:r w:rsidRPr="00F30274">
        <w:rPr>
          <w:lang w:val="en-US"/>
        </w:rPr>
        <w:t>Vanclay</w:t>
      </w:r>
      <w:proofErr w:type="spellEnd"/>
      <w:r w:rsidRPr="00F30274">
        <w:rPr>
          <w:lang w:val="en-US"/>
        </w:rPr>
        <w:t xml:space="preserve">, F. (2014) ‘Community engagement and social </w:t>
      </w:r>
      <w:proofErr w:type="spellStart"/>
      <w:r w:rsidRPr="00F30274">
        <w:rPr>
          <w:lang w:val="en-US"/>
        </w:rPr>
        <w:t>licence</w:t>
      </w:r>
      <w:proofErr w:type="spellEnd"/>
      <w:r w:rsidRPr="00F30274">
        <w:rPr>
          <w:lang w:val="en-US"/>
        </w:rPr>
        <w:t xml:space="preserve"> to operate’, </w:t>
      </w:r>
      <w:r w:rsidRPr="00F30274">
        <w:rPr>
          <w:i/>
          <w:iCs/>
          <w:lang w:val="en-US"/>
        </w:rPr>
        <w:t>Impact Assessment and Project Appraisal</w:t>
      </w:r>
      <w:r w:rsidRPr="00F30274">
        <w:rPr>
          <w:lang w:val="en-US"/>
        </w:rPr>
        <w:t xml:space="preserve">, 32(3), pp. 188–197. Available at: </w:t>
      </w:r>
      <w:hyperlink r:id="rId8" w:history="1">
        <w:r w:rsidRPr="00F30274">
          <w:rPr>
            <w:rStyle w:val="Hyperlink"/>
            <w:lang w:val="en-US"/>
          </w:rPr>
          <w:t>https://doi.org/10.1080/14615517.2014.927108</w:t>
        </w:r>
      </w:hyperlink>
      <w:r w:rsidRPr="00F30274">
        <w:rPr>
          <w:lang w:val="en-US"/>
        </w:rPr>
        <w:t>.</w:t>
      </w:r>
    </w:p>
    <w:p w14:paraId="7268DA20" w14:textId="77777777" w:rsidR="00F30274" w:rsidRPr="00F30274" w:rsidRDefault="00F30274" w:rsidP="00F30274">
      <w:pPr>
        <w:ind w:left="1440" w:hanging="1440"/>
        <w:rPr>
          <w:lang w:val="en-US"/>
        </w:rPr>
      </w:pPr>
      <w:r w:rsidRPr="00F30274">
        <w:rPr>
          <w:lang w:val="en-US"/>
        </w:rPr>
        <w:t xml:space="preserve">Durie, R., Lundy, C.A. and Wyatt, K. (2012) ‘Researching with communities: towards a </w:t>
      </w:r>
      <w:proofErr w:type="gramStart"/>
      <w:r w:rsidRPr="00F30274">
        <w:rPr>
          <w:lang w:val="en-US"/>
        </w:rPr>
        <w:t>leading edge</w:t>
      </w:r>
      <w:proofErr w:type="gramEnd"/>
      <w:r w:rsidRPr="00F30274">
        <w:rPr>
          <w:lang w:val="en-US"/>
        </w:rPr>
        <w:t xml:space="preserve"> theory and practice for community engagement’. Available at: </w:t>
      </w:r>
      <w:hyperlink r:id="rId9" w:history="1">
        <w:r w:rsidRPr="00F30274">
          <w:rPr>
            <w:rStyle w:val="Hyperlink"/>
            <w:lang w:val="en-US"/>
          </w:rPr>
          <w:t>https://ro.uow.edu.au/lhapapers/544/</w:t>
        </w:r>
      </w:hyperlink>
      <w:r w:rsidRPr="00F30274">
        <w:rPr>
          <w:lang w:val="en-US"/>
        </w:rPr>
        <w:t xml:space="preserve"> (Accessed: 12 December 2023).</w:t>
      </w:r>
    </w:p>
    <w:p w14:paraId="3B8500C0" w14:textId="77777777" w:rsidR="00F30274" w:rsidRPr="00F30274" w:rsidRDefault="00F30274" w:rsidP="00F30274">
      <w:pPr>
        <w:ind w:left="1440" w:hanging="1440"/>
        <w:rPr>
          <w:lang w:val="en-US"/>
        </w:rPr>
      </w:pPr>
      <w:proofErr w:type="spellStart"/>
      <w:r w:rsidRPr="00F30274">
        <w:rPr>
          <w:lang w:val="en-US"/>
        </w:rPr>
        <w:t>FoodCycle</w:t>
      </w:r>
      <w:proofErr w:type="spellEnd"/>
      <w:r w:rsidRPr="00F30274">
        <w:rPr>
          <w:lang w:val="en-US"/>
        </w:rPr>
        <w:t xml:space="preserve"> Action (2023) </w:t>
      </w:r>
      <w:proofErr w:type="spellStart"/>
      <w:r w:rsidRPr="00F30274">
        <w:rPr>
          <w:i/>
          <w:iCs/>
          <w:lang w:val="en-US"/>
        </w:rPr>
        <w:t>FoodCycle</w:t>
      </w:r>
      <w:proofErr w:type="spellEnd"/>
      <w:r w:rsidRPr="00F30274">
        <w:rPr>
          <w:i/>
          <w:iCs/>
          <w:lang w:val="en-US"/>
        </w:rPr>
        <w:t xml:space="preserve"> Acton - Acton Gardens Community Centre - Do Something Good</w:t>
      </w:r>
      <w:r w:rsidRPr="00F30274">
        <w:rPr>
          <w:lang w:val="en-US"/>
        </w:rPr>
        <w:t xml:space="preserve">. Available at: </w:t>
      </w:r>
      <w:hyperlink r:id="rId10" w:history="1">
        <w:r w:rsidRPr="00F30274">
          <w:rPr>
            <w:rStyle w:val="Hyperlink"/>
            <w:lang w:val="en-US"/>
          </w:rPr>
          <w:t>https://www.dosomethinggood.org.uk/project/foodcycle-acton-acton-gardens-community-centre/</w:t>
        </w:r>
      </w:hyperlink>
      <w:r w:rsidRPr="00F30274">
        <w:rPr>
          <w:lang w:val="en-US"/>
        </w:rPr>
        <w:t xml:space="preserve"> (Accessed: 12 December 2023).</w:t>
      </w:r>
    </w:p>
    <w:p w14:paraId="787A9ACA" w14:textId="77777777" w:rsidR="00F30274" w:rsidRPr="00F30274" w:rsidRDefault="00F30274" w:rsidP="00F30274">
      <w:pPr>
        <w:ind w:left="1440" w:hanging="1440"/>
        <w:rPr>
          <w:lang w:val="en-US"/>
        </w:rPr>
      </w:pPr>
      <w:proofErr w:type="spellStart"/>
      <w:r w:rsidRPr="00F30274">
        <w:rPr>
          <w:lang w:val="en-US"/>
        </w:rPr>
        <w:t>Geekiyanage</w:t>
      </w:r>
      <w:proofErr w:type="spellEnd"/>
      <w:r w:rsidRPr="00F30274">
        <w:rPr>
          <w:lang w:val="en-US"/>
        </w:rPr>
        <w:t xml:space="preserve">, D., Fernando, T. and </w:t>
      </w:r>
      <w:proofErr w:type="spellStart"/>
      <w:r w:rsidRPr="00F30274">
        <w:rPr>
          <w:lang w:val="en-US"/>
        </w:rPr>
        <w:t>Keraminiyage</w:t>
      </w:r>
      <w:proofErr w:type="spellEnd"/>
      <w:r w:rsidRPr="00F30274">
        <w:rPr>
          <w:lang w:val="en-US"/>
        </w:rPr>
        <w:t xml:space="preserve">, K. (2020) ‘Assessing the state of the art in community engagement for participatory decision-making in disaster risk-sensitive urban development’, </w:t>
      </w:r>
      <w:r w:rsidRPr="00F30274">
        <w:rPr>
          <w:i/>
          <w:iCs/>
          <w:lang w:val="en-US"/>
        </w:rPr>
        <w:t>International journal of disaster risk reduction</w:t>
      </w:r>
      <w:r w:rsidRPr="00F30274">
        <w:rPr>
          <w:lang w:val="en-US"/>
        </w:rPr>
        <w:t>, 51, p. 101847.</w:t>
      </w:r>
    </w:p>
    <w:p w14:paraId="12913DCF" w14:textId="77777777" w:rsidR="00F30274" w:rsidRPr="00F30274" w:rsidRDefault="00F30274" w:rsidP="00F30274">
      <w:pPr>
        <w:ind w:left="1440" w:hanging="1440"/>
        <w:rPr>
          <w:lang w:val="en-US"/>
        </w:rPr>
      </w:pPr>
      <w:r w:rsidRPr="00F30274">
        <w:rPr>
          <w:lang w:val="en-US"/>
        </w:rPr>
        <w:t xml:space="preserve">Iverson, S. and James, J. (2014) </w:t>
      </w:r>
      <w:r w:rsidRPr="00F30274">
        <w:rPr>
          <w:i/>
          <w:iCs/>
          <w:lang w:val="en-US"/>
        </w:rPr>
        <w:t>Feminist community engagement: Achieving praxis</w:t>
      </w:r>
      <w:r w:rsidRPr="00F30274">
        <w:rPr>
          <w:lang w:val="en-US"/>
        </w:rPr>
        <w:t>. Springer.</w:t>
      </w:r>
    </w:p>
    <w:p w14:paraId="68FCDC94" w14:textId="77777777" w:rsidR="00F30274" w:rsidRPr="00F30274" w:rsidRDefault="00F30274" w:rsidP="00F30274">
      <w:pPr>
        <w:ind w:left="1440" w:hanging="1440"/>
        <w:rPr>
          <w:lang w:val="en-US"/>
        </w:rPr>
      </w:pPr>
      <w:r w:rsidRPr="00F30274">
        <w:rPr>
          <w:lang w:val="en-US"/>
        </w:rPr>
        <w:lastRenderedPageBreak/>
        <w:t xml:space="preserve">Lawless, P. and Pearson, S. (2012) ‘Outcomes from Community Engagement in Urban Regeneration: Evidence from England’s New Deal for Communities </w:t>
      </w:r>
      <w:proofErr w:type="spellStart"/>
      <w:r w:rsidRPr="00F30274">
        <w:rPr>
          <w:lang w:val="en-US"/>
        </w:rPr>
        <w:t>Programme</w:t>
      </w:r>
      <w:proofErr w:type="spellEnd"/>
      <w:r w:rsidRPr="00F30274">
        <w:rPr>
          <w:lang w:val="en-US"/>
        </w:rPr>
        <w:t xml:space="preserve">’, </w:t>
      </w:r>
      <w:r w:rsidRPr="00F30274">
        <w:rPr>
          <w:i/>
          <w:iCs/>
          <w:lang w:val="en-US"/>
        </w:rPr>
        <w:t>Planning Theory &amp; Practice</w:t>
      </w:r>
      <w:r w:rsidRPr="00F30274">
        <w:rPr>
          <w:lang w:val="en-US"/>
        </w:rPr>
        <w:t xml:space="preserve">, 13(4), pp. 509–527. Available at: </w:t>
      </w:r>
      <w:hyperlink r:id="rId11" w:history="1">
        <w:r w:rsidRPr="00F30274">
          <w:rPr>
            <w:rStyle w:val="Hyperlink"/>
            <w:lang w:val="en-US"/>
          </w:rPr>
          <w:t>https://doi.org/10.1080/14649357.2012.728003</w:t>
        </w:r>
      </w:hyperlink>
      <w:r w:rsidRPr="00F30274">
        <w:rPr>
          <w:lang w:val="en-US"/>
        </w:rPr>
        <w:t>.</w:t>
      </w:r>
    </w:p>
    <w:p w14:paraId="47A70450" w14:textId="77777777" w:rsidR="00F30274" w:rsidRPr="00F30274" w:rsidRDefault="00F30274" w:rsidP="00F30274">
      <w:pPr>
        <w:ind w:left="1440" w:hanging="1440"/>
        <w:rPr>
          <w:lang w:val="en-US"/>
        </w:rPr>
      </w:pPr>
      <w:r w:rsidRPr="00F30274">
        <w:rPr>
          <w:lang w:val="en-US"/>
        </w:rPr>
        <w:t xml:space="preserve">McIlrath, L. and Lyons, A. (2012) </w:t>
      </w:r>
      <w:r w:rsidRPr="00F30274">
        <w:rPr>
          <w:i/>
          <w:iCs/>
          <w:lang w:val="en-US"/>
        </w:rPr>
        <w:t>Higher education and civic engagement: Comparative perspectives</w:t>
      </w:r>
      <w:r w:rsidRPr="00F30274">
        <w:rPr>
          <w:lang w:val="en-US"/>
        </w:rPr>
        <w:t xml:space="preserve">. Springer. Available at: </w:t>
      </w:r>
      <w:hyperlink r:id="rId12" w:history="1">
        <w:r w:rsidRPr="00F30274">
          <w:rPr>
            <w:rStyle w:val="Hyperlink"/>
            <w:lang w:val="en-US"/>
          </w:rPr>
          <w:t>https://books.google.com/books?hl=en&amp;lr=&amp;id=WdzFAAAAQBAJ&amp;oi=fnd&amp;pg=PP1&amp;dq=Community+Engagement+in+UK&amp;ots=i67D_3CThP&amp;sig=K61yXkbL2ySpZmx6SCAgyWTxMuw</w:t>
        </w:r>
      </w:hyperlink>
      <w:r w:rsidRPr="00F30274">
        <w:rPr>
          <w:lang w:val="en-US"/>
        </w:rPr>
        <w:t xml:space="preserve"> (Accessed: 12 December 2023).</w:t>
      </w:r>
    </w:p>
    <w:p w14:paraId="6D5D5623" w14:textId="77777777" w:rsidR="00F30274" w:rsidRPr="00F30274" w:rsidRDefault="00F30274" w:rsidP="00F30274">
      <w:pPr>
        <w:ind w:left="1440" w:hanging="1440"/>
        <w:rPr>
          <w:lang w:val="en-US"/>
        </w:rPr>
      </w:pPr>
      <w:r w:rsidRPr="00F30274">
        <w:rPr>
          <w:lang w:val="en-US"/>
        </w:rPr>
        <w:t xml:space="preserve">Moore, T. </w:t>
      </w:r>
      <w:r w:rsidRPr="00F30274">
        <w:rPr>
          <w:i/>
          <w:iCs/>
          <w:lang w:val="en-US"/>
        </w:rPr>
        <w:t>et al.</w:t>
      </w:r>
      <w:r w:rsidRPr="00F30274">
        <w:rPr>
          <w:lang w:val="en-US"/>
        </w:rPr>
        <w:t xml:space="preserve"> (2016) ‘Community engagement: A key strategy for improving outcomes for Australian families’, </w:t>
      </w:r>
      <w:r w:rsidRPr="00F30274">
        <w:rPr>
          <w:i/>
          <w:iCs/>
          <w:lang w:val="en-US"/>
        </w:rPr>
        <w:t>Government A, Studies AIOF, Australia CFC (eds) CFCA. Australia Australian Institute of Family Studies</w:t>
      </w:r>
      <w:r w:rsidRPr="00F30274">
        <w:rPr>
          <w:lang w:val="en-US"/>
        </w:rPr>
        <w:t xml:space="preserve"> [Preprint]. Available at: </w:t>
      </w:r>
      <w:hyperlink r:id="rId13" w:history="1">
        <w:r w:rsidRPr="00F30274">
          <w:rPr>
            <w:rStyle w:val="Hyperlink"/>
            <w:lang w:val="en-US"/>
          </w:rPr>
          <w:t>https://aifs.gov.au/resources/practice-guides/community-engagement</w:t>
        </w:r>
      </w:hyperlink>
      <w:r w:rsidRPr="00F30274">
        <w:rPr>
          <w:lang w:val="en-US"/>
        </w:rPr>
        <w:t xml:space="preserve"> (Accessed: 12 December 2023).</w:t>
      </w:r>
    </w:p>
    <w:p w14:paraId="30BE7E31" w14:textId="77777777" w:rsidR="00F30274" w:rsidRPr="00F30274" w:rsidRDefault="00F30274" w:rsidP="00F30274">
      <w:pPr>
        <w:ind w:left="1440" w:hanging="1440"/>
        <w:rPr>
          <w:lang w:val="en-US"/>
        </w:rPr>
      </w:pPr>
      <w:r w:rsidRPr="00F30274">
        <w:rPr>
          <w:lang w:val="en-US"/>
        </w:rPr>
        <w:t xml:space="preserve">O’Mara-Eves, A. </w:t>
      </w:r>
      <w:r w:rsidRPr="00F30274">
        <w:rPr>
          <w:i/>
          <w:iCs/>
          <w:lang w:val="en-US"/>
        </w:rPr>
        <w:t>et al.</w:t>
      </w:r>
      <w:r w:rsidRPr="00F30274">
        <w:rPr>
          <w:lang w:val="en-US"/>
        </w:rPr>
        <w:t xml:space="preserve"> (2013) ‘Community engagement to reduce inequalities in health: a systematic review, meta-analysis and economic analysis’, </w:t>
      </w:r>
      <w:r w:rsidRPr="00F30274">
        <w:rPr>
          <w:i/>
          <w:iCs/>
          <w:lang w:val="en-US"/>
        </w:rPr>
        <w:t>Public Health Research</w:t>
      </w:r>
      <w:r w:rsidRPr="00F30274">
        <w:rPr>
          <w:lang w:val="en-US"/>
        </w:rPr>
        <w:t xml:space="preserve">, 1(4). Available at: </w:t>
      </w:r>
      <w:hyperlink r:id="rId14" w:history="1">
        <w:r w:rsidRPr="00F30274">
          <w:rPr>
            <w:rStyle w:val="Hyperlink"/>
            <w:lang w:val="en-US"/>
          </w:rPr>
          <w:t>https://repository.uel.ac.uk/item/85w02</w:t>
        </w:r>
      </w:hyperlink>
      <w:r w:rsidRPr="00F30274">
        <w:rPr>
          <w:lang w:val="en-US"/>
        </w:rPr>
        <w:t xml:space="preserve"> (Accessed: 12 December 2023).</w:t>
      </w:r>
    </w:p>
    <w:p w14:paraId="16FBF2D9" w14:textId="77777777" w:rsidR="00F30274" w:rsidRPr="00F30274" w:rsidRDefault="00F30274" w:rsidP="00F30274">
      <w:pPr>
        <w:ind w:left="1440" w:hanging="1440"/>
        <w:rPr>
          <w:lang w:val="en-US"/>
        </w:rPr>
      </w:pPr>
      <w:r w:rsidRPr="00F30274">
        <w:rPr>
          <w:lang w:val="en-US"/>
        </w:rPr>
        <w:t xml:space="preserve">O’Mara-Eves, A. </w:t>
      </w:r>
      <w:r w:rsidRPr="00F30274">
        <w:rPr>
          <w:i/>
          <w:iCs/>
          <w:lang w:val="en-US"/>
        </w:rPr>
        <w:t>et al.</w:t>
      </w:r>
      <w:r w:rsidRPr="00F30274">
        <w:rPr>
          <w:lang w:val="en-US"/>
        </w:rPr>
        <w:t xml:space="preserve"> (2015) ‘The effectiveness of community engagement in public health interventions for disadvantaged groups: a meta-analysis’, </w:t>
      </w:r>
      <w:r w:rsidRPr="00F30274">
        <w:rPr>
          <w:i/>
          <w:iCs/>
          <w:lang w:val="en-US"/>
        </w:rPr>
        <w:t>BMC Public Health</w:t>
      </w:r>
      <w:r w:rsidRPr="00F30274">
        <w:rPr>
          <w:lang w:val="en-US"/>
        </w:rPr>
        <w:t xml:space="preserve">, 15(1), p. 129. Available at: </w:t>
      </w:r>
      <w:hyperlink r:id="rId15" w:history="1">
        <w:r w:rsidRPr="00F30274">
          <w:rPr>
            <w:rStyle w:val="Hyperlink"/>
            <w:lang w:val="en-US"/>
          </w:rPr>
          <w:t>https://doi.org/10.1186/s12889-015-1352-y</w:t>
        </w:r>
      </w:hyperlink>
      <w:r w:rsidRPr="00F30274">
        <w:rPr>
          <w:lang w:val="en-US"/>
        </w:rPr>
        <w:t>.</w:t>
      </w:r>
    </w:p>
    <w:p w14:paraId="5AA02887" w14:textId="77777777" w:rsidR="00F30274" w:rsidRPr="00F30274" w:rsidRDefault="00F30274" w:rsidP="00F30274">
      <w:pPr>
        <w:ind w:left="1440" w:hanging="1440"/>
        <w:rPr>
          <w:lang w:val="en-US"/>
        </w:rPr>
      </w:pPr>
      <w:proofErr w:type="spellStart"/>
      <w:r w:rsidRPr="00F30274">
        <w:rPr>
          <w:lang w:val="en-US"/>
        </w:rPr>
        <w:t>Onciul</w:t>
      </w:r>
      <w:proofErr w:type="spellEnd"/>
      <w:r w:rsidRPr="00F30274">
        <w:rPr>
          <w:lang w:val="en-US"/>
        </w:rPr>
        <w:t xml:space="preserve">, B. (2018) ‘Community engagement, Indigenous heritage and the complex figure of the curator: Foe, facilitator, friend or forsaken?’, in </w:t>
      </w:r>
      <w:proofErr w:type="spellStart"/>
      <w:r w:rsidRPr="00F30274">
        <w:rPr>
          <w:i/>
          <w:iCs/>
          <w:lang w:val="en-US"/>
        </w:rPr>
        <w:t>Curatopia</w:t>
      </w:r>
      <w:proofErr w:type="spellEnd"/>
      <w:r w:rsidRPr="00F30274">
        <w:rPr>
          <w:lang w:val="en-US"/>
        </w:rPr>
        <w:t xml:space="preserve">. Manchester University Press, pp. 159–175. Available at: </w:t>
      </w:r>
      <w:hyperlink r:id="rId16" w:history="1">
        <w:r w:rsidRPr="00F30274">
          <w:rPr>
            <w:rStyle w:val="Hyperlink"/>
            <w:lang w:val="en-US"/>
          </w:rPr>
          <w:t>https://www.manchesterhive.com/view/9781526118202/9781526118202.00019.xml</w:t>
        </w:r>
      </w:hyperlink>
      <w:r w:rsidRPr="00F30274">
        <w:rPr>
          <w:lang w:val="en-US"/>
        </w:rPr>
        <w:t xml:space="preserve"> (Accessed: 12 December 2023).</w:t>
      </w:r>
    </w:p>
    <w:p w14:paraId="4D3F97A3" w14:textId="77777777" w:rsidR="00F30274" w:rsidRPr="00F30274" w:rsidRDefault="00F30274" w:rsidP="00F30274">
      <w:pPr>
        <w:ind w:left="1440" w:hanging="1440"/>
        <w:rPr>
          <w:lang w:val="en-US"/>
        </w:rPr>
      </w:pPr>
      <w:r w:rsidRPr="00F30274">
        <w:rPr>
          <w:lang w:val="en-US"/>
        </w:rPr>
        <w:t xml:space="preserve">Preece, J. (2017) </w:t>
      </w:r>
      <w:r w:rsidRPr="00F30274">
        <w:rPr>
          <w:i/>
          <w:iCs/>
          <w:lang w:val="en-US"/>
        </w:rPr>
        <w:t>University community engagement and lifelong learning: The Porous University</w:t>
      </w:r>
      <w:r w:rsidRPr="00F30274">
        <w:rPr>
          <w:lang w:val="en-US"/>
        </w:rPr>
        <w:t xml:space="preserve">. Springer. Available at: </w:t>
      </w:r>
      <w:hyperlink r:id="rId17" w:history="1">
        <w:r w:rsidRPr="00F30274">
          <w:rPr>
            <w:rStyle w:val="Hyperlink"/>
            <w:lang w:val="en-US"/>
          </w:rPr>
          <w:t>https://books.google.com/books?hl=en&amp;lr=&amp;id=Xa4sDwAAQBAJ&amp;oi=fnd&amp;pg=</w:t>
        </w:r>
        <w:r w:rsidRPr="00F30274">
          <w:rPr>
            <w:rStyle w:val="Hyperlink"/>
            <w:lang w:val="en-US"/>
          </w:rPr>
          <w:lastRenderedPageBreak/>
          <w:t>PR6&amp;dq=Community+Engagement+in+UK&amp;ots=k-EwuGnjiV&amp;sig=2KMLeSFdVxIzjQqIFLMBAE3mAWw</w:t>
        </w:r>
      </w:hyperlink>
      <w:r w:rsidRPr="00F30274">
        <w:rPr>
          <w:lang w:val="en-US"/>
        </w:rPr>
        <w:t xml:space="preserve"> (Accessed: 12 December 2023).</w:t>
      </w:r>
    </w:p>
    <w:p w14:paraId="1BA924D4" w14:textId="77777777" w:rsidR="00F30274" w:rsidRPr="00F30274" w:rsidRDefault="00F30274" w:rsidP="00F30274">
      <w:pPr>
        <w:ind w:left="1440" w:hanging="1440"/>
        <w:rPr>
          <w:lang w:val="en-US"/>
        </w:rPr>
      </w:pPr>
      <w:r w:rsidRPr="00F30274">
        <w:rPr>
          <w:lang w:val="en-US"/>
        </w:rPr>
        <w:t xml:space="preserve">Questa, K. </w:t>
      </w:r>
      <w:r w:rsidRPr="00F30274">
        <w:rPr>
          <w:i/>
          <w:iCs/>
          <w:lang w:val="en-US"/>
        </w:rPr>
        <w:t>et al.</w:t>
      </w:r>
      <w:r w:rsidRPr="00F30274">
        <w:rPr>
          <w:lang w:val="en-US"/>
        </w:rPr>
        <w:t xml:space="preserve"> (2020) ‘Community engagement interventions for communicable disease control in low- and lower- middle-income countries: evidence from a review of systematic reviews’, </w:t>
      </w:r>
      <w:r w:rsidRPr="00F30274">
        <w:rPr>
          <w:i/>
          <w:iCs/>
          <w:lang w:val="en-US"/>
        </w:rPr>
        <w:t>International Journal for Equity in Health</w:t>
      </w:r>
      <w:r w:rsidRPr="00F30274">
        <w:rPr>
          <w:lang w:val="en-US"/>
        </w:rPr>
        <w:t xml:space="preserve">, 19(1), p. 51. Available at: </w:t>
      </w:r>
      <w:hyperlink r:id="rId18" w:history="1">
        <w:r w:rsidRPr="00F30274">
          <w:rPr>
            <w:rStyle w:val="Hyperlink"/>
            <w:lang w:val="en-US"/>
          </w:rPr>
          <w:t>https://doi.org/10.1186/s12939-020-01169-5</w:t>
        </w:r>
      </w:hyperlink>
      <w:r w:rsidRPr="00F30274">
        <w:rPr>
          <w:lang w:val="en-US"/>
        </w:rPr>
        <w:t>.</w:t>
      </w:r>
    </w:p>
    <w:p w14:paraId="42F69FF9" w14:textId="77777777" w:rsidR="00F30274" w:rsidRPr="00F30274" w:rsidRDefault="00F30274" w:rsidP="00F30274">
      <w:pPr>
        <w:ind w:left="1440" w:hanging="1440"/>
        <w:rPr>
          <w:lang w:val="en-US"/>
        </w:rPr>
      </w:pPr>
      <w:r w:rsidRPr="00F30274">
        <w:rPr>
          <w:lang w:val="en-US"/>
        </w:rPr>
        <w:t xml:space="preserve">Reid, H. and Howard, V. (2016) ‘Connecting with Community: The Importance of Community Engagement in Rural Public Library Systems’, </w:t>
      </w:r>
      <w:r w:rsidRPr="00F30274">
        <w:rPr>
          <w:i/>
          <w:iCs/>
          <w:lang w:val="en-US"/>
        </w:rPr>
        <w:t>Public Library Quarterly</w:t>
      </w:r>
      <w:r w:rsidRPr="00F30274">
        <w:rPr>
          <w:lang w:val="en-US"/>
        </w:rPr>
        <w:t xml:space="preserve">, 35(3), pp. 188–202. Available at: </w:t>
      </w:r>
      <w:hyperlink r:id="rId19" w:history="1">
        <w:r w:rsidRPr="00F30274">
          <w:rPr>
            <w:rStyle w:val="Hyperlink"/>
            <w:lang w:val="en-US"/>
          </w:rPr>
          <w:t>https://doi.org/10.1080/01616846.2016.1210443</w:t>
        </w:r>
      </w:hyperlink>
      <w:r w:rsidRPr="00F30274">
        <w:rPr>
          <w:lang w:val="en-US"/>
        </w:rPr>
        <w:t>.</w:t>
      </w:r>
    </w:p>
    <w:p w14:paraId="0A63EDD3" w14:textId="77777777" w:rsidR="00F30274" w:rsidRPr="00F30274" w:rsidRDefault="00F30274" w:rsidP="00F30274">
      <w:pPr>
        <w:ind w:left="1440" w:hanging="1440"/>
        <w:rPr>
          <w:lang w:val="en-US"/>
        </w:rPr>
      </w:pPr>
      <w:proofErr w:type="spellStart"/>
      <w:r w:rsidRPr="00F30274">
        <w:rPr>
          <w:lang w:val="en-US"/>
        </w:rPr>
        <w:t>Sewry</w:t>
      </w:r>
      <w:proofErr w:type="spellEnd"/>
      <w:r w:rsidRPr="00F30274">
        <w:rPr>
          <w:lang w:val="en-US"/>
        </w:rPr>
        <w:t xml:space="preserve">, J.D. </w:t>
      </w:r>
      <w:r w:rsidRPr="00F30274">
        <w:rPr>
          <w:i/>
          <w:iCs/>
          <w:lang w:val="en-US"/>
        </w:rPr>
        <w:t>et al.</w:t>
      </w:r>
      <w:r w:rsidRPr="00F30274">
        <w:rPr>
          <w:lang w:val="en-US"/>
        </w:rPr>
        <w:t xml:space="preserve"> (2014) ‘Offering Community Engagement Activities </w:t>
      </w:r>
      <w:proofErr w:type="gramStart"/>
      <w:r w:rsidRPr="00F30274">
        <w:rPr>
          <w:lang w:val="en-US"/>
        </w:rPr>
        <w:t>To</w:t>
      </w:r>
      <w:proofErr w:type="gramEnd"/>
      <w:r w:rsidRPr="00F30274">
        <w:rPr>
          <w:lang w:val="en-US"/>
        </w:rPr>
        <w:t xml:space="preserve"> Increase Chemistry Knowledge and Confidence for Teachers and Students’, </w:t>
      </w:r>
      <w:r w:rsidRPr="00F30274">
        <w:rPr>
          <w:i/>
          <w:iCs/>
          <w:lang w:val="en-US"/>
        </w:rPr>
        <w:t>Journal of Chemical Education</w:t>
      </w:r>
      <w:r w:rsidRPr="00F30274">
        <w:rPr>
          <w:lang w:val="en-US"/>
        </w:rPr>
        <w:t xml:space="preserve">, 91(10), pp. 1611–1617. Available at: </w:t>
      </w:r>
      <w:hyperlink r:id="rId20" w:history="1">
        <w:r w:rsidRPr="00F30274">
          <w:rPr>
            <w:rStyle w:val="Hyperlink"/>
            <w:lang w:val="en-US"/>
          </w:rPr>
          <w:t>https://doi.org/10.1021/ed400495m</w:t>
        </w:r>
      </w:hyperlink>
      <w:r w:rsidRPr="00F30274">
        <w:rPr>
          <w:lang w:val="en-US"/>
        </w:rPr>
        <w:t>.</w:t>
      </w:r>
    </w:p>
    <w:p w14:paraId="36A76D60" w14:textId="77777777" w:rsidR="00F30274" w:rsidRPr="00F30274" w:rsidRDefault="00F30274" w:rsidP="00F30274">
      <w:pPr>
        <w:ind w:left="1440" w:hanging="1440"/>
        <w:rPr>
          <w:lang w:val="en-US"/>
        </w:rPr>
      </w:pPr>
      <w:r w:rsidRPr="00F30274">
        <w:rPr>
          <w:lang w:val="en-US"/>
        </w:rPr>
        <w:t xml:space="preserve">Willett, J. and </w:t>
      </w:r>
      <w:proofErr w:type="spellStart"/>
      <w:r w:rsidRPr="00F30274">
        <w:rPr>
          <w:lang w:val="en-US"/>
        </w:rPr>
        <w:t>Cruxon</w:t>
      </w:r>
      <w:proofErr w:type="spellEnd"/>
      <w:r w:rsidRPr="00F30274">
        <w:rPr>
          <w:lang w:val="en-US"/>
        </w:rPr>
        <w:t xml:space="preserve">, J. (2019) ‘Towards a participatory representative democracy? UK Parish councils and community engagement’, </w:t>
      </w:r>
      <w:r w:rsidRPr="00F30274">
        <w:rPr>
          <w:i/>
          <w:iCs/>
          <w:lang w:val="en-US"/>
        </w:rPr>
        <w:t>British Politics</w:t>
      </w:r>
      <w:r w:rsidRPr="00F30274">
        <w:rPr>
          <w:lang w:val="en-US"/>
        </w:rPr>
        <w:t>, 14, pp. 311–327.</w:t>
      </w:r>
    </w:p>
    <w:p w14:paraId="501BDEC8" w14:textId="77777777" w:rsidR="00F30274" w:rsidRPr="00F30274" w:rsidRDefault="00F30274" w:rsidP="00F30274">
      <w:pPr>
        <w:ind w:left="1440" w:hanging="1440"/>
        <w:rPr>
          <w:lang w:val="en-US"/>
        </w:rPr>
      </w:pPr>
      <w:r w:rsidRPr="00F30274">
        <w:rPr>
          <w:lang w:val="en-US"/>
        </w:rPr>
        <w:t xml:space="preserve">Wood, J. (2012) ‘The University as a Public Good: Active citizenship and university community engagement’, </w:t>
      </w:r>
      <w:r w:rsidRPr="00F30274">
        <w:rPr>
          <w:i/>
          <w:iCs/>
          <w:lang w:val="en-US"/>
        </w:rPr>
        <w:t>International Journal of Progressive Education</w:t>
      </w:r>
      <w:r w:rsidRPr="00F30274">
        <w:rPr>
          <w:lang w:val="en-US"/>
        </w:rPr>
        <w:t>, 8(3), pp. 15–31.</w:t>
      </w:r>
    </w:p>
    <w:p w14:paraId="227B6EA4" w14:textId="77777777" w:rsidR="00F30274" w:rsidRDefault="00F30274" w:rsidP="00BE2FFC"/>
    <w:sectPr w:rsidR="00F30274" w:rsidSect="00F30274">
      <w:footerReference w:type="default" r:id="rId21"/>
      <w:type w:val="continuous"/>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1ED9D" w14:textId="77777777" w:rsidR="007B18CB" w:rsidRDefault="007B18CB" w:rsidP="00F30274">
      <w:pPr>
        <w:spacing w:after="0" w:line="240" w:lineRule="auto"/>
      </w:pPr>
      <w:r>
        <w:separator/>
      </w:r>
    </w:p>
  </w:endnote>
  <w:endnote w:type="continuationSeparator" w:id="0">
    <w:p w14:paraId="49B353F7" w14:textId="77777777" w:rsidR="007B18CB" w:rsidRDefault="007B18CB" w:rsidP="00F30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20B0604020202020204"/>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Kalpurush">
    <w:panose1 w:val="02000600000000000000"/>
    <w:charset w:val="00"/>
    <w:family w:val="auto"/>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883902"/>
      <w:docPartObj>
        <w:docPartGallery w:val="Page Numbers (Bottom of Page)"/>
        <w:docPartUnique/>
      </w:docPartObj>
    </w:sdtPr>
    <w:sdtEndPr>
      <w:rPr>
        <w:noProof/>
      </w:rPr>
    </w:sdtEndPr>
    <w:sdtContent>
      <w:p w14:paraId="0033A9FE" w14:textId="66ADB8C5" w:rsidR="00F30274" w:rsidRDefault="00F3027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C0930F" w14:textId="77777777" w:rsidR="00F30274" w:rsidRDefault="00F302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C765E" w14:textId="77777777" w:rsidR="007B18CB" w:rsidRDefault="007B18CB" w:rsidP="00F30274">
      <w:pPr>
        <w:spacing w:after="0" w:line="240" w:lineRule="auto"/>
      </w:pPr>
      <w:r>
        <w:separator/>
      </w:r>
    </w:p>
  </w:footnote>
  <w:footnote w:type="continuationSeparator" w:id="0">
    <w:p w14:paraId="0908C7C8" w14:textId="77777777" w:rsidR="007B18CB" w:rsidRDefault="007B18CB" w:rsidP="00F302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MwszQzsbCwtDQxNTRT0lEKTi0uzszPAykwrAUAd5S/tSwAAAA="/>
  </w:docVars>
  <w:rsids>
    <w:rsidRoot w:val="008974C7"/>
    <w:rsid w:val="00143FBF"/>
    <w:rsid w:val="001956AB"/>
    <w:rsid w:val="00272CC9"/>
    <w:rsid w:val="002A16E8"/>
    <w:rsid w:val="002F37A8"/>
    <w:rsid w:val="00344AFF"/>
    <w:rsid w:val="004E31E7"/>
    <w:rsid w:val="00547A91"/>
    <w:rsid w:val="006A656D"/>
    <w:rsid w:val="006B4E86"/>
    <w:rsid w:val="006E4635"/>
    <w:rsid w:val="0071707C"/>
    <w:rsid w:val="007B18CB"/>
    <w:rsid w:val="007E7FCC"/>
    <w:rsid w:val="00802709"/>
    <w:rsid w:val="00805C79"/>
    <w:rsid w:val="00874BF3"/>
    <w:rsid w:val="008974C7"/>
    <w:rsid w:val="008A3434"/>
    <w:rsid w:val="008D651A"/>
    <w:rsid w:val="009B6976"/>
    <w:rsid w:val="009D1C2A"/>
    <w:rsid w:val="009E4A10"/>
    <w:rsid w:val="009F2E9F"/>
    <w:rsid w:val="00A32F86"/>
    <w:rsid w:val="00A429BA"/>
    <w:rsid w:val="00A95DC7"/>
    <w:rsid w:val="00AA1A9D"/>
    <w:rsid w:val="00AE5BFD"/>
    <w:rsid w:val="00AF0AAA"/>
    <w:rsid w:val="00B03137"/>
    <w:rsid w:val="00B5195F"/>
    <w:rsid w:val="00B64A00"/>
    <w:rsid w:val="00BB2ADC"/>
    <w:rsid w:val="00BE2FFC"/>
    <w:rsid w:val="00C30CCD"/>
    <w:rsid w:val="00D05206"/>
    <w:rsid w:val="00D863DC"/>
    <w:rsid w:val="00DB0935"/>
    <w:rsid w:val="00DB0B3A"/>
    <w:rsid w:val="00DD06C2"/>
    <w:rsid w:val="00E81235"/>
    <w:rsid w:val="00EC5382"/>
    <w:rsid w:val="00F14932"/>
    <w:rsid w:val="00F2295A"/>
    <w:rsid w:val="00F30274"/>
    <w:rsid w:val="00F82331"/>
    <w:rsid w:val="00FC228F"/>
    <w:rsid w:val="00FD6AA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26AB8"/>
  <w15:chartTrackingRefBased/>
  <w15:docId w15:val="{936A72F1-FF19-4BCB-976B-C40741198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BF3"/>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D651A"/>
    <w:pPr>
      <w:keepNext/>
      <w:keepLines/>
      <w:spacing w:before="240" w:after="0"/>
      <w:outlineLvl w:val="0"/>
    </w:pPr>
    <w:rPr>
      <w:rFonts w:eastAsiaTheme="majorEastAsia" w:cstheme="majorBidi"/>
      <w:b/>
      <w:color w:val="4472C4" w:themeColor="accent1"/>
      <w:sz w:val="32"/>
      <w:szCs w:val="32"/>
      <w:lang w:val="en-US"/>
    </w:rPr>
  </w:style>
  <w:style w:type="paragraph" w:styleId="Heading2">
    <w:name w:val="heading 2"/>
    <w:basedOn w:val="Normal"/>
    <w:next w:val="Normal"/>
    <w:link w:val="Heading2Char"/>
    <w:autoRedefine/>
    <w:uiPriority w:val="9"/>
    <w:unhideWhenUsed/>
    <w:qFormat/>
    <w:rsid w:val="008D651A"/>
    <w:pPr>
      <w:spacing w:after="120" w:line="240" w:lineRule="auto"/>
      <w:outlineLvl w:val="1"/>
    </w:pPr>
    <w:rPr>
      <w:rFonts w:eastAsia="Times New Roman" w:cs="Kalpurush"/>
      <w:b/>
      <w:bCs/>
      <w:color w:val="222222"/>
      <w:sz w:val="28"/>
      <w:szCs w:val="18"/>
      <w:lang w:val="en-US"/>
    </w:rPr>
  </w:style>
  <w:style w:type="paragraph" w:styleId="Heading3">
    <w:name w:val="heading 3"/>
    <w:basedOn w:val="Normal"/>
    <w:next w:val="Normal"/>
    <w:link w:val="Heading3Char"/>
    <w:autoRedefine/>
    <w:uiPriority w:val="9"/>
    <w:unhideWhenUsed/>
    <w:qFormat/>
    <w:rsid w:val="00FD6AAD"/>
    <w:pPr>
      <w:spacing w:after="120" w:line="240" w:lineRule="auto"/>
      <w:outlineLvl w:val="2"/>
    </w:pPr>
    <w:rPr>
      <w:rFonts w:eastAsia="Times New Roman" w:cs="Kalpurush"/>
      <w:b/>
      <w:bCs/>
      <w:color w:val="222222"/>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8A3434"/>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8D651A"/>
    <w:rPr>
      <w:rFonts w:ascii="Times New Roman" w:eastAsiaTheme="majorEastAsia" w:hAnsi="Times New Roman" w:cstheme="majorBidi"/>
      <w:b/>
      <w:color w:val="4472C4" w:themeColor="accent1"/>
      <w:sz w:val="32"/>
      <w:szCs w:val="32"/>
    </w:rPr>
  </w:style>
  <w:style w:type="character" w:customStyle="1" w:styleId="Heading2Char">
    <w:name w:val="Heading 2 Char"/>
    <w:basedOn w:val="DefaultParagraphFont"/>
    <w:link w:val="Heading2"/>
    <w:uiPriority w:val="9"/>
    <w:rsid w:val="008D651A"/>
    <w:rPr>
      <w:rFonts w:ascii="Times New Roman" w:eastAsia="Times New Roman" w:hAnsi="Times New Roman" w:cs="Kalpurush"/>
      <w:b/>
      <w:bCs/>
      <w:color w:val="222222"/>
      <w:sz w:val="28"/>
      <w:szCs w:val="18"/>
    </w:rPr>
  </w:style>
  <w:style w:type="character" w:customStyle="1" w:styleId="Heading3Char">
    <w:name w:val="Heading 3 Char"/>
    <w:basedOn w:val="DefaultParagraphFont"/>
    <w:link w:val="Heading3"/>
    <w:uiPriority w:val="9"/>
    <w:rsid w:val="00FD6AAD"/>
    <w:rPr>
      <w:rFonts w:ascii="Times New Roman" w:eastAsia="Times New Roman" w:hAnsi="Times New Roman" w:cs="Kalpurush"/>
      <w:b/>
      <w:bCs/>
      <w:color w:val="222222"/>
      <w:sz w:val="24"/>
      <w:szCs w:val="36"/>
      <w:lang w:val="en-GB"/>
    </w:rPr>
  </w:style>
  <w:style w:type="table" w:styleId="GridTable5Dark-Accent1">
    <w:name w:val="Grid Table 5 Dark Accent 1"/>
    <w:basedOn w:val="TableNormal"/>
    <w:uiPriority w:val="50"/>
    <w:rsid w:val="00DD06C2"/>
    <w:pPr>
      <w:spacing w:after="0" w:line="240" w:lineRule="auto"/>
    </w:pPr>
    <w:rPr>
      <w:rFonts w:ascii="Times New Roman" w:eastAsiaTheme="minorEastAsia" w:hAnsi="Times New Roman"/>
      <w:sz w:val="20"/>
      <w:szCs w:val="28"/>
      <w:lang w:bidi="bn-IN"/>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Quote">
    <w:name w:val="Quote"/>
    <w:basedOn w:val="Normal"/>
    <w:next w:val="Normal"/>
    <w:link w:val="QuoteChar"/>
    <w:autoRedefine/>
    <w:uiPriority w:val="99"/>
    <w:qFormat/>
    <w:rsid w:val="00802709"/>
    <w:pPr>
      <w:spacing w:before="200"/>
      <w:ind w:left="864" w:right="864"/>
    </w:pPr>
    <w:rPr>
      <w:i/>
      <w:iCs/>
      <w:color w:val="404040" w:themeColor="text1" w:themeTint="BF"/>
      <w:lang w:val="en-US"/>
    </w:rPr>
  </w:style>
  <w:style w:type="character" w:customStyle="1" w:styleId="QuoteChar">
    <w:name w:val="Quote Char"/>
    <w:basedOn w:val="DefaultParagraphFont"/>
    <w:link w:val="Quote"/>
    <w:uiPriority w:val="99"/>
    <w:rsid w:val="00802709"/>
    <w:rPr>
      <w:rFonts w:ascii="Times New Roman" w:hAnsi="Times New Roman"/>
      <w:i/>
      <w:iCs/>
      <w:color w:val="404040" w:themeColor="text1" w:themeTint="BF"/>
      <w:sz w:val="24"/>
    </w:rPr>
  </w:style>
  <w:style w:type="table" w:customStyle="1" w:styleId="Style1">
    <w:name w:val="Style1"/>
    <w:basedOn w:val="TableNormal"/>
    <w:uiPriority w:val="99"/>
    <w:rsid w:val="0071707C"/>
    <w:pPr>
      <w:spacing w:after="0" w:line="240" w:lineRule="auto"/>
      <w:jc w:val="center"/>
    </w:pPr>
    <w:rPr>
      <w:rFonts w:ascii="Times New Roman" w:hAnsi="Times New Roman"/>
    </w:rPr>
    <w:tblPr/>
    <w:tcPr>
      <w:shd w:val="clear" w:color="auto" w:fill="FFFFFF" w:themeFill="background1"/>
    </w:tcPr>
  </w:style>
  <w:style w:type="character" w:styleId="Hyperlink">
    <w:name w:val="Hyperlink"/>
    <w:basedOn w:val="DefaultParagraphFont"/>
    <w:uiPriority w:val="99"/>
    <w:unhideWhenUsed/>
    <w:rsid w:val="00F30274"/>
    <w:rPr>
      <w:color w:val="0563C1" w:themeColor="hyperlink"/>
      <w:u w:val="single"/>
    </w:rPr>
  </w:style>
  <w:style w:type="character" w:styleId="UnresolvedMention">
    <w:name w:val="Unresolved Mention"/>
    <w:basedOn w:val="DefaultParagraphFont"/>
    <w:uiPriority w:val="99"/>
    <w:semiHidden/>
    <w:unhideWhenUsed/>
    <w:rsid w:val="00F30274"/>
    <w:rPr>
      <w:color w:val="605E5C"/>
      <w:shd w:val="clear" w:color="auto" w:fill="E1DFDD"/>
    </w:rPr>
  </w:style>
  <w:style w:type="paragraph" w:styleId="Header">
    <w:name w:val="header"/>
    <w:basedOn w:val="Normal"/>
    <w:link w:val="HeaderChar"/>
    <w:uiPriority w:val="99"/>
    <w:unhideWhenUsed/>
    <w:rsid w:val="00F302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0274"/>
    <w:rPr>
      <w:rFonts w:ascii="Times New Roman" w:hAnsi="Times New Roman"/>
      <w:sz w:val="24"/>
      <w:lang w:val="en-GB"/>
    </w:rPr>
  </w:style>
  <w:style w:type="paragraph" w:styleId="Footer">
    <w:name w:val="footer"/>
    <w:basedOn w:val="Normal"/>
    <w:link w:val="FooterChar"/>
    <w:uiPriority w:val="99"/>
    <w:unhideWhenUsed/>
    <w:rsid w:val="00F302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027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5254811">
      <w:bodyDiv w:val="1"/>
      <w:marLeft w:val="0"/>
      <w:marRight w:val="0"/>
      <w:marTop w:val="0"/>
      <w:marBottom w:val="0"/>
      <w:divBdr>
        <w:top w:val="none" w:sz="0" w:space="0" w:color="auto"/>
        <w:left w:val="none" w:sz="0" w:space="0" w:color="auto"/>
        <w:bottom w:val="none" w:sz="0" w:space="0" w:color="auto"/>
        <w:right w:val="none" w:sz="0" w:space="0" w:color="auto"/>
      </w:divBdr>
      <w:divsChild>
        <w:div w:id="1671787751">
          <w:marLeft w:val="0"/>
          <w:marRight w:val="0"/>
          <w:marTop w:val="0"/>
          <w:marBottom w:val="0"/>
          <w:divBdr>
            <w:top w:val="none" w:sz="0" w:space="0" w:color="auto"/>
            <w:left w:val="none" w:sz="0" w:space="0" w:color="auto"/>
            <w:bottom w:val="none" w:sz="0" w:space="0" w:color="auto"/>
            <w:right w:val="none" w:sz="0" w:space="0" w:color="auto"/>
          </w:divBdr>
          <w:divsChild>
            <w:div w:id="1035080266">
              <w:marLeft w:val="0"/>
              <w:marRight w:val="0"/>
              <w:marTop w:val="0"/>
              <w:marBottom w:val="240"/>
              <w:divBdr>
                <w:top w:val="none" w:sz="0" w:space="0" w:color="auto"/>
                <w:left w:val="none" w:sz="0" w:space="0" w:color="auto"/>
                <w:bottom w:val="none" w:sz="0" w:space="0" w:color="auto"/>
                <w:right w:val="none" w:sz="0" w:space="0" w:color="auto"/>
              </w:divBdr>
            </w:div>
            <w:div w:id="999962822">
              <w:marLeft w:val="0"/>
              <w:marRight w:val="0"/>
              <w:marTop w:val="0"/>
              <w:marBottom w:val="240"/>
              <w:divBdr>
                <w:top w:val="none" w:sz="0" w:space="0" w:color="auto"/>
                <w:left w:val="none" w:sz="0" w:space="0" w:color="auto"/>
                <w:bottom w:val="none" w:sz="0" w:space="0" w:color="auto"/>
                <w:right w:val="none" w:sz="0" w:space="0" w:color="auto"/>
              </w:divBdr>
            </w:div>
            <w:div w:id="354162884">
              <w:marLeft w:val="0"/>
              <w:marRight w:val="0"/>
              <w:marTop w:val="0"/>
              <w:marBottom w:val="240"/>
              <w:divBdr>
                <w:top w:val="none" w:sz="0" w:space="0" w:color="auto"/>
                <w:left w:val="none" w:sz="0" w:space="0" w:color="auto"/>
                <w:bottom w:val="none" w:sz="0" w:space="0" w:color="auto"/>
                <w:right w:val="none" w:sz="0" w:space="0" w:color="auto"/>
              </w:divBdr>
            </w:div>
            <w:div w:id="626859394">
              <w:marLeft w:val="0"/>
              <w:marRight w:val="0"/>
              <w:marTop w:val="0"/>
              <w:marBottom w:val="240"/>
              <w:divBdr>
                <w:top w:val="none" w:sz="0" w:space="0" w:color="auto"/>
                <w:left w:val="none" w:sz="0" w:space="0" w:color="auto"/>
                <w:bottom w:val="none" w:sz="0" w:space="0" w:color="auto"/>
                <w:right w:val="none" w:sz="0" w:space="0" w:color="auto"/>
              </w:divBdr>
            </w:div>
            <w:div w:id="529534955">
              <w:marLeft w:val="0"/>
              <w:marRight w:val="0"/>
              <w:marTop w:val="0"/>
              <w:marBottom w:val="240"/>
              <w:divBdr>
                <w:top w:val="none" w:sz="0" w:space="0" w:color="auto"/>
                <w:left w:val="none" w:sz="0" w:space="0" w:color="auto"/>
                <w:bottom w:val="none" w:sz="0" w:space="0" w:color="auto"/>
                <w:right w:val="none" w:sz="0" w:space="0" w:color="auto"/>
              </w:divBdr>
            </w:div>
            <w:div w:id="624434612">
              <w:marLeft w:val="0"/>
              <w:marRight w:val="0"/>
              <w:marTop w:val="0"/>
              <w:marBottom w:val="240"/>
              <w:divBdr>
                <w:top w:val="none" w:sz="0" w:space="0" w:color="auto"/>
                <w:left w:val="none" w:sz="0" w:space="0" w:color="auto"/>
                <w:bottom w:val="none" w:sz="0" w:space="0" w:color="auto"/>
                <w:right w:val="none" w:sz="0" w:space="0" w:color="auto"/>
              </w:divBdr>
            </w:div>
            <w:div w:id="46538107">
              <w:marLeft w:val="0"/>
              <w:marRight w:val="0"/>
              <w:marTop w:val="0"/>
              <w:marBottom w:val="240"/>
              <w:divBdr>
                <w:top w:val="none" w:sz="0" w:space="0" w:color="auto"/>
                <w:left w:val="none" w:sz="0" w:space="0" w:color="auto"/>
                <w:bottom w:val="none" w:sz="0" w:space="0" w:color="auto"/>
                <w:right w:val="none" w:sz="0" w:space="0" w:color="auto"/>
              </w:divBdr>
            </w:div>
            <w:div w:id="362950115">
              <w:marLeft w:val="0"/>
              <w:marRight w:val="0"/>
              <w:marTop w:val="0"/>
              <w:marBottom w:val="240"/>
              <w:divBdr>
                <w:top w:val="none" w:sz="0" w:space="0" w:color="auto"/>
                <w:left w:val="none" w:sz="0" w:space="0" w:color="auto"/>
                <w:bottom w:val="none" w:sz="0" w:space="0" w:color="auto"/>
                <w:right w:val="none" w:sz="0" w:space="0" w:color="auto"/>
              </w:divBdr>
            </w:div>
            <w:div w:id="6562346">
              <w:marLeft w:val="0"/>
              <w:marRight w:val="0"/>
              <w:marTop w:val="0"/>
              <w:marBottom w:val="240"/>
              <w:divBdr>
                <w:top w:val="none" w:sz="0" w:space="0" w:color="auto"/>
                <w:left w:val="none" w:sz="0" w:space="0" w:color="auto"/>
                <w:bottom w:val="none" w:sz="0" w:space="0" w:color="auto"/>
                <w:right w:val="none" w:sz="0" w:space="0" w:color="auto"/>
              </w:divBdr>
            </w:div>
            <w:div w:id="770703852">
              <w:marLeft w:val="0"/>
              <w:marRight w:val="0"/>
              <w:marTop w:val="0"/>
              <w:marBottom w:val="240"/>
              <w:divBdr>
                <w:top w:val="none" w:sz="0" w:space="0" w:color="auto"/>
                <w:left w:val="none" w:sz="0" w:space="0" w:color="auto"/>
                <w:bottom w:val="none" w:sz="0" w:space="0" w:color="auto"/>
                <w:right w:val="none" w:sz="0" w:space="0" w:color="auto"/>
              </w:divBdr>
            </w:div>
            <w:div w:id="1281188494">
              <w:marLeft w:val="0"/>
              <w:marRight w:val="0"/>
              <w:marTop w:val="0"/>
              <w:marBottom w:val="240"/>
              <w:divBdr>
                <w:top w:val="none" w:sz="0" w:space="0" w:color="auto"/>
                <w:left w:val="none" w:sz="0" w:space="0" w:color="auto"/>
                <w:bottom w:val="none" w:sz="0" w:space="0" w:color="auto"/>
                <w:right w:val="none" w:sz="0" w:space="0" w:color="auto"/>
              </w:divBdr>
            </w:div>
            <w:div w:id="282543557">
              <w:marLeft w:val="0"/>
              <w:marRight w:val="0"/>
              <w:marTop w:val="0"/>
              <w:marBottom w:val="240"/>
              <w:divBdr>
                <w:top w:val="none" w:sz="0" w:space="0" w:color="auto"/>
                <w:left w:val="none" w:sz="0" w:space="0" w:color="auto"/>
                <w:bottom w:val="none" w:sz="0" w:space="0" w:color="auto"/>
                <w:right w:val="none" w:sz="0" w:space="0" w:color="auto"/>
              </w:divBdr>
            </w:div>
            <w:div w:id="885750558">
              <w:marLeft w:val="0"/>
              <w:marRight w:val="0"/>
              <w:marTop w:val="0"/>
              <w:marBottom w:val="240"/>
              <w:divBdr>
                <w:top w:val="none" w:sz="0" w:space="0" w:color="auto"/>
                <w:left w:val="none" w:sz="0" w:space="0" w:color="auto"/>
                <w:bottom w:val="none" w:sz="0" w:space="0" w:color="auto"/>
                <w:right w:val="none" w:sz="0" w:space="0" w:color="auto"/>
              </w:divBdr>
            </w:div>
            <w:div w:id="1397237417">
              <w:marLeft w:val="0"/>
              <w:marRight w:val="0"/>
              <w:marTop w:val="0"/>
              <w:marBottom w:val="240"/>
              <w:divBdr>
                <w:top w:val="none" w:sz="0" w:space="0" w:color="auto"/>
                <w:left w:val="none" w:sz="0" w:space="0" w:color="auto"/>
                <w:bottom w:val="none" w:sz="0" w:space="0" w:color="auto"/>
                <w:right w:val="none" w:sz="0" w:space="0" w:color="auto"/>
              </w:divBdr>
            </w:div>
            <w:div w:id="718163397">
              <w:marLeft w:val="0"/>
              <w:marRight w:val="0"/>
              <w:marTop w:val="0"/>
              <w:marBottom w:val="240"/>
              <w:divBdr>
                <w:top w:val="none" w:sz="0" w:space="0" w:color="auto"/>
                <w:left w:val="none" w:sz="0" w:space="0" w:color="auto"/>
                <w:bottom w:val="none" w:sz="0" w:space="0" w:color="auto"/>
                <w:right w:val="none" w:sz="0" w:space="0" w:color="auto"/>
              </w:divBdr>
            </w:div>
            <w:div w:id="769594024">
              <w:marLeft w:val="0"/>
              <w:marRight w:val="0"/>
              <w:marTop w:val="0"/>
              <w:marBottom w:val="240"/>
              <w:divBdr>
                <w:top w:val="none" w:sz="0" w:space="0" w:color="auto"/>
                <w:left w:val="none" w:sz="0" w:space="0" w:color="auto"/>
                <w:bottom w:val="none" w:sz="0" w:space="0" w:color="auto"/>
                <w:right w:val="none" w:sz="0" w:space="0" w:color="auto"/>
              </w:divBdr>
            </w:div>
            <w:div w:id="1300453146">
              <w:marLeft w:val="0"/>
              <w:marRight w:val="0"/>
              <w:marTop w:val="0"/>
              <w:marBottom w:val="240"/>
              <w:divBdr>
                <w:top w:val="none" w:sz="0" w:space="0" w:color="auto"/>
                <w:left w:val="none" w:sz="0" w:space="0" w:color="auto"/>
                <w:bottom w:val="none" w:sz="0" w:space="0" w:color="auto"/>
                <w:right w:val="none" w:sz="0" w:space="0" w:color="auto"/>
              </w:divBdr>
            </w:div>
            <w:div w:id="555825499">
              <w:marLeft w:val="0"/>
              <w:marRight w:val="0"/>
              <w:marTop w:val="0"/>
              <w:marBottom w:val="240"/>
              <w:divBdr>
                <w:top w:val="none" w:sz="0" w:space="0" w:color="auto"/>
                <w:left w:val="none" w:sz="0" w:space="0" w:color="auto"/>
                <w:bottom w:val="none" w:sz="0" w:space="0" w:color="auto"/>
                <w:right w:val="none" w:sz="0" w:space="0" w:color="auto"/>
              </w:divBdr>
            </w:div>
            <w:div w:id="1914312612">
              <w:marLeft w:val="0"/>
              <w:marRight w:val="0"/>
              <w:marTop w:val="0"/>
              <w:marBottom w:val="240"/>
              <w:divBdr>
                <w:top w:val="none" w:sz="0" w:space="0" w:color="auto"/>
                <w:left w:val="none" w:sz="0" w:space="0" w:color="auto"/>
                <w:bottom w:val="none" w:sz="0" w:space="0" w:color="auto"/>
                <w:right w:val="none" w:sz="0" w:space="0" w:color="auto"/>
              </w:divBdr>
            </w:div>
            <w:div w:id="170263166">
              <w:marLeft w:val="0"/>
              <w:marRight w:val="0"/>
              <w:marTop w:val="0"/>
              <w:marBottom w:val="240"/>
              <w:divBdr>
                <w:top w:val="none" w:sz="0" w:space="0" w:color="auto"/>
                <w:left w:val="none" w:sz="0" w:space="0" w:color="auto"/>
                <w:bottom w:val="none" w:sz="0" w:space="0" w:color="auto"/>
                <w:right w:val="none" w:sz="0" w:space="0" w:color="auto"/>
              </w:divBdr>
            </w:div>
            <w:div w:id="86960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615517.2014.927108" TargetMode="External"/><Relationship Id="rId13" Type="http://schemas.openxmlformats.org/officeDocument/2006/relationships/hyperlink" Target="https://aifs.gov.au/resources/practice-guides/community-engagement" TargetMode="External"/><Relationship Id="rId18" Type="http://schemas.openxmlformats.org/officeDocument/2006/relationships/hyperlink" Target="https://doi.org/10.1186/s12939-020-01169-5"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doi.org/10.3402/gha.v8.29842" TargetMode="External"/><Relationship Id="rId12" Type="http://schemas.openxmlformats.org/officeDocument/2006/relationships/hyperlink" Target="https://books.google.com/books?hl=en&amp;lr=&amp;id=WdzFAAAAQBAJ&amp;oi=fnd&amp;pg=PP1&amp;dq=Community+Engagement+in+UK&amp;ots=i67D_3CThP&amp;sig=K61yXkbL2ySpZmx6SCAgyWTxMuw" TargetMode="External"/><Relationship Id="rId17" Type="http://schemas.openxmlformats.org/officeDocument/2006/relationships/hyperlink" Target="https://books.google.com/books?hl=en&amp;lr=&amp;id=Xa4sDwAAQBAJ&amp;oi=fnd&amp;pg=PR6&amp;dq=Community+Engagement+in+UK&amp;ots=k-EwuGnjiV&amp;sig=2KMLeSFdVxIzjQqIFLMBAE3mAWw" TargetMode="External"/><Relationship Id="rId2" Type="http://schemas.openxmlformats.org/officeDocument/2006/relationships/settings" Target="settings.xml"/><Relationship Id="rId16" Type="http://schemas.openxmlformats.org/officeDocument/2006/relationships/hyperlink" Target="https://www.manchesterhive.com/view/9781526118202/9781526118202.00019.xml" TargetMode="External"/><Relationship Id="rId20" Type="http://schemas.openxmlformats.org/officeDocument/2006/relationships/hyperlink" Target="https://doi.org/10.1021/ed400495m" TargetMode="External"/><Relationship Id="rId1" Type="http://schemas.openxmlformats.org/officeDocument/2006/relationships/styles" Target="styles.xml"/><Relationship Id="rId6" Type="http://schemas.openxmlformats.org/officeDocument/2006/relationships/hyperlink" Target="https://doi.org/10.1080/10439463.2015.1089871" TargetMode="External"/><Relationship Id="rId11" Type="http://schemas.openxmlformats.org/officeDocument/2006/relationships/hyperlink" Target="https://doi.org/10.1080/14649357.2012.728003" TargetMode="External"/><Relationship Id="rId5" Type="http://schemas.openxmlformats.org/officeDocument/2006/relationships/endnotes" Target="endnotes.xml"/><Relationship Id="rId15" Type="http://schemas.openxmlformats.org/officeDocument/2006/relationships/hyperlink" Target="https://doi.org/10.1186/s12889-015-1352-y" TargetMode="External"/><Relationship Id="rId23" Type="http://schemas.openxmlformats.org/officeDocument/2006/relationships/theme" Target="theme/theme1.xml"/><Relationship Id="rId10" Type="http://schemas.openxmlformats.org/officeDocument/2006/relationships/hyperlink" Target="https://www.dosomethinggood.org.uk/project/foodcycle-acton-acton-gardens-community-centre/" TargetMode="External"/><Relationship Id="rId19" Type="http://schemas.openxmlformats.org/officeDocument/2006/relationships/hyperlink" Target="https://doi.org/10.1080/01616846.2016.1210443" TargetMode="External"/><Relationship Id="rId4" Type="http://schemas.openxmlformats.org/officeDocument/2006/relationships/footnotes" Target="footnotes.xml"/><Relationship Id="rId9" Type="http://schemas.openxmlformats.org/officeDocument/2006/relationships/hyperlink" Target="https://ro.uow.edu.au/lhapapers/544/" TargetMode="External"/><Relationship Id="rId14" Type="http://schemas.openxmlformats.org/officeDocument/2006/relationships/hyperlink" Target="https://repository.uel.ac.uk/item/85w0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11</Pages>
  <Words>2608</Words>
  <Characters>17113</Characters>
  <Application>Microsoft Office Word</Application>
  <DocSecurity>0</DocSecurity>
  <Lines>285</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19675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17</cp:revision>
  <dcterms:created xsi:type="dcterms:W3CDTF">2023-12-12T19:38:00Z</dcterms:created>
  <dcterms:modified xsi:type="dcterms:W3CDTF">2023-12-13T16:47:00Z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id="Cl7TVg4W"/&gt;&lt;style id="http://www.zotero.org/styles/harvard-cite-them-right" hasBibliography="1" bibliographyStyleHasBeenSet="0"/&gt;&lt;prefs&gt;&lt;pref name="fieldType" value="Field"/&gt;&lt;/prefs&gt;&lt;/data&gt;</vt:lpwstr>
  </property>
</Properties>
</file>