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CA4C1" w14:textId="29838AA8" w:rsidR="008C34B9" w:rsidRDefault="008C34B9" w:rsidP="008C34B9">
      <w:pPr>
        <w:pStyle w:val="NormalWeb"/>
        <w:spacing w:before="0" w:beforeAutospacing="0"/>
        <w:rPr>
          <w:rFonts w:ascii="Segoe UI" w:hAnsi="Segoe UI" w:cs="Segoe UI"/>
          <w:color w:val="1D2125"/>
          <w:sz w:val="23"/>
          <w:szCs w:val="23"/>
        </w:rPr>
      </w:pPr>
      <w:r>
        <w:rPr>
          <w:rFonts w:ascii="Segoe UI" w:hAnsi="Segoe UI" w:cs="Segoe UI"/>
          <w:color w:val="1D2125"/>
          <w:sz w:val="23"/>
          <w:szCs w:val="23"/>
        </w:rPr>
        <w:br/>
        <w:t xml:space="preserve">I acknowledge the use of </w:t>
      </w:r>
      <w:r>
        <w:rPr>
          <w:rFonts w:ascii="Segoe UI" w:hAnsi="Segoe UI" w:cs="Segoe UI"/>
          <w:color w:val="1D2125"/>
          <w:sz w:val="23"/>
          <w:szCs w:val="23"/>
        </w:rPr>
        <w:t>Chat GPT</w:t>
      </w:r>
      <w:r>
        <w:rPr>
          <w:rFonts w:ascii="Segoe UI" w:hAnsi="Segoe UI" w:cs="Segoe UI"/>
          <w:color w:val="1D2125"/>
          <w:sz w:val="23"/>
          <w:szCs w:val="23"/>
        </w:rPr>
        <w:t xml:space="preserve"> on </w:t>
      </w:r>
      <w:r>
        <w:rPr>
          <w:rFonts w:ascii="Segoe UI" w:hAnsi="Segoe UI" w:cs="Segoe UI"/>
          <w:color w:val="1D2125"/>
          <w:sz w:val="23"/>
          <w:szCs w:val="23"/>
        </w:rPr>
        <w:t xml:space="preserve">January 2025 </w:t>
      </w:r>
      <w:r>
        <w:rPr>
          <w:rFonts w:ascii="Segoe UI" w:hAnsi="Segoe UI" w:cs="Segoe UI"/>
          <w:color w:val="1D2125"/>
          <w:sz w:val="23"/>
          <w:szCs w:val="23"/>
        </w:rPr>
        <w:t>to</w:t>
      </w:r>
      <w:r>
        <w:rPr>
          <w:rFonts w:ascii="Segoe UI" w:hAnsi="Segoe UI" w:cs="Segoe UI"/>
          <w:color w:val="1D2125"/>
          <w:sz w:val="23"/>
          <w:szCs w:val="23"/>
        </w:rPr>
        <w:t xml:space="preserve"> structure an assignment</w:t>
      </w:r>
      <w:r>
        <w:rPr>
          <w:rFonts w:ascii="Segoe UI" w:hAnsi="Segoe UI" w:cs="Segoe UI"/>
          <w:color w:val="1D2125"/>
          <w:sz w:val="23"/>
          <w:szCs w:val="23"/>
        </w:rPr>
        <w:t xml:space="preserve"> </w:t>
      </w:r>
    </w:p>
    <w:p w14:paraId="2C7963FF" w14:textId="77777777" w:rsidR="008C34B9" w:rsidRDefault="008C34B9" w:rsidP="008C34B9">
      <w:pPr>
        <w:pStyle w:val="NormalWeb"/>
        <w:spacing w:before="0" w:beforeAutospacing="0"/>
        <w:rPr>
          <w:rFonts w:ascii="Segoe UI" w:hAnsi="Segoe UI" w:cs="Segoe UI"/>
          <w:color w:val="1D2125"/>
          <w:sz w:val="23"/>
          <w:szCs w:val="23"/>
        </w:rPr>
      </w:pPr>
      <w:r>
        <w:rPr>
          <w:rFonts w:ascii="Segoe UI" w:hAnsi="Segoe UI" w:cs="Segoe UI"/>
          <w:color w:val="1D2125"/>
          <w:sz w:val="23"/>
          <w:szCs w:val="23"/>
        </w:rPr>
        <w:t>I used the prompt(s): </w:t>
      </w:r>
    </w:p>
    <w:p w14:paraId="47FDE5FC" w14:textId="6C5D2D0E" w:rsidR="008C34B9" w:rsidRDefault="008C34B9" w:rsidP="008C34B9">
      <w:pPr>
        <w:pStyle w:val="NormalWeb"/>
        <w:spacing w:before="0" w:beforeAutospacing="0"/>
        <w:rPr>
          <w:rFonts w:ascii="Segoe UI" w:hAnsi="Segoe UI" w:cs="Segoe UI"/>
          <w:color w:val="1D2125"/>
          <w:sz w:val="23"/>
          <w:szCs w:val="23"/>
        </w:rPr>
      </w:pPr>
      <w:r>
        <w:rPr>
          <w:rFonts w:ascii="Segoe UI" w:hAnsi="Segoe UI" w:cs="Segoe UI"/>
          <w:color w:val="1D2125"/>
          <w:sz w:val="23"/>
          <w:szCs w:val="23"/>
        </w:rPr>
        <w:br/>
        <w:t xml:space="preserve"> 1. </w:t>
      </w:r>
      <w:r>
        <w:rPr>
          <w:rFonts w:ascii="Segoe UI" w:hAnsi="Segoe UI" w:cs="Segoe UI"/>
          <w:color w:val="1D2125"/>
          <w:sz w:val="23"/>
          <w:szCs w:val="23"/>
        </w:rPr>
        <w:t>Could you help structure the assignment?</w:t>
      </w:r>
      <w:r>
        <w:rPr>
          <w:rFonts w:ascii="Segoe UI" w:hAnsi="Segoe UI" w:cs="Segoe UI"/>
          <w:color w:val="1D2125"/>
          <w:sz w:val="23"/>
          <w:szCs w:val="23"/>
        </w:rPr>
        <w:t> </w:t>
      </w:r>
      <w:r>
        <w:rPr>
          <w:rFonts w:ascii="Segoe UI" w:hAnsi="Segoe UI" w:cs="Segoe UI"/>
          <w:color w:val="1D2125"/>
          <w:sz w:val="23"/>
          <w:szCs w:val="23"/>
        </w:rPr>
        <w:br/>
        <w:t xml:space="preserve">2. </w:t>
      </w:r>
      <w:r>
        <w:rPr>
          <w:rFonts w:ascii="Segoe UI" w:hAnsi="Segoe UI" w:cs="Segoe UI"/>
          <w:color w:val="1D2125"/>
          <w:sz w:val="23"/>
          <w:szCs w:val="23"/>
        </w:rPr>
        <w:t xml:space="preserve">Order my reference list </w:t>
      </w:r>
      <w:proofErr w:type="spellStart"/>
      <w:r>
        <w:rPr>
          <w:rFonts w:ascii="Segoe UI" w:hAnsi="Segoe UI" w:cs="Segoe UI"/>
          <w:color w:val="1D2125"/>
          <w:sz w:val="23"/>
          <w:szCs w:val="23"/>
        </w:rPr>
        <w:t>alphabeticlly</w:t>
      </w:r>
      <w:proofErr w:type="spellEnd"/>
      <w:r>
        <w:rPr>
          <w:rFonts w:ascii="Segoe UI" w:hAnsi="Segoe UI" w:cs="Segoe UI"/>
          <w:color w:val="1D2125"/>
          <w:sz w:val="23"/>
          <w:szCs w:val="23"/>
        </w:rPr>
        <w:br/>
      </w:r>
    </w:p>
    <w:p w14:paraId="726CBECC" w14:textId="77777777" w:rsidR="008C34B9" w:rsidRDefault="008C34B9" w:rsidP="008C34B9">
      <w:pPr>
        <w:pStyle w:val="NormalWeb"/>
        <w:spacing w:before="0" w:beforeAutospacing="0"/>
        <w:rPr>
          <w:rFonts w:ascii="Segoe UI" w:hAnsi="Segoe UI" w:cs="Segoe UI"/>
          <w:color w:val="1D2125"/>
          <w:sz w:val="23"/>
          <w:szCs w:val="23"/>
        </w:rPr>
      </w:pPr>
      <w:r>
        <w:rPr>
          <w:rFonts w:ascii="Segoe UI" w:hAnsi="Segoe UI" w:cs="Segoe UI"/>
          <w:color w:val="1D2125"/>
          <w:sz w:val="23"/>
          <w:szCs w:val="23"/>
        </w:rPr>
        <w:br/>
        <w:t>I confirm that I have not presented any AI generated text as my own work</w:t>
      </w:r>
    </w:p>
    <w:p w14:paraId="50E09889" w14:textId="77777777" w:rsidR="008C34B9" w:rsidRDefault="008C34B9" w:rsidP="008C34B9">
      <w:pPr>
        <w:pStyle w:val="NormalWeb"/>
        <w:spacing w:before="0" w:beforeAutospacing="0" w:after="0" w:afterAutospacing="0"/>
        <w:rPr>
          <w:rFonts w:ascii="Segoe UI" w:hAnsi="Segoe UI" w:cs="Segoe UI"/>
          <w:color w:val="1D2125"/>
          <w:sz w:val="23"/>
          <w:szCs w:val="23"/>
        </w:rPr>
      </w:pPr>
      <w:r>
        <w:rPr>
          <w:rFonts w:ascii="Segoe UI" w:hAnsi="Segoe UI" w:cs="Segoe UI"/>
          <w:color w:val="1D2125"/>
          <w:sz w:val="23"/>
          <w:szCs w:val="23"/>
        </w:rPr>
        <w:br/>
        <w:t>I confirm I have copies of my drafts, notes, and other resources I used before, and after the use of AI tools which I may be asked to provide in evidence</w:t>
      </w:r>
    </w:p>
    <w:p w14:paraId="7169F3E1" w14:textId="77777777" w:rsidR="008C34B9" w:rsidRDefault="008C34B9">
      <w:pPr>
        <w:rPr>
          <w:color w:val="000000" w:themeColor="text1"/>
        </w:rPr>
      </w:pPr>
    </w:p>
    <w:p w14:paraId="7B5A7BC3" w14:textId="77777777" w:rsidR="008C34B9" w:rsidRDefault="008C34B9">
      <w:pPr>
        <w:rPr>
          <w:color w:val="000000" w:themeColor="text1"/>
        </w:rPr>
      </w:pPr>
    </w:p>
    <w:p w14:paraId="27113E10" w14:textId="77777777" w:rsidR="008C34B9" w:rsidRDefault="008C34B9">
      <w:pPr>
        <w:rPr>
          <w:color w:val="000000" w:themeColor="text1"/>
        </w:rPr>
      </w:pPr>
    </w:p>
    <w:p w14:paraId="57EFBC2A" w14:textId="77777777" w:rsidR="008C34B9" w:rsidRDefault="008C34B9">
      <w:pPr>
        <w:rPr>
          <w:color w:val="000000" w:themeColor="text1"/>
        </w:rPr>
      </w:pPr>
    </w:p>
    <w:p w14:paraId="16B7702D" w14:textId="77777777" w:rsidR="008C34B9" w:rsidRDefault="008C34B9">
      <w:pPr>
        <w:rPr>
          <w:color w:val="000000" w:themeColor="text1"/>
        </w:rPr>
      </w:pPr>
    </w:p>
    <w:p w14:paraId="2BCCDE61" w14:textId="77777777" w:rsidR="008C34B9" w:rsidRDefault="008C34B9">
      <w:pPr>
        <w:rPr>
          <w:color w:val="000000" w:themeColor="text1"/>
        </w:rPr>
      </w:pPr>
    </w:p>
    <w:p w14:paraId="4A6C7653" w14:textId="77777777" w:rsidR="008C34B9" w:rsidRDefault="008C34B9">
      <w:pPr>
        <w:rPr>
          <w:color w:val="000000" w:themeColor="text1"/>
        </w:rPr>
      </w:pPr>
    </w:p>
    <w:p w14:paraId="424AF841" w14:textId="77777777" w:rsidR="008C34B9" w:rsidRDefault="008C34B9">
      <w:pPr>
        <w:rPr>
          <w:color w:val="000000" w:themeColor="text1"/>
        </w:rPr>
      </w:pPr>
    </w:p>
    <w:p w14:paraId="398C9401" w14:textId="77777777" w:rsidR="008C34B9" w:rsidRDefault="008C34B9">
      <w:pPr>
        <w:rPr>
          <w:color w:val="000000" w:themeColor="text1"/>
        </w:rPr>
      </w:pPr>
    </w:p>
    <w:p w14:paraId="3740676C" w14:textId="5122A7CF" w:rsidR="001C3170" w:rsidRPr="00A1018B" w:rsidRDefault="008D6FF4">
      <w:pPr>
        <w:rPr>
          <w:color w:val="000000" w:themeColor="text1"/>
        </w:rPr>
      </w:pPr>
      <w:r w:rsidRPr="00A1018B">
        <w:rPr>
          <w:color w:val="000000" w:themeColor="text1"/>
        </w:rPr>
        <w:t>ECCP7002 – Part One</w:t>
      </w:r>
    </w:p>
    <w:p w14:paraId="45906C7C" w14:textId="2C9AD2DA" w:rsidR="008D6FF4" w:rsidRPr="00A1018B" w:rsidRDefault="008D6FF4">
      <w:pPr>
        <w:rPr>
          <w:color w:val="000000" w:themeColor="text1"/>
        </w:rPr>
      </w:pPr>
      <w:r w:rsidRPr="00A1018B">
        <w:rPr>
          <w:color w:val="000000" w:themeColor="text1"/>
        </w:rPr>
        <w:t>Teigan Simons</w:t>
      </w:r>
    </w:p>
    <w:p w14:paraId="4A97CE6F" w14:textId="3C6D62B4" w:rsidR="008D6FF4" w:rsidRPr="00A1018B" w:rsidRDefault="008D6FF4">
      <w:pPr>
        <w:rPr>
          <w:color w:val="000000" w:themeColor="text1"/>
        </w:rPr>
      </w:pPr>
      <w:r w:rsidRPr="00A1018B">
        <w:rPr>
          <w:color w:val="000000" w:themeColor="text1"/>
        </w:rPr>
        <w:t>2015465</w:t>
      </w:r>
    </w:p>
    <w:p w14:paraId="4B706057" w14:textId="312CD85A" w:rsidR="008D6FF4" w:rsidRPr="00A1018B" w:rsidRDefault="008D6FF4">
      <w:pPr>
        <w:rPr>
          <w:color w:val="000000" w:themeColor="text1"/>
        </w:rPr>
      </w:pPr>
    </w:p>
    <w:p w14:paraId="2074BA02" w14:textId="3284022D" w:rsidR="008D6FF4" w:rsidRPr="00A1018B" w:rsidRDefault="008D6FF4">
      <w:pPr>
        <w:rPr>
          <w:color w:val="000000" w:themeColor="text1"/>
        </w:rPr>
      </w:pPr>
      <w:r w:rsidRPr="00A1018B">
        <w:rPr>
          <w:color w:val="000000" w:themeColor="text1"/>
        </w:rPr>
        <w:t xml:space="preserve">Assignment- </w:t>
      </w:r>
    </w:p>
    <w:p w14:paraId="494B8957" w14:textId="62F5AC9D" w:rsidR="00114EC2" w:rsidRPr="00A1018B" w:rsidRDefault="008D6FF4">
      <w:pPr>
        <w:rPr>
          <w:color w:val="000000" w:themeColor="text1"/>
        </w:rPr>
      </w:pPr>
      <w:r w:rsidRPr="00A1018B">
        <w:rPr>
          <w:color w:val="000000" w:themeColor="text1"/>
        </w:rPr>
        <w:t xml:space="preserve"> Children, Young People and Community Policies and Practice (CYPC) is a dynamic field</w:t>
      </w:r>
      <w:r w:rsidR="00114EC2" w:rsidRPr="00A1018B">
        <w:rPr>
          <w:color w:val="000000" w:themeColor="text1"/>
        </w:rPr>
        <w:t xml:space="preserve"> </w:t>
      </w:r>
      <w:r w:rsidRPr="00A1018B">
        <w:rPr>
          <w:color w:val="000000" w:themeColor="text1"/>
        </w:rPr>
        <w:t>extremely influenced by social, political</w:t>
      </w:r>
      <w:r w:rsidR="00114EC2" w:rsidRPr="00A1018B">
        <w:rPr>
          <w:color w:val="000000" w:themeColor="text1"/>
        </w:rPr>
        <w:t>,</w:t>
      </w:r>
      <w:r w:rsidRPr="00A1018B">
        <w:rPr>
          <w:color w:val="000000" w:themeColor="text1"/>
        </w:rPr>
        <w:t xml:space="preserve"> and historical issues. The development of</w:t>
      </w:r>
      <w:r w:rsidR="00114EC2" w:rsidRPr="00A1018B">
        <w:rPr>
          <w:color w:val="000000" w:themeColor="text1"/>
        </w:rPr>
        <w:t xml:space="preserve"> policies aimed at improving the well-being and safeguarding of children and young people shows reflections on the change </w:t>
      </w:r>
      <w:r w:rsidR="001809CC" w:rsidRPr="00A1018B">
        <w:rPr>
          <w:color w:val="000000" w:themeColor="text1"/>
        </w:rPr>
        <w:t>in</w:t>
      </w:r>
      <w:r w:rsidR="00114EC2" w:rsidRPr="00A1018B">
        <w:rPr>
          <w:color w:val="000000" w:themeColor="text1"/>
        </w:rPr>
        <w:t xml:space="preserve"> societal priorities, ideologies and the role of families. These policies </w:t>
      </w:r>
      <w:r w:rsidR="001809CC" w:rsidRPr="00A1018B">
        <w:rPr>
          <w:color w:val="000000" w:themeColor="text1"/>
        </w:rPr>
        <w:t xml:space="preserve">help shape the way practitioners and educators can work with children and their families as well as the way their needs and rights are met and how children are seen in society. Having an understanding of the historical and current influence of children, young people and community policies is vital to responding correctly to complicated challenges practitioners face in today’s society. </w:t>
      </w:r>
    </w:p>
    <w:p w14:paraId="1CA853EB" w14:textId="00A826E8" w:rsidR="001809CC" w:rsidRPr="00A1018B" w:rsidRDefault="001809CC">
      <w:pPr>
        <w:rPr>
          <w:color w:val="000000" w:themeColor="text1"/>
        </w:rPr>
      </w:pPr>
    </w:p>
    <w:p w14:paraId="769FD94B" w14:textId="307EF2B2" w:rsidR="00FA6FF0" w:rsidRPr="00A1018B" w:rsidRDefault="001809CC">
      <w:pPr>
        <w:rPr>
          <w:color w:val="000000" w:themeColor="text1"/>
        </w:rPr>
      </w:pPr>
      <w:r w:rsidRPr="00A1018B">
        <w:rPr>
          <w:color w:val="000000" w:themeColor="text1"/>
        </w:rPr>
        <w:t xml:space="preserve">This assignment aims to provide a comprehensive analysis of the </w:t>
      </w:r>
      <w:r w:rsidR="006F18F8" w:rsidRPr="00A1018B">
        <w:rPr>
          <w:color w:val="000000" w:themeColor="text1"/>
        </w:rPr>
        <w:t xml:space="preserve">evolution of CYPC policies and practices. It will explore how policies such as Every Child Matters (2003), the Children Act (1989) and the Children and Families Act (2014) have played a role in shaping the responsibilities and rights of the systems and practitioners supporting children. This analysis will also consider the broader influences of policy development. Part of this essay will discuss the barriers and enablers that may impact putting policy into practice. While the use of multi-agency approaches and </w:t>
      </w:r>
      <w:r w:rsidR="00FA6FF0" w:rsidRPr="00A1018B">
        <w:rPr>
          <w:color w:val="000000" w:themeColor="text1"/>
        </w:rPr>
        <w:t xml:space="preserve">statutory frameworks have enhanced safeguarding </w:t>
      </w:r>
      <w:r w:rsidR="00FA6FF0" w:rsidRPr="00A1018B">
        <w:rPr>
          <w:color w:val="000000" w:themeColor="text1"/>
        </w:rPr>
        <w:lastRenderedPageBreak/>
        <w:t xml:space="preserve">measures, challenges such as budget cuts and workplace inequalities often hinder the effective implementation of such policies. </w:t>
      </w:r>
    </w:p>
    <w:p w14:paraId="6FE41BF6" w14:textId="1D118F46" w:rsidR="00FA6FF0" w:rsidRPr="00A1018B" w:rsidRDefault="00FA6FF0">
      <w:pPr>
        <w:rPr>
          <w:color w:val="000000" w:themeColor="text1"/>
        </w:rPr>
      </w:pPr>
    </w:p>
    <w:p w14:paraId="45B24147" w14:textId="7CE9703E" w:rsidR="00FA6FF0" w:rsidRPr="00A1018B" w:rsidRDefault="00FA6FF0">
      <w:pPr>
        <w:rPr>
          <w:color w:val="000000" w:themeColor="text1"/>
        </w:rPr>
      </w:pPr>
      <w:r w:rsidRPr="00A1018B">
        <w:rPr>
          <w:color w:val="000000" w:themeColor="text1"/>
        </w:rPr>
        <w:t xml:space="preserve">By reflecting on these issues, this assignment will seek to provide a wider understanding of the factors that form CYPC policies and their implications to practice, whilst also gaining knowledge of how practitioners and educators can navigate the challenges of delivering rights-based, inclusive support for children and families. </w:t>
      </w:r>
    </w:p>
    <w:p w14:paraId="537369CC" w14:textId="0DAE87F6" w:rsidR="008D6FF4" w:rsidRPr="00A1018B" w:rsidRDefault="008D6FF4">
      <w:pPr>
        <w:rPr>
          <w:color w:val="000000" w:themeColor="text1"/>
        </w:rPr>
      </w:pPr>
    </w:p>
    <w:p w14:paraId="33DC36B3" w14:textId="77777777" w:rsidR="00B54670" w:rsidRPr="00A1018B" w:rsidRDefault="00B54670">
      <w:pPr>
        <w:rPr>
          <w:color w:val="000000" w:themeColor="text1"/>
        </w:rPr>
      </w:pPr>
    </w:p>
    <w:p w14:paraId="290628F0" w14:textId="529B4563" w:rsidR="007E5C7F" w:rsidRPr="00A1018B" w:rsidRDefault="00141A19">
      <w:pPr>
        <w:rPr>
          <w:color w:val="000000" w:themeColor="text1"/>
        </w:rPr>
      </w:pPr>
      <w:r w:rsidRPr="00A1018B">
        <w:rPr>
          <w:color w:val="000000" w:themeColor="text1"/>
        </w:rPr>
        <w:t xml:space="preserve">The way in which society has protected children and their rights has changed drastically over time, shaped by the ever-evolving attitudes and priorities. There are many key moments in history to show how policies and legislation have evolved to </w:t>
      </w:r>
      <w:r w:rsidR="00356BC7" w:rsidRPr="00A1018B">
        <w:rPr>
          <w:color w:val="000000" w:themeColor="text1"/>
        </w:rPr>
        <w:t>help better</w:t>
      </w:r>
      <w:r w:rsidRPr="00A1018B">
        <w:rPr>
          <w:color w:val="000000" w:themeColor="text1"/>
        </w:rPr>
        <w:t xml:space="preserve"> meet the needs of children, whilst reflecting on the growth of understanding of children’s rights. </w:t>
      </w:r>
    </w:p>
    <w:p w14:paraId="28EA3581" w14:textId="222B3DAE" w:rsidR="00141A19" w:rsidRPr="00A1018B" w:rsidRDefault="00141A19">
      <w:pPr>
        <w:rPr>
          <w:color w:val="000000" w:themeColor="text1"/>
        </w:rPr>
      </w:pPr>
    </w:p>
    <w:p w14:paraId="15A321B3" w14:textId="77777777" w:rsidR="00E41E11" w:rsidRPr="00A1018B" w:rsidRDefault="00B54670">
      <w:pPr>
        <w:rPr>
          <w:color w:val="000000" w:themeColor="text1"/>
        </w:rPr>
      </w:pPr>
      <w:r w:rsidRPr="00A1018B">
        <w:rPr>
          <w:color w:val="000000" w:themeColor="text1"/>
        </w:rPr>
        <w:t>The idea behind child welfare policy started with the introduction of the Poor Law Amendment Act (1834), which was central in the dealing of problems of impoverished families. The law was the first ever initiative by the government to help those living in poverty. The government’s attitude to a child’s social status is significant in childcare as historically, their approach was on combatting poverty rather than the specific needs of children in the 19</w:t>
      </w:r>
      <w:r w:rsidRPr="00A1018B">
        <w:rPr>
          <w:color w:val="000000" w:themeColor="text1"/>
          <w:vertAlign w:val="superscript"/>
        </w:rPr>
        <w:t>th</w:t>
      </w:r>
      <w:r w:rsidRPr="00A1018B">
        <w:rPr>
          <w:color w:val="000000" w:themeColor="text1"/>
        </w:rPr>
        <w:t xml:space="preserve"> century (Hendrick H,2003). Another example of the efforts put forward to establish legal protection of children is the Children Act 1908</w:t>
      </w:r>
      <w:r w:rsidR="00EC68BC" w:rsidRPr="00A1018B">
        <w:rPr>
          <w:color w:val="000000" w:themeColor="text1"/>
        </w:rPr>
        <w:t xml:space="preserve"> also known as the Child Charter, this act is where it was noted that children had rights and they had legal status as someone equal recognising that they were a vulnerable group and needed special care (Cunningham H,2006). Next, the Second World War played a crucial role in child welfare policy, since it discovered the risks exposed to children during such a disaster. The Children Act 1948 was </w:t>
      </w:r>
      <w:r w:rsidR="00356BC7" w:rsidRPr="00A1018B">
        <w:rPr>
          <w:color w:val="000000" w:themeColor="text1"/>
        </w:rPr>
        <w:t>why</w:t>
      </w:r>
      <w:r w:rsidR="00EC68BC" w:rsidRPr="00A1018B">
        <w:rPr>
          <w:color w:val="000000" w:themeColor="text1"/>
        </w:rPr>
        <w:t xml:space="preserve"> more children were brought into local authority care who could no longer live with their families</w:t>
      </w:r>
      <w:r w:rsidR="00356BC7" w:rsidRPr="00A1018B">
        <w:rPr>
          <w:color w:val="000000" w:themeColor="text1"/>
        </w:rPr>
        <w:t xml:space="preserve"> for a range of reasons</w:t>
      </w:r>
      <w:r w:rsidR="00EC68BC" w:rsidRPr="00A1018B">
        <w:rPr>
          <w:color w:val="000000" w:themeColor="text1"/>
        </w:rPr>
        <w:t>, therefor</w:t>
      </w:r>
      <w:r w:rsidR="00EE5374" w:rsidRPr="00A1018B">
        <w:rPr>
          <w:color w:val="000000" w:themeColor="text1"/>
        </w:rPr>
        <w:t>e</w:t>
      </w:r>
      <w:r w:rsidR="00EC68BC" w:rsidRPr="00A1018B">
        <w:rPr>
          <w:color w:val="000000" w:themeColor="text1"/>
        </w:rPr>
        <w:t xml:space="preserve"> creating the base for the contempor</w:t>
      </w:r>
      <w:r w:rsidR="00EE5374" w:rsidRPr="00A1018B">
        <w:rPr>
          <w:color w:val="000000" w:themeColor="text1"/>
        </w:rPr>
        <w:t>ar</w:t>
      </w:r>
      <w:r w:rsidR="00EC68BC" w:rsidRPr="00A1018B">
        <w:rPr>
          <w:color w:val="000000" w:themeColor="text1"/>
        </w:rPr>
        <w:t>y child welfare system (Parker</w:t>
      </w:r>
      <w:r w:rsidR="00EE5374" w:rsidRPr="00A1018B">
        <w:rPr>
          <w:color w:val="000000" w:themeColor="text1"/>
        </w:rPr>
        <w:t xml:space="preserve"> R,1990). These acts needed to be written due to the high number of severe child neglect cases. </w:t>
      </w:r>
    </w:p>
    <w:p w14:paraId="60E32844" w14:textId="77777777" w:rsidR="00E41E11" w:rsidRPr="00A1018B" w:rsidRDefault="00E41E11">
      <w:pPr>
        <w:rPr>
          <w:color w:val="000000" w:themeColor="text1"/>
        </w:rPr>
      </w:pPr>
    </w:p>
    <w:p w14:paraId="420A766C" w14:textId="51DF63B7" w:rsidR="00E41E11" w:rsidRPr="00A1018B" w:rsidRDefault="00E41E11">
      <w:pPr>
        <w:rPr>
          <w:color w:val="000000" w:themeColor="text1"/>
        </w:rPr>
      </w:pPr>
      <w:r w:rsidRPr="00A1018B">
        <w:rPr>
          <w:color w:val="000000" w:themeColor="text1"/>
        </w:rPr>
        <w:t xml:space="preserve">A historical leader of change </w:t>
      </w:r>
      <w:proofErr w:type="gramStart"/>
      <w:r w:rsidRPr="00A1018B">
        <w:rPr>
          <w:color w:val="000000" w:themeColor="text1"/>
        </w:rPr>
        <w:t>In</w:t>
      </w:r>
      <w:proofErr w:type="gramEnd"/>
      <w:r w:rsidRPr="00A1018B">
        <w:rPr>
          <w:color w:val="000000" w:themeColor="text1"/>
        </w:rPr>
        <w:t xml:space="preserve"> 1919 was </w:t>
      </w:r>
      <w:proofErr w:type="spellStart"/>
      <w:r w:rsidRPr="00A1018B">
        <w:rPr>
          <w:color w:val="000000" w:themeColor="text1"/>
        </w:rPr>
        <w:t>Eglantyne</w:t>
      </w:r>
      <w:proofErr w:type="spellEnd"/>
      <w:r w:rsidRPr="00A1018B">
        <w:rPr>
          <w:color w:val="000000" w:themeColor="text1"/>
        </w:rPr>
        <w:t xml:space="preserve"> </w:t>
      </w:r>
      <w:proofErr w:type="spellStart"/>
      <w:r w:rsidRPr="00A1018B">
        <w:rPr>
          <w:color w:val="000000" w:themeColor="text1"/>
        </w:rPr>
        <w:t>Jebb</w:t>
      </w:r>
      <w:proofErr w:type="spellEnd"/>
      <w:r w:rsidRPr="00A1018B">
        <w:rPr>
          <w:color w:val="000000" w:themeColor="text1"/>
        </w:rPr>
        <w:t xml:space="preserve"> co-founded Save the Children alongside her sister Dorothy Buxton, the aim of Save the Children was to provide food and aid to starving children post World War across Europe. </w:t>
      </w:r>
      <w:proofErr w:type="spellStart"/>
      <w:r w:rsidRPr="00A1018B">
        <w:rPr>
          <w:color w:val="000000" w:themeColor="text1"/>
        </w:rPr>
        <w:t>Jebb’s</w:t>
      </w:r>
      <w:proofErr w:type="spellEnd"/>
      <w:r w:rsidRPr="00A1018B">
        <w:rPr>
          <w:color w:val="000000" w:themeColor="text1"/>
        </w:rPr>
        <w:t xml:space="preserve"> belief was radical for her time and similar to policies and policymakers today believed that all children, no matter their nationality all deserve protection, care and opportunities to thrive. </w:t>
      </w:r>
      <w:proofErr w:type="spellStart"/>
      <w:r w:rsidRPr="00A1018B">
        <w:rPr>
          <w:color w:val="000000" w:themeColor="text1"/>
        </w:rPr>
        <w:t>Jebb</w:t>
      </w:r>
      <w:proofErr w:type="spellEnd"/>
      <w:r w:rsidRPr="00A1018B">
        <w:rPr>
          <w:color w:val="000000" w:themeColor="text1"/>
        </w:rPr>
        <w:t xml:space="preserve"> also wrote the Declaration of Rights of the Child in 1924, which was an influential document that outlined every child’s right to care, protection and education. This document was backed by the League of Nations and was adapted to underpin what is now known as the United Nations Convention on the Rights of the Child. </w:t>
      </w:r>
      <w:proofErr w:type="spellStart"/>
      <w:r w:rsidRPr="00A1018B">
        <w:rPr>
          <w:color w:val="000000" w:themeColor="text1"/>
        </w:rPr>
        <w:t>Eglantyne</w:t>
      </w:r>
      <w:proofErr w:type="spellEnd"/>
      <w:r w:rsidRPr="00A1018B">
        <w:rPr>
          <w:color w:val="000000" w:themeColor="text1"/>
        </w:rPr>
        <w:t xml:space="preserve"> </w:t>
      </w:r>
      <w:proofErr w:type="spellStart"/>
      <w:r w:rsidRPr="00A1018B">
        <w:rPr>
          <w:color w:val="000000" w:themeColor="text1"/>
        </w:rPr>
        <w:t>Jebb’s</w:t>
      </w:r>
      <w:proofErr w:type="spellEnd"/>
      <w:r w:rsidRPr="00A1018B">
        <w:rPr>
          <w:color w:val="000000" w:themeColor="text1"/>
        </w:rPr>
        <w:t xml:space="preserve"> efforts to ensure all children were provided with care not only saved the lives of many but also paved the way for change and the way the world thinks of children and their rights.  </w:t>
      </w:r>
    </w:p>
    <w:p w14:paraId="020140B2" w14:textId="051B9EA5" w:rsidR="00E41E11" w:rsidRPr="00A1018B" w:rsidRDefault="00E41E11">
      <w:pPr>
        <w:rPr>
          <w:color w:val="000000" w:themeColor="text1"/>
        </w:rPr>
      </w:pPr>
    </w:p>
    <w:p w14:paraId="7244CDDA" w14:textId="1C1C51C7" w:rsidR="00E41E11" w:rsidRPr="00A1018B" w:rsidRDefault="00E41E11">
      <w:pPr>
        <w:rPr>
          <w:color w:val="000000" w:themeColor="text1"/>
        </w:rPr>
      </w:pPr>
      <w:r w:rsidRPr="00A1018B">
        <w:rPr>
          <w:color w:val="000000" w:themeColor="text1"/>
        </w:rPr>
        <w:t>Another historical figure who play</w:t>
      </w:r>
      <w:r w:rsidR="00A1018B">
        <w:rPr>
          <w:color w:val="000000" w:themeColor="text1"/>
        </w:rPr>
        <w:t>ed</w:t>
      </w:r>
      <w:r w:rsidRPr="00A1018B">
        <w:rPr>
          <w:color w:val="000000" w:themeColor="text1"/>
        </w:rPr>
        <w:t xml:space="preserve"> a significant role in the creation of policies and change for children and young people is </w:t>
      </w:r>
      <w:proofErr w:type="spellStart"/>
      <w:r w:rsidRPr="00A1018B">
        <w:rPr>
          <w:color w:val="000000" w:themeColor="text1"/>
        </w:rPr>
        <w:t>Janusz</w:t>
      </w:r>
      <w:proofErr w:type="spellEnd"/>
      <w:r w:rsidRPr="00A1018B">
        <w:rPr>
          <w:color w:val="000000" w:themeColor="text1"/>
        </w:rPr>
        <w:t xml:space="preserve"> </w:t>
      </w:r>
      <w:proofErr w:type="spellStart"/>
      <w:r w:rsidRPr="00A1018B">
        <w:rPr>
          <w:color w:val="000000" w:themeColor="text1"/>
        </w:rPr>
        <w:t>Korczak</w:t>
      </w:r>
      <w:proofErr w:type="spellEnd"/>
      <w:r w:rsidRPr="00A1018B">
        <w:rPr>
          <w:color w:val="000000" w:themeColor="text1"/>
        </w:rPr>
        <w:t xml:space="preserve">, author of ‘How to Love a Child’ (1919). </w:t>
      </w:r>
      <w:proofErr w:type="spellStart"/>
      <w:r w:rsidRPr="00A1018B">
        <w:rPr>
          <w:color w:val="000000" w:themeColor="text1"/>
        </w:rPr>
        <w:t>Korczak</w:t>
      </w:r>
      <w:proofErr w:type="spellEnd"/>
      <w:r w:rsidRPr="00A1018B">
        <w:rPr>
          <w:color w:val="000000" w:themeColor="text1"/>
        </w:rPr>
        <w:t xml:space="preserve"> advocated for children and their rights </w:t>
      </w:r>
      <w:r w:rsidR="00A1018B">
        <w:rPr>
          <w:color w:val="000000" w:themeColor="text1"/>
        </w:rPr>
        <w:t>to</w:t>
      </w:r>
      <w:r w:rsidRPr="00A1018B">
        <w:rPr>
          <w:color w:val="000000" w:themeColor="text1"/>
        </w:rPr>
        <w:t xml:space="preserve"> dignity through his work as an author and educator, his advocacy was one of the main pioneers for child-centred education, which </w:t>
      </w:r>
    </w:p>
    <w:p w14:paraId="0FA1D958" w14:textId="57E56238" w:rsidR="00E41E11" w:rsidRPr="00A1018B" w:rsidRDefault="00E41E11">
      <w:pPr>
        <w:rPr>
          <w:color w:val="000000" w:themeColor="text1"/>
        </w:rPr>
      </w:pPr>
      <w:r w:rsidRPr="00A1018B">
        <w:rPr>
          <w:color w:val="000000" w:themeColor="text1"/>
        </w:rPr>
        <w:t xml:space="preserve">is still very relevant in today’s society. </w:t>
      </w:r>
    </w:p>
    <w:p w14:paraId="07FEBE34" w14:textId="77777777" w:rsidR="00E41E11" w:rsidRPr="00A1018B" w:rsidRDefault="00E41E11">
      <w:pPr>
        <w:rPr>
          <w:color w:val="000000" w:themeColor="text1"/>
        </w:rPr>
      </w:pPr>
    </w:p>
    <w:p w14:paraId="174BF9D8" w14:textId="2CCDCBC5" w:rsidR="007E5C7F" w:rsidRPr="00A1018B" w:rsidRDefault="00EE5374">
      <w:pPr>
        <w:rPr>
          <w:color w:val="000000" w:themeColor="text1"/>
        </w:rPr>
      </w:pPr>
      <w:r w:rsidRPr="00A1018B">
        <w:rPr>
          <w:color w:val="000000" w:themeColor="text1"/>
        </w:rPr>
        <w:t xml:space="preserve">In 1944 the Education Act was put into practice, where it intended to provide equal opportunities for children of all backgrounds, by offering “free places” at grammar schools across England and Wales. At this time, the main focus of research was linked to the welfare state and the interest in the well-being of the future generation (Fraser D, 2009). </w:t>
      </w:r>
    </w:p>
    <w:p w14:paraId="1D04C193" w14:textId="5A82EB35" w:rsidR="00E41E11" w:rsidRPr="00A1018B" w:rsidRDefault="00E41E11">
      <w:pPr>
        <w:rPr>
          <w:color w:val="000000" w:themeColor="text1"/>
        </w:rPr>
      </w:pPr>
    </w:p>
    <w:p w14:paraId="2F63555E" w14:textId="20A3FA23" w:rsidR="00EE5374" w:rsidRPr="00A1018B" w:rsidRDefault="00356BC7">
      <w:pPr>
        <w:rPr>
          <w:color w:val="000000" w:themeColor="text1"/>
        </w:rPr>
      </w:pPr>
      <w:r w:rsidRPr="00A1018B">
        <w:rPr>
          <w:color w:val="000000" w:themeColor="text1"/>
        </w:rPr>
        <w:t>Significant ideological changes happened b</w:t>
      </w:r>
      <w:r w:rsidR="00EE5374" w:rsidRPr="00A1018B">
        <w:rPr>
          <w:color w:val="000000" w:themeColor="text1"/>
        </w:rPr>
        <w:t>etween the 1980s and 1990s, brought about by the 1989 United Nations Convention on the Rights of the Child mostly known today as the UNCRC.</w:t>
      </w:r>
      <w:r w:rsidR="00771662" w:rsidRPr="00A1018B">
        <w:rPr>
          <w:color w:val="000000" w:themeColor="text1"/>
        </w:rPr>
        <w:t xml:space="preserve"> This convention</w:t>
      </w:r>
      <w:r w:rsidR="00D55D4C" w:rsidRPr="00A1018B">
        <w:rPr>
          <w:color w:val="000000" w:themeColor="text1"/>
        </w:rPr>
        <w:t>’s main focus was the rights of the children who were given protection, provision and participation meaning that the UK government was obliged to adjust their national legislation within these guidelines (James and James,2004). 1989 was a huge year for children</w:t>
      </w:r>
      <w:r w:rsidR="005420A3" w:rsidRPr="00A1018B">
        <w:rPr>
          <w:color w:val="000000" w:themeColor="text1"/>
        </w:rPr>
        <w:t>’</w:t>
      </w:r>
      <w:r w:rsidR="00D55D4C" w:rsidRPr="00A1018B">
        <w:rPr>
          <w:color w:val="000000" w:themeColor="text1"/>
        </w:rPr>
        <w:t>s rights and CYPC policy as the Children Act 1989 was a landmark</w:t>
      </w:r>
      <w:r w:rsidR="005420A3" w:rsidRPr="00A1018B">
        <w:rPr>
          <w:color w:val="000000" w:themeColor="text1"/>
        </w:rPr>
        <w:t xml:space="preserve"> piece of legislation</w:t>
      </w:r>
      <w:r w:rsidR="00D55D4C" w:rsidRPr="00A1018B">
        <w:rPr>
          <w:color w:val="000000" w:themeColor="text1"/>
        </w:rPr>
        <w:t xml:space="preserve"> that </w:t>
      </w:r>
      <w:r w:rsidR="005420A3" w:rsidRPr="00A1018B">
        <w:rPr>
          <w:color w:val="000000" w:themeColor="text1"/>
        </w:rPr>
        <w:t xml:space="preserve">prioritised </w:t>
      </w:r>
      <w:r w:rsidR="00D55D4C" w:rsidRPr="00A1018B">
        <w:rPr>
          <w:color w:val="000000" w:themeColor="text1"/>
        </w:rPr>
        <w:t xml:space="preserve">the welfare of children and set out the duties of parents. </w:t>
      </w:r>
      <w:r w:rsidR="005420A3" w:rsidRPr="00A1018B">
        <w:rPr>
          <w:color w:val="000000" w:themeColor="text1"/>
        </w:rPr>
        <w:t xml:space="preserve">This act marked a shift towards seeing children as independent rights holders (Archard,2004). </w:t>
      </w:r>
    </w:p>
    <w:p w14:paraId="188F7E66" w14:textId="53F0C47A" w:rsidR="005420A3" w:rsidRPr="00A1018B" w:rsidRDefault="005420A3">
      <w:pPr>
        <w:rPr>
          <w:color w:val="000000" w:themeColor="text1"/>
        </w:rPr>
      </w:pPr>
    </w:p>
    <w:p w14:paraId="56AE69B7" w14:textId="6FD3ACF6" w:rsidR="005420A3" w:rsidRPr="00A1018B" w:rsidRDefault="005420A3">
      <w:pPr>
        <w:rPr>
          <w:color w:val="000000" w:themeColor="text1"/>
        </w:rPr>
      </w:pPr>
      <w:r w:rsidRPr="00A1018B">
        <w:rPr>
          <w:color w:val="000000" w:themeColor="text1"/>
        </w:rPr>
        <w:t>Current developments in the 21</w:t>
      </w:r>
      <w:r w:rsidRPr="00A1018B">
        <w:rPr>
          <w:color w:val="000000" w:themeColor="text1"/>
          <w:vertAlign w:val="superscript"/>
        </w:rPr>
        <w:t>st</w:t>
      </w:r>
      <w:r w:rsidRPr="00A1018B">
        <w:rPr>
          <w:color w:val="000000" w:themeColor="text1"/>
        </w:rPr>
        <w:t xml:space="preserve"> century have been on the use of multi-agency approaches and holistic development of children and their well-being. </w:t>
      </w:r>
      <w:proofErr w:type="gramStart"/>
      <w:r w:rsidRPr="00A1018B">
        <w:rPr>
          <w:color w:val="000000" w:themeColor="text1"/>
        </w:rPr>
        <w:t>The</w:t>
      </w:r>
      <w:r w:rsidR="00B0493D" w:rsidRPr="00A1018B">
        <w:rPr>
          <w:color w:val="000000" w:themeColor="text1"/>
        </w:rPr>
        <w:t xml:space="preserve"> </w:t>
      </w:r>
      <w:r w:rsidRPr="00A1018B">
        <w:rPr>
          <w:color w:val="000000" w:themeColor="text1"/>
        </w:rPr>
        <w:t>Every</w:t>
      </w:r>
      <w:proofErr w:type="gramEnd"/>
      <w:r w:rsidRPr="00A1018B">
        <w:rPr>
          <w:color w:val="000000" w:themeColor="text1"/>
        </w:rPr>
        <w:t xml:space="preserve"> Child Matters (2003) initiative was introduced after the tragic death of Victoria Climbie in 2000, who was murdered by her great-aunt and her partner. Victoria</w:t>
      </w:r>
      <w:r w:rsidR="00B0493D" w:rsidRPr="00A1018B">
        <w:rPr>
          <w:color w:val="000000" w:themeColor="text1"/>
        </w:rPr>
        <w:t>’s</w:t>
      </w:r>
      <w:r w:rsidRPr="00A1018B">
        <w:rPr>
          <w:color w:val="000000" w:themeColor="text1"/>
        </w:rPr>
        <w:t xml:space="preserve"> death led to a public enquiry, where major changes in child protection were produced in the United Kingdom. </w:t>
      </w:r>
      <w:proofErr w:type="gramStart"/>
      <w:r w:rsidR="00B0493D" w:rsidRPr="00A1018B">
        <w:rPr>
          <w:color w:val="000000" w:themeColor="text1"/>
        </w:rPr>
        <w:t>The Every</w:t>
      </w:r>
      <w:proofErr w:type="gramEnd"/>
      <w:r w:rsidR="00B0493D" w:rsidRPr="00A1018B">
        <w:rPr>
          <w:color w:val="000000" w:themeColor="text1"/>
        </w:rPr>
        <w:t xml:space="preserve"> Child Matters initiative outlined five key outcomes for children: being healthy, enjoying and achieving, staying safe, making positive contributions and achieving economic well-being (DfE,2003). </w:t>
      </w:r>
    </w:p>
    <w:p w14:paraId="56CD9E57" w14:textId="4EECA5E6" w:rsidR="007E5C7F" w:rsidRPr="00A1018B" w:rsidRDefault="00B0493D">
      <w:pPr>
        <w:rPr>
          <w:color w:val="000000" w:themeColor="text1"/>
        </w:rPr>
      </w:pPr>
      <w:r w:rsidRPr="00A1018B">
        <w:rPr>
          <w:color w:val="000000" w:themeColor="text1"/>
        </w:rPr>
        <w:t xml:space="preserve"> </w:t>
      </w:r>
    </w:p>
    <w:p w14:paraId="1C420542" w14:textId="2BD075DE" w:rsidR="00E41E11" w:rsidRPr="00A1018B" w:rsidRDefault="00E41E11">
      <w:pPr>
        <w:rPr>
          <w:color w:val="000000" w:themeColor="text1"/>
        </w:rPr>
      </w:pPr>
    </w:p>
    <w:p w14:paraId="0B81FC2B" w14:textId="77777777" w:rsidR="00356BC7" w:rsidRPr="00A1018B" w:rsidRDefault="000B7E09">
      <w:pPr>
        <w:rPr>
          <w:color w:val="000000" w:themeColor="text1"/>
        </w:rPr>
      </w:pPr>
      <w:r w:rsidRPr="00A1018B">
        <w:rPr>
          <w:color w:val="000000" w:themeColor="text1"/>
        </w:rPr>
        <w:t>Current policies hand</w:t>
      </w:r>
      <w:r w:rsidR="009B5314" w:rsidRPr="00A1018B">
        <w:rPr>
          <w:color w:val="000000" w:themeColor="text1"/>
        </w:rPr>
        <w:t>l</w:t>
      </w:r>
      <w:r w:rsidRPr="00A1018B">
        <w:rPr>
          <w:color w:val="000000" w:themeColor="text1"/>
        </w:rPr>
        <w:t>ing the care of children and young people demonstrate</w:t>
      </w:r>
      <w:r w:rsidR="00DC28AC" w:rsidRPr="00A1018B">
        <w:rPr>
          <w:color w:val="000000" w:themeColor="text1"/>
        </w:rPr>
        <w:t xml:space="preserve"> </w:t>
      </w:r>
      <w:r w:rsidR="009B5314" w:rsidRPr="00A1018B">
        <w:rPr>
          <w:color w:val="000000" w:themeColor="text1"/>
        </w:rPr>
        <w:t>a</w:t>
      </w:r>
      <w:r w:rsidRPr="00A1018B">
        <w:rPr>
          <w:color w:val="000000" w:themeColor="text1"/>
        </w:rPr>
        <w:t xml:space="preserve"> growing interest in protecting the well-being of children and ensuring equality. </w:t>
      </w:r>
      <w:r w:rsidR="00B0493D" w:rsidRPr="00A1018B">
        <w:rPr>
          <w:color w:val="000000" w:themeColor="text1"/>
        </w:rPr>
        <w:t xml:space="preserve">More recently, in 2014 the Children and Families Act led to the reform of the adoption and family justice system as well as the support for children with special educational needs and disabilities. In relation to this, again this act also put emphasis on the welfare of the child specifically in family law issues. These reforms are a result of the ongoing work to ensure that all children, no matter their socioeconomic status have access to adequate support systems that will help them thrive (Munro E, 2011). </w:t>
      </w:r>
      <w:r w:rsidR="009B5314" w:rsidRPr="00A1018B">
        <w:rPr>
          <w:color w:val="000000" w:themeColor="text1"/>
        </w:rPr>
        <w:t>Even though</w:t>
      </w:r>
      <w:r w:rsidRPr="00A1018B">
        <w:rPr>
          <w:color w:val="000000" w:themeColor="text1"/>
        </w:rPr>
        <w:t xml:space="preserve"> the act laid down ambitious aims, its actual implementation has been constrained by budget cuts, in a way that most local authorities cannot deliver these reforms effectively (British Association of Social Workers,2022). Working Together to Safeguard Children 2018 </w:t>
      </w:r>
      <w:r w:rsidR="009B5314" w:rsidRPr="00A1018B">
        <w:rPr>
          <w:color w:val="000000" w:themeColor="text1"/>
        </w:rPr>
        <w:t xml:space="preserve">guidance outlines the statutory responsibilities of agencies working together to protect children. It promotes the use of multi-agency approaches, through Local Safeguarding Partnerships replacing the Local Safeguarding Boards previously used. This framework also supports child-centred care by making the opinions and voices of children central to safeguarding efforts. </w:t>
      </w:r>
    </w:p>
    <w:p w14:paraId="3399B346" w14:textId="77777777" w:rsidR="00A1018B" w:rsidRDefault="00A1018B">
      <w:pPr>
        <w:rPr>
          <w:color w:val="000000" w:themeColor="text1"/>
        </w:rPr>
      </w:pPr>
    </w:p>
    <w:p w14:paraId="485D254D" w14:textId="0579FADD" w:rsidR="00CF370B" w:rsidRPr="00A1018B" w:rsidRDefault="009B5314">
      <w:pPr>
        <w:rPr>
          <w:color w:val="000000" w:themeColor="text1"/>
        </w:rPr>
      </w:pPr>
      <w:r w:rsidRPr="00A1018B">
        <w:rPr>
          <w:color w:val="000000" w:themeColor="text1"/>
        </w:rPr>
        <w:t xml:space="preserve">However, practitioners and educators have also made it known that there are challenges with this due to resource constraints and </w:t>
      </w:r>
      <w:r w:rsidR="00DC28AC" w:rsidRPr="00A1018B">
        <w:rPr>
          <w:color w:val="000000" w:themeColor="text1"/>
        </w:rPr>
        <w:t>the increased workload on staff which can lead to ineffective safeguarding (NSPCC,2023). Child poverty is still the main point of current policy, including the Holiday Activities and Food Programme (HAF), which is a programme aimed at tackling issues of food insecurit</w:t>
      </w:r>
      <w:r w:rsidR="00CF370B" w:rsidRPr="00A1018B">
        <w:rPr>
          <w:color w:val="000000" w:themeColor="text1"/>
        </w:rPr>
        <w:t xml:space="preserve">y for children in low-income families. The HAF programme </w:t>
      </w:r>
      <w:r w:rsidR="005E48BA" w:rsidRPr="00A1018B">
        <w:rPr>
          <w:color w:val="000000" w:themeColor="text1"/>
        </w:rPr>
        <w:lastRenderedPageBreak/>
        <w:t>which</w:t>
      </w:r>
      <w:r w:rsidR="00CF370B" w:rsidRPr="00A1018B">
        <w:rPr>
          <w:color w:val="000000" w:themeColor="text1"/>
        </w:rPr>
        <w:t xml:space="preserve"> is funded by the Department for Education, offers free meals and activities over the periods whe</w:t>
      </w:r>
      <w:r w:rsidR="005E48BA" w:rsidRPr="00A1018B">
        <w:rPr>
          <w:color w:val="000000" w:themeColor="text1"/>
        </w:rPr>
        <w:t>n</w:t>
      </w:r>
      <w:r w:rsidR="00CF370B" w:rsidRPr="00A1018B">
        <w:rPr>
          <w:color w:val="000000" w:themeColor="text1"/>
        </w:rPr>
        <w:t xml:space="preserve"> children are not in school. This was welcomed for helping to ease some of the financial burden on families while helping to provide healthy meals </w:t>
      </w:r>
      <w:r w:rsidR="005E48BA" w:rsidRPr="00A1018B">
        <w:rPr>
          <w:color w:val="000000" w:themeColor="text1"/>
        </w:rPr>
        <w:t>(GOV.uk,2023).</w:t>
      </w:r>
    </w:p>
    <w:p w14:paraId="6FC9B758" w14:textId="77777777" w:rsidR="00A1018B" w:rsidRDefault="00A1018B">
      <w:pPr>
        <w:rPr>
          <w:color w:val="000000" w:themeColor="text1"/>
        </w:rPr>
      </w:pPr>
    </w:p>
    <w:p w14:paraId="4463BF76" w14:textId="2A7F46BE" w:rsidR="0000598B" w:rsidRPr="00A1018B" w:rsidRDefault="005E48BA">
      <w:pPr>
        <w:rPr>
          <w:color w:val="000000" w:themeColor="text1"/>
        </w:rPr>
      </w:pPr>
      <w:r w:rsidRPr="00A1018B">
        <w:rPr>
          <w:color w:val="000000" w:themeColor="text1"/>
        </w:rPr>
        <w:t xml:space="preserve">Although, structural drivers have already worsened poverty such are the rising cost of living and budgets not meeting even a third of the needs that have been identified by local authorities (Joseph Rowntree Foundation,2023). </w:t>
      </w:r>
      <w:r w:rsidR="00356BC7" w:rsidRPr="00A1018B">
        <w:rPr>
          <w:color w:val="000000" w:themeColor="text1"/>
        </w:rPr>
        <w:t xml:space="preserve">Mental health and well-being has seen an increase in reasonings behind policy making. </w:t>
      </w:r>
      <w:r w:rsidR="00D23BEC" w:rsidRPr="00A1018B">
        <w:rPr>
          <w:color w:val="000000" w:themeColor="text1"/>
        </w:rPr>
        <w:t>A</w:t>
      </w:r>
      <w:r w:rsidR="0000598B" w:rsidRPr="00A1018B">
        <w:rPr>
          <w:color w:val="000000" w:themeColor="text1"/>
        </w:rPr>
        <w:t>cademic research and evidence based practice now play a hugely significant role in the shaping of CYPC policy. Studies on trauma, child development and adverse childhood experiences (ACEs) have now informed policymakers when creating policies aimed at early intervention and prevention. For example, the focus on reducing ACEs has influenced mental health policies such as The Green Paper for Transforming Children and Young People’s Mental Health.  I</w:t>
      </w:r>
      <w:r w:rsidR="00356BC7" w:rsidRPr="00A1018B">
        <w:rPr>
          <w:color w:val="000000" w:themeColor="text1"/>
        </w:rPr>
        <w:t xml:space="preserve">n 2017 </w:t>
      </w:r>
      <w:r w:rsidR="0000598B" w:rsidRPr="00A1018B">
        <w:rPr>
          <w:color w:val="000000" w:themeColor="text1"/>
        </w:rPr>
        <w:t>T</w:t>
      </w:r>
      <w:r w:rsidR="00356BC7" w:rsidRPr="00A1018B">
        <w:rPr>
          <w:color w:val="000000" w:themeColor="text1"/>
        </w:rPr>
        <w:t xml:space="preserve">he Green Paper was issued, where some critical reforms were set out that included creating mental health support teams in schools, and the reduction of wait times for those needing specialist mental health services. Despite these efforts </w:t>
      </w:r>
      <w:r w:rsidR="0000598B" w:rsidRPr="00A1018B">
        <w:rPr>
          <w:color w:val="000000" w:themeColor="text1"/>
        </w:rPr>
        <w:t xml:space="preserve">and intentions, The Children’s Commissioner (2022) notes that the progress has been slow and without acknowledging the needs of children the delays in obtaining access to much needed support from underfunded services continue. Current policies in practice show an emerging commitment to helping to better young people’s welfare, but their successful implementation is affected by challenges. As mentioned previously reductions in funding and increasing pressure on staff have strained the social care and educational systems, whilst irregular delivery of services remains an ongoing issue. These challenges only emphasise the importance of the continuation of multi-agency approaches and funding in order to help every child no matter their background or situation to get access to everything they may need. </w:t>
      </w:r>
    </w:p>
    <w:p w14:paraId="2D7D3D05" w14:textId="389AA4FC" w:rsidR="0000598B" w:rsidRPr="00A1018B" w:rsidRDefault="0000598B">
      <w:pPr>
        <w:rPr>
          <w:color w:val="000000" w:themeColor="text1"/>
        </w:rPr>
      </w:pPr>
    </w:p>
    <w:p w14:paraId="4050176F" w14:textId="67FA201C" w:rsidR="0000598B" w:rsidRPr="00A1018B" w:rsidRDefault="0000598B">
      <w:pPr>
        <w:rPr>
          <w:color w:val="000000" w:themeColor="text1"/>
        </w:rPr>
      </w:pPr>
      <w:r w:rsidRPr="00A1018B">
        <w:rPr>
          <w:color w:val="000000" w:themeColor="text1"/>
        </w:rPr>
        <w:t xml:space="preserve">The COVID-19 pandemic led to amplified vulnerabilities among children and their families, again with mental health being a huge factor as well as educational inequalities and increased cases of neglect and abuse. The introduction of the Stable Homes, Built on Love strategy backed on a £200 million investment was started because of these challenges, with a concentration on early intervention, supporting kinship carers and improving safeguarding. This helps to ensure that children’s needs are being met in a timely and effective way, reducing the risk of long term negative outcomes (Department for Education,2023). Components of this reform include the National Kinship Strategy which recognises the crucial role of kinship care. This strategy was the first national strategy of its kind to offer guidance and support for family networks to provide stable homes for children. The government allocated £20 million to help kinship carers with allowances to help with finances so those who are kinship carers did not have to choose between financial stability and caring. Additionally, investments into training and support for all kinship carers, with the main aim of lessons learned to benefit children and their caregivers. This is an important strategy that shows the significant step towards the government recognising and supporting the role of kinship carers. </w:t>
      </w:r>
    </w:p>
    <w:p w14:paraId="1D0FABFB" w14:textId="01AEC3FE" w:rsidR="0000598B" w:rsidRPr="00A1018B" w:rsidRDefault="0000598B">
      <w:pPr>
        <w:rPr>
          <w:color w:val="000000" w:themeColor="text1"/>
        </w:rPr>
      </w:pPr>
    </w:p>
    <w:p w14:paraId="28A19761" w14:textId="0FFC4029" w:rsidR="0000598B" w:rsidRPr="00A1018B" w:rsidRDefault="0000598B">
      <w:pPr>
        <w:rPr>
          <w:color w:val="000000" w:themeColor="text1"/>
        </w:rPr>
      </w:pPr>
      <w:r w:rsidRPr="00A1018B">
        <w:rPr>
          <w:color w:val="000000" w:themeColor="text1"/>
        </w:rPr>
        <w:t xml:space="preserve">The importance of these policies lies in their potential to initiate meaningful change by addressing causes rather than the symptoms. By focussing on prevention and innovation these initiatives seek to ensure that all children and young people can grow up in </w:t>
      </w:r>
      <w:r w:rsidRPr="00A1018B">
        <w:rPr>
          <w:color w:val="000000" w:themeColor="text1"/>
        </w:rPr>
        <w:lastRenderedPageBreak/>
        <w:t xml:space="preserve">environments that nurture them to support their holistic development whilst improving their life chances. </w:t>
      </w:r>
    </w:p>
    <w:p w14:paraId="6E96D882" w14:textId="4797F1F0" w:rsidR="0000598B" w:rsidRPr="00A1018B" w:rsidRDefault="0000598B">
      <w:pPr>
        <w:rPr>
          <w:color w:val="000000" w:themeColor="text1"/>
        </w:rPr>
      </w:pPr>
    </w:p>
    <w:p w14:paraId="26E2300C" w14:textId="11E3347E" w:rsidR="007E5C7F" w:rsidRPr="00A1018B" w:rsidRDefault="0000598B">
      <w:pPr>
        <w:rPr>
          <w:color w:val="000000" w:themeColor="text1"/>
        </w:rPr>
      </w:pPr>
      <w:r w:rsidRPr="00A1018B">
        <w:rPr>
          <w:color w:val="000000" w:themeColor="text1"/>
        </w:rPr>
        <w:t xml:space="preserve">  </w:t>
      </w:r>
    </w:p>
    <w:p w14:paraId="0F1710FD" w14:textId="6798E8A9" w:rsidR="00D23BEC" w:rsidRPr="00A1018B" w:rsidRDefault="00D23BEC">
      <w:pPr>
        <w:rPr>
          <w:color w:val="000000" w:themeColor="text1"/>
        </w:rPr>
      </w:pPr>
      <w:r w:rsidRPr="00A1018B">
        <w:rPr>
          <w:color w:val="000000" w:themeColor="text1"/>
        </w:rPr>
        <w:t xml:space="preserve">In all areas of policy implementation and policy-making, there are barriers and enablers to how this translates in practice. The implementation of policies is influenced by multiple different strengths and weaknesses; they help to determine the success of the policy. In CYPC policies it determines the success of interventions focussing on the welfare of children and young people. </w:t>
      </w:r>
    </w:p>
    <w:p w14:paraId="70228D35" w14:textId="78902715" w:rsidR="00D23BEC" w:rsidRPr="00A1018B" w:rsidRDefault="00D23BEC">
      <w:pPr>
        <w:rPr>
          <w:color w:val="000000" w:themeColor="text1"/>
        </w:rPr>
      </w:pPr>
    </w:p>
    <w:p w14:paraId="4D384225" w14:textId="65191BF9" w:rsidR="00D23BEC" w:rsidRPr="00A1018B" w:rsidRDefault="00D23BEC">
      <w:pPr>
        <w:rPr>
          <w:color w:val="000000" w:themeColor="text1"/>
        </w:rPr>
      </w:pPr>
      <w:r w:rsidRPr="00A1018B">
        <w:rPr>
          <w:color w:val="000000" w:themeColor="text1"/>
        </w:rPr>
        <w:t xml:space="preserve">The strength of the current CYPC policy is the use of evidence based policy, much like the Green Paper (2017) helps to establish robust frameworks to put policies into practice. By using evidence-based approaches practitioners are able to focus on intervening with positive outcomes proven to help, ensuring that policies are credible and effective (Bowlby et al.,2022). Again, collaboration between healthcare, education and social care systems only helps to enhance the effectiveness of policies, the HM Government policy Working Together to Safeguard Children (2018) emphasises the use of multi-agency cooperation, providing holistic protection of children and young people. Munro (2011) postulates that research conducted shows that collaboration helps to reduce any fragmentation of service and improves outcomes for everyone involved. </w:t>
      </w:r>
    </w:p>
    <w:p w14:paraId="17EA8F92" w14:textId="1C928186" w:rsidR="00D23BEC" w:rsidRPr="00A1018B" w:rsidRDefault="00D23BEC">
      <w:pPr>
        <w:rPr>
          <w:color w:val="000000" w:themeColor="text1"/>
        </w:rPr>
      </w:pPr>
    </w:p>
    <w:p w14:paraId="3B7FAEF9" w14:textId="1EC429D4" w:rsidR="00D23BEC" w:rsidRPr="00A1018B" w:rsidRDefault="00D23BEC">
      <w:pPr>
        <w:rPr>
          <w:color w:val="000000" w:themeColor="text1"/>
        </w:rPr>
      </w:pPr>
      <w:r w:rsidRPr="00A1018B">
        <w:rPr>
          <w:color w:val="000000" w:themeColor="text1"/>
        </w:rPr>
        <w:t xml:space="preserve">Additionally, as well as research proving that multi-agency approaches work well, co-production when writing policies also has been found to work. Policies that involve children and young people making decisions regarding things that will affect them are more likely to be relevant and successful. Co-production not only improves policies and their alignment with real needs but it also helps to encourage engagement (Lundy,2007). </w:t>
      </w:r>
    </w:p>
    <w:p w14:paraId="4F3CA632" w14:textId="64C0BD4E" w:rsidR="00D23BEC" w:rsidRPr="00A1018B" w:rsidRDefault="00D23BEC">
      <w:pPr>
        <w:rPr>
          <w:color w:val="000000" w:themeColor="text1"/>
        </w:rPr>
      </w:pPr>
    </w:p>
    <w:p w14:paraId="512B54D1" w14:textId="0661BCF5" w:rsidR="00D23BEC" w:rsidRPr="00A1018B" w:rsidRDefault="00D23BEC">
      <w:pPr>
        <w:rPr>
          <w:color w:val="000000" w:themeColor="text1"/>
        </w:rPr>
      </w:pPr>
    </w:p>
    <w:p w14:paraId="6E9AAD1C" w14:textId="3C7E57ED" w:rsidR="00D23BEC" w:rsidRPr="00A1018B" w:rsidRDefault="00D23BEC">
      <w:pPr>
        <w:rPr>
          <w:color w:val="000000" w:themeColor="text1"/>
        </w:rPr>
      </w:pPr>
      <w:r w:rsidRPr="00A1018B">
        <w:rPr>
          <w:color w:val="000000" w:themeColor="text1"/>
        </w:rPr>
        <w:t xml:space="preserve">Barriers to the translation of policy lie mainly in funding constraints, inconsistent implementation and workforce issues, though not the only reasons they cause the most noise in policy examination. Mismatches between guidance set out in policies and the resources needed are a significant barrier. For example, when reforms have been set out for children with special educational needs and disabilities, budget cuts and funding shortfalls have limited success (National Audit Office, 2019). The severe caseloads, shortages of staff and high staff turnovers reduce educators and professionals to appropriately put policies into practice. As stated by </w:t>
      </w:r>
      <w:proofErr w:type="spellStart"/>
      <w:r w:rsidRPr="00A1018B">
        <w:rPr>
          <w:color w:val="000000" w:themeColor="text1"/>
        </w:rPr>
        <w:t>Baginsky</w:t>
      </w:r>
      <w:proofErr w:type="spellEnd"/>
      <w:r w:rsidRPr="00A1018B">
        <w:rPr>
          <w:color w:val="000000" w:themeColor="text1"/>
        </w:rPr>
        <w:t xml:space="preserve"> and </w:t>
      </w:r>
      <w:proofErr w:type="spellStart"/>
      <w:r w:rsidRPr="00A1018B">
        <w:rPr>
          <w:color w:val="000000" w:themeColor="text1"/>
        </w:rPr>
        <w:t>Manthorpe</w:t>
      </w:r>
      <w:proofErr w:type="spellEnd"/>
      <w:r w:rsidRPr="00A1018B">
        <w:rPr>
          <w:color w:val="000000" w:themeColor="text1"/>
        </w:rPr>
        <w:t xml:space="preserve"> (2021) research shows that social workers and teachers with heavy workloads are at risk of employment burnout, and as a result, the quality of care given to children and young people is being affected. A barrier to translation is the difference in how separate local authorities implement policies, this can cause inequalities to become apparent. The National Audit Office reported in 2023 that inconsistent rollout of early help services has hindered relationships between professionals and families as it has produced inequalities and outcomes across multiple areas. </w:t>
      </w:r>
    </w:p>
    <w:p w14:paraId="1A69EE31" w14:textId="73343917" w:rsidR="00D23BEC" w:rsidRPr="00A1018B" w:rsidRDefault="00D23BEC">
      <w:pPr>
        <w:rPr>
          <w:color w:val="000000" w:themeColor="text1"/>
        </w:rPr>
      </w:pPr>
    </w:p>
    <w:p w14:paraId="357F0DEF" w14:textId="16AE519C" w:rsidR="00647C6A" w:rsidRPr="00A1018B" w:rsidRDefault="00647C6A">
      <w:pPr>
        <w:rPr>
          <w:color w:val="000000" w:themeColor="text1"/>
        </w:rPr>
      </w:pPr>
      <w:r w:rsidRPr="00A1018B">
        <w:rPr>
          <w:color w:val="000000" w:themeColor="text1"/>
        </w:rPr>
        <w:t>Moreover, Policy changes play a critical role in the inadequate implementation of many policies</w:t>
      </w:r>
      <w:r w:rsidR="00E41E11" w:rsidRPr="00A1018B">
        <w:rPr>
          <w:color w:val="000000" w:themeColor="text1"/>
        </w:rPr>
        <w:t>, such as</w:t>
      </w:r>
      <w:r w:rsidRPr="00A1018B">
        <w:rPr>
          <w:color w:val="000000" w:themeColor="text1"/>
        </w:rPr>
        <w:t xml:space="preserve"> the shift from ‘Every Child Matters’ (2003) to more targeted approaches under austerity. This created various inconsistencies in service</w:t>
      </w:r>
      <w:r w:rsidR="00E41E11" w:rsidRPr="00A1018B">
        <w:rPr>
          <w:color w:val="000000" w:themeColor="text1"/>
        </w:rPr>
        <w:t>,</w:t>
      </w:r>
      <w:r w:rsidRPr="00A1018B">
        <w:rPr>
          <w:color w:val="000000" w:themeColor="text1"/>
        </w:rPr>
        <w:t xml:space="preserve"> accessibility</w:t>
      </w:r>
      <w:r w:rsidR="00E41E11" w:rsidRPr="00A1018B">
        <w:rPr>
          <w:color w:val="000000" w:themeColor="text1"/>
        </w:rPr>
        <w:t>, and outcomes</w:t>
      </w:r>
      <w:r w:rsidRPr="00A1018B">
        <w:rPr>
          <w:color w:val="000000" w:themeColor="text1"/>
        </w:rPr>
        <w:t xml:space="preserve"> across regions (Parton N,2014). </w:t>
      </w:r>
    </w:p>
    <w:p w14:paraId="72AC06E1" w14:textId="4C90DDD9" w:rsidR="00D23BEC" w:rsidRPr="00A1018B" w:rsidRDefault="00D23BEC">
      <w:pPr>
        <w:rPr>
          <w:color w:val="000000" w:themeColor="text1"/>
        </w:rPr>
      </w:pPr>
    </w:p>
    <w:p w14:paraId="6C9BAE43" w14:textId="2B7937C7" w:rsidR="00D23BEC" w:rsidRPr="00A1018B" w:rsidRDefault="00D23BEC">
      <w:pPr>
        <w:rPr>
          <w:color w:val="000000" w:themeColor="text1"/>
        </w:rPr>
      </w:pPr>
    </w:p>
    <w:p w14:paraId="7E993521" w14:textId="445CE31F" w:rsidR="00647C6A" w:rsidRPr="00A1018B" w:rsidRDefault="00647C6A">
      <w:pPr>
        <w:rPr>
          <w:color w:val="000000" w:themeColor="text1"/>
        </w:rPr>
      </w:pPr>
      <w:r w:rsidRPr="00A1018B">
        <w:rPr>
          <w:color w:val="000000" w:themeColor="text1"/>
        </w:rPr>
        <w:t xml:space="preserve">The </w:t>
      </w:r>
      <w:r w:rsidR="008D6FF4" w:rsidRPr="00A1018B">
        <w:rPr>
          <w:color w:val="000000" w:themeColor="text1"/>
        </w:rPr>
        <w:t xml:space="preserve">future of policies </w:t>
      </w:r>
      <w:r w:rsidRPr="00A1018B">
        <w:rPr>
          <w:color w:val="000000" w:themeColor="text1"/>
        </w:rPr>
        <w:t xml:space="preserve">relating to children, young people and their communities is expected to be shaped by ongoing changes, challenges and emerging priorities </w:t>
      </w:r>
      <w:r w:rsidR="00E41E11" w:rsidRPr="00A1018B">
        <w:rPr>
          <w:color w:val="000000" w:themeColor="text1"/>
        </w:rPr>
        <w:t>reflecting</w:t>
      </w:r>
      <w:r w:rsidRPr="00A1018B">
        <w:rPr>
          <w:color w:val="000000" w:themeColor="text1"/>
        </w:rPr>
        <w:t xml:space="preserve"> global events, and societal change. Future policies are likely to have a continuation of emphasis on mental health, given the current rise in issues surrounding this topic and young people. New policies are likely to integrate mental health and well-being into educational curriculum and social care systems, as stated by NSPCC (2023) when discussing the Government Plan to Reform Children’s Social Care in England, there is a growing demand for holistic approaches in educational and care settings and this can be done through not only education in schools but community-based intervention to make support readily accessible for all children and young people. </w:t>
      </w:r>
    </w:p>
    <w:p w14:paraId="7C07D71A" w14:textId="53D40046" w:rsidR="00647C6A" w:rsidRPr="00A1018B" w:rsidRDefault="00647C6A">
      <w:pPr>
        <w:rPr>
          <w:color w:val="000000" w:themeColor="text1"/>
        </w:rPr>
      </w:pPr>
    </w:p>
    <w:p w14:paraId="071B52C7" w14:textId="4AFFB5C2" w:rsidR="00647C6A" w:rsidRPr="00A1018B" w:rsidRDefault="00647C6A">
      <w:pPr>
        <w:rPr>
          <w:color w:val="000000" w:themeColor="text1"/>
        </w:rPr>
      </w:pPr>
      <w:r w:rsidRPr="00A1018B">
        <w:rPr>
          <w:color w:val="000000" w:themeColor="text1"/>
        </w:rPr>
        <w:t xml:space="preserve">The rise </w:t>
      </w:r>
      <w:r w:rsidR="00E41E11" w:rsidRPr="00A1018B">
        <w:rPr>
          <w:color w:val="000000" w:themeColor="text1"/>
        </w:rPr>
        <w:t>of</w:t>
      </w:r>
      <w:r w:rsidRPr="00A1018B">
        <w:rPr>
          <w:color w:val="000000" w:themeColor="text1"/>
        </w:rPr>
        <w:t xml:space="preserve"> </w:t>
      </w:r>
      <w:r w:rsidR="00E41E11" w:rsidRPr="00A1018B">
        <w:rPr>
          <w:color w:val="000000" w:themeColor="text1"/>
        </w:rPr>
        <w:t xml:space="preserve">those living in </w:t>
      </w:r>
      <w:r w:rsidRPr="00A1018B">
        <w:rPr>
          <w:color w:val="000000" w:themeColor="text1"/>
        </w:rPr>
        <w:t xml:space="preserve">poverty in recent years and inconsistencies in education outcomes suggest that policies in the making will likely focus on closing educational attainments gaps by ensuring equal access to quality health care, social care and education opportunities regardless of geographical status. </w:t>
      </w:r>
    </w:p>
    <w:p w14:paraId="33AFAFCC" w14:textId="75F7FB0D" w:rsidR="00647C6A" w:rsidRPr="00A1018B" w:rsidRDefault="00647C6A">
      <w:pPr>
        <w:rPr>
          <w:color w:val="000000" w:themeColor="text1"/>
        </w:rPr>
      </w:pPr>
    </w:p>
    <w:p w14:paraId="49155933" w14:textId="2AFC5365" w:rsidR="00647C6A" w:rsidRDefault="00647C6A">
      <w:r w:rsidRPr="00A1018B">
        <w:rPr>
          <w:color w:val="000000" w:themeColor="text1"/>
        </w:rPr>
        <w:t>Currently, there has been a rise in change in the way that policies and frameworks are written. Future frameworks and policies are likely to be written with the priority being child-centred, ensuring that children, their voices and opinions are at the centre of decision-making processes when it has an impact on them. This aligns with the principles set out by the UNCRC, surveys like ‘The Big Ask’ launched by the Children Commissioner in 2021 was “a collection of questions for children aged between four and seventeen about their hopes, fears, dreams and lockdown stories and their plans for tomor</w:t>
      </w:r>
      <w:r>
        <w:t xml:space="preserve">row” (Childrens Commisoner,2023). The survey received more than half a million responses from children, it is the largest ever survey of its kind all based on children having a voice. Following in the footsteps of this child-centred care will help to shape child and young people care services. </w:t>
      </w:r>
    </w:p>
    <w:p w14:paraId="26A33F8D" w14:textId="77777777" w:rsidR="00647C6A" w:rsidRDefault="00647C6A"/>
    <w:p w14:paraId="5C3995ED" w14:textId="11713195" w:rsidR="00647C6A" w:rsidRDefault="00647C6A">
      <w:r>
        <w:t xml:space="preserve">The COVID-19 pandemic advanced the use of technology in education settings, health care and social services, future policies may use this and focus on expanding on their digital accessibility for children and their families, this may mean virtual counselling sessions, online education and a digital safeguarding tool. A consideration policymakers may need to have </w:t>
      </w:r>
      <w:proofErr w:type="gramStart"/>
      <w:r>
        <w:t>is</w:t>
      </w:r>
      <w:proofErr w:type="gramEnd"/>
      <w:r>
        <w:t xml:space="preserve">, that those living in poverty or without access to technology do not get excluded due to their limitation to access to technology. </w:t>
      </w:r>
    </w:p>
    <w:p w14:paraId="72658031" w14:textId="3AF3DB73" w:rsidR="00647C6A" w:rsidRDefault="00647C6A"/>
    <w:p w14:paraId="3836AA29" w14:textId="6FDEB371" w:rsidR="00647C6A" w:rsidRDefault="00647C6A">
      <w:r>
        <w:t>It is clear that the future of children, young people</w:t>
      </w:r>
      <w:r w:rsidR="00E41E11">
        <w:t>,</w:t>
      </w:r>
      <w:r>
        <w:t xml:space="preserve"> and community policies and the way they are researched, written</w:t>
      </w:r>
      <w:r w:rsidR="00E41E11">
        <w:t>,</w:t>
      </w:r>
      <w:r>
        <w:t xml:space="preserve"> and created will change in </w:t>
      </w:r>
      <w:r w:rsidR="00E41E11">
        <w:t xml:space="preserve">the </w:t>
      </w:r>
      <w:r>
        <w:t xml:space="preserve">coming years to better suit societal needs. </w:t>
      </w:r>
      <w:r w:rsidR="00E41E11">
        <w:t>Policies</w:t>
      </w:r>
      <w:r>
        <w:t xml:space="preserve"> will need to be inclusive and adaptive</w:t>
      </w:r>
      <w:r w:rsidR="00E41E11">
        <w:t>,</w:t>
      </w:r>
      <w:r>
        <w:t xml:space="preserve"> which will empower children and young people whil</w:t>
      </w:r>
      <w:r w:rsidR="00E41E11">
        <w:t>e</w:t>
      </w:r>
      <w:r>
        <w:t xml:space="preserve"> still addressing issues like mental health, global warming</w:t>
      </w:r>
      <w:r w:rsidR="00E41E11">
        <w:t>,</w:t>
      </w:r>
      <w:r>
        <w:t xml:space="preserve"> climate change</w:t>
      </w:r>
      <w:r w:rsidR="00E41E11">
        <w:t>, and</w:t>
      </w:r>
      <w:r>
        <w:t xml:space="preserve"> inequalities. Encouraging engagement from children and young people in the processes will be essential to help ensure that these policies reflect their needs at that</w:t>
      </w:r>
      <w:r w:rsidR="00E41E11">
        <w:t xml:space="preserve"> time</w:t>
      </w:r>
      <w:r>
        <w:t xml:space="preserve">. </w:t>
      </w:r>
    </w:p>
    <w:p w14:paraId="4273DB97" w14:textId="77777777" w:rsidR="00647C6A" w:rsidRDefault="00647C6A"/>
    <w:p w14:paraId="3ACF3112" w14:textId="5B205D0E" w:rsidR="008D6FF4" w:rsidRDefault="00A1018B">
      <w:r>
        <w:t xml:space="preserve">To conclude, the evolution of the welfare and development of children and young people policy over the years has shown how much has been learnt about regarding children’s needs and rights, and how some of these have shaped the systems we now use. When looking at historical pieces of literature and government publications like the Poor Law Amendment </w:t>
      </w:r>
      <w:r>
        <w:lastRenderedPageBreak/>
        <w:t xml:space="preserve">Act 1834 and the Children Act 1948, it is evident that the government has evolved. Instead of simply addressing poverty and other issues we now recognise every child’s unique needs and their rights as individuals. In the present day, we see policies like the Children and Families Act 2014 and notice these are not just about the protection of children but also the promotion of their holistic health and well-being. Ongoing work by various organisations like the NSPCC shows the drive towards making sure that children’s voices are heard and that they are considered in the decision-making processes. </w:t>
      </w:r>
    </w:p>
    <w:p w14:paraId="33364417" w14:textId="43DEEFA3" w:rsidR="00A1018B" w:rsidRDefault="00A1018B"/>
    <w:p w14:paraId="5A9C0C6A" w14:textId="620B2F2D" w:rsidR="00A1018B" w:rsidRDefault="00A1018B">
      <w:r>
        <w:t xml:space="preserve">However, the journey of putting a policy into practice does not come without its barriers, underfunding and financial restraint often undermine frameworks and reforms from being implemented as well as the added pressure on professionals and educators. Despite this, it is clear that there is an ongoing commitment to helping children through multi-agency approaches or co-producing with children and young people. It is vital to ensure children’s rights are met not just in theory but when in practice too. </w:t>
      </w:r>
    </w:p>
    <w:p w14:paraId="52B2E49F" w14:textId="33F97B75" w:rsidR="00A1018B" w:rsidRDefault="00A1018B"/>
    <w:p w14:paraId="6EF9ABB6" w14:textId="51C0A40A" w:rsidR="008D6FF4" w:rsidRDefault="00A1018B">
      <w:r>
        <w:t xml:space="preserve">Finally, the evolution of policies for children and young people’s welfare shows that there are still things to learn and ways to grow. The creation of safe nurturing environments for every child to have access to is still ongoing and it is clear that if we as professionals continue to advocate and adapt for children whilst prioritising their </w:t>
      </w:r>
      <w:proofErr w:type="gramStart"/>
      <w:r>
        <w:t>well-being</w:t>
      </w:r>
      <w:proofErr w:type="gramEnd"/>
      <w:r>
        <w:t xml:space="preserve"> we will soon have a time when it is inclusive for children and young people everywhere. </w:t>
      </w:r>
    </w:p>
    <w:p w14:paraId="6661E5D4" w14:textId="54BAD9D2" w:rsidR="00A1018B" w:rsidRDefault="00A1018B"/>
    <w:p w14:paraId="1F432508" w14:textId="7AC2730B" w:rsidR="00A1018B" w:rsidRDefault="00A1018B">
      <w:r>
        <w:t>Bibliography-</w:t>
      </w:r>
    </w:p>
    <w:p w14:paraId="10C470B9" w14:textId="5B252945" w:rsidR="00A1018B" w:rsidRDefault="00A1018B"/>
    <w:p w14:paraId="506F150C"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Archard, D. (2004). </w:t>
      </w:r>
      <w:r>
        <w:rPr>
          <w:rFonts w:ascii="AppleSystemUIFontItalic" w:hAnsi="AppleSystemUIFontItalic" w:cs="AppleSystemUIFontItalic"/>
          <w:i/>
          <w:iCs/>
        </w:rPr>
        <w:t>Children: Rights and Childhood</w:t>
      </w:r>
      <w:r>
        <w:rPr>
          <w:rFonts w:ascii="AppleSystemUIFont" w:hAnsi="AppleSystemUIFont" w:cs="AppleSystemUIFont"/>
        </w:rPr>
        <w:t>. 2nd ed. London: Routledge.</w:t>
      </w:r>
    </w:p>
    <w:p w14:paraId="508743D3" w14:textId="77777777" w:rsidR="00D0672F" w:rsidRDefault="00D0672F" w:rsidP="00D0672F">
      <w:pPr>
        <w:autoSpaceDE w:val="0"/>
        <w:autoSpaceDN w:val="0"/>
        <w:adjustRightInd w:val="0"/>
        <w:rPr>
          <w:rFonts w:ascii="AppleSystemUIFont" w:hAnsi="AppleSystemUIFont" w:cs="AppleSystemUIFont"/>
        </w:rPr>
      </w:pPr>
    </w:p>
    <w:p w14:paraId="7041E704" w14:textId="77777777" w:rsidR="00D0672F" w:rsidRDefault="00D0672F" w:rsidP="00D0672F">
      <w:pPr>
        <w:autoSpaceDE w:val="0"/>
        <w:autoSpaceDN w:val="0"/>
        <w:adjustRightInd w:val="0"/>
        <w:rPr>
          <w:rFonts w:ascii="AppleSystemUIFont" w:hAnsi="AppleSystemUIFont" w:cs="AppleSystemUIFont"/>
        </w:rPr>
      </w:pPr>
      <w:proofErr w:type="spellStart"/>
      <w:r>
        <w:rPr>
          <w:rFonts w:ascii="AppleSystemUIFont" w:hAnsi="AppleSystemUIFont" w:cs="AppleSystemUIFont"/>
        </w:rPr>
        <w:t>Baginsky</w:t>
      </w:r>
      <w:proofErr w:type="spellEnd"/>
      <w:r>
        <w:rPr>
          <w:rFonts w:ascii="AppleSystemUIFont" w:hAnsi="AppleSystemUIFont" w:cs="AppleSystemUIFont"/>
        </w:rPr>
        <w:t xml:space="preserve">, M. and </w:t>
      </w:r>
      <w:proofErr w:type="spellStart"/>
      <w:r>
        <w:rPr>
          <w:rFonts w:ascii="AppleSystemUIFont" w:hAnsi="AppleSystemUIFont" w:cs="AppleSystemUIFont"/>
        </w:rPr>
        <w:t>Manthorpe</w:t>
      </w:r>
      <w:proofErr w:type="spellEnd"/>
      <w:r>
        <w:rPr>
          <w:rFonts w:ascii="AppleSystemUIFont" w:hAnsi="AppleSystemUIFont" w:cs="AppleSystemUIFont"/>
        </w:rPr>
        <w:t xml:space="preserve">, J. (2021). </w:t>
      </w:r>
      <w:r>
        <w:rPr>
          <w:rFonts w:ascii="AppleSystemUIFontItalic" w:hAnsi="AppleSystemUIFontItalic" w:cs="AppleSystemUIFontItalic"/>
          <w:i/>
          <w:iCs/>
        </w:rPr>
        <w:t>Social Work and Social Care in Times of Austerity: Critical Reflections</w:t>
      </w:r>
      <w:r>
        <w:rPr>
          <w:rFonts w:ascii="AppleSystemUIFont" w:hAnsi="AppleSystemUIFont" w:cs="AppleSystemUIFont"/>
        </w:rPr>
        <w:t>. London: Jessica Kingsley Publishers.</w:t>
      </w:r>
    </w:p>
    <w:p w14:paraId="2B487DD7" w14:textId="77777777" w:rsidR="00D0672F" w:rsidRDefault="00D0672F" w:rsidP="00D0672F">
      <w:pPr>
        <w:autoSpaceDE w:val="0"/>
        <w:autoSpaceDN w:val="0"/>
        <w:adjustRightInd w:val="0"/>
        <w:rPr>
          <w:rFonts w:ascii="AppleSystemUIFont" w:hAnsi="AppleSystemUIFont" w:cs="AppleSystemUIFont"/>
        </w:rPr>
      </w:pPr>
    </w:p>
    <w:p w14:paraId="17105E79"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Bowlby, J., </w:t>
      </w:r>
      <w:proofErr w:type="spellStart"/>
      <w:r>
        <w:rPr>
          <w:rFonts w:ascii="AppleSystemUIFont" w:hAnsi="AppleSystemUIFont" w:cs="AppleSystemUIFont"/>
        </w:rPr>
        <w:t>Egelund</w:t>
      </w:r>
      <w:proofErr w:type="spellEnd"/>
      <w:r>
        <w:rPr>
          <w:rFonts w:ascii="AppleSystemUIFont" w:hAnsi="AppleSystemUIFont" w:cs="AppleSystemUIFont"/>
        </w:rPr>
        <w:t xml:space="preserve">, E., and Marx, D. (2022). </w:t>
      </w:r>
      <w:r>
        <w:rPr>
          <w:rFonts w:ascii="AppleSystemUIFontItalic" w:hAnsi="AppleSystemUIFontItalic" w:cs="AppleSystemUIFontItalic"/>
          <w:i/>
          <w:iCs/>
        </w:rPr>
        <w:t>Children, Families, and the Welfare State: Exploring Social Policy from a Child-</w:t>
      </w:r>
      <w:proofErr w:type="spellStart"/>
      <w:r>
        <w:rPr>
          <w:rFonts w:ascii="AppleSystemUIFontItalic" w:hAnsi="AppleSystemUIFontItalic" w:cs="AppleSystemUIFontItalic"/>
          <w:i/>
          <w:iCs/>
        </w:rPr>
        <w:t>Centered</w:t>
      </w:r>
      <w:proofErr w:type="spellEnd"/>
      <w:r>
        <w:rPr>
          <w:rFonts w:ascii="AppleSystemUIFontItalic" w:hAnsi="AppleSystemUIFontItalic" w:cs="AppleSystemUIFontItalic"/>
          <w:i/>
          <w:iCs/>
        </w:rPr>
        <w:t xml:space="preserve"> Perspective</w:t>
      </w:r>
      <w:r>
        <w:rPr>
          <w:rFonts w:ascii="AppleSystemUIFont" w:hAnsi="AppleSystemUIFont" w:cs="AppleSystemUIFont"/>
        </w:rPr>
        <w:t>. London: Palgrave Macmillan.</w:t>
      </w:r>
    </w:p>
    <w:p w14:paraId="6A0518BA" w14:textId="77777777" w:rsidR="00D0672F" w:rsidRDefault="00D0672F" w:rsidP="00D0672F">
      <w:pPr>
        <w:autoSpaceDE w:val="0"/>
        <w:autoSpaceDN w:val="0"/>
        <w:adjustRightInd w:val="0"/>
        <w:rPr>
          <w:rFonts w:ascii="AppleSystemUIFont" w:hAnsi="AppleSystemUIFont" w:cs="AppleSystemUIFont"/>
        </w:rPr>
      </w:pPr>
    </w:p>
    <w:p w14:paraId="6092906E" w14:textId="4CA247C2"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British Association of Social Workers (2022). </w:t>
      </w:r>
      <w:r>
        <w:rPr>
          <w:rFonts w:ascii="AppleSystemUIFontItalic" w:hAnsi="AppleSystemUIFontItalic" w:cs="AppleSystemUIFontItalic"/>
          <w:i/>
          <w:iCs/>
        </w:rPr>
        <w:t>Children and Families Act 2014: An Evaluation of Implementation</w:t>
      </w:r>
      <w:r>
        <w:rPr>
          <w:rFonts w:ascii="AppleSystemUIFont" w:hAnsi="AppleSystemUIFont" w:cs="AppleSystemUIFont"/>
        </w:rPr>
        <w:t xml:space="preserve">. Available at: </w:t>
      </w:r>
      <w:hyperlink r:id="rId4" w:history="1">
        <w:r>
          <w:rPr>
            <w:rFonts w:ascii="AppleSystemUIFont" w:hAnsi="AppleSystemUIFont" w:cs="AppleSystemUIFont"/>
            <w:color w:val="DCA10D"/>
          </w:rPr>
          <w:t>https://www.basw.co.uk</w:t>
        </w:r>
      </w:hyperlink>
      <w:r>
        <w:rPr>
          <w:rFonts w:ascii="AppleSystemUIFont" w:hAnsi="AppleSystemUIFont" w:cs="AppleSystemUIFont"/>
        </w:rPr>
        <w:t xml:space="preserve"> (Accessed: 9 January 2025).</w:t>
      </w:r>
    </w:p>
    <w:p w14:paraId="71BBA546" w14:textId="77777777" w:rsidR="00D0672F" w:rsidRDefault="00D0672F" w:rsidP="00D0672F">
      <w:pPr>
        <w:autoSpaceDE w:val="0"/>
        <w:autoSpaceDN w:val="0"/>
        <w:adjustRightInd w:val="0"/>
        <w:rPr>
          <w:rFonts w:ascii="AppleSystemUIFont" w:hAnsi="AppleSystemUIFont" w:cs="AppleSystemUIFont"/>
        </w:rPr>
      </w:pPr>
    </w:p>
    <w:p w14:paraId="46C05C0D" w14:textId="26BA3E62"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Children’s Commissioner (2023). </w:t>
      </w:r>
      <w:r>
        <w:rPr>
          <w:rFonts w:ascii="AppleSystemUIFontItalic" w:hAnsi="AppleSystemUIFontItalic" w:cs="AppleSystemUIFontItalic"/>
          <w:i/>
          <w:iCs/>
        </w:rPr>
        <w:t>The Big Ask: A Survey of Children’s Hopes, Fears, and Dreams</w:t>
      </w:r>
      <w:r>
        <w:rPr>
          <w:rFonts w:ascii="AppleSystemUIFont" w:hAnsi="AppleSystemUIFont" w:cs="AppleSystemUIFont"/>
        </w:rPr>
        <w:t xml:space="preserve">. Available at: </w:t>
      </w:r>
      <w:hyperlink r:id="rId5" w:history="1">
        <w:r>
          <w:rPr>
            <w:rFonts w:ascii="AppleSystemUIFont" w:hAnsi="AppleSystemUIFont" w:cs="AppleSystemUIFont"/>
            <w:color w:val="DCA10D"/>
          </w:rPr>
          <w:t>https://www.childrenscommissioner.gov.uk</w:t>
        </w:r>
      </w:hyperlink>
      <w:r>
        <w:rPr>
          <w:rFonts w:ascii="AppleSystemUIFont" w:hAnsi="AppleSystemUIFont" w:cs="AppleSystemUIFont"/>
        </w:rPr>
        <w:t xml:space="preserve"> (Accessed: 20 January 2025).</w:t>
      </w:r>
    </w:p>
    <w:p w14:paraId="5C982EAB" w14:textId="77777777" w:rsidR="00D0672F" w:rsidRDefault="00D0672F" w:rsidP="00D0672F">
      <w:pPr>
        <w:autoSpaceDE w:val="0"/>
        <w:autoSpaceDN w:val="0"/>
        <w:adjustRightInd w:val="0"/>
        <w:rPr>
          <w:rFonts w:ascii="AppleSystemUIFont" w:hAnsi="AppleSystemUIFont" w:cs="AppleSystemUIFont"/>
        </w:rPr>
      </w:pPr>
    </w:p>
    <w:p w14:paraId="55434F0E" w14:textId="7407F52C"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Children’s Commissioner (2022). </w:t>
      </w:r>
      <w:r>
        <w:rPr>
          <w:rFonts w:ascii="AppleSystemUIFontItalic" w:hAnsi="AppleSystemUIFontItalic" w:cs="AppleSystemUIFontItalic"/>
          <w:i/>
          <w:iCs/>
        </w:rPr>
        <w:t>Progress on Children’s Mental Health Services: A Critical Review</w:t>
      </w:r>
      <w:r>
        <w:rPr>
          <w:rFonts w:ascii="AppleSystemUIFont" w:hAnsi="AppleSystemUIFont" w:cs="AppleSystemUIFont"/>
        </w:rPr>
        <w:t xml:space="preserve">. Available at: </w:t>
      </w:r>
      <w:hyperlink r:id="rId6" w:history="1">
        <w:r>
          <w:rPr>
            <w:rFonts w:ascii="AppleSystemUIFont" w:hAnsi="AppleSystemUIFont" w:cs="AppleSystemUIFont"/>
            <w:color w:val="DCA10D"/>
          </w:rPr>
          <w:t>https://www.childrenscommissioner.gov.uk</w:t>
        </w:r>
      </w:hyperlink>
      <w:r>
        <w:rPr>
          <w:rFonts w:ascii="AppleSystemUIFont" w:hAnsi="AppleSystemUIFont" w:cs="AppleSystemUIFont"/>
        </w:rPr>
        <w:t xml:space="preserve"> (Accessed: 15 January 2025).</w:t>
      </w:r>
    </w:p>
    <w:p w14:paraId="123CAC5F" w14:textId="77777777" w:rsidR="00D0672F" w:rsidRDefault="00D0672F" w:rsidP="00D0672F">
      <w:pPr>
        <w:autoSpaceDE w:val="0"/>
        <w:autoSpaceDN w:val="0"/>
        <w:adjustRightInd w:val="0"/>
        <w:rPr>
          <w:rFonts w:ascii="AppleSystemUIFont" w:hAnsi="AppleSystemUIFont" w:cs="AppleSystemUIFont"/>
        </w:rPr>
      </w:pPr>
    </w:p>
    <w:p w14:paraId="3CAD7BA6"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Cunningham, H. (2006). </w:t>
      </w:r>
      <w:r>
        <w:rPr>
          <w:rFonts w:ascii="AppleSystemUIFontItalic" w:hAnsi="AppleSystemUIFontItalic" w:cs="AppleSystemUIFontItalic"/>
          <w:i/>
          <w:iCs/>
        </w:rPr>
        <w:t>The Children Act 1908: A History of Child Welfare Policy</w:t>
      </w:r>
      <w:r>
        <w:rPr>
          <w:rFonts w:ascii="AppleSystemUIFont" w:hAnsi="AppleSystemUIFont" w:cs="AppleSystemUIFont"/>
        </w:rPr>
        <w:t>. London: Palgrave Macmillan.</w:t>
      </w:r>
    </w:p>
    <w:p w14:paraId="666D5F8D" w14:textId="77777777" w:rsidR="00D0672F" w:rsidRDefault="00D0672F" w:rsidP="00D0672F">
      <w:pPr>
        <w:autoSpaceDE w:val="0"/>
        <w:autoSpaceDN w:val="0"/>
        <w:adjustRightInd w:val="0"/>
        <w:rPr>
          <w:rFonts w:ascii="AppleSystemUIFont" w:hAnsi="AppleSystemUIFont" w:cs="AppleSystemUIFont"/>
        </w:rPr>
      </w:pPr>
    </w:p>
    <w:p w14:paraId="0CF792AC" w14:textId="70461002"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lastRenderedPageBreak/>
        <w:t xml:space="preserve">Department for Education (2003). </w:t>
      </w:r>
      <w:r>
        <w:rPr>
          <w:rFonts w:ascii="AppleSystemUIFontItalic" w:hAnsi="AppleSystemUIFontItalic" w:cs="AppleSystemUIFontItalic"/>
          <w:i/>
          <w:iCs/>
        </w:rPr>
        <w:t>Every Child Matters</w:t>
      </w:r>
      <w:r>
        <w:rPr>
          <w:rFonts w:ascii="AppleSystemUIFont" w:hAnsi="AppleSystemUIFont" w:cs="AppleSystemUIFont"/>
        </w:rPr>
        <w:t xml:space="preserve">. Available at: </w:t>
      </w:r>
      <w:hyperlink r:id="rId7" w:history="1">
        <w:r>
          <w:rPr>
            <w:rFonts w:ascii="AppleSystemUIFont" w:hAnsi="AppleSystemUIFont" w:cs="AppleSystemUIFont"/>
            <w:color w:val="DCA10D"/>
          </w:rPr>
          <w:t>https://www.gov.uk/government/publications/every-child-matters</w:t>
        </w:r>
      </w:hyperlink>
      <w:r>
        <w:rPr>
          <w:rFonts w:ascii="AppleSystemUIFont" w:hAnsi="AppleSystemUIFont" w:cs="AppleSystemUIFont"/>
        </w:rPr>
        <w:t xml:space="preserve"> (Accessed: 13 January 2025).</w:t>
      </w:r>
    </w:p>
    <w:p w14:paraId="10C279EC" w14:textId="77777777" w:rsidR="00D0672F" w:rsidRDefault="00D0672F" w:rsidP="00D0672F">
      <w:pPr>
        <w:autoSpaceDE w:val="0"/>
        <w:autoSpaceDN w:val="0"/>
        <w:adjustRightInd w:val="0"/>
        <w:rPr>
          <w:rFonts w:ascii="AppleSystemUIFont" w:hAnsi="AppleSystemUIFont" w:cs="AppleSystemUIFont"/>
        </w:rPr>
      </w:pPr>
    </w:p>
    <w:p w14:paraId="0FCC175F" w14:textId="50FC5BB2"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Department for Education (2023). </w:t>
      </w:r>
      <w:r>
        <w:rPr>
          <w:rFonts w:ascii="AppleSystemUIFontItalic" w:hAnsi="AppleSystemUIFontItalic" w:cs="AppleSystemUIFontItalic"/>
          <w:i/>
          <w:iCs/>
        </w:rPr>
        <w:t>Stable Homes, Built on Love: Early Intervention Strategy</w:t>
      </w:r>
      <w:r>
        <w:rPr>
          <w:rFonts w:ascii="AppleSystemUIFont" w:hAnsi="AppleSystemUIFont" w:cs="AppleSystemUIFont"/>
        </w:rPr>
        <w:t xml:space="preserve">. Available at: </w:t>
      </w:r>
      <w:hyperlink r:id="rId8" w:history="1">
        <w:r>
          <w:rPr>
            <w:rFonts w:ascii="AppleSystemUIFont" w:hAnsi="AppleSystemUIFont" w:cs="AppleSystemUIFont"/>
            <w:color w:val="DCA10D"/>
          </w:rPr>
          <w:t>https://www.gov.uk/government/collections/stable-homes-built-on-love</w:t>
        </w:r>
      </w:hyperlink>
      <w:r>
        <w:rPr>
          <w:rFonts w:ascii="AppleSystemUIFont" w:hAnsi="AppleSystemUIFont" w:cs="AppleSystemUIFont"/>
        </w:rPr>
        <w:t xml:space="preserve"> (Accessed: 9 January 2025).</w:t>
      </w:r>
    </w:p>
    <w:p w14:paraId="23A959AD" w14:textId="77777777" w:rsidR="00D0672F" w:rsidRDefault="00D0672F" w:rsidP="00D0672F">
      <w:pPr>
        <w:autoSpaceDE w:val="0"/>
        <w:autoSpaceDN w:val="0"/>
        <w:adjustRightInd w:val="0"/>
        <w:rPr>
          <w:rFonts w:ascii="AppleSystemUIFont" w:hAnsi="AppleSystemUIFont" w:cs="AppleSystemUIFont"/>
        </w:rPr>
      </w:pPr>
    </w:p>
    <w:p w14:paraId="32E2043C"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Education Act (1944). </w:t>
      </w:r>
      <w:r>
        <w:rPr>
          <w:rFonts w:ascii="AppleSystemUIFontItalic" w:hAnsi="AppleSystemUIFontItalic" w:cs="AppleSystemUIFontItalic"/>
          <w:i/>
          <w:iCs/>
        </w:rPr>
        <w:t>An Act to Make Provision with Respect to the Education of Children</w:t>
      </w:r>
      <w:r>
        <w:rPr>
          <w:rFonts w:ascii="AppleSystemUIFont" w:hAnsi="AppleSystemUIFont" w:cs="AppleSystemUIFont"/>
        </w:rPr>
        <w:t>. London: The Stationery Office.</w:t>
      </w:r>
    </w:p>
    <w:p w14:paraId="23C94917" w14:textId="77777777" w:rsidR="00D0672F" w:rsidRDefault="00D0672F" w:rsidP="00D0672F">
      <w:pPr>
        <w:autoSpaceDE w:val="0"/>
        <w:autoSpaceDN w:val="0"/>
        <w:adjustRightInd w:val="0"/>
        <w:rPr>
          <w:rFonts w:ascii="AppleSystemUIFont" w:hAnsi="AppleSystemUIFont" w:cs="AppleSystemUIFont"/>
        </w:rPr>
      </w:pPr>
    </w:p>
    <w:p w14:paraId="7C05C248"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Fraser, D. (2009). </w:t>
      </w:r>
      <w:r>
        <w:rPr>
          <w:rFonts w:ascii="AppleSystemUIFontItalic" w:hAnsi="AppleSystemUIFontItalic" w:cs="AppleSystemUIFontItalic"/>
          <w:i/>
          <w:iCs/>
        </w:rPr>
        <w:t>The Welfare State in Britain: The Legacy of the 1944 Education Act</w:t>
      </w:r>
      <w:r>
        <w:rPr>
          <w:rFonts w:ascii="AppleSystemUIFont" w:hAnsi="AppleSystemUIFont" w:cs="AppleSystemUIFont"/>
        </w:rPr>
        <w:t>. London: Routledge.</w:t>
      </w:r>
    </w:p>
    <w:p w14:paraId="03FB3693" w14:textId="77777777" w:rsidR="00D0672F" w:rsidRDefault="00D0672F" w:rsidP="00D0672F">
      <w:pPr>
        <w:autoSpaceDE w:val="0"/>
        <w:autoSpaceDN w:val="0"/>
        <w:adjustRightInd w:val="0"/>
        <w:rPr>
          <w:rFonts w:ascii="AppleSystemUIFont" w:hAnsi="AppleSystemUIFont" w:cs="AppleSystemUIFont"/>
        </w:rPr>
      </w:pPr>
    </w:p>
    <w:p w14:paraId="576966F7" w14:textId="1F42581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GOV.uk (2023). </w:t>
      </w:r>
      <w:r>
        <w:rPr>
          <w:rFonts w:ascii="AppleSystemUIFontItalic" w:hAnsi="AppleSystemUIFontItalic" w:cs="AppleSystemUIFontItalic"/>
          <w:i/>
          <w:iCs/>
        </w:rPr>
        <w:t>Holiday Activities and Food Programme (HAF)</w:t>
      </w:r>
      <w:r>
        <w:rPr>
          <w:rFonts w:ascii="AppleSystemUIFont" w:hAnsi="AppleSystemUIFont" w:cs="AppleSystemUIFont"/>
        </w:rPr>
        <w:t xml:space="preserve">. Available at: </w:t>
      </w:r>
      <w:hyperlink r:id="rId9" w:history="1">
        <w:r>
          <w:rPr>
            <w:rFonts w:ascii="AppleSystemUIFont" w:hAnsi="AppleSystemUIFont" w:cs="AppleSystemUIFont"/>
            <w:color w:val="DCA10D"/>
          </w:rPr>
          <w:t>https://www.gov.uk/government/publications/holiday-activities-and-food-programme</w:t>
        </w:r>
      </w:hyperlink>
      <w:r>
        <w:rPr>
          <w:rFonts w:ascii="AppleSystemUIFont" w:hAnsi="AppleSystemUIFont" w:cs="AppleSystemUIFont"/>
        </w:rPr>
        <w:t xml:space="preserve"> (Accessed: 16 January 2025).</w:t>
      </w:r>
    </w:p>
    <w:p w14:paraId="019FE91A" w14:textId="77777777" w:rsidR="00D0672F" w:rsidRDefault="00D0672F" w:rsidP="00D0672F">
      <w:pPr>
        <w:autoSpaceDE w:val="0"/>
        <w:autoSpaceDN w:val="0"/>
        <w:adjustRightInd w:val="0"/>
        <w:rPr>
          <w:rFonts w:ascii="AppleSystemUIFont" w:hAnsi="AppleSystemUIFont" w:cs="AppleSystemUIFont"/>
        </w:rPr>
      </w:pPr>
    </w:p>
    <w:p w14:paraId="6EBE35FA"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Hendrick, H. (2003). </w:t>
      </w:r>
      <w:r>
        <w:rPr>
          <w:rFonts w:ascii="AppleSystemUIFontItalic" w:hAnsi="AppleSystemUIFontItalic" w:cs="AppleSystemUIFontItalic"/>
          <w:i/>
          <w:iCs/>
        </w:rPr>
        <w:t>Child Welfare and the Welfare State: Historical Perspectives on the Care and Protection of Children</w:t>
      </w:r>
      <w:r>
        <w:rPr>
          <w:rFonts w:ascii="AppleSystemUIFont" w:hAnsi="AppleSystemUIFont" w:cs="AppleSystemUIFont"/>
        </w:rPr>
        <w:t>. London: Routledge.</w:t>
      </w:r>
    </w:p>
    <w:p w14:paraId="1229A61E" w14:textId="77777777" w:rsidR="00D0672F" w:rsidRDefault="00D0672F" w:rsidP="00D0672F">
      <w:pPr>
        <w:autoSpaceDE w:val="0"/>
        <w:autoSpaceDN w:val="0"/>
        <w:adjustRightInd w:val="0"/>
        <w:rPr>
          <w:rFonts w:ascii="AppleSystemUIFont" w:hAnsi="AppleSystemUIFont" w:cs="AppleSystemUIFont"/>
        </w:rPr>
      </w:pPr>
    </w:p>
    <w:p w14:paraId="62D69A4C" w14:textId="3BAE09A9"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How to Love a Child (1919). </w:t>
      </w:r>
      <w:proofErr w:type="spellStart"/>
      <w:r>
        <w:rPr>
          <w:rFonts w:ascii="AppleSystemUIFontItalic" w:hAnsi="AppleSystemUIFontItalic" w:cs="AppleSystemUIFontItalic"/>
          <w:i/>
          <w:iCs/>
        </w:rPr>
        <w:t>Janusz</w:t>
      </w:r>
      <w:proofErr w:type="spellEnd"/>
      <w:r>
        <w:rPr>
          <w:rFonts w:ascii="AppleSystemUIFontItalic" w:hAnsi="AppleSystemUIFontItalic" w:cs="AppleSystemUIFontItalic"/>
          <w:i/>
          <w:iCs/>
        </w:rPr>
        <w:t xml:space="preserve"> </w:t>
      </w:r>
      <w:proofErr w:type="spellStart"/>
      <w:r>
        <w:rPr>
          <w:rFonts w:ascii="AppleSystemUIFontItalic" w:hAnsi="AppleSystemUIFontItalic" w:cs="AppleSystemUIFontItalic"/>
          <w:i/>
          <w:iCs/>
        </w:rPr>
        <w:t>Korczak</w:t>
      </w:r>
      <w:proofErr w:type="spellEnd"/>
      <w:r>
        <w:rPr>
          <w:rFonts w:ascii="AppleSystemUIFontItalic" w:hAnsi="AppleSystemUIFontItalic" w:cs="AppleSystemUIFontItalic"/>
          <w:i/>
          <w:iCs/>
        </w:rPr>
        <w:t>: A Revolutionary Educator and Advocate for Children</w:t>
      </w:r>
      <w:r>
        <w:rPr>
          <w:rFonts w:ascii="AppleSystemUIFont" w:hAnsi="AppleSystemUIFont" w:cs="AppleSystemUIFont"/>
        </w:rPr>
        <w:t xml:space="preserve">. Available at: </w:t>
      </w:r>
      <w:hyperlink r:id="rId10" w:history="1">
        <w:r>
          <w:rPr>
            <w:rFonts w:ascii="AppleSystemUIFont" w:hAnsi="AppleSystemUIFont" w:cs="AppleSystemUIFont"/>
            <w:color w:val="DCA10D"/>
          </w:rPr>
          <w:t>https://www.worldcat.org/title/how-to-love-a-child/oclc/31973900</w:t>
        </w:r>
      </w:hyperlink>
      <w:r>
        <w:rPr>
          <w:rFonts w:ascii="AppleSystemUIFont" w:hAnsi="AppleSystemUIFont" w:cs="AppleSystemUIFont"/>
        </w:rPr>
        <w:t xml:space="preserve"> (Accessed: 10 January 2025).</w:t>
      </w:r>
    </w:p>
    <w:p w14:paraId="5DEA47CC" w14:textId="77777777" w:rsidR="00D0672F" w:rsidRDefault="00D0672F" w:rsidP="00D0672F">
      <w:pPr>
        <w:autoSpaceDE w:val="0"/>
        <w:autoSpaceDN w:val="0"/>
        <w:adjustRightInd w:val="0"/>
        <w:rPr>
          <w:rFonts w:ascii="AppleSystemUIFont" w:hAnsi="AppleSystemUIFont" w:cs="AppleSystemUIFont"/>
        </w:rPr>
      </w:pPr>
    </w:p>
    <w:p w14:paraId="7FD1566A"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James, A. and James, A. (2004). </w:t>
      </w:r>
      <w:r>
        <w:rPr>
          <w:rFonts w:ascii="AppleSystemUIFontItalic" w:hAnsi="AppleSystemUIFontItalic" w:cs="AppleSystemUIFontItalic"/>
          <w:i/>
          <w:iCs/>
        </w:rPr>
        <w:t>Constructing Childhood: Theory, Policy, and Social Practice</w:t>
      </w:r>
      <w:r>
        <w:rPr>
          <w:rFonts w:ascii="AppleSystemUIFont" w:hAnsi="AppleSystemUIFont" w:cs="AppleSystemUIFont"/>
        </w:rPr>
        <w:t>. London: Palgrave Macmillan.</w:t>
      </w:r>
    </w:p>
    <w:p w14:paraId="1CED23A3" w14:textId="77777777" w:rsidR="00D0672F" w:rsidRDefault="00D0672F" w:rsidP="00D0672F">
      <w:pPr>
        <w:autoSpaceDE w:val="0"/>
        <w:autoSpaceDN w:val="0"/>
        <w:adjustRightInd w:val="0"/>
        <w:rPr>
          <w:rFonts w:ascii="AppleSystemUIFont" w:hAnsi="AppleSystemUIFont" w:cs="AppleSystemUIFont"/>
        </w:rPr>
      </w:pPr>
    </w:p>
    <w:p w14:paraId="507CD2E5" w14:textId="0DC8301F"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Joseph Rowntree Foundation (2023). </w:t>
      </w:r>
      <w:r>
        <w:rPr>
          <w:rFonts w:ascii="AppleSystemUIFontItalic" w:hAnsi="AppleSystemUIFontItalic" w:cs="AppleSystemUIFontItalic"/>
          <w:i/>
          <w:iCs/>
        </w:rPr>
        <w:t>The Rise of Child Poverty in the UK: Implications for Policy</w:t>
      </w:r>
      <w:r>
        <w:rPr>
          <w:rFonts w:ascii="AppleSystemUIFont" w:hAnsi="AppleSystemUIFont" w:cs="AppleSystemUIFont"/>
        </w:rPr>
        <w:t xml:space="preserve">. Available at: </w:t>
      </w:r>
      <w:hyperlink r:id="rId11" w:history="1">
        <w:r>
          <w:rPr>
            <w:rFonts w:ascii="AppleSystemUIFont" w:hAnsi="AppleSystemUIFont" w:cs="AppleSystemUIFont"/>
            <w:color w:val="DCA10D"/>
          </w:rPr>
          <w:t>https://www.jrf.org.uk</w:t>
        </w:r>
      </w:hyperlink>
      <w:r>
        <w:rPr>
          <w:rFonts w:ascii="AppleSystemUIFont" w:hAnsi="AppleSystemUIFont" w:cs="AppleSystemUIFont"/>
        </w:rPr>
        <w:t xml:space="preserve"> (Accessed: 10 January 2025).</w:t>
      </w:r>
    </w:p>
    <w:p w14:paraId="5FB37B3F" w14:textId="77777777" w:rsidR="00D0672F" w:rsidRDefault="00D0672F" w:rsidP="00D0672F">
      <w:pPr>
        <w:autoSpaceDE w:val="0"/>
        <w:autoSpaceDN w:val="0"/>
        <w:adjustRightInd w:val="0"/>
        <w:rPr>
          <w:rFonts w:ascii="AppleSystemUIFont" w:hAnsi="AppleSystemUIFont" w:cs="AppleSystemUIFont"/>
        </w:rPr>
      </w:pPr>
    </w:p>
    <w:p w14:paraId="038C1AD9"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Lundy, L. (2007). </w:t>
      </w:r>
      <w:r>
        <w:rPr>
          <w:rFonts w:ascii="AppleSystemUIFontItalic" w:hAnsi="AppleSystemUIFontItalic" w:cs="AppleSystemUIFontItalic"/>
          <w:i/>
          <w:iCs/>
        </w:rPr>
        <w:t>Voice and Participation: Children and Young People in Decision-Making</w:t>
      </w:r>
      <w:r>
        <w:rPr>
          <w:rFonts w:ascii="AppleSystemUIFont" w:hAnsi="AppleSystemUIFont" w:cs="AppleSystemUIFont"/>
        </w:rPr>
        <w:t>. London: Routledge.</w:t>
      </w:r>
    </w:p>
    <w:p w14:paraId="30EEAD15" w14:textId="77777777" w:rsidR="00D0672F" w:rsidRDefault="00D0672F" w:rsidP="00D0672F">
      <w:pPr>
        <w:autoSpaceDE w:val="0"/>
        <w:autoSpaceDN w:val="0"/>
        <w:adjustRightInd w:val="0"/>
        <w:rPr>
          <w:rFonts w:ascii="AppleSystemUIFont" w:hAnsi="AppleSystemUIFont" w:cs="AppleSystemUIFont"/>
        </w:rPr>
      </w:pPr>
    </w:p>
    <w:p w14:paraId="4F72C596" w14:textId="53EABF4C"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Munro, E. (2011). </w:t>
      </w:r>
      <w:r>
        <w:rPr>
          <w:rFonts w:ascii="AppleSystemUIFontItalic" w:hAnsi="AppleSystemUIFontItalic" w:cs="AppleSystemUIFontItalic"/>
          <w:i/>
          <w:iCs/>
        </w:rPr>
        <w:t>The Munro Review of Child Protection: Final Report</w:t>
      </w:r>
      <w:r>
        <w:rPr>
          <w:rFonts w:ascii="AppleSystemUIFont" w:hAnsi="AppleSystemUIFont" w:cs="AppleSystemUIFont"/>
        </w:rPr>
        <w:t xml:space="preserve">. Available at: </w:t>
      </w:r>
      <w:hyperlink r:id="rId12" w:history="1">
        <w:r>
          <w:rPr>
            <w:rFonts w:ascii="AppleSystemUIFont" w:hAnsi="AppleSystemUIFont" w:cs="AppleSystemUIFont"/>
            <w:color w:val="DCA10D"/>
          </w:rPr>
          <w:t>https://www.gov.uk/government/publications/munro-review-of-child-protection-final-report</w:t>
        </w:r>
      </w:hyperlink>
      <w:r>
        <w:rPr>
          <w:rFonts w:ascii="AppleSystemUIFont" w:hAnsi="AppleSystemUIFont" w:cs="AppleSystemUIFont"/>
        </w:rPr>
        <w:t xml:space="preserve"> (Accessed: 6 January 2025).</w:t>
      </w:r>
    </w:p>
    <w:p w14:paraId="0112E5DC" w14:textId="77777777" w:rsidR="00D0672F" w:rsidRDefault="00D0672F" w:rsidP="00D0672F">
      <w:pPr>
        <w:autoSpaceDE w:val="0"/>
        <w:autoSpaceDN w:val="0"/>
        <w:adjustRightInd w:val="0"/>
        <w:rPr>
          <w:rFonts w:ascii="AppleSystemUIFont" w:hAnsi="AppleSystemUIFont" w:cs="AppleSystemUIFont"/>
        </w:rPr>
      </w:pPr>
    </w:p>
    <w:p w14:paraId="4D08DEA5" w14:textId="04BF1B61"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National Audit Office (2019). </w:t>
      </w:r>
      <w:r>
        <w:rPr>
          <w:rFonts w:ascii="AppleSystemUIFontItalic" w:hAnsi="AppleSystemUIFontItalic" w:cs="AppleSystemUIFontItalic"/>
          <w:i/>
          <w:iCs/>
        </w:rPr>
        <w:t>Special Educational Needs and Disabilities: Implementing Reforms</w:t>
      </w:r>
      <w:r>
        <w:rPr>
          <w:rFonts w:ascii="AppleSystemUIFont" w:hAnsi="AppleSystemUIFont" w:cs="AppleSystemUIFont"/>
        </w:rPr>
        <w:t xml:space="preserve">. Available at: </w:t>
      </w:r>
      <w:hyperlink r:id="rId13" w:history="1">
        <w:r>
          <w:rPr>
            <w:rFonts w:ascii="AppleSystemUIFont" w:hAnsi="AppleSystemUIFont" w:cs="AppleSystemUIFont"/>
            <w:color w:val="DCA10D"/>
          </w:rPr>
          <w:t>https://www.nao.org.uk</w:t>
        </w:r>
      </w:hyperlink>
      <w:r>
        <w:rPr>
          <w:rFonts w:ascii="AppleSystemUIFont" w:hAnsi="AppleSystemUIFont" w:cs="AppleSystemUIFont"/>
        </w:rPr>
        <w:t xml:space="preserve"> (Accessed: 14 January 2025).</w:t>
      </w:r>
    </w:p>
    <w:p w14:paraId="685242D9" w14:textId="77777777" w:rsidR="00D0672F" w:rsidRDefault="00D0672F" w:rsidP="00D0672F">
      <w:pPr>
        <w:autoSpaceDE w:val="0"/>
        <w:autoSpaceDN w:val="0"/>
        <w:adjustRightInd w:val="0"/>
        <w:rPr>
          <w:rFonts w:ascii="AppleSystemUIFont" w:hAnsi="AppleSystemUIFont" w:cs="AppleSystemUIFont"/>
        </w:rPr>
      </w:pPr>
    </w:p>
    <w:p w14:paraId="36DB5B25" w14:textId="5DC34F65"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National Audit Office (2023). </w:t>
      </w:r>
      <w:r>
        <w:rPr>
          <w:rFonts w:ascii="AppleSystemUIFontItalic" w:hAnsi="AppleSystemUIFontItalic" w:cs="AppleSystemUIFontItalic"/>
          <w:i/>
          <w:iCs/>
        </w:rPr>
        <w:t>Early Help Services: Evaluating Effectiveness and Equity</w:t>
      </w:r>
      <w:r>
        <w:rPr>
          <w:rFonts w:ascii="AppleSystemUIFont" w:hAnsi="AppleSystemUIFont" w:cs="AppleSystemUIFont"/>
        </w:rPr>
        <w:t xml:space="preserve">. Available at: </w:t>
      </w:r>
      <w:hyperlink r:id="rId14" w:history="1">
        <w:r>
          <w:rPr>
            <w:rFonts w:ascii="AppleSystemUIFont" w:hAnsi="AppleSystemUIFont" w:cs="AppleSystemUIFont"/>
            <w:color w:val="DCA10D"/>
          </w:rPr>
          <w:t>https://www.nao.org.uk</w:t>
        </w:r>
      </w:hyperlink>
      <w:r>
        <w:rPr>
          <w:rFonts w:ascii="AppleSystemUIFont" w:hAnsi="AppleSystemUIFont" w:cs="AppleSystemUIFont"/>
        </w:rPr>
        <w:t xml:space="preserve"> (Accessed: 14 January 2025).</w:t>
      </w:r>
    </w:p>
    <w:p w14:paraId="18446BE4" w14:textId="77777777" w:rsidR="00D0672F" w:rsidRDefault="00D0672F" w:rsidP="00D0672F">
      <w:pPr>
        <w:autoSpaceDE w:val="0"/>
        <w:autoSpaceDN w:val="0"/>
        <w:adjustRightInd w:val="0"/>
        <w:rPr>
          <w:rFonts w:ascii="AppleSystemUIFont" w:hAnsi="AppleSystemUIFont" w:cs="AppleSystemUIFont"/>
        </w:rPr>
      </w:pPr>
    </w:p>
    <w:p w14:paraId="13EBCE51" w14:textId="2FAF1F95"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National Kinship Strategy (2023). </w:t>
      </w:r>
      <w:r>
        <w:rPr>
          <w:rFonts w:ascii="AppleSystemUIFontItalic" w:hAnsi="AppleSystemUIFontItalic" w:cs="AppleSystemUIFontItalic"/>
          <w:i/>
          <w:iCs/>
        </w:rPr>
        <w:t>Supporting Kinship Carers: National Strategy for Families Caring for Children</w:t>
      </w:r>
      <w:r>
        <w:rPr>
          <w:rFonts w:ascii="AppleSystemUIFont" w:hAnsi="AppleSystemUIFont" w:cs="AppleSystemUIFont"/>
        </w:rPr>
        <w:t xml:space="preserve">. Available at: </w:t>
      </w:r>
      <w:hyperlink r:id="rId15" w:history="1">
        <w:r>
          <w:rPr>
            <w:rFonts w:ascii="AppleSystemUIFont" w:hAnsi="AppleSystemUIFont" w:cs="AppleSystemUIFont"/>
            <w:color w:val="DCA10D"/>
          </w:rPr>
          <w:t>https://www.gov.uk/government/collections/kinship-care-strategy</w:t>
        </w:r>
      </w:hyperlink>
      <w:r>
        <w:rPr>
          <w:rFonts w:ascii="AppleSystemUIFont" w:hAnsi="AppleSystemUIFont" w:cs="AppleSystemUIFont"/>
        </w:rPr>
        <w:t xml:space="preserve"> (Accessed: 13 January 2025).</w:t>
      </w:r>
    </w:p>
    <w:p w14:paraId="5856ADA6" w14:textId="77777777" w:rsidR="00D0672F" w:rsidRDefault="00D0672F" w:rsidP="00D0672F">
      <w:pPr>
        <w:autoSpaceDE w:val="0"/>
        <w:autoSpaceDN w:val="0"/>
        <w:adjustRightInd w:val="0"/>
        <w:rPr>
          <w:rFonts w:ascii="AppleSystemUIFont" w:hAnsi="AppleSystemUIFont" w:cs="AppleSystemUIFont"/>
        </w:rPr>
      </w:pPr>
    </w:p>
    <w:p w14:paraId="1050AA4D" w14:textId="663C15E6"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NSPCC (2023). </w:t>
      </w:r>
      <w:r>
        <w:rPr>
          <w:rFonts w:ascii="AppleSystemUIFontItalic" w:hAnsi="AppleSystemUIFontItalic" w:cs="AppleSystemUIFontItalic"/>
          <w:i/>
          <w:iCs/>
        </w:rPr>
        <w:t>Child Protection and Safeguarding in the UK: The Current State of Play</w:t>
      </w:r>
      <w:r>
        <w:rPr>
          <w:rFonts w:ascii="AppleSystemUIFont" w:hAnsi="AppleSystemUIFont" w:cs="AppleSystemUIFont"/>
        </w:rPr>
        <w:t xml:space="preserve">. Available at: </w:t>
      </w:r>
      <w:hyperlink r:id="rId16" w:history="1">
        <w:r>
          <w:rPr>
            <w:rFonts w:ascii="AppleSystemUIFont" w:hAnsi="AppleSystemUIFont" w:cs="AppleSystemUIFont"/>
            <w:color w:val="DCA10D"/>
          </w:rPr>
          <w:t>https://www.nspcc.org.uk</w:t>
        </w:r>
      </w:hyperlink>
      <w:r>
        <w:rPr>
          <w:rFonts w:ascii="AppleSystemUIFont" w:hAnsi="AppleSystemUIFont" w:cs="AppleSystemUIFont"/>
        </w:rPr>
        <w:t xml:space="preserve"> (Accessed: 13 January 2025).</w:t>
      </w:r>
    </w:p>
    <w:p w14:paraId="01A1FC28" w14:textId="77777777" w:rsidR="00D0672F" w:rsidRDefault="00D0672F" w:rsidP="00D0672F">
      <w:pPr>
        <w:autoSpaceDE w:val="0"/>
        <w:autoSpaceDN w:val="0"/>
        <w:adjustRightInd w:val="0"/>
        <w:rPr>
          <w:rFonts w:ascii="AppleSystemUIFont" w:hAnsi="AppleSystemUIFont" w:cs="AppleSystemUIFont"/>
        </w:rPr>
      </w:pPr>
    </w:p>
    <w:p w14:paraId="3E533624"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Parton, N. (2014). </w:t>
      </w:r>
      <w:r>
        <w:rPr>
          <w:rFonts w:ascii="AppleSystemUIFontItalic" w:hAnsi="AppleSystemUIFontItalic" w:cs="AppleSystemUIFontItalic"/>
          <w:i/>
          <w:iCs/>
        </w:rPr>
        <w:t>Child Protection and Safeguarding: Controversies and Dilemmas</w:t>
      </w:r>
      <w:r>
        <w:rPr>
          <w:rFonts w:ascii="AppleSystemUIFont" w:hAnsi="AppleSystemUIFont" w:cs="AppleSystemUIFont"/>
        </w:rPr>
        <w:t>. London: Routledge.</w:t>
      </w:r>
    </w:p>
    <w:p w14:paraId="1950D1FB" w14:textId="77777777" w:rsidR="00D0672F" w:rsidRDefault="00D0672F" w:rsidP="00D0672F">
      <w:pPr>
        <w:autoSpaceDE w:val="0"/>
        <w:autoSpaceDN w:val="0"/>
        <w:adjustRightInd w:val="0"/>
        <w:rPr>
          <w:rFonts w:ascii="AppleSystemUIFont" w:hAnsi="AppleSystemUIFont" w:cs="AppleSystemUIFont"/>
        </w:rPr>
      </w:pPr>
    </w:p>
    <w:p w14:paraId="4C945363" w14:textId="77777777"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Parker, R. (1990). </w:t>
      </w:r>
      <w:r>
        <w:rPr>
          <w:rFonts w:ascii="AppleSystemUIFontItalic" w:hAnsi="AppleSystemUIFontItalic" w:cs="AppleSystemUIFontItalic"/>
          <w:i/>
          <w:iCs/>
        </w:rPr>
        <w:t>The Children Act 1948: The Impact of Welfare Policy</w:t>
      </w:r>
      <w:r>
        <w:rPr>
          <w:rFonts w:ascii="AppleSystemUIFont" w:hAnsi="AppleSystemUIFont" w:cs="AppleSystemUIFont"/>
        </w:rPr>
        <w:t>. London: Macmillan Press.</w:t>
      </w:r>
    </w:p>
    <w:p w14:paraId="714FE88F" w14:textId="77777777" w:rsidR="00D0672F" w:rsidRDefault="00D0672F" w:rsidP="00D0672F">
      <w:pPr>
        <w:autoSpaceDE w:val="0"/>
        <w:autoSpaceDN w:val="0"/>
        <w:adjustRightInd w:val="0"/>
        <w:rPr>
          <w:rFonts w:ascii="AppleSystemUIFont" w:hAnsi="AppleSystemUIFont" w:cs="AppleSystemUIFont"/>
        </w:rPr>
      </w:pPr>
    </w:p>
    <w:p w14:paraId="2199AFDC" w14:textId="5CD2F648"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Save the Children (2023). </w:t>
      </w:r>
      <w:r>
        <w:rPr>
          <w:rFonts w:ascii="AppleSystemUIFontItalic" w:hAnsi="AppleSystemUIFontItalic" w:cs="AppleSystemUIFontItalic"/>
          <w:i/>
          <w:iCs/>
        </w:rPr>
        <w:t>Save the Children’s Impact on Global Child Welfare</w:t>
      </w:r>
      <w:r>
        <w:rPr>
          <w:rFonts w:ascii="AppleSystemUIFont" w:hAnsi="AppleSystemUIFont" w:cs="AppleSystemUIFont"/>
        </w:rPr>
        <w:t xml:space="preserve">. Available at: </w:t>
      </w:r>
      <w:hyperlink r:id="rId17" w:history="1">
        <w:r>
          <w:rPr>
            <w:rFonts w:ascii="AppleSystemUIFont" w:hAnsi="AppleSystemUIFont" w:cs="AppleSystemUIFont"/>
            <w:color w:val="DCA10D"/>
          </w:rPr>
          <w:t>https://www.savethechildren.org</w:t>
        </w:r>
      </w:hyperlink>
      <w:r>
        <w:rPr>
          <w:rFonts w:ascii="AppleSystemUIFont" w:hAnsi="AppleSystemUIFont" w:cs="AppleSystemUIFont"/>
        </w:rPr>
        <w:t xml:space="preserve"> (Accessed: 10 January 2025).</w:t>
      </w:r>
    </w:p>
    <w:p w14:paraId="1FFC52C8" w14:textId="77777777" w:rsidR="00D0672F" w:rsidRDefault="00D0672F" w:rsidP="00D0672F">
      <w:pPr>
        <w:autoSpaceDE w:val="0"/>
        <w:autoSpaceDN w:val="0"/>
        <w:adjustRightInd w:val="0"/>
        <w:rPr>
          <w:rFonts w:ascii="AppleSystemUIFont" w:hAnsi="AppleSystemUIFont" w:cs="AppleSystemUIFont"/>
        </w:rPr>
      </w:pPr>
    </w:p>
    <w:p w14:paraId="2E007D8D" w14:textId="5189D568"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The Children’s Commissioner (2023). </w:t>
      </w:r>
      <w:r>
        <w:rPr>
          <w:rFonts w:ascii="AppleSystemUIFontItalic" w:hAnsi="AppleSystemUIFontItalic" w:cs="AppleSystemUIFontItalic"/>
          <w:i/>
          <w:iCs/>
        </w:rPr>
        <w:t>The Big Ask: A Survey of Children’s Hopes, Fears, and Dreams</w:t>
      </w:r>
      <w:r>
        <w:rPr>
          <w:rFonts w:ascii="AppleSystemUIFont" w:hAnsi="AppleSystemUIFont" w:cs="AppleSystemUIFont"/>
        </w:rPr>
        <w:t xml:space="preserve">. Available at: </w:t>
      </w:r>
      <w:hyperlink r:id="rId18" w:history="1">
        <w:r>
          <w:rPr>
            <w:rFonts w:ascii="AppleSystemUIFont" w:hAnsi="AppleSystemUIFont" w:cs="AppleSystemUIFont"/>
            <w:color w:val="DCA10D"/>
          </w:rPr>
          <w:t>https://www.childrenscommissioner.gov.uk</w:t>
        </w:r>
      </w:hyperlink>
      <w:r>
        <w:rPr>
          <w:rFonts w:ascii="AppleSystemUIFont" w:hAnsi="AppleSystemUIFont" w:cs="AppleSystemUIFont"/>
        </w:rPr>
        <w:t xml:space="preserve"> (Accessed: 8 January 2025).</w:t>
      </w:r>
    </w:p>
    <w:p w14:paraId="63DD5B38" w14:textId="77777777" w:rsidR="00D0672F" w:rsidRDefault="00D0672F" w:rsidP="00D0672F">
      <w:pPr>
        <w:autoSpaceDE w:val="0"/>
        <w:autoSpaceDN w:val="0"/>
        <w:adjustRightInd w:val="0"/>
        <w:rPr>
          <w:rFonts w:ascii="AppleSystemUIFont" w:hAnsi="AppleSystemUIFont" w:cs="AppleSystemUIFont"/>
        </w:rPr>
      </w:pPr>
    </w:p>
    <w:p w14:paraId="3E015ABF" w14:textId="1752C168"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The Green Paper (2017). </w:t>
      </w:r>
      <w:r>
        <w:rPr>
          <w:rFonts w:ascii="AppleSystemUIFontItalic" w:hAnsi="AppleSystemUIFontItalic" w:cs="AppleSystemUIFontItalic"/>
          <w:i/>
          <w:iCs/>
        </w:rPr>
        <w:t>Transforming Children and Young People’s Mental Health Provision: A Green Paper</w:t>
      </w:r>
      <w:r>
        <w:rPr>
          <w:rFonts w:ascii="AppleSystemUIFont" w:hAnsi="AppleSystemUIFont" w:cs="AppleSystemUIFont"/>
        </w:rPr>
        <w:t xml:space="preserve">. Available at: </w:t>
      </w:r>
      <w:hyperlink r:id="rId19" w:history="1">
        <w:r>
          <w:rPr>
            <w:rFonts w:ascii="AppleSystemUIFont" w:hAnsi="AppleSystemUIFont" w:cs="AppleSystemUIFont"/>
            <w:color w:val="DCA10D"/>
          </w:rPr>
          <w:t>https://www.gov.uk/government/publications/transforming-children-and-young-peoples-mental-health-provision</w:t>
        </w:r>
      </w:hyperlink>
      <w:r>
        <w:rPr>
          <w:rFonts w:ascii="AppleSystemUIFont" w:hAnsi="AppleSystemUIFont" w:cs="AppleSystemUIFont"/>
        </w:rPr>
        <w:t xml:space="preserve"> (Accessed: 17 January 2025).</w:t>
      </w:r>
    </w:p>
    <w:p w14:paraId="55031E56" w14:textId="77777777" w:rsidR="00D0672F" w:rsidRDefault="00D0672F" w:rsidP="00D0672F">
      <w:pPr>
        <w:autoSpaceDE w:val="0"/>
        <w:autoSpaceDN w:val="0"/>
        <w:adjustRightInd w:val="0"/>
        <w:rPr>
          <w:rFonts w:ascii="AppleSystemUIFont" w:hAnsi="AppleSystemUIFont" w:cs="AppleSystemUIFont"/>
        </w:rPr>
      </w:pPr>
    </w:p>
    <w:p w14:paraId="73AFB7FC" w14:textId="3CBE1A41"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The Poor Law Amendment Act (1834). </w:t>
      </w:r>
      <w:r>
        <w:rPr>
          <w:rFonts w:ascii="AppleSystemUIFontItalic" w:hAnsi="AppleSystemUIFontItalic" w:cs="AppleSystemUIFontItalic"/>
          <w:i/>
          <w:iCs/>
        </w:rPr>
        <w:t>An Act to Amend the Laws Relating to the Poor in England and Wales</w:t>
      </w:r>
      <w:r>
        <w:rPr>
          <w:rFonts w:ascii="AppleSystemUIFont" w:hAnsi="AppleSystemUIFont" w:cs="AppleSystemUIFont"/>
        </w:rPr>
        <w:t xml:space="preserve">. Available at: </w:t>
      </w:r>
      <w:hyperlink r:id="rId20" w:history="1">
        <w:r>
          <w:rPr>
            <w:rFonts w:ascii="AppleSystemUIFont" w:hAnsi="AppleSystemUIFont" w:cs="AppleSystemUIFont"/>
            <w:color w:val="DCA10D"/>
          </w:rPr>
          <w:t>https://www.legislation.gov.uk/</w:t>
        </w:r>
      </w:hyperlink>
      <w:r>
        <w:rPr>
          <w:rFonts w:ascii="AppleSystemUIFont" w:hAnsi="AppleSystemUIFont" w:cs="AppleSystemUIFont"/>
        </w:rPr>
        <w:t xml:space="preserve"> (Accessed: 17 January 2025).</w:t>
      </w:r>
    </w:p>
    <w:p w14:paraId="37322A38" w14:textId="77777777" w:rsidR="00D0672F" w:rsidRDefault="00D0672F" w:rsidP="00D0672F">
      <w:pPr>
        <w:autoSpaceDE w:val="0"/>
        <w:autoSpaceDN w:val="0"/>
        <w:adjustRightInd w:val="0"/>
        <w:rPr>
          <w:rFonts w:ascii="AppleSystemUIFont" w:hAnsi="AppleSystemUIFont" w:cs="AppleSystemUIFont"/>
        </w:rPr>
      </w:pPr>
    </w:p>
    <w:p w14:paraId="1A8A80EF" w14:textId="6951AF58" w:rsidR="00D0672F" w:rsidRDefault="00D0672F" w:rsidP="00D0672F">
      <w:pPr>
        <w:autoSpaceDE w:val="0"/>
        <w:autoSpaceDN w:val="0"/>
        <w:adjustRightInd w:val="0"/>
        <w:rPr>
          <w:rFonts w:ascii="AppleSystemUIFont" w:hAnsi="AppleSystemUIFont" w:cs="AppleSystemUIFont"/>
        </w:rPr>
      </w:pPr>
      <w:r>
        <w:rPr>
          <w:rFonts w:ascii="AppleSystemUIFont" w:hAnsi="AppleSystemUIFont" w:cs="AppleSystemUIFont"/>
        </w:rPr>
        <w:t xml:space="preserve">UNICEF (2023). </w:t>
      </w:r>
      <w:r>
        <w:rPr>
          <w:rFonts w:ascii="AppleSystemUIFontItalic" w:hAnsi="AppleSystemUIFontItalic" w:cs="AppleSystemUIFontItalic"/>
          <w:i/>
          <w:iCs/>
        </w:rPr>
        <w:t>United Nations Convention on the Rights of the Child (UNCRC)</w:t>
      </w:r>
      <w:r>
        <w:rPr>
          <w:rFonts w:ascii="AppleSystemUIFont" w:hAnsi="AppleSystemUIFont" w:cs="AppleSystemUIFont"/>
        </w:rPr>
        <w:t xml:space="preserve">. Available at: </w:t>
      </w:r>
      <w:hyperlink r:id="rId21" w:history="1">
        <w:r>
          <w:rPr>
            <w:rFonts w:ascii="AppleSystemUIFont" w:hAnsi="AppleSystemUIFont" w:cs="AppleSystemUIFont"/>
            <w:color w:val="DCA10D"/>
          </w:rPr>
          <w:t>https://www.unicef.org</w:t>
        </w:r>
      </w:hyperlink>
      <w:r>
        <w:rPr>
          <w:rFonts w:ascii="AppleSystemUIFont" w:hAnsi="AppleSystemUIFont" w:cs="AppleSystemUIFont"/>
        </w:rPr>
        <w:t xml:space="preserve"> (Accessed: 14 January 2025).</w:t>
      </w:r>
    </w:p>
    <w:p w14:paraId="4E811B74" w14:textId="77777777" w:rsidR="00D0672F" w:rsidRDefault="00D0672F" w:rsidP="00D0672F">
      <w:pPr>
        <w:autoSpaceDE w:val="0"/>
        <w:autoSpaceDN w:val="0"/>
        <w:adjustRightInd w:val="0"/>
        <w:rPr>
          <w:rFonts w:ascii="AppleSystemUIFont" w:hAnsi="AppleSystemUIFont" w:cs="AppleSystemUIFont"/>
        </w:rPr>
      </w:pPr>
    </w:p>
    <w:p w14:paraId="3BAD2185" w14:textId="77777777" w:rsidR="00A1018B" w:rsidRDefault="00A1018B"/>
    <w:sectPr w:rsidR="00A101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FF4"/>
    <w:rsid w:val="0000598B"/>
    <w:rsid w:val="000B7E09"/>
    <w:rsid w:val="00114EC2"/>
    <w:rsid w:val="00141A19"/>
    <w:rsid w:val="001809CC"/>
    <w:rsid w:val="00356BC7"/>
    <w:rsid w:val="00391827"/>
    <w:rsid w:val="005420A3"/>
    <w:rsid w:val="005E48BA"/>
    <w:rsid w:val="00647C6A"/>
    <w:rsid w:val="006B50B3"/>
    <w:rsid w:val="006F18F8"/>
    <w:rsid w:val="00771662"/>
    <w:rsid w:val="007E5C7F"/>
    <w:rsid w:val="00871471"/>
    <w:rsid w:val="008C34B9"/>
    <w:rsid w:val="008D6FF4"/>
    <w:rsid w:val="009B5314"/>
    <w:rsid w:val="00A1018B"/>
    <w:rsid w:val="00B0493D"/>
    <w:rsid w:val="00B54670"/>
    <w:rsid w:val="00CF370B"/>
    <w:rsid w:val="00D0672F"/>
    <w:rsid w:val="00D23BEC"/>
    <w:rsid w:val="00D55D4C"/>
    <w:rsid w:val="00DC28AC"/>
    <w:rsid w:val="00E41E11"/>
    <w:rsid w:val="00EC68BC"/>
    <w:rsid w:val="00EE5374"/>
    <w:rsid w:val="00FA6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9082F0"/>
  <w15:chartTrackingRefBased/>
  <w15:docId w15:val="{4D34DA72-BF6D-5147-840B-0CBA52520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34B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868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stable-homes-built-on-love" TargetMode="External"/><Relationship Id="rId13" Type="http://schemas.openxmlformats.org/officeDocument/2006/relationships/hyperlink" Target="https://www.nao.org.uk" TargetMode="External"/><Relationship Id="rId18" Type="http://schemas.openxmlformats.org/officeDocument/2006/relationships/hyperlink" Target="https://www.childrenscommissioner.gov.uk" TargetMode="External"/><Relationship Id="rId3" Type="http://schemas.openxmlformats.org/officeDocument/2006/relationships/webSettings" Target="webSettings.xml"/><Relationship Id="rId21" Type="http://schemas.openxmlformats.org/officeDocument/2006/relationships/hyperlink" Target="https://www.unicef.org" TargetMode="External"/><Relationship Id="rId7" Type="http://schemas.openxmlformats.org/officeDocument/2006/relationships/hyperlink" Target="https://www.gov.uk/government/publications/every-child-matters" TargetMode="External"/><Relationship Id="rId12" Type="http://schemas.openxmlformats.org/officeDocument/2006/relationships/hyperlink" Target="https://www.gov.uk/government/publications/munro-review-of-child-protection-final-report" TargetMode="External"/><Relationship Id="rId17" Type="http://schemas.openxmlformats.org/officeDocument/2006/relationships/hyperlink" Target="https://www.savethechildren.org" TargetMode="External"/><Relationship Id="rId2" Type="http://schemas.openxmlformats.org/officeDocument/2006/relationships/settings" Target="settings.xml"/><Relationship Id="rId16" Type="http://schemas.openxmlformats.org/officeDocument/2006/relationships/hyperlink" Target="https://www.nspcc.org.uk" TargetMode="External"/><Relationship Id="rId20" Type="http://schemas.openxmlformats.org/officeDocument/2006/relationships/hyperlink" Target="https://www.legislation.gov.uk/" TargetMode="External"/><Relationship Id="rId1" Type="http://schemas.openxmlformats.org/officeDocument/2006/relationships/styles" Target="styles.xml"/><Relationship Id="rId6" Type="http://schemas.openxmlformats.org/officeDocument/2006/relationships/hyperlink" Target="https://www.childrenscommissioner.gov.uk" TargetMode="External"/><Relationship Id="rId11" Type="http://schemas.openxmlformats.org/officeDocument/2006/relationships/hyperlink" Target="https://www.jrf.org.uk" TargetMode="External"/><Relationship Id="rId5" Type="http://schemas.openxmlformats.org/officeDocument/2006/relationships/hyperlink" Target="https://www.childrenscommissioner.gov.uk" TargetMode="External"/><Relationship Id="rId15" Type="http://schemas.openxmlformats.org/officeDocument/2006/relationships/hyperlink" Target="https://www.gov.uk/government/collections/kinship-care-strategy" TargetMode="External"/><Relationship Id="rId23" Type="http://schemas.openxmlformats.org/officeDocument/2006/relationships/theme" Target="theme/theme1.xml"/><Relationship Id="rId10" Type="http://schemas.openxmlformats.org/officeDocument/2006/relationships/hyperlink" Target="https://www.worldcat.org/title/how-to-love-a-child/oclc/31973900" TargetMode="External"/><Relationship Id="rId19" Type="http://schemas.openxmlformats.org/officeDocument/2006/relationships/hyperlink" Target="https://www.gov.uk/government/publications/transforming-children-and-young-peoples-mental-health-provision" TargetMode="External"/><Relationship Id="rId4" Type="http://schemas.openxmlformats.org/officeDocument/2006/relationships/hyperlink" Target="https://www.basw.co.uk" TargetMode="External"/><Relationship Id="rId9" Type="http://schemas.openxmlformats.org/officeDocument/2006/relationships/hyperlink" Target="https://www.gov.uk/government/publications/holiday-activities-and-food-programme" TargetMode="External"/><Relationship Id="rId14" Type="http://schemas.openxmlformats.org/officeDocument/2006/relationships/hyperlink" Target="https://www.nao.org.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3975</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SIM19850589 (Teigan Simons)</dc:creator>
  <cp:keywords/>
  <dc:description/>
  <cp:lastModifiedBy>Teigan Simons (2015465)</cp:lastModifiedBy>
  <cp:revision>2</cp:revision>
  <cp:lastPrinted>2025-01-26T16:21:00Z</cp:lastPrinted>
  <dcterms:created xsi:type="dcterms:W3CDTF">2025-01-26T17:05:00Z</dcterms:created>
  <dcterms:modified xsi:type="dcterms:W3CDTF">2025-01-26T17:05:00Z</dcterms:modified>
</cp:coreProperties>
</file>