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pStyle w:val="Title"/>
        <w:spacing w:before="1160" w:line="288" w:lineRule="auto" w:after="480"/>
        <w:jc w:val="left"/>
      </w:pPr>
      <w:r>
        <w:rPr>
          <w:rFonts w:ascii="Arial" w:hAnsi="Arial"/>
          <w:b/>
          <w:color w:val="17324D"/>
          <w:sz w:val="48"/>
        </w:rPr>
        <w:t xml:space="preserve">Critical evaluation of </w:t>
      </w:r>
      <w:r>
        <w:rPr>
          <w:rFonts w:ascii="Arial" w:hAnsi="Arial"/>
          <w:b/>
          <w:color w:val="007C83"/>
          <w:sz w:val="48"/>
        </w:rPr>
        <w:t>FreeStyle Libre</w:t>
      </w:r>
      <w:r>
        <w:rPr>
          <w:rFonts w:ascii="Arial" w:hAnsi="Arial"/>
          <w:b/>
          <w:color w:val="17324D"/>
          <w:sz w:val="48"/>
        </w:rPr>
        <w:t xml:space="preserve"> implementation in NHS diabetes care</w:t>
      </w:r>
    </w:p>
    <w:p>
      <w:pPr>
        <w:pStyle w:val="Subtitle"/>
        <w:spacing w:line="288" w:lineRule="auto" w:before="0" w:after="560"/>
        <w:jc w:val="left"/>
      </w:pPr>
      <w:r>
        <w:rPr>
          <w:rFonts w:ascii="Arial" w:hAnsi="Arial"/>
          <w:b/>
          <w:i w:val="0"/>
          <w:color w:val="007C83"/>
          <w:sz w:val="24"/>
        </w:rPr>
        <w:t>Component 1 Written Report</w:t>
      </w:r>
    </w:p>
    <w:p>
      <w:pPr>
        <w:spacing w:after="120" w:line="288" w:lineRule="auto" w:before="0"/>
        <w:jc w:val="left"/>
      </w:pPr>
      <w:r>
        <w:rPr>
          <w:rFonts w:ascii="Arial" w:hAnsi="Arial"/>
          <w:b/>
          <w:color w:val="17324D"/>
          <w:sz w:val="24"/>
        </w:rPr>
        <w:t>Mevish Noor</w:t>
      </w:r>
    </w:p>
    <w:p>
      <w:pPr>
        <w:spacing w:after="360" w:line="288" w:lineRule="auto" w:before="0"/>
        <w:jc w:val="left"/>
      </w:pPr>
      <w:r>
        <w:rPr>
          <w:rFonts w:ascii="Arial" w:hAnsi="Arial"/>
          <w:color w:val="526374"/>
          <w:sz w:val="22"/>
        </w:rPr>
        <w:t>Student number 2407526</w:t>
      </w:r>
    </w:p>
    <w:p>
      <w:pPr>
        <w:spacing w:after="480" w:line="288" w:lineRule="auto" w:before="0"/>
        <w:jc w:val="left"/>
      </w:pPr>
      <w:r>
        <w:rPr>
          <w:rFonts w:ascii="Arial" w:hAnsi="Arial"/>
          <w:color w:val="526374"/>
          <w:sz w:val="22"/>
        </w:rPr>
        <w:t>BSc Health and Social Care</w:t>
      </w:r>
    </w:p>
    <w:p>
      <w:pPr>
        <w:spacing w:after="120" w:line="288" w:lineRule="auto" w:before="0"/>
        <w:jc w:val="left"/>
      </w:pPr>
      <w:r>
        <w:rPr>
          <w:rFonts w:ascii="Arial" w:hAnsi="Arial"/>
          <w:b/>
          <w:color w:val="007C83"/>
          <w:sz w:val="22"/>
        </w:rPr>
        <w:t>BMHP6026</w:t>
      </w:r>
    </w:p>
    <w:p>
      <w:pPr>
        <w:spacing w:after="480" w:line="288" w:lineRule="auto" w:before="0"/>
        <w:jc w:val="left"/>
      </w:pPr>
      <w:r>
        <w:rPr>
          <w:rFonts w:ascii="Arial" w:hAnsi="Arial"/>
          <w:color w:val="526374"/>
          <w:sz w:val="22"/>
        </w:rPr>
        <w:t>Digital Transformation in the Health and Care Professions</w:t>
      </w:r>
    </w:p>
    <w:p>
      <w:pPr>
        <w:spacing w:after="120" w:line="288" w:lineRule="auto" w:before="0"/>
        <w:jc w:val="left"/>
      </w:pPr>
      <w:r>
        <w:rPr>
          <w:rFonts w:ascii="Arial" w:hAnsi="Arial"/>
          <w:color w:val="526374"/>
          <w:sz w:val="22"/>
        </w:rPr>
        <w:t>Submission date 19 October 2026</w:t>
      </w:r>
    </w:p>
    <w:p>
      <w:pPr>
        <w:spacing w:after="120" w:line="288" w:lineRule="auto" w:before="160"/>
        <w:jc w:val="left"/>
      </w:pPr>
      <w:r>
        <w:rPr>
          <w:rFonts w:ascii="Arial" w:hAnsi="Arial"/>
          <w:color w:val="526374"/>
          <w:sz w:val="20"/>
        </w:rPr>
        <w:t>Word count 2084 excluding title page headings and references</w:t>
      </w:r>
    </w:p>
    <w:p>
      <w:pPr>
        <w:sectPr w:rsidR="00FC693F" w:rsidRPr="0006063C" w:rsidSect="00034616">
          <w:footerReference w:type="even" r:id="rId12"/>
          <w:pgSz w:w="11905" w:h="16838"/>
          <w:pgMar w:top="1224" w:right="1440" w:bottom="1224" w:left="1440" w:header="547" w:footer="576" w:gutter="0"/>
          <w:cols w:space="720"/>
          <w:docGrid w:linePitch="360"/>
          <w:footerReference w:type="default" r:id="rId12"/>
          <w:type w:val="nextPage"/>
        </w:sectPr>
      </w:pPr>
      <w:r>
        <w:rPr>
          <w:rFonts w:ascii="Arial" w:hAnsi="Arial"/>
          <w:sz w:val="22"/>
        </w:rPr>
      </w:r>
    </w:p>
    <w:p>
      <w:pPr>
        <w:pStyle w:val="Heading1"/>
        <w:keepNext/>
        <w:keepLines/>
        <w:pageBreakBefore w:val="0"/>
        <w:widowControl/>
        <w:spacing w:line="276" w:lineRule="auto" w:before="0" w:after="180"/>
        <w:jc w:val="left"/>
      </w:pPr>
      <w:r>
        <w:rPr>
          <w:rFonts w:ascii="Arial" w:hAnsi="Arial"/>
          <w:b/>
          <w:color w:val="007C83"/>
          <w:sz w:val="26"/>
        </w:rPr>
        <w:t xml:space="preserve">1 </w:t>
      </w:r>
      <w:r>
        <w:rPr>
          <w:rFonts w:ascii="Arial" w:hAnsi="Arial"/>
          <w:b/>
          <w:color w:val="17324D"/>
          <w:sz w:val="26"/>
        </w:rPr>
        <w:t>Introduction</w:t>
      </w:r>
    </w:p>
    <w:p>
      <w:pPr>
        <w:pStyle w:val="ReportBody"/>
        <w:keepNext w:val="0"/>
        <w:keepLines/>
        <w:widowControl/>
        <w:spacing w:before="100" w:after="140"/>
        <w:jc w:val="both"/>
      </w:pPr>
      <w:r>
        <w:rPr>
          <w:rFonts w:ascii="Arial" w:hAnsi="Arial"/>
          <w:color w:val="000000"/>
          <w:sz w:val="22"/>
        </w:rPr>
        <w:t>FreeStyle Libre has changed diabetes care by making glucose patterns visible between appointments. This report evaluates its implementation in NHS diabetes services, focusing on England and using NHS Lothian as a comparative UK case. NHS availability from 2017 and national expansion in England in 2019 fall within the assessment’s ten-year period. The analysis distinguishes original flash monitoring from later Libre versions. It argues that clinical effectiveness is established more convincingly than universal service savings or equitable benefit. Workforce, service delivery, patient experience and community consequences are assessed using trials, routine-care evaluations and implementation theory.</w:t>
      </w:r>
    </w:p>
    <w:p>
      <w:pPr>
        <w:pStyle w:val="Heading1"/>
        <w:keepNext/>
        <w:keepLines/>
        <w:pageBreakBefore w:val="0"/>
        <w:widowControl/>
        <w:spacing w:line="276" w:lineRule="auto" w:before="360" w:after="180"/>
        <w:jc w:val="left"/>
      </w:pPr>
      <w:r>
        <w:rPr>
          <w:rFonts w:ascii="Arial" w:hAnsi="Arial"/>
          <w:b/>
          <w:color w:val="007C83"/>
          <w:sz w:val="26"/>
        </w:rPr>
        <w:t xml:space="preserve">2 </w:t>
      </w:r>
      <w:r>
        <w:rPr>
          <w:rFonts w:ascii="Arial" w:hAnsi="Arial"/>
          <w:b/>
          <w:color w:val="17324D"/>
          <w:sz w:val="26"/>
        </w:rPr>
        <w:t>The innovation and its implementation</w:t>
      </w:r>
    </w:p>
    <w:p>
      <w:pPr>
        <w:pStyle w:val="ReportBody"/>
        <w:keepNext w:val="0"/>
        <w:keepLines/>
        <w:widowControl/>
        <w:spacing w:before="100" w:after="140"/>
        <w:jc w:val="both"/>
      </w:pPr>
      <w:r>
        <w:rPr>
          <w:rFonts w:ascii="Arial" w:hAnsi="Arial"/>
          <w:color w:val="000000"/>
          <w:sz w:val="22"/>
        </w:rPr>
        <w:t>The original Libre system uses a wearable sensor to measure glucose in interstitial fluid. Users scan it with a reader or compatible phone to view readings and trends, while uploaded information can support clinical review. Unlike isolated finger-prick measurements, the system reveals patterns across the day. However, the original device lacked glucose alarms; Libre 2, evaluated in the FLASH-UK trial, included optional alarms (National Institute for Health and Care Excellence [NICE], 2017; Leelarathna et al., 2022). This distinction matters because improved outcomes from later devices cannot automatically establish the effectiveness of every earlier configuration.</w:t>
      </w:r>
    </w:p>
    <w:p>
      <w:pPr>
        <w:pStyle w:val="ReportBody"/>
        <w:keepNext w:val="0"/>
        <w:keepLines/>
        <w:widowControl/>
        <w:spacing w:before="100" w:after="140"/>
        <w:jc w:val="both"/>
      </w:pPr>
      <w:r>
        <w:rPr>
          <w:rFonts w:ascii="Arial" w:hAnsi="Arial"/>
          <w:color w:val="000000"/>
          <w:sz w:val="22"/>
        </w:rPr>
        <w:t>Libre entered the NHS drug tariff in 2017, and national funding arrangements expanded access in England from April 2019 (Deshmukh et al., 2020; NHS England, 2019). Initially, approximately one in five people with type 1 diabetes were expected to qualify. Eligibility included intensive monitoring needs and particular disability or psychosocial circumstances. Reimbursement supported implementation through general practice and specialist teams, addressing variation between local areas. Nevertheless, selective eligibility meant that national funding did not initially constitute universal access.</w:t>
      </w:r>
    </w:p>
    <w:p>
      <w:pPr>
        <w:pStyle w:val="ReportBody"/>
        <w:keepNext w:val="0"/>
        <w:keepLines/>
        <w:widowControl/>
        <w:spacing w:before="100" w:after="140"/>
        <w:jc w:val="both"/>
      </w:pPr>
      <w:r>
        <w:rPr>
          <w:rFonts w:ascii="Arial" w:hAnsi="Arial"/>
          <w:color w:val="000000"/>
          <w:sz w:val="22"/>
        </w:rPr>
        <w:t>NICE’s 2022 recommendations offered adults with type 1 diabetes a choice between real-time and intermittently scanned continuous glucose monitoring (CGM), based on individual needs and preferences (NICE, 2022). Wider access therefore does not make one branded product appropriate for everyone. Greenhalgh et al.’s (2017) framework for nonadoption, abandonment, scale-up, spread and sustainability (NASSS) considers the condition, technology, value proposition, adopters, organisation, wider system and adaptation over time. Here, selected domains explain how funding, staff capacity and users’ circumstances interact. The framework guides interpretation; it cannot establish causation or substitute for outcome evidence.</w:t>
      </w:r>
    </w:p>
    <w:p>
      <w:pPr>
        <w:pStyle w:val="ReportBody"/>
        <w:keepNext w:val="0"/>
        <w:keepLines/>
        <w:widowControl/>
        <w:spacing w:before="100" w:after="140"/>
        <w:jc w:val="both"/>
      </w:pPr>
      <w:r>
        <w:rPr>
          <w:rFonts w:ascii="Arial" w:hAnsi="Arial"/>
          <w:color w:val="000000"/>
          <w:sz w:val="22"/>
        </w:rPr>
        <w:t>In NHS Lothian, implementation began in February 2018 with patient letters and one-hour education sessions. Eligibility required intensive insulin treatment, self-management knowledge, frequent scanning and clinic data sharing. By February 2019, 2,216 adults had collected prescriptions, approximately 47% of the local type 1 population (Stimson et al., 2020). Collection demonstrates reach, although sustained use requires separate evaluation. Within NASSS, national funding addresses the wider system, while education connects organisational capacity to adopters’ capabilities. Requiring attendance may disadvantage people who need flexible support. Scotland’s arrangements cannot be assumed to describe England’s commissioning system.</w:t>
      </w:r>
    </w:p>
    <w:p>
      <w:pPr>
        <w:pStyle w:val="Heading1"/>
        <w:keepNext/>
        <w:keepLines/>
        <w:pageBreakBefore w:val="0"/>
        <w:widowControl/>
        <w:spacing w:line="276" w:lineRule="auto" w:before="360" w:after="180"/>
        <w:jc w:val="left"/>
      </w:pPr>
      <w:r>
        <w:rPr>
          <w:rFonts w:ascii="Arial" w:hAnsi="Arial"/>
          <w:b/>
          <w:color w:val="007C83"/>
          <w:sz w:val="26"/>
        </w:rPr>
        <w:t xml:space="preserve">3 </w:t>
      </w:r>
      <w:r>
        <w:rPr>
          <w:rFonts w:ascii="Arial" w:hAnsi="Arial"/>
          <w:b/>
          <w:color w:val="17324D"/>
          <w:sz w:val="26"/>
        </w:rPr>
        <w:t>Workforce and professional competence</w:t>
      </w:r>
    </w:p>
    <w:p>
      <w:pPr>
        <w:pStyle w:val="ReportBody"/>
        <w:keepNext w:val="0"/>
        <w:keepLines/>
        <w:widowControl/>
        <w:spacing w:before="100" w:after="140"/>
        <w:jc w:val="both"/>
      </w:pPr>
      <w:r>
        <w:rPr>
          <w:rFonts w:ascii="Arial" w:hAnsi="Arial"/>
          <w:color w:val="000000"/>
          <w:sz w:val="22"/>
        </w:rPr>
        <w:t>Libre changes professional work towards interpreting longitudinal information with patients. Diabetes nurses, dietitians and doctors must connect glucose patterns with insulin use, meals and daily routines. This can reveal problems missed by occasional measurements, but additional data do not themselves improve clinical judgement. NICE (2022) recommends teams with relevant expertise. Competence therefore includes explaining uncertainty, identifying unreliable readings and agreeing appropriate escalation. The change also redistributes authority: patients can bring their own detailed evidence into consultations, while professionals retain responsibility for interpreting it within the wider clinical picture.</w:t>
      </w:r>
    </w:p>
    <w:p>
      <w:pPr>
        <w:pStyle w:val="ReportBody"/>
        <w:keepNext w:val="0"/>
        <w:keepLines/>
        <w:widowControl/>
        <w:spacing w:before="100" w:after="140"/>
        <w:jc w:val="both"/>
      </w:pPr>
      <w:r>
        <w:rPr>
          <w:rFonts w:ascii="Arial" w:hAnsi="Arial"/>
          <w:color w:val="000000"/>
          <w:sz w:val="22"/>
        </w:rPr>
        <w:t>The Topol Review emphasises workforce education (Health Education England, 2019). London’s implementation guidance translated this into specialist initiation, early review and communication with GPs. It recommended one-hour sessions for 12–16 patients and acknowledged that clinic capacity would stagger uptake (London Diabetes Clinical Network and NHS London Procurement Partnership, 2019, pp. 16–18). Group education offers scale, although patients unable to attend need alternatives. The guidance establishes intended responsibilities, rather than demonstrating consistent delivery.</w:t>
      </w:r>
    </w:p>
    <w:p>
      <w:pPr>
        <w:pStyle w:val="ReportBody"/>
        <w:keepNext w:val="0"/>
        <w:keepLines/>
        <w:widowControl/>
        <w:spacing w:before="100" w:after="140"/>
        <w:jc w:val="both"/>
      </w:pPr>
      <w:r>
        <w:rPr>
          <w:rFonts w:ascii="Arial" w:hAnsi="Arial"/>
          <w:color w:val="000000"/>
          <w:sz w:val="22"/>
        </w:rPr>
        <w:t>Beasant et al. (2023) studied 34 young people, parents and professionals. Staff described learning software, opening multiple applications and handling downloads; some families wanted discussion beyond available appointment time. NASSS connects these demands to a mismatch between users’ expectations and organisational capacity. The paediatric interviews identify mechanisms, rather than quantify adult workload. For adults, West Yorkshire Health and Care Partnership’s (n.d.) training framework differentiates competencies for unregistered staff, registered clinicians and specialists, with supervisors overseeing training. This provides a practical basis for allocating routine support while retaining clinical escalation. Neither training completion nor professional enthusiasm demonstrates that sufficient time has been funded; review time and support contacts require local measurement.</w:t>
      </w:r>
    </w:p>
    <w:p>
      <w:pPr>
        <w:pStyle w:val="Heading1"/>
        <w:keepNext/>
        <w:keepLines/>
        <w:pageBreakBefore w:val="0"/>
        <w:widowControl/>
        <w:spacing w:line="276" w:lineRule="auto" w:before="360" w:after="180"/>
        <w:jc w:val="left"/>
      </w:pPr>
      <w:r>
        <w:rPr>
          <w:rFonts w:ascii="Arial" w:hAnsi="Arial"/>
          <w:b/>
          <w:color w:val="007C83"/>
          <w:sz w:val="26"/>
        </w:rPr>
        <w:t xml:space="preserve">4 </w:t>
      </w:r>
      <w:r>
        <w:rPr>
          <w:rFonts w:ascii="Arial" w:hAnsi="Arial"/>
          <w:b/>
          <w:color w:val="17324D"/>
          <w:sz w:val="26"/>
        </w:rPr>
        <w:t>Service delivery and clinical outcomes</w:t>
      </w:r>
    </w:p>
    <w:p>
      <w:pPr>
        <w:pStyle w:val="ReportBody"/>
        <w:keepNext w:val="0"/>
        <w:keepLines/>
        <w:widowControl/>
        <w:spacing w:before="100" w:after="140"/>
        <w:jc w:val="both"/>
      </w:pPr>
      <w:r>
        <w:rPr>
          <w:rFonts w:ascii="Arial" w:hAnsi="Arial"/>
          <w:color w:val="000000"/>
          <w:sz w:val="22"/>
        </w:rPr>
        <w:t>The strongest causal evidence comes from the UK randomised trial by Leelarathna et al. (2022). Among 156 adults with type 1 diabetes and elevated HbA1c, a marker of longer-term glucose control, Libre 2 produced an adjusted difference of −0.5 percentage points versus finger-prick monitoring at 24 weeks (95% confidence interval −0.7 to −0.3). Participants spent approximately 130 additional minutes daily in the target glucose range. Randomisation strengthens causal interpretation, but short follow-up cannot establish lifelong benefit. Moreover, 98% of participants were white, limiting confidence in generalisability across England’s diverse population (Elliott et al., 2024).</w:t>
      </w:r>
    </w:p>
    <w:p>
      <w:pPr>
        <w:pStyle w:val="ReportBody"/>
        <w:keepNext w:val="0"/>
        <w:keepLines/>
        <w:widowControl/>
        <w:spacing w:before="100" w:after="140"/>
        <w:jc w:val="both"/>
      </w:pPr>
      <w:r>
        <w:rPr>
          <w:rFonts w:ascii="Arial" w:hAnsi="Arial"/>
          <w:color w:val="000000"/>
          <w:sz w:val="22"/>
        </w:rPr>
        <w:t>Real-world evidence supports implementation at scale. The ABCD audit collected baseline information from 10,370 users across 102 UK NHS hospitals. Among 3,182 with follow-up HbA1c information, mean HbA1c fell from 67.5 to 62.3 mmol/mol after a median 7.5 months (Deshmukh et al., 2020). This is valuable because it reflects routine practice. However, missing follow-up information and the absence of a randomised comparator weaken causal interpretation. Education, motivation and regression towards average values could contribute to improvement. The audit therefore complements rather than replaces trial evidence.</w:t>
      </w:r>
    </w:p>
    <w:p>
      <w:pPr>
        <w:pStyle w:val="ReportBody"/>
        <w:keepNext w:val="0"/>
        <w:keepLines/>
        <w:widowControl/>
        <w:spacing w:before="100" w:after="140"/>
        <w:jc w:val="both"/>
      </w:pPr>
      <w:r>
        <w:rPr>
          <w:rFonts w:ascii="Arial" w:hAnsi="Arial"/>
          <w:color w:val="000000"/>
          <w:sz w:val="22"/>
        </w:rPr>
        <w:t>Lothian’s findings complicate claims about safer services. The proportion admitted to hospital did not change significantly, while hypoglycaemia admissions increased from 0.3% to 1.1% (Stimson et al., 2020). The historical comparison cannot establish that Libre caused this increase. Different populations and the earlier device also limit comparison with FLASH-UK. Taken together, the studies support improved glucose management more securely than reduced hospital use. Services should monitor adverse outcomes independently of uptake.</w:t>
      </w:r>
    </w:p>
    <w:p>
      <w:pPr>
        <w:pStyle w:val="ReportBody"/>
        <w:keepNext w:val="0"/>
        <w:keepLines/>
        <w:widowControl/>
        <w:spacing w:before="100" w:after="140"/>
        <w:jc w:val="both"/>
      </w:pPr>
      <w:r>
        <w:rPr>
          <w:rFonts w:ascii="Arial" w:hAnsi="Arial"/>
          <w:color w:val="000000"/>
          <w:sz w:val="22"/>
        </w:rPr>
        <w:t>Elliott et al. (2024) estimated an additional £548 per participant over 24 weeks at 2020/21 prices. Lifetime modelling produced an incremental cost of £4,477 per quality-adjusted life-year, suggesting favourable value. However, sensitivity analysis indicated that effectiveness needed to persist for at least seven years; the short-term quality-adjusted life-year difference was not statistically significant. Long-term value therefore depends on assumptions beyond observed follow-up. Within NASSS, the value proposition differs between patients gaining everyday freedom and commissioners funding recurring expenditure. Cost-effectiveness supports the case for investment, but does not establish affordability within a fixed annual budget. Retention and effective support connect the workforce problem to whether projected benefits are realised.</w:t>
      </w:r>
    </w:p>
    <w:p>
      <w:pPr>
        <w:pStyle w:val="ReportBody"/>
        <w:keepNext w:val="0"/>
        <w:keepLines/>
        <w:widowControl/>
        <w:spacing w:before="100" w:after="140"/>
        <w:jc w:val="both"/>
      </w:pPr>
      <w:r>
        <w:rPr>
          <w:rFonts w:ascii="Arial" w:hAnsi="Arial"/>
          <w:color w:val="000000"/>
          <w:sz w:val="22"/>
        </w:rPr>
        <w:t>A Bradford case reports that policy changes and training enabled community diabetes specialist nurses to initiate Libre 2 from primary care practices. Reported type 1 uptake rose from 67% to 83% between December 2022 and September 2023 (Abbott, 2026). This documents a change in professional responsibility and service location, extending the pathway beyond hospital initiation. However, the manufacturer published the account using data held on file, without a control group or independent workload evaluation. It therefore illustrates implementation, while concurrent changes, selective reporting and commercial interests limit causal claims. Uptake alone cannot establish improved outcomes or staff savings.</w:t>
      </w:r>
    </w:p>
    <w:p>
      <w:pPr>
        <w:pStyle w:val="Heading1"/>
        <w:keepNext/>
        <w:keepLines/>
        <w:pageBreakBefore w:val="0"/>
        <w:widowControl/>
        <w:spacing w:line="276" w:lineRule="auto" w:before="360" w:after="180"/>
        <w:jc w:val="left"/>
      </w:pPr>
      <w:r>
        <w:rPr>
          <w:rFonts w:ascii="Arial" w:hAnsi="Arial"/>
          <w:b/>
          <w:color w:val="007C83"/>
          <w:sz w:val="26"/>
        </w:rPr>
        <w:t xml:space="preserve">5 </w:t>
      </w:r>
      <w:r>
        <w:rPr>
          <w:rFonts w:ascii="Arial" w:hAnsi="Arial"/>
          <w:b/>
          <w:color w:val="17324D"/>
          <w:sz w:val="26"/>
        </w:rPr>
        <w:t>Patient and service user experience</w:t>
      </w:r>
    </w:p>
    <w:p>
      <w:pPr>
        <w:pStyle w:val="ReportBody"/>
        <w:keepNext w:val="0"/>
        <w:keepLines/>
        <w:widowControl/>
        <w:spacing w:before="100" w:after="140"/>
        <w:jc w:val="both"/>
      </w:pPr>
      <w:r>
        <w:rPr>
          <w:rFonts w:ascii="Arial" w:hAnsi="Arial"/>
          <w:color w:val="000000"/>
          <w:sz w:val="22"/>
        </w:rPr>
        <w:t>Patients may value Libre because checking becomes easier and less disruptive, allowing information to inform everyday choices. Gleeson et al. (2019) interviewed ten adults attending an outpatient diabetes clinic and found strongly positive experiences, including greater freedom and an impact on relationships with others. All wished to continue using the device. These findings provide insight that HbA1c cannot capture: a person may regard reduced intrusion into working or social life as a major improvement even when laboratory change is modest.</w:t>
      </w:r>
    </w:p>
    <w:p>
      <w:pPr>
        <w:pStyle w:val="ReportBody"/>
        <w:keepNext w:val="0"/>
        <w:keepLines/>
        <w:widowControl/>
        <w:spacing w:before="100" w:after="140"/>
        <w:jc w:val="both"/>
      </w:pPr>
      <w:r>
        <w:rPr>
          <w:rFonts w:ascii="Arial" w:hAnsi="Arial"/>
          <w:color w:val="000000"/>
          <w:sz w:val="22"/>
        </w:rPr>
        <w:t>Gleeson et al.’s (2019) ten participants were white, from Northern Ireland, and some people experiencing severe stress or complex mental health problems were excluded. Positive accounts therefore provide limited evidence about people who struggle most. Sensor detachment, visibility and accuracy concerns also affected experience. Including discontinuers in evaluation would help distinguish practical barriers from dissatisfaction with the monitoring approach itself.</w:t>
      </w:r>
    </w:p>
    <w:p>
      <w:pPr>
        <w:pStyle w:val="ReportBody"/>
        <w:keepNext w:val="0"/>
        <w:keepLines/>
        <w:widowControl/>
        <w:spacing w:before="100" w:after="140"/>
        <w:jc w:val="both"/>
      </w:pPr>
      <w:r>
        <w:rPr>
          <w:rFonts w:ascii="Arial" w:hAnsi="Arial"/>
          <w:color w:val="000000"/>
          <w:sz w:val="22"/>
        </w:rPr>
        <w:t>Physical harms require attention. The Medicines and Healthcare products Regulatory Agency (MHRA, 2019) warned about adhesive-related skin reactions and possible performance effects from barrier products. The alert concerns a historical device context and does not establish identical risks across current versions. Services need accessible reporting and alternative monitoring, recognising that reduced finger-pricking is exchanged for wearing and maintaining a sensor.</w:t>
      </w:r>
    </w:p>
    <w:p>
      <w:pPr>
        <w:pStyle w:val="ReportBody"/>
        <w:keepNext w:val="0"/>
        <w:keepLines/>
        <w:widowControl/>
        <w:spacing w:before="100" w:after="140"/>
        <w:jc w:val="both"/>
      </w:pPr>
      <w:r>
        <w:rPr>
          <w:rFonts w:ascii="Arial" w:hAnsi="Arial"/>
          <w:color w:val="000000"/>
          <w:sz w:val="22"/>
        </w:rPr>
        <w:t>Technical limitations also shape autonomy. NICE (2022) states that users still need capillary blood glucose testing as a backup and to check sensor accuracy. Training must explain what to do when readings are unreliable or the system fails. Through the NASSS technology and adopter domains, ease of obtaining data must be distinguished from the ability to interpret and act on it. Device choice should reflect individual preferences and capabilities, with alternative monitoring available. Discontinuation may represent an informed preference or unresolved practical difficulty; treating every discontinuation as patient failure would conceal deficiencies in support.</w:t>
      </w:r>
    </w:p>
    <w:p>
      <w:pPr>
        <w:pStyle w:val="Heading1"/>
        <w:keepNext/>
        <w:keepLines/>
        <w:pageBreakBefore w:val="0"/>
        <w:widowControl/>
        <w:spacing w:line="276" w:lineRule="auto" w:before="360" w:after="180"/>
        <w:jc w:val="left"/>
      </w:pPr>
      <w:r>
        <w:rPr>
          <w:rFonts w:ascii="Arial" w:hAnsi="Arial"/>
          <w:b/>
          <w:color w:val="007C83"/>
          <w:sz w:val="26"/>
        </w:rPr>
        <w:t xml:space="preserve">6 </w:t>
      </w:r>
      <w:r>
        <w:rPr>
          <w:rFonts w:ascii="Arial" w:hAnsi="Arial"/>
          <w:b/>
          <w:color w:val="17324D"/>
          <w:sz w:val="26"/>
        </w:rPr>
        <w:t>Community access and family involvement</w:t>
      </w:r>
    </w:p>
    <w:p>
      <w:pPr>
        <w:pStyle w:val="ReportBody"/>
        <w:keepNext w:val="0"/>
        <w:keepLines/>
        <w:widowControl/>
        <w:spacing w:before="100" w:after="140"/>
        <w:jc w:val="both"/>
      </w:pPr>
      <w:r>
        <w:rPr>
          <w:rFonts w:ascii="Arial" w:hAnsi="Arial"/>
          <w:color w:val="000000"/>
          <w:sz w:val="22"/>
        </w:rPr>
        <w:t>Libre brings monitoring into homes, workplaces and education settings. Bradford’s community initiation provides one practical route towards care closer to home (Abbott, 2026). For families, Beasant et al. (2023) found greater independence among young people and improved parental quality of life. These findings concern childhood diabetes; adult family outcomes and travel savings remain less directly evidenced.</w:t>
      </w:r>
    </w:p>
    <w:p>
      <w:pPr>
        <w:pStyle w:val="ReportBody"/>
        <w:keepNext w:val="0"/>
        <w:keepLines/>
        <w:widowControl/>
        <w:spacing w:before="100" w:after="140"/>
        <w:jc w:val="both"/>
      </w:pPr>
      <w:r>
        <w:rPr>
          <w:rFonts w:ascii="Arial" w:hAnsi="Arial"/>
          <w:color w:val="000000"/>
          <w:sz w:val="22"/>
        </w:rPr>
        <w:t>Family involvement should reflect the patient’s preferences. Beasant et al. (2023) reported reduced parental anxiety, although interviews cannot quantify unpaid caring time. Data sharing may also extend relatives’ monitoring responsibilities, an implication requiring discussion rather than a demonstrated harm. Co-production should include users, carers and discontinuers to agree information-sharing preferences and identify support needs overlooked by surveys of continuing users.</w:t>
      </w:r>
    </w:p>
    <w:p>
      <w:pPr>
        <w:pStyle w:val="ReportBody"/>
        <w:keepNext w:val="0"/>
        <w:keepLines/>
        <w:widowControl/>
        <w:spacing w:before="100" w:after="140"/>
        <w:jc w:val="both"/>
      </w:pPr>
      <w:r>
        <w:rPr>
          <w:rFonts w:ascii="Arial" w:hAnsi="Arial"/>
          <w:color w:val="000000"/>
          <w:sz w:val="22"/>
        </w:rPr>
        <w:t>NHS England’s (2023) inclusion framework identifies access, accessibility, capability, trust and leadership as areas for action. Funding alone cannot remove language barriers or difficulties attending training. Adult Lothian data associated greater deprivation with a lower likelihood of HbA1c improvement after starting Libre (Stimson et al., 2020). This observational association cannot identify its cause, but shows why equitable provision must consider benefit after access. In NASSS terms, users’ circumstances interact with the support the organisation provides. Readers, interpreters and flexible education should respond to assessed needs. Community organisations can help services reach underserved groups while specialist teams retain clinical responsibility.</w:t>
      </w:r>
    </w:p>
    <w:p>
      <w:pPr>
        <w:pStyle w:val="ReportBody"/>
        <w:keepNext w:val="0"/>
        <w:keepLines/>
        <w:widowControl/>
        <w:spacing w:before="100" w:after="140"/>
        <w:jc w:val="both"/>
      </w:pPr>
      <w:r>
        <w:rPr>
          <w:rFonts w:ascii="Arial" w:hAnsi="Arial"/>
          <w:color w:val="000000"/>
          <w:sz w:val="22"/>
        </w:rPr>
        <w:t>Seidu et al. (2025) found that English integrated care boards with lower CGM prescribing had larger South Asian and Afro-Caribbean population proportions. However, aggregate prescribing data, without adjustment for regional diabetes prevalence or linkage to outcomes, cannot establish individual discrimination. The study also examined CGM broadly, rather than Libre alone. Its access findings and Lothian’s outcome findings concern different stages of inequality. Together, they justify auditing both who receives technology and who benefits from it, without treating ethnicity or deprivation as measures of individual capability.</w:t>
      </w:r>
    </w:p>
    <w:p>
      <w:pPr>
        <w:pStyle w:val="Heading1"/>
        <w:keepNext/>
        <w:keepLines/>
        <w:pageBreakBefore w:val="0"/>
        <w:widowControl/>
        <w:spacing w:line="276" w:lineRule="auto" w:before="360" w:after="180"/>
        <w:jc w:val="left"/>
      </w:pPr>
      <w:r>
        <w:rPr>
          <w:rFonts w:ascii="Arial" w:hAnsi="Arial"/>
          <w:b/>
          <w:color w:val="007C83"/>
          <w:sz w:val="26"/>
        </w:rPr>
        <w:t xml:space="preserve">7 </w:t>
      </w:r>
      <w:r>
        <w:rPr>
          <w:rFonts w:ascii="Arial" w:hAnsi="Arial"/>
          <w:b/>
          <w:color w:val="17324D"/>
          <w:sz w:val="26"/>
        </w:rPr>
        <w:t>Recommendations and conclusion</w:t>
      </w:r>
    </w:p>
    <w:p>
      <w:pPr>
        <w:pStyle w:val="ReportBody"/>
        <w:keepNext w:val="0"/>
        <w:keepLines/>
        <w:widowControl/>
        <w:spacing w:before="100" w:after="140"/>
        <w:jc w:val="both"/>
      </w:pPr>
      <w:r>
        <w:rPr>
          <w:rFonts w:ascii="Arial" w:hAnsi="Arial"/>
          <w:color w:val="000000"/>
          <w:sz w:val="22"/>
        </w:rPr>
        <w:t>A feasible twelve-month improvement cycle should begin with a four-week sample of staff review time and support contacts. Within three months, the service manager and clinical lead should use this baseline to cost protected training, interpretation and administrative time, then seek commissioning agreement before extending the pathway. Role-specific training can follow West Yorkshire’s framework, with routine technical support allocated to trained staff and clinical concerns escalated to specialists (West Yorkshire Health and Care Partnership, n.d.). Phasing the support redesign should preserve existing eligibility and access. A proposed local target is documented contact details, backup-testing advice and an agreed review plan for every new user; this is not a national performance requirement.</w:t>
      </w:r>
    </w:p>
    <w:p>
      <w:pPr>
        <w:pStyle w:val="ReportBody"/>
        <w:keepNext w:val="0"/>
        <w:keepLines/>
        <w:widowControl/>
        <w:spacing w:before="100" w:after="140"/>
        <w:jc w:val="both"/>
      </w:pPr>
      <w:r>
        <w:rPr>
          <w:rFonts w:ascii="Arial" w:hAnsi="Arial"/>
          <w:color w:val="000000"/>
          <w:sz w:val="22"/>
        </w:rPr>
        <w:t>At six and twelve months, the audit lead should assess HbA1c, discontinuation and patient-reported burden alongside staff time. Existing records should be used where possible; access to hospital-admission data should be agreed before promising that measure. Baseline glucose control and missing follow-up must be reported. The patient involvement lead should reimburse participation where funding permits and offer interpreters and flexible formats to include underserved users and carers. Uptake and outcomes should be examined by ethnicity and deprivation. Commissioners should review costs and unmet support needs annually, recognising that better outcomes may justify additional workload. These proposals make expansion conditional on resourced delivery rather than presumed efficiency savings.</w:t>
      </w:r>
    </w:p>
    <w:p>
      <w:pPr>
        <w:pStyle w:val="ReportBody"/>
        <w:keepNext w:val="0"/>
        <w:keepLines/>
        <w:widowControl/>
        <w:spacing w:before="100" w:after="140"/>
        <w:jc w:val="both"/>
      </w:pPr>
      <w:r>
        <w:rPr>
          <w:rFonts w:ascii="Arial" w:hAnsi="Arial"/>
          <w:color w:val="000000"/>
          <w:sz w:val="22"/>
        </w:rPr>
        <w:t>Libre has been implemented at scale within UK diabetes care, with convincing evidence of improved glucose management and valued everyday benefits. However, success depends on the outcome examined. Broad reach does not guarantee equitable benefit, and cost-effectiveness does not remove immediate budget pressures. NASSS helps connect these tensions: insufficient staff capacity can weaken support, undermine continued use and reduce projected value. Clinical trials establish effectiveness under defined conditions; implementation evidence shows whether services sustain those benefits across populations. Continued investment should therefore combine patient choice with adequately resourced interpretation and transparent evaluation of outcomes and inequalities.</w:t>
      </w:r>
    </w:p>
    <w:p>
      <w:pPr>
        <w:pStyle w:val="Heading1"/>
        <w:keepNext/>
        <w:keepLines/>
        <w:pageBreakBefore/>
        <w:widowControl/>
        <w:spacing w:line="276" w:lineRule="auto" w:before="0" w:after="180"/>
        <w:jc w:val="left"/>
      </w:pPr>
      <w:r>
        <w:rPr>
          <w:rFonts w:ascii="Arial" w:hAnsi="Arial"/>
          <w:b/>
          <w:color w:val="17324D"/>
          <w:sz w:val="26"/>
        </w:rPr>
        <w:t>References</w:t>
      </w:r>
    </w:p>
    <w:p>
      <w:pPr>
        <w:pStyle w:val="ReferenceEntry"/>
        <w:keepNext w:val="0"/>
        <w:keepLines/>
        <w:widowControl/>
        <w:spacing w:before="100" w:after="140"/>
        <w:ind w:left="360" w:hanging="360"/>
        <w:jc w:val="left"/>
      </w:pPr>
      <w:r>
        <w:rPr>
          <w:rFonts w:ascii="Arial" w:hAnsi="Arial"/>
          <w:color w:val="17324D"/>
          <w:sz w:val="22"/>
        </w:rPr>
        <w:t xml:space="preserve">Abbott (2026) </w:t>
      </w:r>
      <w:r>
        <w:rPr>
          <w:rFonts w:ascii="Arial" w:hAnsi="Arial"/>
          <w:i/>
          <w:color w:val="000000"/>
          <w:sz w:val="22"/>
        </w:rPr>
        <w:t>West Yorkshire Integrated Care Board ICB expands primary care prescribing for diabetes technology</w:t>
      </w:r>
      <w:r>
        <w:rPr>
          <w:rFonts w:ascii="Arial" w:hAnsi="Arial"/>
          <w:color w:val="000000"/>
          <w:sz w:val="22"/>
        </w:rPr>
        <w:t xml:space="preserve">. Available at: </w:t>
      </w:r>
      <w:r>
        <w:rPr>
          <w:rFonts w:ascii="Arial" w:hAnsi="Arial"/>
          <w:color w:val="007C83"/>
          <w:sz w:val="22"/>
        </w:rPr>
        <w:t>https://pro.freestyle.abbott/content/dam/adc/pro/countries/uk-en/documents/UK%20-%20B2B%20-%20Market%20Access%20Case%20Study%20-%20Bradford%20(West%20Yorkshire).pdf (Accessed: 18 October 2026).</w:t>
      </w:r>
    </w:p>
    <w:p>
      <w:pPr>
        <w:pStyle w:val="ReferenceEntry"/>
        <w:keepNext w:val="0"/>
        <w:keepLines/>
        <w:widowControl/>
        <w:spacing w:before="100" w:after="140"/>
        <w:ind w:left="360" w:hanging="360"/>
        <w:jc w:val="left"/>
      </w:pPr>
      <w:r>
        <w:rPr>
          <w:rFonts w:ascii="Arial" w:hAnsi="Arial"/>
          <w:color w:val="17324D"/>
          <w:sz w:val="22"/>
        </w:rPr>
        <w:t xml:space="preserve">Beasant, L., Cullen, F., Thomas, E., Kandiyali, R., Shield, J.P.H., McGregor, D., West, N. and Ingram, J. (2023) ‘Flash glucose monitoring in young people with type 1 diabetes—a qualitative study of young people, parents and health professionals: “It makes life much easier”’, </w:t>
      </w:r>
      <w:r>
        <w:rPr>
          <w:rFonts w:ascii="Arial" w:hAnsi="Arial"/>
          <w:i/>
          <w:color w:val="000000"/>
          <w:sz w:val="22"/>
        </w:rPr>
        <w:t>BMJ Open</w:t>
      </w:r>
      <w:r>
        <w:rPr>
          <w:rFonts w:ascii="Arial" w:hAnsi="Arial"/>
          <w:color w:val="000000"/>
          <w:sz w:val="22"/>
        </w:rPr>
        <w:t>, 13(4), e070477. doi: 10.1136/bmjopen-2022-070477.</w:t>
      </w:r>
    </w:p>
    <w:p>
      <w:pPr>
        <w:pStyle w:val="ReferenceEntry"/>
        <w:keepNext w:val="0"/>
        <w:keepLines/>
        <w:widowControl/>
        <w:spacing w:before="100" w:after="140"/>
        <w:ind w:left="360" w:hanging="360"/>
        <w:jc w:val="left"/>
      </w:pPr>
      <w:r>
        <w:rPr>
          <w:rFonts w:ascii="Arial" w:hAnsi="Arial"/>
          <w:color w:val="17324D"/>
          <w:sz w:val="22"/>
        </w:rPr>
        <w:t xml:space="preserve">Deshmukh, H., Wilmot, E.G., Gregory, R., Barnes, D., Narendran, P., Saunders, S., Furlong, N., Kamaruddin, S., Banatwalla, R., Herring, R., Kilvert, A., Patmore, J., Walton, C., Ryder, R.E.J. and Sathyapalan, T. (2020) ‘Effect of flash glucose monitoring on glycemic control, hypoglycemia, diabetes-related distress, and resource utilization in the Association of British Clinical Diabetologists (ABCD) nationwide audit’, </w:t>
      </w:r>
      <w:r>
        <w:rPr>
          <w:rFonts w:ascii="Arial" w:hAnsi="Arial"/>
          <w:i/>
          <w:color w:val="000000"/>
          <w:sz w:val="22"/>
        </w:rPr>
        <w:t>Diabetes Care</w:t>
      </w:r>
      <w:r>
        <w:rPr>
          <w:rFonts w:ascii="Arial" w:hAnsi="Arial"/>
          <w:color w:val="000000"/>
          <w:sz w:val="22"/>
        </w:rPr>
        <w:t>, 43(9), pp. 2153–2160. doi: 10.2337/dc20-0738.</w:t>
      </w:r>
    </w:p>
    <w:p>
      <w:pPr>
        <w:pStyle w:val="ReferenceEntry"/>
        <w:keepNext w:val="0"/>
        <w:keepLines/>
        <w:widowControl/>
        <w:spacing w:before="100" w:after="140"/>
        <w:ind w:left="360" w:hanging="360"/>
        <w:jc w:val="left"/>
      </w:pPr>
      <w:r>
        <w:rPr>
          <w:rFonts w:ascii="Arial" w:hAnsi="Arial"/>
          <w:color w:val="17324D"/>
          <w:sz w:val="22"/>
        </w:rPr>
        <w:t xml:space="preserve">Elliott, R.A., Rogers, G., Evans, M.L., Neupane, S., Rayman, G., Lumley, S., Cranston, I., Narendran, P., Sutton, C.J., Taxiarchi, V.P., Burns, M., Thabit, H., Wilmot, E.G. and Leelarathna, L., for the FLASH-UK Trial Study Group (2024) ‘Estimating the cost-effectiveness of intermittently scanned continuous glucose monitoring in adults with type 1 diabetes in England’, </w:t>
      </w:r>
      <w:r>
        <w:rPr>
          <w:rFonts w:ascii="Arial" w:hAnsi="Arial"/>
          <w:i/>
          <w:color w:val="000000"/>
          <w:sz w:val="22"/>
        </w:rPr>
        <w:t>Diabetic Medicine</w:t>
      </w:r>
      <w:r>
        <w:rPr>
          <w:rFonts w:ascii="Arial" w:hAnsi="Arial"/>
          <w:color w:val="000000"/>
          <w:sz w:val="22"/>
        </w:rPr>
        <w:t>, 41(3), e15232. doi: 10.1111/dme.15232.</w:t>
      </w:r>
    </w:p>
    <w:p>
      <w:pPr>
        <w:pStyle w:val="ReferenceEntry"/>
        <w:keepNext w:val="0"/>
        <w:keepLines/>
        <w:widowControl/>
        <w:spacing w:before="100" w:after="140"/>
        <w:ind w:left="360" w:hanging="360"/>
        <w:jc w:val="left"/>
      </w:pPr>
      <w:r>
        <w:rPr>
          <w:rFonts w:ascii="Arial" w:hAnsi="Arial"/>
          <w:color w:val="17324D"/>
          <w:sz w:val="22"/>
        </w:rPr>
        <w:t xml:space="preserve">Gleeson, A., Davies, M., Roberts, B. and Nugent, A. (2019) ‘A qualitative evaluation of patients’ perspectives of the FreeStyle Libre flash glucose monitor’, </w:t>
      </w:r>
      <w:r>
        <w:rPr>
          <w:rFonts w:ascii="Arial" w:hAnsi="Arial"/>
          <w:i/>
          <w:color w:val="000000"/>
          <w:sz w:val="22"/>
        </w:rPr>
        <w:t>British Journal of Diabetes</w:t>
      </w:r>
      <w:r>
        <w:rPr>
          <w:rFonts w:ascii="Arial" w:hAnsi="Arial"/>
          <w:color w:val="000000"/>
          <w:sz w:val="22"/>
        </w:rPr>
        <w:t>, 19(2), pp. 105–109. doi: 10.15277/bjd.2019.225.</w:t>
      </w:r>
    </w:p>
    <w:p>
      <w:pPr>
        <w:pStyle w:val="ReferenceEntry"/>
        <w:keepNext w:val="0"/>
        <w:keepLines/>
        <w:widowControl/>
        <w:spacing w:before="100" w:after="140"/>
        <w:ind w:left="360" w:hanging="360"/>
        <w:jc w:val="left"/>
      </w:pPr>
      <w:r>
        <w:rPr>
          <w:rFonts w:ascii="Arial" w:hAnsi="Arial"/>
          <w:color w:val="17324D"/>
          <w:sz w:val="22"/>
        </w:rPr>
        <w:t xml:space="preserve">Greenhalgh, T., Wherton, J., Papoutsi, C., Lynch, J., Hughes, G., A’Court, C., Hinder, S., Fahy, N., Procter, R. and Shaw, S. (2017) ‘Beyond adoption: a new framework for theorizing and evaluating nonadoption, abandonment, and challenges to the scale-up, spread, and sustainability of health and care technologies’, </w:t>
      </w:r>
      <w:r>
        <w:rPr>
          <w:rFonts w:ascii="Arial" w:hAnsi="Arial"/>
          <w:i/>
          <w:color w:val="000000"/>
          <w:sz w:val="22"/>
        </w:rPr>
        <w:t>Journal of Medical Internet Research</w:t>
      </w:r>
      <w:r>
        <w:rPr>
          <w:rFonts w:ascii="Arial" w:hAnsi="Arial"/>
          <w:color w:val="000000"/>
          <w:sz w:val="22"/>
        </w:rPr>
        <w:t>, 19(11), e367. doi: 10.2196/jmir.8775.</w:t>
      </w:r>
    </w:p>
    <w:p>
      <w:pPr>
        <w:pStyle w:val="ReferenceEntry"/>
        <w:keepNext w:val="0"/>
        <w:keepLines/>
        <w:widowControl/>
        <w:spacing w:before="100" w:after="140"/>
        <w:ind w:left="360" w:hanging="360"/>
        <w:jc w:val="left"/>
      </w:pPr>
      <w:r>
        <w:rPr>
          <w:rFonts w:ascii="Arial" w:hAnsi="Arial"/>
          <w:color w:val="17324D"/>
          <w:sz w:val="22"/>
        </w:rPr>
        <w:t xml:space="preserve">Health Education England (2019) </w:t>
      </w:r>
      <w:r>
        <w:rPr>
          <w:rFonts w:ascii="Arial" w:hAnsi="Arial"/>
          <w:i/>
          <w:color w:val="000000"/>
          <w:sz w:val="22"/>
        </w:rPr>
        <w:t>The Topol Review Preparing the healthcare workforce to deliver the digital future</w:t>
      </w:r>
      <w:r>
        <w:rPr>
          <w:rFonts w:ascii="Arial" w:hAnsi="Arial"/>
          <w:color w:val="000000"/>
          <w:sz w:val="22"/>
        </w:rPr>
        <w:t xml:space="preserve">. Available at: </w:t>
      </w:r>
      <w:r>
        <w:rPr>
          <w:rFonts w:ascii="Arial" w:hAnsi="Arial"/>
          <w:color w:val="007C83"/>
          <w:sz w:val="22"/>
        </w:rPr>
        <w:t>https://topol.digitalacademy.nhs.uk/the-topol-review (Accessed: 18 October 2026).</w:t>
      </w:r>
    </w:p>
    <w:p>
      <w:pPr>
        <w:pStyle w:val="ReferenceEntry"/>
        <w:keepNext w:val="0"/>
        <w:keepLines/>
        <w:widowControl/>
        <w:spacing w:before="100" w:after="140"/>
        <w:ind w:left="360" w:hanging="360"/>
        <w:jc w:val="left"/>
      </w:pPr>
      <w:r>
        <w:rPr>
          <w:rFonts w:ascii="Arial" w:hAnsi="Arial"/>
          <w:color w:val="17324D"/>
          <w:sz w:val="22"/>
        </w:rPr>
        <w:t xml:space="preserve">Leelarathna, L., Evans, M.L., Neupane, S., Rayman, G., Lumley, S., Cranston, I., Narendran, P., Barnard-Kelly, K., Sutton, C.J., Elliott, R.A., Taxiarchi, V.P., Gkountouras, G., Burns, M., Mubita, W., Kanumilli, N., Camm, M., Thabit, H. and Wilmot, E.G. (2022) ‘Intermittently scanned continuous glucose monitoring for type 1 diabetes’, </w:t>
      </w:r>
      <w:r>
        <w:rPr>
          <w:rFonts w:ascii="Arial" w:hAnsi="Arial"/>
          <w:i/>
          <w:color w:val="000000"/>
          <w:sz w:val="22"/>
        </w:rPr>
        <w:t>New England Journal of Medicine</w:t>
      </w:r>
      <w:r>
        <w:rPr>
          <w:rFonts w:ascii="Arial" w:hAnsi="Arial"/>
          <w:color w:val="000000"/>
          <w:sz w:val="22"/>
        </w:rPr>
        <w:t>, 387(16), pp. 1477–1487. doi: 10.1056/NEJMoa2205650.</w:t>
      </w:r>
    </w:p>
    <w:p>
      <w:pPr>
        <w:pStyle w:val="ReferenceEntry"/>
        <w:keepNext w:val="0"/>
        <w:keepLines/>
        <w:widowControl/>
        <w:spacing w:before="100" w:after="140"/>
        <w:ind w:left="360" w:hanging="360"/>
        <w:jc w:val="left"/>
      </w:pPr>
      <w:r>
        <w:rPr>
          <w:rFonts w:ascii="Arial" w:hAnsi="Arial"/>
          <w:color w:val="17324D"/>
          <w:sz w:val="22"/>
        </w:rPr>
        <w:t xml:space="preserve">London Diabetes Clinical Network and NHS London Procurement Partnership (2019) </w:t>
      </w:r>
      <w:r>
        <w:rPr>
          <w:rFonts w:ascii="Arial" w:hAnsi="Arial"/>
          <w:i/>
          <w:color w:val="000000"/>
          <w:sz w:val="22"/>
        </w:rPr>
        <w:t>Guidance for the implementation of flash glucose monitoring prescribing across the NHS in London</w:t>
      </w:r>
      <w:r>
        <w:rPr>
          <w:rFonts w:ascii="Arial" w:hAnsi="Arial"/>
          <w:color w:val="000000"/>
          <w:sz w:val="22"/>
        </w:rPr>
        <w:t xml:space="preserve">. Version 2.0. Available at: </w:t>
      </w:r>
      <w:r>
        <w:rPr>
          <w:rFonts w:ascii="Arial" w:hAnsi="Arial"/>
          <w:color w:val="007C83"/>
          <w:sz w:val="22"/>
        </w:rPr>
        <w:t>https://www.england.nhs.uk/london/wp-content/uploads/sites/8/2020/03/Flash-Glucose-implementation-guidance-London-v2.0-May-19.pdf (Accessed: 18 October 2026).</w:t>
      </w:r>
    </w:p>
    <w:p>
      <w:pPr>
        <w:pStyle w:val="ReferenceEntry"/>
        <w:keepNext w:val="0"/>
        <w:keepLines/>
        <w:widowControl/>
        <w:spacing w:before="100" w:after="140"/>
        <w:ind w:left="360" w:hanging="360"/>
        <w:jc w:val="left"/>
      </w:pPr>
      <w:r>
        <w:rPr>
          <w:rFonts w:ascii="Arial" w:hAnsi="Arial"/>
          <w:color w:val="17324D"/>
          <w:sz w:val="22"/>
        </w:rPr>
        <w:t xml:space="preserve">Medicines and Healthcare products Regulatory Agency (2019) </w:t>
      </w:r>
      <w:r>
        <w:rPr>
          <w:rFonts w:ascii="Arial" w:hAnsi="Arial"/>
          <w:i/>
          <w:color w:val="000000"/>
          <w:sz w:val="22"/>
        </w:rPr>
        <w:t>FreeStyle Libre flash glucose sensor – Use of barrier methods to reduce skin reactions to the sensor adhesive MDA/2019/003</w:t>
      </w:r>
      <w:r>
        <w:rPr>
          <w:rFonts w:ascii="Arial" w:hAnsi="Arial"/>
          <w:color w:val="000000"/>
          <w:sz w:val="22"/>
        </w:rPr>
        <w:t xml:space="preserve">. Available at: </w:t>
      </w:r>
      <w:r>
        <w:rPr>
          <w:rFonts w:ascii="Arial" w:hAnsi="Arial"/>
          <w:color w:val="007C83"/>
          <w:sz w:val="22"/>
        </w:rPr>
        <w:t>https://www.gov.uk/drug-device-alerts/freestyle-libre-flash-glucose-sensor-use-of-barrier-methods-to-reduce-skin-reactions-to-the-sensor-adhesive-mda-2019-003 (Accessed: 18 October 2026).</w:t>
      </w:r>
    </w:p>
    <w:p>
      <w:pPr>
        <w:pStyle w:val="ReferenceEntry"/>
        <w:keepNext w:val="0"/>
        <w:keepLines/>
        <w:widowControl/>
        <w:spacing w:before="100" w:after="140"/>
        <w:ind w:left="360" w:hanging="360"/>
        <w:jc w:val="left"/>
      </w:pPr>
      <w:r>
        <w:rPr>
          <w:rFonts w:ascii="Arial" w:hAnsi="Arial"/>
          <w:color w:val="17324D"/>
          <w:sz w:val="22"/>
        </w:rPr>
        <w:t xml:space="preserve">National Institute for Health and Care Excellence (2017) </w:t>
      </w:r>
      <w:r>
        <w:rPr>
          <w:rFonts w:ascii="Arial" w:hAnsi="Arial"/>
          <w:i/>
          <w:color w:val="000000"/>
          <w:sz w:val="22"/>
        </w:rPr>
        <w:t>FreeStyle Libre for glucose monitoring</w:t>
      </w:r>
      <w:r>
        <w:rPr>
          <w:rFonts w:ascii="Arial" w:hAnsi="Arial"/>
          <w:color w:val="000000"/>
          <w:sz w:val="22"/>
        </w:rPr>
        <w:t xml:space="preserve">. MIB110. Available at: </w:t>
      </w:r>
      <w:r>
        <w:rPr>
          <w:rFonts w:ascii="Arial" w:hAnsi="Arial"/>
          <w:color w:val="007C83"/>
          <w:sz w:val="22"/>
        </w:rPr>
        <w:t>https://www.nice.org.uk/advice/mib110 (Accessed: 18 October 2026).</w:t>
      </w:r>
    </w:p>
    <w:p>
      <w:pPr>
        <w:pStyle w:val="ReferenceEntry"/>
        <w:keepNext w:val="0"/>
        <w:keepLines/>
        <w:widowControl/>
        <w:spacing w:before="100" w:after="140"/>
        <w:ind w:left="360" w:hanging="360"/>
        <w:jc w:val="left"/>
      </w:pPr>
      <w:r>
        <w:rPr>
          <w:rFonts w:ascii="Arial" w:hAnsi="Arial"/>
          <w:color w:val="17324D"/>
          <w:sz w:val="22"/>
        </w:rPr>
        <w:t xml:space="preserve">National Institute for Health and Care Excellence (2022) </w:t>
      </w:r>
      <w:r>
        <w:rPr>
          <w:rFonts w:ascii="Arial" w:hAnsi="Arial"/>
          <w:i/>
          <w:color w:val="000000"/>
          <w:sz w:val="22"/>
        </w:rPr>
        <w:t>Type 1 diabetes in adults diagnosis and management</w:t>
      </w:r>
      <w:r>
        <w:rPr>
          <w:rFonts w:ascii="Arial" w:hAnsi="Arial"/>
          <w:color w:val="000000"/>
          <w:sz w:val="22"/>
        </w:rPr>
        <w:t xml:space="preserve">. NG17, recommendations. Available at: </w:t>
      </w:r>
      <w:r>
        <w:rPr>
          <w:rFonts w:ascii="Arial" w:hAnsi="Arial"/>
          <w:color w:val="007C83"/>
          <w:sz w:val="22"/>
        </w:rPr>
        <w:t>https://www.nice.org.uk/guidance/ng17/chapter/recommendations (Accessed: 18 October 2026).</w:t>
      </w:r>
    </w:p>
    <w:p>
      <w:pPr>
        <w:pStyle w:val="ReferenceEntry"/>
        <w:keepNext w:val="0"/>
        <w:keepLines/>
        <w:widowControl/>
        <w:spacing w:before="100" w:after="140"/>
        <w:ind w:left="360" w:hanging="360"/>
        <w:jc w:val="left"/>
      </w:pPr>
      <w:r>
        <w:rPr>
          <w:rFonts w:ascii="Arial" w:hAnsi="Arial"/>
          <w:color w:val="17324D"/>
          <w:sz w:val="22"/>
        </w:rPr>
        <w:t xml:space="preserve">NHS England (2019) </w:t>
      </w:r>
      <w:r>
        <w:rPr>
          <w:rFonts w:ascii="Arial" w:hAnsi="Arial"/>
          <w:i/>
          <w:color w:val="000000"/>
          <w:sz w:val="22"/>
        </w:rPr>
        <w:t>NHS England publishes guidance on Flash Glucose Monitors for Type 1 diabetes patients</w:t>
      </w:r>
      <w:r>
        <w:rPr>
          <w:rFonts w:ascii="Arial" w:hAnsi="Arial"/>
          <w:color w:val="000000"/>
          <w:sz w:val="22"/>
        </w:rPr>
        <w:t xml:space="preserve">. Available at: </w:t>
      </w:r>
      <w:r>
        <w:rPr>
          <w:rFonts w:ascii="Arial" w:hAnsi="Arial"/>
          <w:color w:val="007C83"/>
          <w:sz w:val="22"/>
        </w:rPr>
        <w:t>https://www.england.nhs.uk/2019/03/nhs-england-publishes-guidance-on-flash-glucose-monitors-for-type-1-diabetes-patients/ (Accessed: 18 October 2026).</w:t>
      </w:r>
    </w:p>
    <w:p>
      <w:pPr>
        <w:pStyle w:val="ReferenceEntry"/>
        <w:keepNext w:val="0"/>
        <w:keepLines/>
        <w:widowControl/>
        <w:spacing w:before="100" w:after="140"/>
        <w:ind w:left="360" w:hanging="360"/>
        <w:jc w:val="left"/>
      </w:pPr>
      <w:r>
        <w:rPr>
          <w:rFonts w:ascii="Arial" w:hAnsi="Arial"/>
          <w:color w:val="17324D"/>
          <w:sz w:val="22"/>
        </w:rPr>
        <w:t xml:space="preserve">NHS England (2023) </w:t>
      </w:r>
      <w:r>
        <w:rPr>
          <w:rFonts w:ascii="Arial" w:hAnsi="Arial"/>
          <w:i/>
          <w:color w:val="000000"/>
          <w:sz w:val="22"/>
        </w:rPr>
        <w:t>Inclusive digital healthcare a framework for NHS action on digital inclusion</w:t>
      </w:r>
      <w:r>
        <w:rPr>
          <w:rFonts w:ascii="Arial" w:hAnsi="Arial"/>
          <w:color w:val="000000"/>
          <w:sz w:val="22"/>
        </w:rPr>
        <w:t xml:space="preserve">. Available at: </w:t>
      </w:r>
      <w:r>
        <w:rPr>
          <w:rFonts w:ascii="Arial" w:hAnsi="Arial"/>
          <w:color w:val="007C83"/>
          <w:sz w:val="22"/>
        </w:rPr>
        <w:t>https://www.england.nhs.uk/long-read/inclusive-digital-healthcare-a-framework-for-nhs-action-on-digital-inclusion/ (Accessed: 18 October 2026).</w:t>
      </w:r>
    </w:p>
    <w:p>
      <w:pPr>
        <w:pStyle w:val="ReferenceEntry"/>
        <w:keepNext w:val="0"/>
        <w:keepLines/>
        <w:widowControl/>
        <w:spacing w:before="100" w:after="140"/>
        <w:ind w:left="360" w:hanging="360"/>
        <w:jc w:val="left"/>
      </w:pPr>
      <w:r>
        <w:rPr>
          <w:rFonts w:ascii="Arial" w:hAnsi="Arial"/>
          <w:color w:val="17324D"/>
          <w:sz w:val="22"/>
        </w:rPr>
        <w:t xml:space="preserve">Seidu, S., Tetteh, J., Kunutsor, S., Choudhary, P., Khunti, K. and Ajjan, R.A. (2025) ‘Prescription distribution and inequities in diabetes care: a comparative analysis of continuous glucose monitoring access by diabetes status, ethnicity and socio-economic factors in England’, </w:t>
      </w:r>
      <w:r>
        <w:rPr>
          <w:rFonts w:ascii="Arial" w:hAnsi="Arial"/>
          <w:i/>
          <w:color w:val="000000"/>
          <w:sz w:val="22"/>
        </w:rPr>
        <w:t>Diabetic Medicine</w:t>
      </w:r>
      <w:r>
        <w:rPr>
          <w:rFonts w:ascii="Arial" w:hAnsi="Arial"/>
          <w:color w:val="000000"/>
          <w:sz w:val="22"/>
        </w:rPr>
        <w:t>, 42(11), e70130. doi: 10.1111/dme.70130.</w:t>
      </w:r>
    </w:p>
    <w:p>
      <w:pPr>
        <w:pStyle w:val="ReferenceEntry"/>
        <w:keepNext w:val="0"/>
        <w:keepLines/>
        <w:widowControl/>
        <w:spacing w:before="100" w:after="140"/>
        <w:ind w:left="360" w:hanging="360"/>
        <w:jc w:val="left"/>
      </w:pPr>
      <w:r>
        <w:rPr>
          <w:rFonts w:ascii="Arial" w:hAnsi="Arial"/>
          <w:color w:val="17324D"/>
          <w:sz w:val="22"/>
        </w:rPr>
        <w:t xml:space="preserve">Stimson, R.H., Dover, A.R., Ritchie, S.A., Wright, R.J., McKnight, J.A., Zammitt, N.N. and Gibb, F.W. (2020) ‘HbA1c response and hospital admissions following commencement of flash glucose monitoring in adults with type 1 diabetes’, </w:t>
      </w:r>
      <w:r>
        <w:rPr>
          <w:rFonts w:ascii="Arial" w:hAnsi="Arial"/>
          <w:i/>
          <w:color w:val="000000"/>
          <w:sz w:val="22"/>
        </w:rPr>
        <w:t>BMJ Open Diabetes Research &amp; Care</w:t>
      </w:r>
      <w:r>
        <w:rPr>
          <w:rFonts w:ascii="Arial" w:hAnsi="Arial"/>
          <w:color w:val="000000"/>
          <w:sz w:val="22"/>
        </w:rPr>
        <w:t>, 8(1), e001292. doi: 10.1136/bmjdrc-2020-001292.</w:t>
      </w:r>
    </w:p>
    <w:p>
      <w:pPr>
        <w:pStyle w:val="ReferenceEntry"/>
        <w:keepNext w:val="0"/>
        <w:keepLines/>
        <w:widowControl/>
        <w:spacing w:before="100" w:after="140"/>
        <w:ind w:left="360" w:hanging="360"/>
        <w:jc w:val="left"/>
      </w:pPr>
      <w:r>
        <w:rPr>
          <w:rFonts w:ascii="Arial" w:hAnsi="Arial"/>
          <w:color w:val="17324D"/>
          <w:sz w:val="22"/>
        </w:rPr>
        <w:t xml:space="preserve">West Yorkshire Health and Care Partnership (n.d.) </w:t>
      </w:r>
      <w:r>
        <w:rPr>
          <w:rFonts w:ascii="Arial" w:hAnsi="Arial"/>
          <w:i/>
          <w:color w:val="000000"/>
          <w:sz w:val="22"/>
        </w:rPr>
        <w:t>Diabetes medical technology workforce training</w:t>
      </w:r>
      <w:r>
        <w:rPr>
          <w:rFonts w:ascii="Arial" w:hAnsi="Arial"/>
          <w:color w:val="000000"/>
          <w:sz w:val="22"/>
        </w:rPr>
        <w:t xml:space="preserve">. Available at: </w:t>
      </w:r>
      <w:r>
        <w:rPr>
          <w:rFonts w:ascii="Arial" w:hAnsi="Arial"/>
          <w:color w:val="007C83"/>
          <w:sz w:val="22"/>
        </w:rPr>
        <w:t>https://www.wypartnership.co.uk/our-priorities/long-term-conditions/diabetes/programme-resources/diabetes-technology (Accessed: 18 October 2026).</w:t>
      </w:r>
    </w:p>
    <w:sectPr w:rsidR="00FC693F" w:rsidRPr="0006063C" w:rsidSect="00034616">
      <w:footerReference w:type="even" r:id="rId9"/>
      <w:footerReference w:type="default" r:id="rId9"/>
      <w:pgSz w:w="11905" w:h="16838"/>
      <w:pgMar w:top="1224" w:right="1440" w:bottom="1224" w:left="1440" w:header="547" w:footer="576" w:gutter="0"/>
      <w:cols w:space="720"/>
      <w:docGrid w:linePitch="360"/>
      <w:pgNumType w:start="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Footer"/>
      <w:jc w:val="center"/>
    </w:pPr>
    <w:r>
      <w:rPr>
        <w:rFonts w:ascii="Arial" w:hAnsi="Arial"/>
        <w:sz w:val="18"/>
      </w:rPr>
    </w:r>
    <w:fldSimple w:instr="PAGE">
      <w:r>
        <w:rPr>
          <w:color w:val="17324D"/>
          <w:sz w:val="18"/>
        </w:rPr>
        <w:t>1</w:t>
      </w:r>
    </w:fldSimple>
  </w:p>
</w:ftr>
</file>

<file path=word/footer2.xml><?xml version="1.0" encoding="utf-8"?>
<w:ft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Footer"/>
    </w:pPr>
  </w:p>
</w:ftr>
</file>

<file path=word/header1.xml><?xml version="1.0" encoding="utf-8"?>
<w:hd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Header"/>
      <w:jc w:val="right"/>
    </w:pPr>
    <w:r>
      <w:rPr>
        <w:rFonts w:ascii="Arial" w:hAnsi="Arial"/>
        <w:color w:val="000000"/>
        <w:sz w:val="18"/>
      </w:rPr>
      <w:t>BMHP6026  |  Student 2407526</w:t>
    </w:r>
  </w:p>
</w:hdr>
</file>

<file path=word/header2.xml><?xml version="1.0" encoding="utf-8"?>
<w:hd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evenAndOddHeaders/>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pPr>
      <w:spacing w:line="360" w:lineRule="auto" w:after="140"/>
      <w:jc w:val="both"/>
    </w:pPr>
    <w:rPr>
      <w:rFonts w:ascii="Arial" w:hAnsi="Arial"/>
      <w:color w:val="000000"/>
      <w:sz w:val="22"/>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240" w:after="140"/>
      <w:outlineLvl w:val="0"/>
    </w:pPr>
    <w:rPr>
      <w:rFonts w:asciiTheme="majorHAnsi" w:eastAsiaTheme="majorEastAsia" w:hAnsiTheme="majorHAnsi" w:cstheme="majorBidi" w:ascii="Arial" w:hAnsi="Arial"/>
      <w:b/>
      <w:bCs/>
      <w:color w:val="17324D"/>
      <w:sz w:val="26"/>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ascii="Arial" w:hAnsi="Arial"/>
      <w:b/>
      <w:bCs/>
      <w:color w:val="000000"/>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spacing w:after="300" w:line="240" w:lineRule="auto"/>
    </w:pPr>
    <w:rPr>
      <w:rFonts w:asciiTheme="majorHAnsi" w:eastAsiaTheme="majorEastAsia" w:hAnsiTheme="majorHAnsi" w:cstheme="majorBidi" w:ascii="Arial" w:hAnsi="Arial"/>
      <w:color w:val="17324D"/>
      <w:spacing w:val="5"/>
      <w:kern w:val="28"/>
      <w:sz w:val="44"/>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ascii="Arial" w:hAnsi="Arial"/>
      <w:i/>
      <w:iCs/>
      <w:color w:val="000000"/>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pPr>
  </w:style>
  <w:style w:type="paragraph" w:styleId="List2">
    <w:name w:val="List 2"/>
    <w:basedOn w:val="Normal"/>
    <w:uiPriority w:val="99"/>
    <w:unhideWhenUsed/>
    <w:rsid w:val="00326F90"/>
    <w:pPr>
      <w:ind w:left="720" w:hanging="360"/>
    </w:pPr>
  </w:style>
  <w:style w:type="paragraph" w:styleId="List3">
    <w:name w:val="List 3"/>
    <w:basedOn w:val="Normal"/>
    <w:uiPriority w:val="99"/>
    <w:unhideWhenUsed/>
    <w:rsid w:val="00326F90"/>
    <w:pPr>
      <w:ind w:left="1080" w:hanging="360"/>
    </w:pPr>
  </w:style>
  <w:style w:type="paragraph" w:styleId="ListBullet">
    <w:name w:val="List Bullet"/>
    <w:basedOn w:val="Normal"/>
    <w:uiPriority w:val="99"/>
    <w:unhideWhenUsed/>
    <w:rsid w:val="00326F90"/>
    <w:pPr>
      <w:numPr>
        <w:numId w:val="1"/>
      </w:numPr>
    </w:pPr>
  </w:style>
  <w:style w:type="paragraph" w:styleId="ListBullet2">
    <w:name w:val="List Bullet 2"/>
    <w:basedOn w:val="Normal"/>
    <w:uiPriority w:val="99"/>
    <w:unhideWhenUsed/>
    <w:rsid w:val="00326F90"/>
    <w:pPr>
      <w:numPr>
        <w:numId w:val="2"/>
      </w:numPr>
    </w:pPr>
  </w:style>
  <w:style w:type="paragraph" w:styleId="ListBullet3">
    <w:name w:val="List Bullet 3"/>
    <w:basedOn w:val="Normal"/>
    <w:uiPriority w:val="99"/>
    <w:unhideWhenUsed/>
    <w:rsid w:val="00326F90"/>
    <w:pPr>
      <w:numPr>
        <w:numId w:val="3"/>
      </w:numPr>
    </w:pPr>
  </w:style>
  <w:style w:type="paragraph" w:styleId="ListNumber">
    <w:name w:val="List Number"/>
    <w:basedOn w:val="Normal"/>
    <w:uiPriority w:val="99"/>
    <w:unhideWhenUsed/>
    <w:rsid w:val="00326F90"/>
    <w:pPr>
      <w:numPr>
        <w:numId w:val="5"/>
      </w:numPr>
    </w:pPr>
  </w:style>
  <w:style w:type="paragraph" w:styleId="ListNumber2">
    <w:name w:val="List Number 2"/>
    <w:basedOn w:val="Normal"/>
    <w:uiPriority w:val="99"/>
    <w:unhideWhenUsed/>
    <w:rsid w:val="0029639D"/>
    <w:pPr>
      <w:numPr>
        <w:numId w:val="6"/>
      </w:numPr>
    </w:pPr>
  </w:style>
  <w:style w:type="paragraph" w:styleId="ListNumber3">
    <w:name w:val="List Number 3"/>
    <w:basedOn w:val="Normal"/>
    <w:uiPriority w:val="99"/>
    <w:unhideWhenUsed/>
    <w:rsid w:val="0029639D"/>
    <w:pPr>
      <w:numPr>
        <w:numId w:val="7"/>
      </w:numPr>
    </w:pPr>
  </w:style>
  <w:style w:type="paragraph" w:styleId="ListContinue">
    <w:name w:val="List Continue"/>
    <w:basedOn w:val="Normal"/>
    <w:uiPriority w:val="99"/>
    <w:unhideWhenUsed/>
    <w:rsid w:val="0029639D"/>
    <w:pPr>
      <w:spacing w:after="120"/>
      <w:ind w:left="360"/>
    </w:pPr>
  </w:style>
  <w:style w:type="paragraph" w:styleId="ListContinue2">
    <w:name w:val="List Continue 2"/>
    <w:basedOn w:val="Normal"/>
    <w:uiPriority w:val="99"/>
    <w:unhideWhenUsed/>
    <w:rsid w:val="0029639D"/>
    <w:pPr>
      <w:spacing w:after="120"/>
      <w:ind w:left="720"/>
    </w:pPr>
  </w:style>
  <w:style w:type="paragraph" w:styleId="ListContinue3">
    <w:name w:val="List Continue 3"/>
    <w:basedOn w:val="Normal"/>
    <w:uiPriority w:val="99"/>
    <w:unhideWhenUsed/>
    <w:rsid w:val="0029639D"/>
    <w:pPr>
      <w:spacing w:after="120"/>
      <w:ind w:left="1080"/>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ReportBody">
    <w:name w:val="Report Body"/>
    <w:basedOn w:val="Normal"/>
    <w:pPr>
      <w:keepNext w:val="0"/>
      <w:keepLines w:val="0"/>
      <w:widowControl/>
      <w:spacing w:line="360" w:lineRule="auto" w:after="180" w:before="0"/>
    </w:pPr>
    <w:rPr>
      <w:rFonts w:ascii="Arial" w:hAnsi="Arial"/>
      <w:color w:val="000000"/>
      <w:sz w:val="22"/>
    </w:rPr>
  </w:style>
  <w:style w:type="paragraph" w:customStyle="1" w:styleId="ReferenceEntry">
    <w:name w:val="Reference Entry"/>
    <w:basedOn w:val="Normal"/>
    <w:pPr>
      <w:keepNext w:val="0"/>
      <w:keepLines w:val="0"/>
      <w:widowControl/>
      <w:spacing w:line="360" w:lineRule="auto" w:after="180" w:before="0"/>
      <w:ind w:left="360" w:hanging="360"/>
      <w:jc w:val="left"/>
    </w:pPr>
    <w:rPr>
      <w:rFonts w:ascii="Arial" w:hAnsi="Arial"/>
      <w:color w:val="000000"/>
      <w:sz w:val="22"/>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9" Type="http://schemas.openxmlformats.org/officeDocument/2006/relationships/footer" Target="footer1.xml"/><Relationship Id="rId10" Type="http://schemas.openxmlformats.org/officeDocument/2006/relationships/header" Target="header1.xml"/><Relationship Id="rId11" Type="http://schemas.openxmlformats.org/officeDocument/2006/relationships/header" Target="header2.xml"/><Relationship Id="rId1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evaluation of FreeStyle Libre implementation in NHS diabetes care</dc:title>
  <dc:subject/>
  <dc:creator>Mevish Noor</dc:creator>
  <cp:keywords/>
  <dc:description>generated by python-docx</dc:description>
  <cp:lastModifiedBy/>
  <cp:revision>1</cp:revision>
  <dcterms:created xsi:type="dcterms:W3CDTF">2013-12-23T23:15:00Z</dcterms:created>
  <dcterms:modified xsi:type="dcterms:W3CDTF">2013-12-23T23:15:00Z</dcterms:modified>
  <cp:category/>
</cp:coreProperties>
</file>