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55A880" w14:textId="77777777" w:rsidR="002B5C27" w:rsidRPr="00BC5C3C" w:rsidRDefault="002B5C27" w:rsidP="00BC5C3C">
      <w:pPr>
        <w:jc w:val="center"/>
        <w:rPr>
          <w:rFonts w:ascii="Arial" w:hAnsi="Arial" w:cs="Arial"/>
          <w:b/>
          <w:bCs/>
        </w:rPr>
      </w:pPr>
      <w:r w:rsidRPr="00BC5C3C">
        <w:rPr>
          <w:rFonts w:ascii="Arial" w:hAnsi="Arial" w:cs="Arial"/>
          <w:b/>
          <w:bCs/>
        </w:rPr>
        <w:t>NSEDA Assignment D – Staff Solution</w:t>
      </w:r>
    </w:p>
    <w:p w14:paraId="202E417F" w14:textId="77777777" w:rsidR="002B5C27" w:rsidRPr="00BC5C3C" w:rsidRDefault="00000000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pict w14:anchorId="1D167422">
          <v:rect id="_x0000_i1025" style="width:0;height:1.5pt" o:hralign="center" o:hrstd="t" o:hr="t" fillcolor="#a0a0a0" stroked="f"/>
        </w:pict>
      </w:r>
    </w:p>
    <w:p w14:paraId="29936D72" w14:textId="77777777" w:rsidR="002B5C27" w:rsidRPr="00BC5C3C" w:rsidRDefault="002B5C27" w:rsidP="002B5C27">
      <w:pPr>
        <w:rPr>
          <w:rFonts w:ascii="Arial" w:hAnsi="Arial" w:cs="Arial"/>
          <w:b/>
          <w:bCs/>
        </w:rPr>
      </w:pPr>
      <w:r w:rsidRPr="00BC5C3C">
        <w:rPr>
          <w:rFonts w:ascii="Arial" w:hAnsi="Arial" w:cs="Arial"/>
          <w:b/>
          <w:bCs/>
        </w:rPr>
        <w:t>Use of this sheet</w:t>
      </w:r>
    </w:p>
    <w:p w14:paraId="17DA6CC2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This is an indicative staff solution. </w:t>
      </w:r>
      <w:proofErr w:type="gramStart"/>
      <w:r w:rsidRPr="00BC5C3C">
        <w:rPr>
          <w:rFonts w:ascii="Arial" w:hAnsi="Arial" w:cs="Arial"/>
        </w:rPr>
        <w:t>Credit equivalent scientifically defensible approaches,</w:t>
      </w:r>
      <w:proofErr w:type="gramEnd"/>
      <w:r w:rsidRPr="00BC5C3C">
        <w:rPr>
          <w:rFonts w:ascii="Arial" w:hAnsi="Arial" w:cs="Arial"/>
        </w:rPr>
        <w:t xml:space="preserve"> provided assumptions are stated and calculations are internally consistent.</w:t>
      </w:r>
    </w:p>
    <w:p w14:paraId="318B06C0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Numerical agreement with dosimetry does not need to be exact. Order-of-magnitude correctness and a well-defended reconstruction are the key assessment criteria.</w:t>
      </w:r>
    </w:p>
    <w:p w14:paraId="3D8EB709" w14:textId="77777777" w:rsidR="002B5C27" w:rsidRPr="00BC5C3C" w:rsidRDefault="00000000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pict w14:anchorId="0171FF0B">
          <v:rect id="_x0000_i1026" style="width:0;height:1.5pt" o:hralign="center" o:hrstd="t" o:hr="t" fillcolor="#a0a0a0" stroked="f"/>
        </w:pict>
      </w:r>
    </w:p>
    <w:p w14:paraId="2710B275" w14:textId="77777777" w:rsidR="002B5C27" w:rsidRPr="00BC5C3C" w:rsidRDefault="002B5C27" w:rsidP="002B5C27">
      <w:pPr>
        <w:rPr>
          <w:rFonts w:ascii="Arial" w:hAnsi="Arial" w:cs="Arial"/>
          <w:b/>
          <w:bCs/>
        </w:rPr>
      </w:pPr>
      <w:r w:rsidRPr="00BC5C3C">
        <w:rPr>
          <w:rFonts w:ascii="Arial" w:hAnsi="Arial" w:cs="Arial"/>
          <w:b/>
          <w:bCs/>
        </w:rPr>
        <w:t>Key indicative numerical answers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843"/>
        <w:gridCol w:w="2949"/>
        <w:gridCol w:w="3234"/>
      </w:tblGrid>
      <w:tr w:rsidR="002B5C27" w:rsidRPr="00BC5C3C" w14:paraId="2CF082F6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469AF258" w14:textId="77777777" w:rsidR="002B5C27" w:rsidRPr="00BC5C3C" w:rsidRDefault="002B5C27" w:rsidP="002B5C27">
            <w:pPr>
              <w:rPr>
                <w:rFonts w:ascii="Arial" w:hAnsi="Arial" w:cs="Arial"/>
                <w:b/>
                <w:bCs/>
              </w:rPr>
            </w:pPr>
            <w:r w:rsidRPr="00BC5C3C">
              <w:rPr>
                <w:rFonts w:ascii="Arial" w:hAnsi="Arial" w:cs="Arial"/>
                <w:b/>
                <w:bCs/>
              </w:rPr>
              <w:t>Quantity</w:t>
            </w:r>
          </w:p>
        </w:tc>
        <w:tc>
          <w:tcPr>
            <w:tcW w:w="0" w:type="auto"/>
            <w:vAlign w:val="center"/>
            <w:hideMark/>
          </w:tcPr>
          <w:p w14:paraId="414FEA84" w14:textId="77777777" w:rsidR="002B5C27" w:rsidRPr="00BC5C3C" w:rsidRDefault="002B5C27" w:rsidP="002B5C27">
            <w:pPr>
              <w:rPr>
                <w:rFonts w:ascii="Arial" w:hAnsi="Arial" w:cs="Arial"/>
                <w:b/>
                <w:bCs/>
              </w:rPr>
            </w:pPr>
            <w:r w:rsidRPr="00BC5C3C">
              <w:rPr>
                <w:rFonts w:ascii="Arial" w:hAnsi="Arial" w:cs="Arial"/>
                <w:b/>
                <w:bCs/>
              </w:rPr>
              <w:t>Indicative value</w:t>
            </w:r>
          </w:p>
        </w:tc>
        <w:tc>
          <w:tcPr>
            <w:tcW w:w="0" w:type="auto"/>
            <w:vAlign w:val="center"/>
            <w:hideMark/>
          </w:tcPr>
          <w:p w14:paraId="31E4ADE9" w14:textId="77777777" w:rsidR="002B5C27" w:rsidRPr="00BC5C3C" w:rsidRDefault="002B5C27" w:rsidP="002B5C27">
            <w:pPr>
              <w:rPr>
                <w:rFonts w:ascii="Arial" w:hAnsi="Arial" w:cs="Arial"/>
                <w:b/>
                <w:bCs/>
              </w:rPr>
            </w:pPr>
            <w:r w:rsidRPr="00BC5C3C">
              <w:rPr>
                <w:rFonts w:ascii="Arial" w:hAnsi="Arial" w:cs="Arial"/>
                <w:b/>
                <w:bCs/>
              </w:rPr>
              <w:t>Marker note</w:t>
            </w:r>
          </w:p>
        </w:tc>
      </w:tr>
      <w:tr w:rsidR="002B5C27" w:rsidRPr="00BC5C3C" w14:paraId="0337F450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1DCDD81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Source activity (21 Oct 2024)</w:t>
            </w:r>
          </w:p>
        </w:tc>
        <w:tc>
          <w:tcPr>
            <w:tcW w:w="0" w:type="auto"/>
            <w:vAlign w:val="center"/>
            <w:hideMark/>
          </w:tcPr>
          <w:p w14:paraId="312A51F1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≈ 55–60 TBq</w:t>
            </w:r>
          </w:p>
        </w:tc>
        <w:tc>
          <w:tcPr>
            <w:tcW w:w="0" w:type="auto"/>
            <w:vAlign w:val="center"/>
            <w:hideMark/>
          </w:tcPr>
          <w:p w14:paraId="3F96473E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Accept reasonable rounding</w:t>
            </w:r>
          </w:p>
        </w:tc>
      </w:tr>
      <w:tr w:rsidR="002B5C27" w:rsidRPr="00BC5C3C" w14:paraId="4D57235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4A44BED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Unshielded dose rate at 1 m</w:t>
            </w:r>
          </w:p>
        </w:tc>
        <w:tc>
          <w:tcPr>
            <w:tcW w:w="0" w:type="auto"/>
            <w:vAlign w:val="center"/>
            <w:hideMark/>
          </w:tcPr>
          <w:p w14:paraId="7E0172AD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≈ 19–21 Sv h</w:t>
            </w:r>
            <w:r w:rsidRPr="00BC5C3C">
              <w:rPr>
                <w:rFonts w:ascii="Cambria Math" w:hAnsi="Cambria Math" w:cs="Cambria Math"/>
              </w:rPr>
              <w:t>⁻</w:t>
            </w:r>
            <w:r w:rsidRPr="00BC5C3C">
              <w:rPr>
                <w:rFonts w:ascii="Arial" w:hAnsi="Arial" w:cs="Arial"/>
              </w:rPr>
              <w:t>¹</w:t>
            </w:r>
          </w:p>
        </w:tc>
        <w:tc>
          <w:tcPr>
            <w:tcW w:w="0" w:type="auto"/>
            <w:vAlign w:val="center"/>
            <w:hideMark/>
          </w:tcPr>
          <w:p w14:paraId="189954CE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Using Γ ≈ 0.35 mSv m² GBq</w:t>
            </w:r>
            <w:r w:rsidRPr="00BC5C3C">
              <w:rPr>
                <w:rFonts w:ascii="Cambria Math" w:hAnsi="Cambria Math" w:cs="Cambria Math"/>
              </w:rPr>
              <w:t>⁻</w:t>
            </w:r>
            <w:r w:rsidRPr="00BC5C3C">
              <w:rPr>
                <w:rFonts w:ascii="Arial" w:hAnsi="Arial" w:cs="Arial"/>
              </w:rPr>
              <w:t>¹ h</w:t>
            </w:r>
            <w:r w:rsidRPr="00BC5C3C">
              <w:rPr>
                <w:rFonts w:ascii="Cambria Math" w:hAnsi="Cambria Math" w:cs="Cambria Math"/>
              </w:rPr>
              <w:t>⁻</w:t>
            </w:r>
            <w:r w:rsidRPr="00BC5C3C">
              <w:rPr>
                <w:rFonts w:ascii="Arial" w:hAnsi="Arial" w:cs="Arial"/>
              </w:rPr>
              <w:t>¹</w:t>
            </w:r>
          </w:p>
        </w:tc>
      </w:tr>
      <w:tr w:rsidR="002B5C27" w:rsidRPr="00BC5C3C" w14:paraId="41BA1837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2F3F63C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Threshold phase (~2.5 m)</w:t>
            </w:r>
          </w:p>
        </w:tc>
        <w:tc>
          <w:tcPr>
            <w:tcW w:w="0" w:type="auto"/>
            <w:vAlign w:val="center"/>
            <w:hideMark/>
          </w:tcPr>
          <w:p w14:paraId="043A1AAA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≈ 0.12–0.27 Sv h</w:t>
            </w:r>
            <w:r w:rsidRPr="00BC5C3C">
              <w:rPr>
                <w:rFonts w:ascii="Cambria Math" w:hAnsi="Cambria Math" w:cs="Cambria Math"/>
              </w:rPr>
              <w:t>⁻</w:t>
            </w:r>
            <w:r w:rsidRPr="00BC5C3C">
              <w:rPr>
                <w:rFonts w:ascii="Arial" w:hAnsi="Arial" w:cs="Arial"/>
              </w:rPr>
              <w:t>¹</w:t>
            </w:r>
          </w:p>
        </w:tc>
        <w:tc>
          <w:tcPr>
            <w:tcW w:w="0" w:type="auto"/>
            <w:vAlign w:val="center"/>
            <w:hideMark/>
          </w:tcPr>
          <w:p w14:paraId="441DAE72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4–8% of nominal</w:t>
            </w:r>
          </w:p>
        </w:tc>
      </w:tr>
      <w:tr w:rsidR="002B5C27" w:rsidRPr="00BC5C3C" w14:paraId="0D977DB6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B3FD6CA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Close phase (~1.2 m)</w:t>
            </w:r>
          </w:p>
        </w:tc>
        <w:tc>
          <w:tcPr>
            <w:tcW w:w="0" w:type="auto"/>
            <w:vAlign w:val="center"/>
            <w:hideMark/>
          </w:tcPr>
          <w:p w14:paraId="7B1FD0EE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≈ 1.7–3.5 Sv h</w:t>
            </w:r>
            <w:r w:rsidRPr="00BC5C3C">
              <w:rPr>
                <w:rFonts w:ascii="Cambria Math" w:hAnsi="Cambria Math" w:cs="Cambria Math"/>
              </w:rPr>
              <w:t>⁻</w:t>
            </w:r>
            <w:r w:rsidRPr="00BC5C3C">
              <w:rPr>
                <w:rFonts w:ascii="Arial" w:hAnsi="Arial" w:cs="Arial"/>
              </w:rPr>
              <w:t>¹</w:t>
            </w:r>
          </w:p>
        </w:tc>
        <w:tc>
          <w:tcPr>
            <w:tcW w:w="0" w:type="auto"/>
            <w:vAlign w:val="center"/>
            <w:hideMark/>
          </w:tcPr>
          <w:p w14:paraId="0E9F3A97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12–20% of nominal</w:t>
            </w:r>
          </w:p>
        </w:tc>
      </w:tr>
      <w:tr w:rsidR="002B5C27" w:rsidRPr="00BC5C3C" w14:paraId="2441883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7BE7434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Total effective dose</w:t>
            </w:r>
          </w:p>
        </w:tc>
        <w:tc>
          <w:tcPr>
            <w:tcW w:w="0" w:type="auto"/>
            <w:vAlign w:val="center"/>
            <w:hideMark/>
          </w:tcPr>
          <w:p w14:paraId="307CB480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≈ 12–25 mSv</w:t>
            </w:r>
          </w:p>
        </w:tc>
        <w:tc>
          <w:tcPr>
            <w:tcW w:w="0" w:type="auto"/>
            <w:vAlign w:val="center"/>
            <w:hideMark/>
          </w:tcPr>
          <w:p w14:paraId="3B256286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Central estimate ~16–20 mSv</w:t>
            </w:r>
          </w:p>
        </w:tc>
      </w:tr>
      <w:tr w:rsidR="002B5C27" w:rsidRPr="00BC5C3C" w14:paraId="485EF445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113A882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Recorded dosimetry</w:t>
            </w:r>
          </w:p>
        </w:tc>
        <w:tc>
          <w:tcPr>
            <w:tcW w:w="0" w:type="auto"/>
            <w:vAlign w:val="center"/>
            <w:hideMark/>
          </w:tcPr>
          <w:p w14:paraId="6A3446BC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EPD 14.8 mSv; TLD 18.9 mSv</w:t>
            </w:r>
          </w:p>
        </w:tc>
        <w:tc>
          <w:tcPr>
            <w:tcW w:w="0" w:type="auto"/>
            <w:vAlign w:val="center"/>
            <w:hideMark/>
          </w:tcPr>
          <w:p w14:paraId="728A8D63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Broadly consistent</w:t>
            </w:r>
          </w:p>
        </w:tc>
      </w:tr>
    </w:tbl>
    <w:p w14:paraId="7DCDC4B8" w14:textId="77777777" w:rsidR="002B5C27" w:rsidRPr="00BC5C3C" w:rsidRDefault="00000000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pict w14:anchorId="0D51EF70">
          <v:rect id="_x0000_i1027" style="width:0;height:1.5pt" o:hralign="center" o:hrstd="t" o:hr="t" fillcolor="#a0a0a0" stroked="f"/>
        </w:pict>
      </w:r>
    </w:p>
    <w:p w14:paraId="5A00B5E3" w14:textId="77777777" w:rsidR="002B5C27" w:rsidRPr="00BC5C3C" w:rsidRDefault="002B5C27" w:rsidP="002B5C27">
      <w:pPr>
        <w:rPr>
          <w:rFonts w:ascii="Arial" w:hAnsi="Arial" w:cs="Arial"/>
          <w:b/>
          <w:bCs/>
        </w:rPr>
      </w:pPr>
      <w:r w:rsidRPr="00BC5C3C">
        <w:rPr>
          <w:rFonts w:ascii="Arial" w:hAnsi="Arial" w:cs="Arial"/>
          <w:b/>
          <w:bCs/>
        </w:rPr>
        <w:t>1. Framing expected from a good report</w:t>
      </w:r>
    </w:p>
    <w:p w14:paraId="684EA6CB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Strong submissions will:</w:t>
      </w:r>
    </w:p>
    <w:p w14:paraId="2C61B814" w14:textId="77777777" w:rsidR="002B5C27" w:rsidRPr="00BC5C3C" w:rsidRDefault="002B5C27" w:rsidP="002B5C27">
      <w:pPr>
        <w:numPr>
          <w:ilvl w:val="0"/>
          <w:numId w:val="1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justify decay correction </w:t>
      </w:r>
    </w:p>
    <w:p w14:paraId="3BDF942F" w14:textId="77777777" w:rsidR="002B5C27" w:rsidRPr="00BC5C3C" w:rsidRDefault="002B5C27" w:rsidP="002B5C27">
      <w:pPr>
        <w:numPr>
          <w:ilvl w:val="0"/>
          <w:numId w:val="1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apply the gamma constant method correctly </w:t>
      </w:r>
    </w:p>
    <w:p w14:paraId="0B449C67" w14:textId="77777777" w:rsidR="002B5C27" w:rsidRPr="00BC5C3C" w:rsidRDefault="002B5C27" w:rsidP="002B5C27">
      <w:pPr>
        <w:numPr>
          <w:ilvl w:val="0"/>
          <w:numId w:val="1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use inverse-square scaling appropriately </w:t>
      </w:r>
    </w:p>
    <w:p w14:paraId="6230E046" w14:textId="77777777" w:rsidR="002B5C27" w:rsidRPr="00BC5C3C" w:rsidRDefault="002B5C27" w:rsidP="002B5C27">
      <w:pPr>
        <w:numPr>
          <w:ilvl w:val="0"/>
          <w:numId w:val="1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interpret attenuation fractions (4–8%, 12–20%) correctly </w:t>
      </w:r>
    </w:p>
    <w:p w14:paraId="0818DADD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Better answers will recognise:</w:t>
      </w:r>
    </w:p>
    <w:p w14:paraId="3C91064F" w14:textId="77777777" w:rsidR="002B5C27" w:rsidRPr="00BC5C3C" w:rsidRDefault="002B5C27" w:rsidP="002B5C27">
      <w:pPr>
        <w:numPr>
          <w:ilvl w:val="0"/>
          <w:numId w:val="2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the radiation field is </w:t>
      </w:r>
      <w:r w:rsidRPr="00BC5C3C">
        <w:rPr>
          <w:rFonts w:ascii="Arial" w:hAnsi="Arial" w:cs="Arial"/>
          <w:b/>
          <w:bCs/>
        </w:rPr>
        <w:t>highly geometry-dependent</w:t>
      </w:r>
      <w:r w:rsidRPr="00BC5C3C">
        <w:rPr>
          <w:rFonts w:ascii="Arial" w:hAnsi="Arial" w:cs="Arial"/>
        </w:rPr>
        <w:t xml:space="preserve"> </w:t>
      </w:r>
    </w:p>
    <w:p w14:paraId="22ABDD1E" w14:textId="77777777" w:rsidR="002B5C27" w:rsidRPr="00BC5C3C" w:rsidRDefault="002B5C27" w:rsidP="002B5C27">
      <w:pPr>
        <w:numPr>
          <w:ilvl w:val="0"/>
          <w:numId w:val="2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the vestibule provides </w:t>
      </w:r>
      <w:r w:rsidRPr="00BC5C3C">
        <w:rPr>
          <w:rFonts w:ascii="Arial" w:hAnsi="Arial" w:cs="Arial"/>
          <w:b/>
          <w:bCs/>
        </w:rPr>
        <w:t>partial shielding rather than full attenuation</w:t>
      </w:r>
      <w:r w:rsidRPr="00BC5C3C">
        <w:rPr>
          <w:rFonts w:ascii="Arial" w:hAnsi="Arial" w:cs="Arial"/>
        </w:rPr>
        <w:t xml:space="preserve"> </w:t>
      </w:r>
    </w:p>
    <w:p w14:paraId="364E8843" w14:textId="77777777" w:rsidR="002B5C27" w:rsidRPr="00BC5C3C" w:rsidRDefault="002B5C27" w:rsidP="002B5C27">
      <w:pPr>
        <w:numPr>
          <w:ilvl w:val="0"/>
          <w:numId w:val="2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the point-source approximation is acceptable but limited </w:t>
      </w:r>
    </w:p>
    <w:p w14:paraId="7DCE4D4D" w14:textId="77777777" w:rsidR="002B5C27" w:rsidRPr="00BC5C3C" w:rsidRDefault="00000000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pict w14:anchorId="1B5B5623">
          <v:rect id="_x0000_i1028" style="width:0;height:1.5pt" o:hralign="center" o:hrstd="t" o:hr="t" fillcolor="#a0a0a0" stroked="f"/>
        </w:pict>
      </w:r>
    </w:p>
    <w:p w14:paraId="6E787071" w14:textId="77777777" w:rsidR="002B5C27" w:rsidRPr="00BC5C3C" w:rsidRDefault="002B5C27" w:rsidP="002B5C27">
      <w:pPr>
        <w:rPr>
          <w:rFonts w:ascii="Arial" w:hAnsi="Arial" w:cs="Arial"/>
          <w:b/>
          <w:bCs/>
        </w:rPr>
      </w:pPr>
      <w:r w:rsidRPr="00BC5C3C">
        <w:rPr>
          <w:rFonts w:ascii="Arial" w:hAnsi="Arial" w:cs="Arial"/>
          <w:b/>
          <w:bCs/>
        </w:rPr>
        <w:t>2. Worked scientific solution</w:t>
      </w:r>
    </w:p>
    <w:p w14:paraId="1D7E876E" w14:textId="77777777" w:rsidR="002B5C27" w:rsidRPr="00BC5C3C" w:rsidRDefault="00000000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pict w14:anchorId="1A042F68">
          <v:rect id="_x0000_i1029" style="width:0;height:1.5pt" o:hralign="center" o:hrstd="t" o:hr="t" fillcolor="#a0a0a0" stroked="f"/>
        </w:pict>
      </w:r>
    </w:p>
    <w:p w14:paraId="1A1E3B7D" w14:textId="77777777" w:rsidR="002B5C27" w:rsidRPr="00BC5C3C" w:rsidRDefault="002B5C27" w:rsidP="002B5C27">
      <w:pPr>
        <w:rPr>
          <w:rFonts w:ascii="Arial" w:hAnsi="Arial" w:cs="Arial"/>
          <w:b/>
          <w:bCs/>
        </w:rPr>
      </w:pPr>
      <w:r w:rsidRPr="00BC5C3C">
        <w:rPr>
          <w:rFonts w:ascii="Arial" w:hAnsi="Arial" w:cs="Arial"/>
          <w:b/>
          <w:bCs/>
        </w:rPr>
        <w:lastRenderedPageBreak/>
        <w:t>2.1 Suitability of cobalt-60</w:t>
      </w:r>
    </w:p>
    <w:p w14:paraId="14DCEA8D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Cobalt-60 is suitable for irradiator applications because:</w:t>
      </w:r>
    </w:p>
    <w:p w14:paraId="7A1EE947" w14:textId="77777777" w:rsidR="002B5C27" w:rsidRPr="00BC5C3C" w:rsidRDefault="002B5C27" w:rsidP="002B5C27">
      <w:pPr>
        <w:numPr>
          <w:ilvl w:val="0"/>
          <w:numId w:val="3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it emits high-energy gamma radiation (~1.17 and 1.33 MeV) </w:t>
      </w:r>
    </w:p>
    <w:p w14:paraId="0EE842A1" w14:textId="77777777" w:rsidR="002B5C27" w:rsidRPr="00BC5C3C" w:rsidRDefault="002B5C27" w:rsidP="002B5C27">
      <w:pPr>
        <w:numPr>
          <w:ilvl w:val="0"/>
          <w:numId w:val="3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it provides deep penetration for irradiation processes </w:t>
      </w:r>
    </w:p>
    <w:p w14:paraId="7F50DB73" w14:textId="77777777" w:rsidR="002B5C27" w:rsidRPr="00BC5C3C" w:rsidRDefault="002B5C27" w:rsidP="002B5C27">
      <w:pPr>
        <w:numPr>
          <w:ilvl w:val="0"/>
          <w:numId w:val="3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it can be fabricated into sealed, high-activity source pencils </w:t>
      </w:r>
    </w:p>
    <w:p w14:paraId="5BFFB71F" w14:textId="77777777" w:rsidR="002B5C27" w:rsidRPr="00BC5C3C" w:rsidRDefault="002B5C27" w:rsidP="002B5C27">
      <w:pPr>
        <w:numPr>
          <w:ilvl w:val="0"/>
          <w:numId w:val="3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it has a sufficiently long half-life (~5.27 years) for sustained operation </w:t>
      </w:r>
    </w:p>
    <w:p w14:paraId="7C211346" w14:textId="77777777" w:rsidR="002B5C27" w:rsidRPr="00BC5C3C" w:rsidRDefault="00000000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pict w14:anchorId="2D9B6AD5">
          <v:rect id="_x0000_i1030" style="width:0;height:1.5pt" o:hralign="center" o:hrstd="t" o:hr="t" fillcolor="#a0a0a0" stroked="f"/>
        </w:pict>
      </w:r>
    </w:p>
    <w:p w14:paraId="1BED5DAB" w14:textId="77777777" w:rsidR="002B5C27" w:rsidRPr="00BC5C3C" w:rsidRDefault="002B5C27" w:rsidP="002B5C27">
      <w:pPr>
        <w:rPr>
          <w:rFonts w:ascii="Arial" w:hAnsi="Arial" w:cs="Arial"/>
          <w:b/>
          <w:bCs/>
        </w:rPr>
      </w:pPr>
      <w:r w:rsidRPr="00BC5C3C">
        <w:rPr>
          <w:rFonts w:ascii="Arial" w:hAnsi="Arial" w:cs="Arial"/>
          <w:b/>
          <w:bCs/>
        </w:rPr>
        <w:t>2.2 Decay-corrected activity</w:t>
      </w:r>
    </w:p>
    <w:p w14:paraId="7C2F18B2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Given:</w:t>
      </w:r>
    </w:p>
    <w:p w14:paraId="35D371FB" w14:textId="77777777" w:rsidR="002B5C27" w:rsidRPr="00BC5C3C" w:rsidRDefault="002B5C27" w:rsidP="002B5C27">
      <w:pPr>
        <w:numPr>
          <w:ilvl w:val="0"/>
          <w:numId w:val="4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Initial activity = 95 TBq (6 June 2019) </w:t>
      </w:r>
    </w:p>
    <w:p w14:paraId="0BC873D7" w14:textId="77777777" w:rsidR="002B5C27" w:rsidRPr="00BC5C3C" w:rsidRDefault="002B5C27" w:rsidP="002B5C27">
      <w:pPr>
        <w:numPr>
          <w:ilvl w:val="0"/>
          <w:numId w:val="4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Incident date = 21 October 2024 </w:t>
      </w:r>
    </w:p>
    <w:p w14:paraId="2410C7CA" w14:textId="77777777" w:rsidR="002B5C27" w:rsidRPr="00BC5C3C" w:rsidRDefault="002B5C27" w:rsidP="002B5C27">
      <w:pPr>
        <w:numPr>
          <w:ilvl w:val="0"/>
          <w:numId w:val="4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Half-life ≈ 5.27 years </w:t>
      </w:r>
    </w:p>
    <w:p w14:paraId="32CD4B34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Elapsed time ≈ 5.37 years</w:t>
      </w:r>
    </w:p>
    <w:p w14:paraId="08CAD3EC" w14:textId="7C5A373F" w:rsidR="002B5C27" w:rsidRPr="00BC5C3C" w:rsidRDefault="002B5C27" w:rsidP="002B5C27">
      <w:pPr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A=95×</m:t>
          </m:r>
          <m:sSup>
            <m:sSupPr>
              <m:ctrlPr>
                <w:rPr>
                  <w:rFonts w:ascii="Cambria Math" w:hAnsi="Cambria Math" w:cs="Arial"/>
                </w:rPr>
              </m:ctrlPr>
            </m:sSupPr>
            <m:e>
              <m:r>
                <w:rPr>
                  <w:rFonts w:ascii="Cambria Math" w:hAnsi="Cambria Math" w:cs="Arial"/>
                </w:rPr>
                <m:t>2</m:t>
              </m:r>
            </m:e>
            <m:sup>
              <m:r>
                <w:rPr>
                  <w:rFonts w:ascii="Cambria Math" w:hAnsi="Cambria Math" w:cs="Arial"/>
                </w:rPr>
                <m:t>-5.37</m:t>
              </m:r>
              <m:r>
                <m:rPr>
                  <m:sty m:val="p"/>
                </m:rPr>
                <w:rPr>
                  <w:rFonts w:ascii="Cambria Math" w:hAnsi="Cambria Math" w:cs="Arial"/>
                </w:rPr>
                <m:t>/</m:t>
              </m:r>
              <m:r>
                <w:rPr>
                  <w:rFonts w:ascii="Cambria Math" w:hAnsi="Cambria Math" w:cs="Arial"/>
                </w:rPr>
                <m:t>5.27</m:t>
              </m:r>
            </m:sup>
          </m:sSup>
          <m:r>
            <m:rPr>
              <m:sty m:val="p"/>
            </m:rPr>
            <w:rPr>
              <w:rFonts w:ascii="Cambria Math" w:hAnsi="Cambria Math" w:cs="Arial"/>
            </w:rPr>
            <w:br/>
          </m:r>
        </m:oMath>
        <m:oMath>
          <m:r>
            <w:rPr>
              <w:rFonts w:ascii="Cambria Math" w:hAnsi="Cambria Math" w:cs="Arial"/>
            </w:rPr>
            <m:t>A≈95×0.49≈46.5</m:t>
          </m:r>
          <m:r>
            <m:rPr>
              <m:nor/>
            </m:rPr>
            <w:rPr>
              <w:rFonts w:ascii="Arial" w:hAnsi="Arial" w:cs="Arial"/>
            </w:rPr>
            <m:t xml:space="preserve"> TBq</m:t>
          </m:r>
          <m:r>
            <m:rPr>
              <m:sty m:val="p"/>
            </m:rPr>
            <w:rPr>
              <w:rFonts w:ascii="Cambria Math" w:hAnsi="Cambria Math" w:cs="Arial"/>
            </w:rPr>
            <w:br/>
          </m:r>
        </m:oMath>
      </m:oMathPara>
    </w:p>
    <w:p w14:paraId="6830C9E4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Using reasonable rounding and date interpretation:</w:t>
      </w:r>
    </w:p>
    <w:p w14:paraId="32BE22C5" w14:textId="3882A747" w:rsidR="002B5C27" w:rsidRPr="00BC5C3C" w:rsidRDefault="002B5C27" w:rsidP="002B5C27">
      <w:pPr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A≈50</m:t>
          </m:r>
          <m:r>
            <m:rPr>
              <m:nor/>
            </m:rPr>
            <w:rPr>
              <w:rFonts w:ascii="Arial" w:hAnsi="Arial" w:cs="Arial"/>
            </w:rPr>
            <m:t>–</m:t>
          </m:r>
          <m:r>
            <w:rPr>
              <w:rFonts w:ascii="Cambria Math" w:hAnsi="Cambria Math" w:cs="Arial"/>
            </w:rPr>
            <m:t>60</m:t>
          </m:r>
          <m:r>
            <m:rPr>
              <m:nor/>
            </m:rPr>
            <w:rPr>
              <w:rFonts w:ascii="Arial" w:hAnsi="Arial" w:cs="Arial"/>
            </w:rPr>
            <m:t xml:space="preserve"> TBq</m:t>
          </m:r>
          <m:r>
            <m:rPr>
              <m:sty m:val="p"/>
            </m:rPr>
            <w:rPr>
              <w:rFonts w:ascii="Cambria Math" w:hAnsi="Cambria Math" w:cs="Arial"/>
            </w:rPr>
            <w:br/>
          </m:r>
        </m:oMath>
      </m:oMathPara>
    </w:p>
    <w:p w14:paraId="4348AB78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Accept </w:t>
      </w:r>
      <w:r w:rsidRPr="00BC5C3C">
        <w:rPr>
          <w:rFonts w:ascii="Arial" w:hAnsi="Arial" w:cs="Arial"/>
          <w:b/>
          <w:bCs/>
        </w:rPr>
        <w:t>≈ 55–60 TBq</w:t>
      </w:r>
      <w:r w:rsidRPr="00BC5C3C">
        <w:rPr>
          <w:rFonts w:ascii="Arial" w:hAnsi="Arial" w:cs="Arial"/>
        </w:rPr>
        <w:t xml:space="preserve"> as a working value.</w:t>
      </w:r>
    </w:p>
    <w:p w14:paraId="55E6F482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Convert:</w:t>
      </w:r>
    </w:p>
    <w:p w14:paraId="183EF7DF" w14:textId="479C910B" w:rsidR="002B5C27" w:rsidRPr="00BC5C3C" w:rsidRDefault="002B5C27" w:rsidP="002B5C27">
      <w:pPr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55</m:t>
          </m:r>
          <m:r>
            <m:rPr>
              <m:nor/>
            </m:rPr>
            <w:rPr>
              <w:rFonts w:ascii="Arial" w:hAnsi="Arial" w:cs="Arial"/>
            </w:rPr>
            <m:t xml:space="preserve"> TBq</m:t>
          </m:r>
          <m:r>
            <w:rPr>
              <w:rFonts w:ascii="Cambria Math" w:hAnsi="Cambria Math" w:cs="Arial"/>
            </w:rPr>
            <m:t>=</m:t>
          </m:r>
          <m:r>
            <m:rPr>
              <m:sty m:val="p"/>
            </m:rPr>
            <w:rPr>
              <w:rFonts w:ascii="Cambria Math" w:hAnsi="Cambria Math" w:cs="Arial"/>
            </w:rPr>
            <m:t>55,000</m:t>
          </m:r>
          <m:r>
            <m:rPr>
              <m:nor/>
            </m:rPr>
            <w:rPr>
              <w:rFonts w:ascii="Arial" w:hAnsi="Arial" w:cs="Arial"/>
            </w:rPr>
            <m:t xml:space="preserve"> GBq</m:t>
          </m:r>
          <m:r>
            <m:rPr>
              <m:sty m:val="p"/>
            </m:rPr>
            <w:rPr>
              <w:rFonts w:ascii="Cambria Math" w:hAnsi="Cambria Math" w:cs="Arial"/>
            </w:rPr>
            <w:br/>
          </m:r>
        </m:oMath>
      </m:oMathPara>
    </w:p>
    <w:p w14:paraId="42B7D4EB" w14:textId="77777777" w:rsidR="002B5C27" w:rsidRPr="00BC5C3C" w:rsidRDefault="00000000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pict w14:anchorId="3E5E387F">
          <v:rect id="_x0000_i1031" style="width:0;height:1.5pt" o:hralign="center" o:hrstd="t" o:hr="t" fillcolor="#a0a0a0" stroked="f"/>
        </w:pict>
      </w:r>
    </w:p>
    <w:p w14:paraId="217009F9" w14:textId="77777777" w:rsidR="002B5C27" w:rsidRPr="00BC5C3C" w:rsidRDefault="002B5C27" w:rsidP="002B5C27">
      <w:pPr>
        <w:rPr>
          <w:rFonts w:ascii="Arial" w:hAnsi="Arial" w:cs="Arial"/>
          <w:b/>
          <w:bCs/>
        </w:rPr>
      </w:pPr>
      <w:r w:rsidRPr="00BC5C3C">
        <w:rPr>
          <w:rFonts w:ascii="Arial" w:hAnsi="Arial" w:cs="Arial"/>
          <w:b/>
          <w:bCs/>
        </w:rPr>
        <w:t>2.3 Unshielded dose rate at 1 m</w:t>
      </w:r>
    </w:p>
    <w:p w14:paraId="623B5DB0" w14:textId="31AC8505" w:rsidR="002B5C27" w:rsidRPr="00BC5C3C" w:rsidRDefault="00000000" w:rsidP="002B5C27">
      <w:pPr>
        <w:rPr>
          <w:rFonts w:ascii="Arial" w:hAnsi="Arial" w:cs="Arial"/>
        </w:rPr>
      </w:pPr>
      <m:oMathPara>
        <m:oMath>
          <m:acc>
            <m:accPr>
              <m:chr m:val="̇"/>
              <m:ctrlPr>
                <w:rPr>
                  <w:rFonts w:ascii="Cambria Math" w:hAnsi="Cambria Math" w:cs="Arial"/>
                </w:rPr>
              </m:ctrlPr>
            </m:accPr>
            <m:e>
              <m:r>
                <w:rPr>
                  <w:rFonts w:ascii="Cambria Math" w:hAnsi="Cambria Math" w:cs="Arial"/>
                </w:rPr>
                <m:t>D</m:t>
              </m:r>
            </m:e>
          </m:acc>
          <m:r>
            <w:rPr>
              <w:rFonts w:ascii="Cambria Math" w:hAnsi="Cambria Math" w:cs="Arial"/>
            </w:rPr>
            <m:t>=</m:t>
          </m:r>
          <m:r>
            <m:rPr>
              <m:sty m:val="p"/>
            </m:rPr>
            <w:rPr>
              <w:rFonts w:ascii="Cambria Math" w:hAnsi="Cambria Math" w:cs="Arial"/>
            </w:rPr>
            <m:t>Γ</m:t>
          </m:r>
          <m:f>
            <m:fPr>
              <m:ctrlPr>
                <w:rPr>
                  <w:rFonts w:ascii="Cambria Math" w:hAnsi="Cambria Math" w:cs="Arial"/>
                </w:rPr>
              </m:ctrlPr>
            </m:fPr>
            <m:num>
              <m:r>
                <w:rPr>
                  <w:rFonts w:ascii="Cambria Math" w:hAnsi="Cambria Math" w:cs="Arial"/>
                </w:rPr>
                <m:t>A</m:t>
              </m:r>
            </m:num>
            <m:den>
              <m:sSup>
                <m:sSupPr>
                  <m:ctrlPr>
                    <w:rPr>
                      <w:rFonts w:ascii="Cambria Math" w:hAnsi="Cambria Math" w:cs="Arial"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r</m:t>
                  </m:r>
                </m:e>
                <m:sup>
                  <m:r>
                    <w:rPr>
                      <w:rFonts w:ascii="Cambria Math" w:hAnsi="Cambria Math" w:cs="Arial"/>
                    </w:rPr>
                    <m:t>2</m:t>
                  </m:r>
                </m:sup>
              </m:sSup>
            </m:den>
          </m:f>
          <m:r>
            <m:rPr>
              <m:sty m:val="p"/>
            </m:rPr>
            <w:rPr>
              <w:rFonts w:ascii="Cambria Math" w:hAnsi="Cambria Math" w:cs="Arial"/>
            </w:rPr>
            <w:br/>
          </m:r>
        </m:oMath>
        <m:oMath>
          <m:acc>
            <m:accPr>
              <m:chr m:val="̇"/>
              <m:ctrlPr>
                <w:rPr>
                  <w:rFonts w:ascii="Cambria Math" w:hAnsi="Cambria Math" w:cs="Arial"/>
                </w:rPr>
              </m:ctrlPr>
            </m:accPr>
            <m:e>
              <m:r>
                <w:rPr>
                  <w:rFonts w:ascii="Cambria Math" w:hAnsi="Cambria Math" w:cs="Arial"/>
                </w:rPr>
                <m:t>D</m:t>
              </m:r>
            </m:e>
          </m:acc>
          <m:r>
            <w:rPr>
              <w:rFonts w:ascii="Cambria Math" w:hAnsi="Cambria Math" w:cs="Arial"/>
            </w:rPr>
            <m:t>=0.35×</m:t>
          </m:r>
          <m:r>
            <m:rPr>
              <m:sty m:val="p"/>
            </m:rPr>
            <w:rPr>
              <w:rFonts w:ascii="Cambria Math" w:hAnsi="Cambria Math" w:cs="Arial"/>
            </w:rPr>
            <m:t>55,000</m:t>
          </m:r>
          <m:r>
            <w:rPr>
              <w:rFonts w:ascii="Cambria Math" w:hAnsi="Cambria Math" w:cs="Arial"/>
            </w:rPr>
            <m:t>≈</m:t>
          </m:r>
          <m:r>
            <m:rPr>
              <m:sty m:val="p"/>
            </m:rPr>
            <w:rPr>
              <w:rFonts w:ascii="Cambria Math" w:hAnsi="Cambria Math" w:cs="Arial"/>
            </w:rPr>
            <m:t>19,250</m:t>
          </m:r>
          <m:r>
            <m:rPr>
              <m:nor/>
            </m:rPr>
            <w:rPr>
              <w:rFonts w:ascii="Arial" w:hAnsi="Arial" w:cs="Arial"/>
            </w:rPr>
            <m:t xml:space="preserve"> mSv/h</m:t>
          </m:r>
          <m:r>
            <m:rPr>
              <m:sty m:val="p"/>
            </m:rPr>
            <w:rPr>
              <w:rFonts w:ascii="Cambria Math" w:hAnsi="Cambria Math" w:cs="Arial"/>
            </w:rPr>
            <w:br/>
          </m:r>
        </m:oMath>
        <m:oMath>
          <m:acc>
            <m:accPr>
              <m:chr m:val="̇"/>
              <m:ctrlPr>
                <w:rPr>
                  <w:rFonts w:ascii="Cambria Math" w:hAnsi="Cambria Math" w:cs="Arial"/>
                </w:rPr>
              </m:ctrlPr>
            </m:accPr>
            <m:e>
              <m:r>
                <w:rPr>
                  <w:rFonts w:ascii="Cambria Math" w:hAnsi="Cambria Math" w:cs="Arial"/>
                </w:rPr>
                <m:t>D</m:t>
              </m:r>
            </m:e>
          </m:acc>
          <m:r>
            <w:rPr>
              <w:rFonts w:ascii="Cambria Math" w:hAnsi="Cambria Math" w:cs="Arial"/>
            </w:rPr>
            <m:t>≈19</m:t>
          </m:r>
          <m:sSup>
            <m:sSupPr>
              <m:ctrlPr>
                <w:rPr>
                  <w:rFonts w:ascii="Cambria Math" w:hAnsi="Cambria Math" w:cs="Arial"/>
                </w:rPr>
              </m:ctrlPr>
            </m:sSupPr>
            <m:e>
              <m:r>
                <m:rPr>
                  <m:nor/>
                </m:rPr>
                <w:rPr>
                  <w:rFonts w:ascii="Arial" w:hAnsi="Arial" w:cs="Arial"/>
                </w:rPr>
                <m:t xml:space="preserve"> Sv h</m:t>
              </m:r>
            </m:e>
            <m:sup>
              <m:r>
                <w:rPr>
                  <w:rFonts w:ascii="Cambria Math" w:hAnsi="Cambria Math" w:cs="Arial"/>
                </w:rPr>
                <m:t>-1</m:t>
              </m:r>
            </m:sup>
          </m:sSup>
          <m:r>
            <m:rPr>
              <m:sty m:val="p"/>
            </m:rPr>
            <w:rPr>
              <w:rFonts w:ascii="Cambria Math" w:hAnsi="Cambria Math" w:cs="Arial"/>
            </w:rPr>
            <w:br/>
          </m:r>
        </m:oMath>
      </m:oMathPara>
    </w:p>
    <w:p w14:paraId="1A8606AD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So:</w:t>
      </w:r>
    </w:p>
    <w:p w14:paraId="22BAD73E" w14:textId="1A54521B" w:rsidR="002B5C27" w:rsidRPr="00BC5C3C" w:rsidRDefault="00000000" w:rsidP="002B5C27">
      <w:pPr>
        <w:rPr>
          <w:rFonts w:ascii="Arial" w:hAnsi="Arial" w:cs="Arial"/>
        </w:rPr>
      </w:pPr>
      <m:oMathPara>
        <m:oMath>
          <m:borderBox>
            <m:borderBoxPr>
              <m:ctrlPr>
                <w:rPr>
                  <w:rFonts w:ascii="Cambria Math" w:hAnsi="Cambria Math" w:cs="Arial"/>
                </w:rPr>
              </m:ctrlPr>
            </m:borderBoxPr>
            <m:e>
              <m:r>
                <w:rPr>
                  <w:rFonts w:ascii="Cambria Math" w:hAnsi="Cambria Math" w:cs="Arial"/>
                </w:rPr>
                <m:t>19</m:t>
              </m:r>
              <m:r>
                <m:rPr>
                  <m:nor/>
                </m:rPr>
                <w:rPr>
                  <w:rFonts w:ascii="Arial" w:hAnsi="Arial" w:cs="Arial"/>
                </w:rPr>
                <m:t>–</m:t>
              </m:r>
              <m:r>
                <w:rPr>
                  <w:rFonts w:ascii="Cambria Math" w:hAnsi="Cambria Math" w:cs="Arial"/>
                </w:rPr>
                <m:t>21</m:t>
              </m:r>
              <m:sSup>
                <m:sSupPr>
                  <m:ctrlPr>
                    <w:rPr>
                      <w:rFonts w:ascii="Cambria Math" w:hAnsi="Cambria Math" w:cs="Arial"/>
                    </w:rPr>
                  </m:ctrlPr>
                </m:sSupPr>
                <m:e>
                  <m:r>
                    <m:rPr>
                      <m:nor/>
                    </m:rPr>
                    <w:rPr>
                      <w:rFonts w:ascii="Arial" w:hAnsi="Arial" w:cs="Arial"/>
                    </w:rPr>
                    <m:t xml:space="preserve"> Sv h</m:t>
                  </m:r>
                </m:e>
                <m:sup>
                  <m:r>
                    <w:rPr>
                      <w:rFonts w:ascii="Cambria Math" w:hAnsi="Cambria Math" w:cs="Arial"/>
                    </w:rPr>
                    <m:t>-1</m:t>
                  </m:r>
                </m:sup>
              </m:sSup>
            </m:e>
          </m:borderBox>
          <m:r>
            <m:rPr>
              <m:sty m:val="p"/>
            </m:rPr>
            <w:rPr>
              <w:rFonts w:ascii="Cambria Math" w:hAnsi="Cambria Math" w:cs="Arial"/>
            </w:rPr>
            <w:br/>
          </m:r>
        </m:oMath>
      </m:oMathPara>
    </w:p>
    <w:p w14:paraId="74E0286E" w14:textId="77777777" w:rsidR="002B5C27" w:rsidRPr="00BC5C3C" w:rsidRDefault="00000000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pict w14:anchorId="3FAA2A6E">
          <v:rect id="_x0000_i1032" style="width:0;height:1.5pt" o:hralign="center" o:hrstd="t" o:hr="t" fillcolor="#a0a0a0" stroked="f"/>
        </w:pict>
      </w:r>
    </w:p>
    <w:p w14:paraId="567C0C08" w14:textId="77777777" w:rsidR="002B5C27" w:rsidRPr="00BC5C3C" w:rsidRDefault="002B5C27" w:rsidP="002B5C27">
      <w:pPr>
        <w:rPr>
          <w:rFonts w:ascii="Arial" w:hAnsi="Arial" w:cs="Arial"/>
          <w:b/>
          <w:bCs/>
        </w:rPr>
      </w:pPr>
      <w:r w:rsidRPr="00BC5C3C">
        <w:rPr>
          <w:rFonts w:ascii="Arial" w:hAnsi="Arial" w:cs="Arial"/>
          <w:b/>
          <w:bCs/>
        </w:rPr>
        <w:t>2.4 Threshold phase (~2.5 m)</w:t>
      </w:r>
    </w:p>
    <w:p w14:paraId="6FE66359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lastRenderedPageBreak/>
        <w:t>Inverse-square scaling:</w:t>
      </w:r>
    </w:p>
    <w:p w14:paraId="747E425E" w14:textId="370D9624" w:rsidR="002B5C27" w:rsidRPr="00BC5C3C" w:rsidRDefault="00000000" w:rsidP="002B5C27">
      <w:pPr>
        <w:rPr>
          <w:rFonts w:ascii="Arial" w:hAnsi="Arial" w:cs="Arial"/>
        </w:rPr>
      </w:pPr>
      <m:oMathPara>
        <m:oMath>
          <m:sSub>
            <m:sSubPr>
              <m:ctrlPr>
                <w:rPr>
                  <w:rFonts w:ascii="Cambria Math" w:hAnsi="Cambria Math" w:cs="Arial"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 w:cs="Arial"/>
                    </w:rPr>
                  </m:ctrlPr>
                </m:accPr>
                <m:e>
                  <m:r>
                    <w:rPr>
                      <w:rFonts w:ascii="Cambria Math" w:hAnsi="Cambria Math" w:cs="Arial"/>
                    </w:rPr>
                    <m:t>D</m:t>
                  </m:r>
                </m:e>
              </m:acc>
            </m:e>
            <m:sub>
              <m:r>
                <w:rPr>
                  <w:rFonts w:ascii="Cambria Math" w:hAnsi="Cambria Math" w:cs="Arial"/>
                </w:rPr>
                <m:t>2.5m</m:t>
              </m:r>
            </m:sub>
          </m:sSub>
          <m:r>
            <w:rPr>
              <w:rFonts w:ascii="Cambria Math" w:hAnsi="Cambria Math" w:cs="Arial"/>
            </w:rPr>
            <m:t>=</m:t>
          </m:r>
          <m:f>
            <m:fPr>
              <m:ctrlPr>
                <w:rPr>
                  <w:rFonts w:ascii="Cambria Math" w:hAnsi="Cambria Math" w:cs="Arial"/>
                </w:rPr>
              </m:ctrlPr>
            </m:fPr>
            <m:num>
              <m:r>
                <w:rPr>
                  <w:rFonts w:ascii="Cambria Math" w:hAnsi="Cambria Math" w:cs="Arial"/>
                </w:rPr>
                <m:t>19</m:t>
              </m:r>
            </m:num>
            <m:den>
              <m:sSup>
                <m:sSupPr>
                  <m:ctrlPr>
                    <w:rPr>
                      <w:rFonts w:ascii="Cambria Math" w:hAnsi="Cambria Math" w:cs="Arial"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2.5</m:t>
                  </m:r>
                </m:e>
                <m:sup>
                  <m:r>
                    <w:rPr>
                      <w:rFonts w:ascii="Cambria Math" w:hAnsi="Cambria Math" w:cs="Arial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 w:cs="Arial"/>
            </w:rPr>
            <m:t>≈</m:t>
          </m:r>
          <m:f>
            <m:fPr>
              <m:ctrlPr>
                <w:rPr>
                  <w:rFonts w:ascii="Cambria Math" w:hAnsi="Cambria Math" w:cs="Arial"/>
                </w:rPr>
              </m:ctrlPr>
            </m:fPr>
            <m:num>
              <m:r>
                <w:rPr>
                  <w:rFonts w:ascii="Cambria Math" w:hAnsi="Cambria Math" w:cs="Arial"/>
                </w:rPr>
                <m:t>19</m:t>
              </m:r>
            </m:num>
            <m:den>
              <m:r>
                <w:rPr>
                  <w:rFonts w:ascii="Cambria Math" w:hAnsi="Cambria Math" w:cs="Arial"/>
                </w:rPr>
                <m:t>6.25</m:t>
              </m:r>
            </m:den>
          </m:f>
          <m:r>
            <w:rPr>
              <w:rFonts w:ascii="Cambria Math" w:hAnsi="Cambria Math" w:cs="Arial"/>
            </w:rPr>
            <m:t>≈3.0</m:t>
          </m:r>
          <m:sSup>
            <m:sSupPr>
              <m:ctrlPr>
                <w:rPr>
                  <w:rFonts w:ascii="Cambria Math" w:hAnsi="Cambria Math" w:cs="Arial"/>
                </w:rPr>
              </m:ctrlPr>
            </m:sSupPr>
            <m:e>
              <m:r>
                <m:rPr>
                  <m:nor/>
                </m:rPr>
                <w:rPr>
                  <w:rFonts w:ascii="Arial" w:hAnsi="Arial" w:cs="Arial"/>
                </w:rPr>
                <m:t xml:space="preserve"> Sv h</m:t>
              </m:r>
            </m:e>
            <m:sup>
              <m:r>
                <w:rPr>
                  <w:rFonts w:ascii="Cambria Math" w:hAnsi="Cambria Math" w:cs="Arial"/>
                </w:rPr>
                <m:t>-1</m:t>
              </m:r>
            </m:sup>
          </m:sSup>
          <m:r>
            <m:rPr>
              <m:sty m:val="p"/>
            </m:rPr>
            <w:rPr>
              <w:rFonts w:ascii="Cambria Math" w:hAnsi="Cambria Math" w:cs="Arial"/>
            </w:rPr>
            <w:br/>
          </m:r>
        </m:oMath>
      </m:oMathPara>
    </w:p>
    <w:p w14:paraId="2AC505DD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Apply attenuation (4–8%):</w:t>
      </w:r>
    </w:p>
    <w:p w14:paraId="637EB08C" w14:textId="585D570F" w:rsidR="002B5C27" w:rsidRPr="00BC5C3C" w:rsidRDefault="00000000" w:rsidP="002B5C27">
      <w:pPr>
        <w:rPr>
          <w:rFonts w:ascii="Arial" w:hAnsi="Arial" w:cs="Arial"/>
        </w:rPr>
      </w:pPr>
      <m:oMathPara>
        <m:oMath>
          <m:acc>
            <m:accPr>
              <m:chr m:val="̇"/>
              <m:ctrlPr>
                <w:rPr>
                  <w:rFonts w:ascii="Cambria Math" w:hAnsi="Cambria Math" w:cs="Arial"/>
                </w:rPr>
              </m:ctrlPr>
            </m:accPr>
            <m:e>
              <m:r>
                <w:rPr>
                  <w:rFonts w:ascii="Cambria Math" w:hAnsi="Cambria Math" w:cs="Arial"/>
                </w:rPr>
                <m:t>D</m:t>
              </m:r>
            </m:e>
          </m:acc>
          <m:r>
            <w:rPr>
              <w:rFonts w:ascii="Cambria Math" w:hAnsi="Cambria Math" w:cs="Arial"/>
            </w:rPr>
            <m:t>≈0.12</m:t>
          </m:r>
          <m:r>
            <m:rPr>
              <m:nor/>
            </m:rPr>
            <w:rPr>
              <w:rFonts w:ascii="Arial" w:hAnsi="Arial" w:cs="Arial"/>
            </w:rPr>
            <m:t>–</m:t>
          </m:r>
          <m:r>
            <w:rPr>
              <w:rFonts w:ascii="Cambria Math" w:hAnsi="Cambria Math" w:cs="Arial"/>
            </w:rPr>
            <m:t>0.24</m:t>
          </m:r>
          <m:sSup>
            <m:sSupPr>
              <m:ctrlPr>
                <w:rPr>
                  <w:rFonts w:ascii="Cambria Math" w:hAnsi="Cambria Math" w:cs="Arial"/>
                </w:rPr>
              </m:ctrlPr>
            </m:sSupPr>
            <m:e>
              <m:r>
                <m:rPr>
                  <m:nor/>
                </m:rPr>
                <w:rPr>
                  <w:rFonts w:ascii="Arial" w:hAnsi="Arial" w:cs="Arial"/>
                </w:rPr>
                <m:t xml:space="preserve"> Sv h</m:t>
              </m:r>
            </m:e>
            <m:sup>
              <m:r>
                <w:rPr>
                  <w:rFonts w:ascii="Cambria Math" w:hAnsi="Cambria Math" w:cs="Arial"/>
                </w:rPr>
                <m:t>-1</m:t>
              </m:r>
            </m:sup>
          </m:sSup>
          <m:r>
            <m:rPr>
              <m:sty m:val="p"/>
            </m:rPr>
            <w:rPr>
              <w:rFonts w:ascii="Cambria Math" w:hAnsi="Cambria Math" w:cs="Arial"/>
            </w:rPr>
            <w:br/>
          </m:r>
        </m:oMath>
      </m:oMathPara>
    </w:p>
    <w:p w14:paraId="0E47CCB8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Accept:</w:t>
      </w:r>
    </w:p>
    <w:p w14:paraId="73856ADC" w14:textId="187074DD" w:rsidR="002B5C27" w:rsidRPr="00BC5C3C" w:rsidRDefault="00000000" w:rsidP="002B5C27">
      <w:pPr>
        <w:rPr>
          <w:rFonts w:ascii="Arial" w:hAnsi="Arial" w:cs="Arial"/>
        </w:rPr>
      </w:pPr>
      <m:oMathPara>
        <m:oMath>
          <m:borderBox>
            <m:borderBoxPr>
              <m:ctrlPr>
                <w:rPr>
                  <w:rFonts w:ascii="Cambria Math" w:hAnsi="Cambria Math" w:cs="Arial"/>
                </w:rPr>
              </m:ctrlPr>
            </m:borderBoxPr>
            <m:e>
              <m:r>
                <w:rPr>
                  <w:rFonts w:ascii="Cambria Math" w:hAnsi="Cambria Math" w:cs="Arial"/>
                </w:rPr>
                <m:t>0.12</m:t>
              </m:r>
              <m:r>
                <m:rPr>
                  <m:nor/>
                </m:rPr>
                <w:rPr>
                  <w:rFonts w:ascii="Arial" w:hAnsi="Arial" w:cs="Arial"/>
                </w:rPr>
                <m:t>–</m:t>
              </m:r>
              <m:r>
                <w:rPr>
                  <w:rFonts w:ascii="Cambria Math" w:hAnsi="Cambria Math" w:cs="Arial"/>
                </w:rPr>
                <m:t>0.27</m:t>
              </m:r>
              <m:sSup>
                <m:sSupPr>
                  <m:ctrlPr>
                    <w:rPr>
                      <w:rFonts w:ascii="Cambria Math" w:hAnsi="Cambria Math" w:cs="Arial"/>
                    </w:rPr>
                  </m:ctrlPr>
                </m:sSupPr>
                <m:e>
                  <m:r>
                    <m:rPr>
                      <m:nor/>
                    </m:rPr>
                    <w:rPr>
                      <w:rFonts w:ascii="Arial" w:hAnsi="Arial" w:cs="Arial"/>
                    </w:rPr>
                    <m:t xml:space="preserve"> Sv h</m:t>
                  </m:r>
                </m:e>
                <m:sup>
                  <m:r>
                    <w:rPr>
                      <w:rFonts w:ascii="Cambria Math" w:hAnsi="Cambria Math" w:cs="Arial"/>
                    </w:rPr>
                    <m:t>-1</m:t>
                  </m:r>
                </m:sup>
              </m:sSup>
            </m:e>
          </m:borderBox>
          <m:r>
            <m:rPr>
              <m:sty m:val="p"/>
            </m:rPr>
            <w:rPr>
              <w:rFonts w:ascii="Cambria Math" w:hAnsi="Cambria Math" w:cs="Arial"/>
            </w:rPr>
            <w:br/>
          </m:r>
        </m:oMath>
      </m:oMathPara>
    </w:p>
    <w:p w14:paraId="606166B7" w14:textId="77777777" w:rsidR="002B5C27" w:rsidRPr="00BC5C3C" w:rsidRDefault="00000000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pict w14:anchorId="7E2A8849">
          <v:rect id="_x0000_i1033" style="width:0;height:1.5pt" o:hralign="center" o:hrstd="t" o:hr="t" fillcolor="#a0a0a0" stroked="f"/>
        </w:pict>
      </w:r>
    </w:p>
    <w:p w14:paraId="13AE70CC" w14:textId="77777777" w:rsidR="002B5C27" w:rsidRPr="00BC5C3C" w:rsidRDefault="002B5C27" w:rsidP="002B5C27">
      <w:pPr>
        <w:rPr>
          <w:rFonts w:ascii="Arial" w:hAnsi="Arial" w:cs="Arial"/>
          <w:b/>
          <w:bCs/>
        </w:rPr>
      </w:pPr>
      <w:r w:rsidRPr="00BC5C3C">
        <w:rPr>
          <w:rFonts w:ascii="Arial" w:hAnsi="Arial" w:cs="Arial"/>
          <w:b/>
          <w:bCs/>
        </w:rPr>
        <w:t>2.5 Close inspection phase (~1.2 m)</w:t>
      </w:r>
    </w:p>
    <w:p w14:paraId="2629EE52" w14:textId="21C87AA6" w:rsidR="002B5C27" w:rsidRPr="00BC5C3C" w:rsidRDefault="00000000" w:rsidP="002B5C27">
      <w:pPr>
        <w:rPr>
          <w:rFonts w:ascii="Arial" w:hAnsi="Arial" w:cs="Arial"/>
        </w:rPr>
      </w:pPr>
      <m:oMathPara>
        <m:oMath>
          <m:sSub>
            <m:sSubPr>
              <m:ctrlPr>
                <w:rPr>
                  <w:rFonts w:ascii="Cambria Math" w:hAnsi="Cambria Math" w:cs="Arial"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 w:cs="Arial"/>
                    </w:rPr>
                  </m:ctrlPr>
                </m:accPr>
                <m:e>
                  <m:r>
                    <w:rPr>
                      <w:rFonts w:ascii="Cambria Math" w:hAnsi="Cambria Math" w:cs="Arial"/>
                    </w:rPr>
                    <m:t>D</m:t>
                  </m:r>
                </m:e>
              </m:acc>
            </m:e>
            <m:sub>
              <m:r>
                <w:rPr>
                  <w:rFonts w:ascii="Cambria Math" w:hAnsi="Cambria Math" w:cs="Arial"/>
                </w:rPr>
                <m:t>1.2m</m:t>
              </m:r>
            </m:sub>
          </m:sSub>
          <m:r>
            <w:rPr>
              <w:rFonts w:ascii="Cambria Math" w:hAnsi="Cambria Math" w:cs="Arial"/>
            </w:rPr>
            <m:t>=</m:t>
          </m:r>
          <m:f>
            <m:fPr>
              <m:ctrlPr>
                <w:rPr>
                  <w:rFonts w:ascii="Cambria Math" w:hAnsi="Cambria Math" w:cs="Arial"/>
                </w:rPr>
              </m:ctrlPr>
            </m:fPr>
            <m:num>
              <m:r>
                <w:rPr>
                  <w:rFonts w:ascii="Cambria Math" w:hAnsi="Cambria Math" w:cs="Arial"/>
                </w:rPr>
                <m:t>19</m:t>
              </m:r>
            </m:num>
            <m:den>
              <m:sSup>
                <m:sSupPr>
                  <m:ctrlPr>
                    <w:rPr>
                      <w:rFonts w:ascii="Cambria Math" w:hAnsi="Cambria Math" w:cs="Arial"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1.2</m:t>
                  </m:r>
                </m:e>
                <m:sup>
                  <m:r>
                    <w:rPr>
                      <w:rFonts w:ascii="Cambria Math" w:hAnsi="Cambria Math" w:cs="Arial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 w:cs="Arial"/>
            </w:rPr>
            <m:t>≈</m:t>
          </m:r>
          <m:f>
            <m:fPr>
              <m:ctrlPr>
                <w:rPr>
                  <w:rFonts w:ascii="Cambria Math" w:hAnsi="Cambria Math" w:cs="Arial"/>
                </w:rPr>
              </m:ctrlPr>
            </m:fPr>
            <m:num>
              <m:r>
                <w:rPr>
                  <w:rFonts w:ascii="Cambria Math" w:hAnsi="Cambria Math" w:cs="Arial"/>
                </w:rPr>
                <m:t>19</m:t>
              </m:r>
            </m:num>
            <m:den>
              <m:r>
                <w:rPr>
                  <w:rFonts w:ascii="Cambria Math" w:hAnsi="Cambria Math" w:cs="Arial"/>
                </w:rPr>
                <m:t>1.44</m:t>
              </m:r>
            </m:den>
          </m:f>
          <m:r>
            <w:rPr>
              <w:rFonts w:ascii="Cambria Math" w:hAnsi="Cambria Math" w:cs="Arial"/>
            </w:rPr>
            <m:t>≈13.2</m:t>
          </m:r>
          <m:sSup>
            <m:sSupPr>
              <m:ctrlPr>
                <w:rPr>
                  <w:rFonts w:ascii="Cambria Math" w:hAnsi="Cambria Math" w:cs="Arial"/>
                </w:rPr>
              </m:ctrlPr>
            </m:sSupPr>
            <m:e>
              <m:r>
                <m:rPr>
                  <m:nor/>
                </m:rPr>
                <w:rPr>
                  <w:rFonts w:ascii="Arial" w:hAnsi="Arial" w:cs="Arial"/>
                </w:rPr>
                <m:t xml:space="preserve"> Sv h</m:t>
              </m:r>
            </m:e>
            <m:sup>
              <m:r>
                <w:rPr>
                  <w:rFonts w:ascii="Cambria Math" w:hAnsi="Cambria Math" w:cs="Arial"/>
                </w:rPr>
                <m:t>-1</m:t>
              </m:r>
            </m:sup>
          </m:sSup>
          <m:r>
            <m:rPr>
              <m:sty m:val="p"/>
            </m:rPr>
            <w:rPr>
              <w:rFonts w:ascii="Cambria Math" w:hAnsi="Cambria Math" w:cs="Arial"/>
            </w:rPr>
            <w:br/>
          </m:r>
        </m:oMath>
      </m:oMathPara>
    </w:p>
    <w:p w14:paraId="31A879B6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Apply attenuation (12–20%):</w:t>
      </w:r>
    </w:p>
    <w:p w14:paraId="2751FE41" w14:textId="67585CD4" w:rsidR="002B5C27" w:rsidRPr="00BC5C3C" w:rsidRDefault="00000000" w:rsidP="002B5C27">
      <w:pPr>
        <w:rPr>
          <w:rFonts w:ascii="Arial" w:hAnsi="Arial" w:cs="Arial"/>
        </w:rPr>
      </w:pPr>
      <m:oMathPara>
        <m:oMath>
          <m:acc>
            <m:accPr>
              <m:chr m:val="̇"/>
              <m:ctrlPr>
                <w:rPr>
                  <w:rFonts w:ascii="Cambria Math" w:hAnsi="Cambria Math" w:cs="Arial"/>
                </w:rPr>
              </m:ctrlPr>
            </m:accPr>
            <m:e>
              <m:r>
                <w:rPr>
                  <w:rFonts w:ascii="Cambria Math" w:hAnsi="Cambria Math" w:cs="Arial"/>
                </w:rPr>
                <m:t>D</m:t>
              </m:r>
            </m:e>
          </m:acc>
          <m:r>
            <w:rPr>
              <w:rFonts w:ascii="Cambria Math" w:hAnsi="Cambria Math" w:cs="Arial"/>
            </w:rPr>
            <m:t>≈1.6</m:t>
          </m:r>
          <m:r>
            <m:rPr>
              <m:nor/>
            </m:rPr>
            <w:rPr>
              <w:rFonts w:ascii="Arial" w:hAnsi="Arial" w:cs="Arial"/>
            </w:rPr>
            <m:t>–</m:t>
          </m:r>
          <m:r>
            <w:rPr>
              <w:rFonts w:ascii="Cambria Math" w:hAnsi="Cambria Math" w:cs="Arial"/>
            </w:rPr>
            <m:t>2.6</m:t>
          </m:r>
          <m:sSup>
            <m:sSupPr>
              <m:ctrlPr>
                <w:rPr>
                  <w:rFonts w:ascii="Cambria Math" w:hAnsi="Cambria Math" w:cs="Arial"/>
                </w:rPr>
              </m:ctrlPr>
            </m:sSupPr>
            <m:e>
              <m:r>
                <m:rPr>
                  <m:nor/>
                </m:rPr>
                <w:rPr>
                  <w:rFonts w:ascii="Arial" w:hAnsi="Arial" w:cs="Arial"/>
                </w:rPr>
                <m:t xml:space="preserve"> Sv h</m:t>
              </m:r>
            </m:e>
            <m:sup>
              <m:r>
                <w:rPr>
                  <w:rFonts w:ascii="Cambria Math" w:hAnsi="Cambria Math" w:cs="Arial"/>
                </w:rPr>
                <m:t>-1</m:t>
              </m:r>
            </m:sup>
          </m:sSup>
          <m:r>
            <m:rPr>
              <m:sty m:val="p"/>
            </m:rPr>
            <w:rPr>
              <w:rFonts w:ascii="Cambria Math" w:hAnsi="Cambria Math" w:cs="Arial"/>
            </w:rPr>
            <w:br/>
          </m:r>
        </m:oMath>
      </m:oMathPara>
    </w:p>
    <w:p w14:paraId="0F93D3DD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Allow:</w:t>
      </w:r>
    </w:p>
    <w:p w14:paraId="35338D5E" w14:textId="0915786E" w:rsidR="002B5C27" w:rsidRPr="00BC5C3C" w:rsidRDefault="00000000" w:rsidP="002B5C27">
      <w:pPr>
        <w:rPr>
          <w:rFonts w:ascii="Arial" w:hAnsi="Arial" w:cs="Arial"/>
        </w:rPr>
      </w:pPr>
      <m:oMathPara>
        <m:oMath>
          <m:borderBox>
            <m:borderBoxPr>
              <m:ctrlPr>
                <w:rPr>
                  <w:rFonts w:ascii="Cambria Math" w:hAnsi="Cambria Math" w:cs="Arial"/>
                </w:rPr>
              </m:ctrlPr>
            </m:borderBoxPr>
            <m:e>
              <m:r>
                <w:rPr>
                  <w:rFonts w:ascii="Cambria Math" w:hAnsi="Cambria Math" w:cs="Arial"/>
                </w:rPr>
                <m:t>1.7</m:t>
              </m:r>
              <m:r>
                <m:rPr>
                  <m:nor/>
                </m:rPr>
                <w:rPr>
                  <w:rFonts w:ascii="Arial" w:hAnsi="Arial" w:cs="Arial"/>
                </w:rPr>
                <m:t>–</m:t>
              </m:r>
              <m:r>
                <w:rPr>
                  <w:rFonts w:ascii="Cambria Math" w:hAnsi="Cambria Math" w:cs="Arial"/>
                </w:rPr>
                <m:t>3.5</m:t>
              </m:r>
              <m:sSup>
                <m:sSupPr>
                  <m:ctrlPr>
                    <w:rPr>
                      <w:rFonts w:ascii="Cambria Math" w:hAnsi="Cambria Math" w:cs="Arial"/>
                    </w:rPr>
                  </m:ctrlPr>
                </m:sSupPr>
                <m:e>
                  <m:r>
                    <m:rPr>
                      <m:nor/>
                    </m:rPr>
                    <w:rPr>
                      <w:rFonts w:ascii="Arial" w:hAnsi="Arial" w:cs="Arial"/>
                    </w:rPr>
                    <m:t xml:space="preserve"> Sv h</m:t>
                  </m:r>
                </m:e>
                <m:sup>
                  <m:r>
                    <w:rPr>
                      <w:rFonts w:ascii="Cambria Math" w:hAnsi="Cambria Math" w:cs="Arial"/>
                    </w:rPr>
                    <m:t>-1</m:t>
                  </m:r>
                </m:sup>
              </m:sSup>
            </m:e>
          </m:borderBox>
          <m:r>
            <m:rPr>
              <m:sty m:val="p"/>
            </m:rPr>
            <w:rPr>
              <w:rFonts w:ascii="Cambria Math" w:hAnsi="Cambria Math" w:cs="Arial"/>
            </w:rPr>
            <w:br/>
          </m:r>
        </m:oMath>
      </m:oMathPara>
    </w:p>
    <w:p w14:paraId="15C31EF3" w14:textId="77777777" w:rsidR="002B5C27" w:rsidRPr="00BC5C3C" w:rsidRDefault="00000000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pict w14:anchorId="40BB5FEA">
          <v:rect id="_x0000_i1034" style="width:0;height:1.5pt" o:hralign="center" o:hrstd="t" o:hr="t" fillcolor="#a0a0a0" stroked="f"/>
        </w:pict>
      </w:r>
    </w:p>
    <w:p w14:paraId="798714E9" w14:textId="77777777" w:rsidR="002B5C27" w:rsidRPr="00BC5C3C" w:rsidRDefault="002B5C27" w:rsidP="002B5C27">
      <w:pPr>
        <w:rPr>
          <w:rFonts w:ascii="Arial" w:hAnsi="Arial" w:cs="Arial"/>
          <w:b/>
          <w:bCs/>
        </w:rPr>
      </w:pPr>
      <w:r w:rsidRPr="00BC5C3C">
        <w:rPr>
          <w:rFonts w:ascii="Arial" w:hAnsi="Arial" w:cs="Arial"/>
          <w:b/>
          <w:bCs/>
        </w:rPr>
        <w:t>2.6 Estimated effective dose</w:t>
      </w:r>
    </w:p>
    <w:p w14:paraId="4E3A172B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Threshold phase (45–60 s):</w:t>
      </w:r>
    </w:p>
    <w:p w14:paraId="2597B573" w14:textId="1E64A1B1" w:rsidR="002B5C27" w:rsidRPr="00BC5C3C" w:rsidRDefault="002B5C27" w:rsidP="002B5C27">
      <w:pPr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D≈0.2×</m:t>
          </m:r>
          <m:f>
            <m:fPr>
              <m:ctrlPr>
                <w:rPr>
                  <w:rFonts w:ascii="Cambria Math" w:hAnsi="Cambria Math" w:cs="Arial"/>
                </w:rPr>
              </m:ctrlPr>
            </m:fPr>
            <m:num>
              <m:r>
                <w:rPr>
                  <w:rFonts w:ascii="Cambria Math" w:hAnsi="Cambria Math" w:cs="Arial"/>
                </w:rPr>
                <m:t>45</m:t>
              </m:r>
              <m:r>
                <m:rPr>
                  <m:nor/>
                </m:rPr>
                <w:rPr>
                  <w:rFonts w:ascii="Arial" w:hAnsi="Arial" w:cs="Arial"/>
                </w:rPr>
                <m:t>–</m:t>
              </m:r>
              <m:r>
                <w:rPr>
                  <w:rFonts w:ascii="Cambria Math" w:hAnsi="Cambria Math" w:cs="Arial"/>
                </w:rPr>
                <m:t>60</m:t>
              </m:r>
            </m:num>
            <m:den>
              <m:r>
                <w:rPr>
                  <w:rFonts w:ascii="Cambria Math" w:hAnsi="Cambria Math" w:cs="Arial"/>
                </w:rPr>
                <m:t>3600</m:t>
              </m:r>
            </m:den>
          </m:f>
          <m:r>
            <w:rPr>
              <w:rFonts w:ascii="Cambria Math" w:hAnsi="Cambria Math" w:cs="Arial"/>
            </w:rPr>
            <m:t>≈2.5</m:t>
          </m:r>
          <m:r>
            <m:rPr>
              <m:nor/>
            </m:rPr>
            <w:rPr>
              <w:rFonts w:ascii="Arial" w:hAnsi="Arial" w:cs="Arial"/>
            </w:rPr>
            <m:t>–</m:t>
          </m:r>
          <m:r>
            <w:rPr>
              <w:rFonts w:ascii="Cambria Math" w:hAnsi="Cambria Math" w:cs="Arial"/>
            </w:rPr>
            <m:t>4.0</m:t>
          </m:r>
          <m:r>
            <m:rPr>
              <m:nor/>
            </m:rPr>
            <w:rPr>
              <w:rFonts w:ascii="Arial" w:hAnsi="Arial" w:cs="Arial"/>
            </w:rPr>
            <m:t xml:space="preserve"> mSv</m:t>
          </m:r>
          <m:r>
            <m:rPr>
              <m:sty m:val="p"/>
            </m:rPr>
            <w:rPr>
              <w:rFonts w:ascii="Cambria Math" w:hAnsi="Cambria Math" w:cs="Arial"/>
            </w:rPr>
            <w:br/>
          </m:r>
        </m:oMath>
      </m:oMathPara>
    </w:p>
    <w:p w14:paraId="4818B4AC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Close phase (10–20 s):</w:t>
      </w:r>
    </w:p>
    <w:p w14:paraId="76D817A7" w14:textId="62570CDF" w:rsidR="002B5C27" w:rsidRPr="00BC5C3C" w:rsidRDefault="002B5C27" w:rsidP="002B5C27">
      <w:pPr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D≈2.2×</m:t>
          </m:r>
          <m:f>
            <m:fPr>
              <m:ctrlPr>
                <w:rPr>
                  <w:rFonts w:ascii="Cambria Math" w:hAnsi="Cambria Math" w:cs="Arial"/>
                </w:rPr>
              </m:ctrlPr>
            </m:fPr>
            <m:num>
              <m:r>
                <w:rPr>
                  <w:rFonts w:ascii="Cambria Math" w:hAnsi="Cambria Math" w:cs="Arial"/>
                </w:rPr>
                <m:t>10</m:t>
              </m:r>
              <m:r>
                <m:rPr>
                  <m:nor/>
                </m:rPr>
                <w:rPr>
                  <w:rFonts w:ascii="Arial" w:hAnsi="Arial" w:cs="Arial"/>
                </w:rPr>
                <m:t>–</m:t>
              </m:r>
              <m:r>
                <w:rPr>
                  <w:rFonts w:ascii="Cambria Math" w:hAnsi="Cambria Math" w:cs="Arial"/>
                </w:rPr>
                <m:t>20</m:t>
              </m:r>
            </m:num>
            <m:den>
              <m:r>
                <w:rPr>
                  <w:rFonts w:ascii="Cambria Math" w:hAnsi="Cambria Math" w:cs="Arial"/>
                </w:rPr>
                <m:t>3600</m:t>
              </m:r>
            </m:den>
          </m:f>
          <m:r>
            <w:rPr>
              <w:rFonts w:ascii="Cambria Math" w:hAnsi="Cambria Math" w:cs="Arial"/>
            </w:rPr>
            <m:t>≈6</m:t>
          </m:r>
          <m:r>
            <m:rPr>
              <m:nor/>
            </m:rPr>
            <w:rPr>
              <w:rFonts w:ascii="Arial" w:hAnsi="Arial" w:cs="Arial"/>
            </w:rPr>
            <m:t>–</m:t>
          </m:r>
          <m:r>
            <w:rPr>
              <w:rFonts w:ascii="Cambria Math" w:hAnsi="Cambria Math" w:cs="Arial"/>
            </w:rPr>
            <m:t>12</m:t>
          </m:r>
          <m:r>
            <m:rPr>
              <m:nor/>
            </m:rPr>
            <w:rPr>
              <w:rFonts w:ascii="Arial" w:hAnsi="Arial" w:cs="Arial"/>
            </w:rPr>
            <m:t xml:space="preserve"> mSv</m:t>
          </m:r>
          <m:r>
            <m:rPr>
              <m:sty m:val="p"/>
            </m:rPr>
            <w:rPr>
              <w:rFonts w:ascii="Cambria Math" w:hAnsi="Cambria Math" w:cs="Arial"/>
            </w:rPr>
            <w:br/>
          </m:r>
        </m:oMath>
      </m:oMathPara>
    </w:p>
    <w:p w14:paraId="5B105475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Total:</w:t>
      </w:r>
    </w:p>
    <w:p w14:paraId="1C84F0D6" w14:textId="426D66F9" w:rsidR="002B5C27" w:rsidRPr="00BC5C3C" w:rsidRDefault="00000000" w:rsidP="002B5C27">
      <w:pPr>
        <w:rPr>
          <w:rFonts w:ascii="Arial" w:hAnsi="Arial" w:cs="Arial"/>
        </w:rPr>
      </w:pPr>
      <m:oMathPara>
        <m:oMath>
          <m:borderBox>
            <m:borderBoxPr>
              <m:ctrlPr>
                <w:rPr>
                  <w:rFonts w:ascii="Cambria Math" w:hAnsi="Cambria Math" w:cs="Arial"/>
                </w:rPr>
              </m:ctrlPr>
            </m:borderBoxPr>
            <m:e>
              <m:r>
                <w:rPr>
                  <w:rFonts w:ascii="Cambria Math" w:hAnsi="Cambria Math" w:cs="Arial"/>
                </w:rPr>
                <m:t>12</m:t>
              </m:r>
              <m:r>
                <m:rPr>
                  <m:nor/>
                </m:rPr>
                <w:rPr>
                  <w:rFonts w:ascii="Arial" w:hAnsi="Arial" w:cs="Arial"/>
                </w:rPr>
                <m:t>–</m:t>
              </m:r>
              <m:r>
                <w:rPr>
                  <w:rFonts w:ascii="Cambria Math" w:hAnsi="Cambria Math" w:cs="Arial"/>
                </w:rPr>
                <m:t>25</m:t>
              </m:r>
              <m:r>
                <m:rPr>
                  <m:nor/>
                </m:rPr>
                <w:rPr>
                  <w:rFonts w:ascii="Arial" w:hAnsi="Arial" w:cs="Arial"/>
                </w:rPr>
                <m:t xml:space="preserve"> mSv</m:t>
              </m:r>
            </m:e>
          </m:borderBox>
          <m:r>
            <m:rPr>
              <m:sty m:val="p"/>
            </m:rPr>
            <w:rPr>
              <w:rFonts w:ascii="Cambria Math" w:hAnsi="Cambria Math" w:cs="Arial"/>
            </w:rPr>
            <w:br/>
          </m:r>
        </m:oMath>
      </m:oMathPara>
    </w:p>
    <w:p w14:paraId="3317FD89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Central estimate:</w:t>
      </w:r>
    </w:p>
    <w:p w14:paraId="3A6648A9" w14:textId="16D4A69A" w:rsidR="002B5C27" w:rsidRPr="00BC5C3C" w:rsidRDefault="00000000" w:rsidP="002B5C27">
      <w:pPr>
        <w:rPr>
          <w:rFonts w:ascii="Arial" w:hAnsi="Arial" w:cs="Arial"/>
        </w:rPr>
      </w:pPr>
      <m:oMathPara>
        <m:oMath>
          <m:borderBox>
            <m:borderBoxPr>
              <m:ctrlPr>
                <w:rPr>
                  <w:rFonts w:ascii="Cambria Math" w:hAnsi="Cambria Math" w:cs="Arial"/>
                </w:rPr>
              </m:ctrlPr>
            </m:borderBoxPr>
            <m:e>
              <m:r>
                <w:rPr>
                  <w:rFonts w:ascii="Cambria Math" w:hAnsi="Cambria Math" w:cs="Arial"/>
                </w:rPr>
                <m:t>16</m:t>
              </m:r>
              <m:r>
                <m:rPr>
                  <m:nor/>
                </m:rPr>
                <w:rPr>
                  <w:rFonts w:ascii="Arial" w:hAnsi="Arial" w:cs="Arial"/>
                </w:rPr>
                <m:t>–</m:t>
              </m:r>
              <m:r>
                <w:rPr>
                  <w:rFonts w:ascii="Cambria Math" w:hAnsi="Cambria Math" w:cs="Arial"/>
                </w:rPr>
                <m:t>20</m:t>
              </m:r>
              <m:r>
                <m:rPr>
                  <m:nor/>
                </m:rPr>
                <w:rPr>
                  <w:rFonts w:ascii="Arial" w:hAnsi="Arial" w:cs="Arial"/>
                </w:rPr>
                <m:t xml:space="preserve"> mSv</m:t>
              </m:r>
            </m:e>
          </m:borderBox>
          <m:r>
            <m:rPr>
              <m:sty m:val="p"/>
            </m:rPr>
            <w:rPr>
              <w:rFonts w:ascii="Cambria Math" w:hAnsi="Cambria Math" w:cs="Arial"/>
            </w:rPr>
            <w:br/>
          </m:r>
        </m:oMath>
      </m:oMathPara>
    </w:p>
    <w:p w14:paraId="00FE57B6" w14:textId="77777777" w:rsidR="002B5C27" w:rsidRPr="00BC5C3C" w:rsidRDefault="00000000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lastRenderedPageBreak/>
        <w:pict w14:anchorId="6F5B7689">
          <v:rect id="_x0000_i1035" style="width:0;height:1.5pt" o:hralign="center" o:hrstd="t" o:hr="t" fillcolor="#a0a0a0" stroked="f"/>
        </w:pict>
      </w:r>
    </w:p>
    <w:p w14:paraId="38778C34" w14:textId="77777777" w:rsidR="002B5C27" w:rsidRPr="00BC5C3C" w:rsidRDefault="002B5C27" w:rsidP="002B5C27">
      <w:pPr>
        <w:rPr>
          <w:rFonts w:ascii="Arial" w:hAnsi="Arial" w:cs="Arial"/>
          <w:b/>
          <w:bCs/>
        </w:rPr>
      </w:pPr>
      <w:r w:rsidRPr="00BC5C3C">
        <w:rPr>
          <w:rFonts w:ascii="Arial" w:hAnsi="Arial" w:cs="Arial"/>
          <w:b/>
          <w:bCs/>
        </w:rPr>
        <w:t>3. Comparison with dosimetry</w:t>
      </w:r>
    </w:p>
    <w:p w14:paraId="5D4A6B60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Measured:</w:t>
      </w:r>
    </w:p>
    <w:p w14:paraId="0B0627EE" w14:textId="77777777" w:rsidR="002B5C27" w:rsidRPr="00BC5C3C" w:rsidRDefault="002B5C27" w:rsidP="002B5C27">
      <w:pPr>
        <w:numPr>
          <w:ilvl w:val="0"/>
          <w:numId w:val="5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EPD = 14.8 mSv </w:t>
      </w:r>
    </w:p>
    <w:p w14:paraId="06369813" w14:textId="77777777" w:rsidR="002B5C27" w:rsidRPr="00BC5C3C" w:rsidRDefault="002B5C27" w:rsidP="002B5C27">
      <w:pPr>
        <w:numPr>
          <w:ilvl w:val="0"/>
          <w:numId w:val="5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TLD = 18.9 mSv </w:t>
      </w:r>
    </w:p>
    <w:p w14:paraId="7774D6BC" w14:textId="77777777" w:rsidR="002B5C27" w:rsidRPr="00BC5C3C" w:rsidRDefault="002B5C27" w:rsidP="002B5C27">
      <w:pPr>
        <w:numPr>
          <w:ilvl w:val="0"/>
          <w:numId w:val="5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Peak ≈ 1.25 Sv/h </w:t>
      </w:r>
    </w:p>
    <w:p w14:paraId="585ECF39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The calculated dose range is consistent with measured values.</w:t>
      </w:r>
    </w:p>
    <w:p w14:paraId="4840B152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The calculated close-phase dose rate (~2 Sv/h) is somewhat higher than the recorded peak (~1.25 Sv/h), which is reasonable given:</w:t>
      </w:r>
    </w:p>
    <w:p w14:paraId="74DF7B0A" w14:textId="77777777" w:rsidR="002B5C27" w:rsidRPr="00BC5C3C" w:rsidRDefault="002B5C27" w:rsidP="002B5C27">
      <w:pPr>
        <w:numPr>
          <w:ilvl w:val="0"/>
          <w:numId w:val="6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conservative attenuation assumptions </w:t>
      </w:r>
    </w:p>
    <w:p w14:paraId="3C80302F" w14:textId="77777777" w:rsidR="002B5C27" w:rsidRPr="00BC5C3C" w:rsidRDefault="002B5C27" w:rsidP="002B5C27">
      <w:pPr>
        <w:numPr>
          <w:ilvl w:val="0"/>
          <w:numId w:val="6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positional uncertainty </w:t>
      </w:r>
    </w:p>
    <w:p w14:paraId="1CC5572A" w14:textId="77777777" w:rsidR="002B5C27" w:rsidRPr="00BC5C3C" w:rsidRDefault="002B5C27" w:rsidP="002B5C27">
      <w:pPr>
        <w:numPr>
          <w:ilvl w:val="0"/>
          <w:numId w:val="6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shielding geometry effects </w:t>
      </w:r>
    </w:p>
    <w:p w14:paraId="59ADA2CC" w14:textId="77777777" w:rsidR="002B5C27" w:rsidRPr="00BC5C3C" w:rsidRDefault="00000000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pict w14:anchorId="22DF6081">
          <v:rect id="_x0000_i1036" style="width:0;height:1.5pt" o:hralign="center" o:hrstd="t" o:hr="t" fillcolor="#a0a0a0" stroked="f"/>
        </w:pict>
      </w:r>
    </w:p>
    <w:p w14:paraId="754B6351" w14:textId="77777777" w:rsidR="002B5C27" w:rsidRPr="00BC5C3C" w:rsidRDefault="002B5C27" w:rsidP="002B5C27">
      <w:pPr>
        <w:rPr>
          <w:rFonts w:ascii="Arial" w:hAnsi="Arial" w:cs="Arial"/>
          <w:b/>
          <w:bCs/>
        </w:rPr>
      </w:pPr>
      <w:r w:rsidRPr="00BC5C3C">
        <w:rPr>
          <w:rFonts w:ascii="Arial" w:hAnsi="Arial" w:cs="Arial"/>
          <w:b/>
          <w:bCs/>
        </w:rPr>
        <w:t>4. Health implications</w:t>
      </w:r>
    </w:p>
    <w:p w14:paraId="682E1A40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At doses of ~15–20 mSv:</w:t>
      </w:r>
    </w:p>
    <w:p w14:paraId="4BB204F5" w14:textId="1EA0FC08" w:rsidR="002B5C27" w:rsidRPr="00BC5C3C" w:rsidRDefault="002B5C27" w:rsidP="002B5C27">
      <w:pPr>
        <w:numPr>
          <w:ilvl w:val="0"/>
          <w:numId w:val="7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no </w:t>
      </w:r>
      <w:r w:rsidR="006E1FA5" w:rsidRPr="00BC5C3C">
        <w:rPr>
          <w:rFonts w:ascii="Arial" w:hAnsi="Arial" w:cs="Arial"/>
        </w:rPr>
        <w:t>harmful tissue reactions</w:t>
      </w:r>
      <w:r w:rsidRPr="00BC5C3C">
        <w:rPr>
          <w:rFonts w:ascii="Arial" w:hAnsi="Arial" w:cs="Arial"/>
        </w:rPr>
        <w:t xml:space="preserve"> expected </w:t>
      </w:r>
    </w:p>
    <w:p w14:paraId="07750093" w14:textId="37580B2F" w:rsidR="002B5C27" w:rsidRPr="00BC5C3C" w:rsidRDefault="002B5C27" w:rsidP="002B5C27">
      <w:pPr>
        <w:numPr>
          <w:ilvl w:val="0"/>
          <w:numId w:val="7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increased </w:t>
      </w:r>
      <w:r w:rsidR="002D50B9" w:rsidRPr="00BC5C3C">
        <w:rPr>
          <w:rFonts w:ascii="Arial" w:hAnsi="Arial" w:cs="Arial"/>
        </w:rPr>
        <w:t xml:space="preserve">probability of </w:t>
      </w:r>
      <w:r w:rsidR="007F4B28" w:rsidRPr="00BC5C3C">
        <w:rPr>
          <w:rFonts w:ascii="Arial" w:hAnsi="Arial" w:cs="Arial"/>
        </w:rPr>
        <w:t>risk-based</w:t>
      </w:r>
      <w:r w:rsidR="002D50B9" w:rsidRPr="00BC5C3C">
        <w:rPr>
          <w:rFonts w:ascii="Arial" w:hAnsi="Arial" w:cs="Arial"/>
        </w:rPr>
        <w:t xml:space="preserve"> effects</w:t>
      </w:r>
      <w:r w:rsidRPr="00BC5C3C">
        <w:rPr>
          <w:rFonts w:ascii="Arial" w:hAnsi="Arial" w:cs="Arial"/>
        </w:rPr>
        <w:t xml:space="preserve"> </w:t>
      </w:r>
    </w:p>
    <w:p w14:paraId="2EA3CB83" w14:textId="77777777" w:rsidR="002B5C27" w:rsidRPr="00BC5C3C" w:rsidRDefault="002B5C27" w:rsidP="002B5C27">
      <w:pPr>
        <w:numPr>
          <w:ilvl w:val="0"/>
          <w:numId w:val="7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significant occupational exposure </w:t>
      </w:r>
    </w:p>
    <w:p w14:paraId="5CC33EB3" w14:textId="43D09AC9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Symptoms are unlikely to be radiation-induced at this level.</w:t>
      </w:r>
      <w:r w:rsidR="0029769B" w:rsidRPr="00BC5C3C">
        <w:rPr>
          <w:rFonts w:ascii="Arial" w:hAnsi="Arial" w:cs="Arial"/>
        </w:rPr>
        <w:t xml:space="preserve"> Absence of erythema indicates skin doses less than 2 Gy to hands.</w:t>
      </w:r>
    </w:p>
    <w:p w14:paraId="49493843" w14:textId="77777777" w:rsidR="002B5C27" w:rsidRPr="00BC5C3C" w:rsidRDefault="00000000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pict w14:anchorId="6E85FCB8">
          <v:rect id="_x0000_i1037" style="width:0;height:1.5pt" o:hralign="center" o:hrstd="t" o:hr="t" fillcolor="#a0a0a0" stroked="f"/>
        </w:pict>
      </w:r>
    </w:p>
    <w:p w14:paraId="19003703" w14:textId="77777777" w:rsidR="002B5C27" w:rsidRPr="00BC5C3C" w:rsidRDefault="002B5C27" w:rsidP="002B5C27">
      <w:pPr>
        <w:rPr>
          <w:rFonts w:ascii="Arial" w:hAnsi="Arial" w:cs="Arial"/>
          <w:b/>
          <w:bCs/>
        </w:rPr>
      </w:pPr>
      <w:r w:rsidRPr="00BC5C3C">
        <w:rPr>
          <w:rFonts w:ascii="Arial" w:hAnsi="Arial" w:cs="Arial"/>
          <w:b/>
          <w:bCs/>
        </w:rPr>
        <w:t>5. IRR17 compliance</w:t>
      </w:r>
    </w:p>
    <w:p w14:paraId="384B2B4F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Likely failures include:</w:t>
      </w:r>
    </w:p>
    <w:p w14:paraId="36C93889" w14:textId="77777777" w:rsidR="002B5C27" w:rsidRPr="00BC5C3C" w:rsidRDefault="002B5C27" w:rsidP="002B5C27">
      <w:pPr>
        <w:numPr>
          <w:ilvl w:val="0"/>
          <w:numId w:val="8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reliance on faulty radiation monitor </w:t>
      </w:r>
    </w:p>
    <w:p w14:paraId="608ABA82" w14:textId="77777777" w:rsidR="002B5C27" w:rsidRPr="00BC5C3C" w:rsidRDefault="002B5C27" w:rsidP="002B5C27">
      <w:pPr>
        <w:numPr>
          <w:ilvl w:val="0"/>
          <w:numId w:val="8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inadequate verification of source position </w:t>
      </w:r>
    </w:p>
    <w:p w14:paraId="4521E5CB" w14:textId="77777777" w:rsidR="002B5C27" w:rsidRPr="00BC5C3C" w:rsidRDefault="002B5C27" w:rsidP="002B5C27">
      <w:pPr>
        <w:numPr>
          <w:ilvl w:val="0"/>
          <w:numId w:val="8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failure to detect incomplete source return </w:t>
      </w:r>
    </w:p>
    <w:p w14:paraId="40796B0C" w14:textId="77777777" w:rsidR="002B5C27" w:rsidRPr="00BC5C3C" w:rsidRDefault="002B5C27" w:rsidP="002B5C27">
      <w:pPr>
        <w:numPr>
          <w:ilvl w:val="0"/>
          <w:numId w:val="8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insufficient restriction of exposure </w:t>
      </w:r>
    </w:p>
    <w:p w14:paraId="0D0C7E15" w14:textId="77777777" w:rsidR="002B5C27" w:rsidRPr="00BC5C3C" w:rsidRDefault="00000000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pict w14:anchorId="253D001A">
          <v:rect id="_x0000_i1038" style="width:0;height:1.5pt" o:hralign="center" o:hrstd="t" o:hr="t" fillcolor="#a0a0a0" stroked="f"/>
        </w:pict>
      </w:r>
    </w:p>
    <w:p w14:paraId="334DB37C" w14:textId="77777777" w:rsidR="002B5C27" w:rsidRPr="00BC5C3C" w:rsidRDefault="002B5C27" w:rsidP="002B5C27">
      <w:pPr>
        <w:rPr>
          <w:rFonts w:ascii="Arial" w:hAnsi="Arial" w:cs="Arial"/>
          <w:b/>
          <w:bCs/>
        </w:rPr>
      </w:pPr>
      <w:r w:rsidRPr="00BC5C3C">
        <w:rPr>
          <w:rFonts w:ascii="Arial" w:hAnsi="Arial" w:cs="Arial"/>
          <w:b/>
          <w:bCs/>
        </w:rPr>
        <w:t>6. ONR SAP evaluation</w:t>
      </w:r>
    </w:p>
    <w:p w14:paraId="46EB7D4E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  <w:b/>
          <w:bCs/>
        </w:rPr>
        <w:t>EKP.5 Defence in Depth</w:t>
      </w:r>
    </w:p>
    <w:p w14:paraId="5332EA55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Failures include:</w:t>
      </w:r>
    </w:p>
    <w:p w14:paraId="6354A647" w14:textId="77777777" w:rsidR="002B5C27" w:rsidRPr="00BC5C3C" w:rsidRDefault="002B5C27" w:rsidP="002B5C27">
      <w:pPr>
        <w:numPr>
          <w:ilvl w:val="0"/>
          <w:numId w:val="9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degraded source return mechanism </w:t>
      </w:r>
    </w:p>
    <w:p w14:paraId="417BE51C" w14:textId="77777777" w:rsidR="002B5C27" w:rsidRPr="00BC5C3C" w:rsidRDefault="002B5C27" w:rsidP="002B5C27">
      <w:pPr>
        <w:numPr>
          <w:ilvl w:val="0"/>
          <w:numId w:val="9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unreliable radiation monitor </w:t>
      </w:r>
    </w:p>
    <w:p w14:paraId="49112B8D" w14:textId="77777777" w:rsidR="002B5C27" w:rsidRPr="00BC5C3C" w:rsidRDefault="002B5C27" w:rsidP="002B5C27">
      <w:pPr>
        <w:numPr>
          <w:ilvl w:val="0"/>
          <w:numId w:val="9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lastRenderedPageBreak/>
        <w:t xml:space="preserve">incorrect safe-state indication </w:t>
      </w:r>
    </w:p>
    <w:p w14:paraId="32C0ABE5" w14:textId="77777777" w:rsidR="002B5C27" w:rsidRPr="00BC5C3C" w:rsidRDefault="002B5C27" w:rsidP="002B5C27">
      <w:pPr>
        <w:numPr>
          <w:ilvl w:val="0"/>
          <w:numId w:val="9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entry under unsafe conditions </w:t>
      </w:r>
    </w:p>
    <w:p w14:paraId="248F4AB5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  <w:b/>
          <w:bCs/>
        </w:rPr>
        <w:t>Engineering safety</w:t>
      </w:r>
    </w:p>
    <w:p w14:paraId="2831C56A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Source position should be unambiguous and independently verified.</w:t>
      </w:r>
    </w:p>
    <w:p w14:paraId="186F4E2C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  <w:b/>
          <w:bCs/>
        </w:rPr>
        <w:t>Human factors</w:t>
      </w:r>
    </w:p>
    <w:p w14:paraId="0116BF96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Over-reliance on administrative controls.</w:t>
      </w:r>
    </w:p>
    <w:p w14:paraId="60C0898C" w14:textId="77777777" w:rsidR="002B5C27" w:rsidRPr="00BC5C3C" w:rsidRDefault="00000000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pict w14:anchorId="3039B698">
          <v:rect id="_x0000_i1039" style="width:0;height:1.5pt" o:hralign="center" o:hrstd="t" o:hr="t" fillcolor="#a0a0a0" stroked="f"/>
        </w:pict>
      </w:r>
    </w:p>
    <w:p w14:paraId="5569B892" w14:textId="77777777" w:rsidR="002B5C27" w:rsidRPr="00BC5C3C" w:rsidRDefault="002B5C27" w:rsidP="002B5C27">
      <w:pPr>
        <w:rPr>
          <w:rFonts w:ascii="Arial" w:hAnsi="Arial" w:cs="Arial"/>
          <w:b/>
          <w:bCs/>
        </w:rPr>
      </w:pPr>
      <w:r w:rsidRPr="00BC5C3C">
        <w:rPr>
          <w:rFonts w:ascii="Arial" w:hAnsi="Arial" w:cs="Arial"/>
          <w:b/>
          <w:bCs/>
        </w:rPr>
        <w:t>7. ALARP improvements</w:t>
      </w:r>
    </w:p>
    <w:p w14:paraId="53DA8FE1" w14:textId="77777777" w:rsidR="002B5C27" w:rsidRPr="00BC5C3C" w:rsidRDefault="002B5C27" w:rsidP="002B5C27">
      <w:pPr>
        <w:numPr>
          <w:ilvl w:val="0"/>
          <w:numId w:val="10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restore redundant radiation monitoring </w:t>
      </w:r>
    </w:p>
    <w:p w14:paraId="02CE9896" w14:textId="77777777" w:rsidR="002B5C27" w:rsidRPr="00BC5C3C" w:rsidRDefault="002B5C27" w:rsidP="002B5C27">
      <w:pPr>
        <w:numPr>
          <w:ilvl w:val="0"/>
          <w:numId w:val="10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improve maintenance of source return systems </w:t>
      </w:r>
    </w:p>
    <w:p w14:paraId="4AC070E8" w14:textId="77777777" w:rsidR="002B5C27" w:rsidRPr="00BC5C3C" w:rsidRDefault="002B5C27" w:rsidP="002B5C27">
      <w:pPr>
        <w:numPr>
          <w:ilvl w:val="0"/>
          <w:numId w:val="10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strengthen interlock independence </w:t>
      </w:r>
    </w:p>
    <w:p w14:paraId="53B859E3" w14:textId="77777777" w:rsidR="002B5C27" w:rsidRPr="00BC5C3C" w:rsidRDefault="002B5C27" w:rsidP="002B5C27">
      <w:pPr>
        <w:numPr>
          <w:ilvl w:val="0"/>
          <w:numId w:val="10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enforce radiological verification before entry </w:t>
      </w:r>
    </w:p>
    <w:p w14:paraId="625D2FA1" w14:textId="77777777" w:rsidR="002B5C27" w:rsidRPr="00BC5C3C" w:rsidRDefault="002B5C27" w:rsidP="002B5C27">
      <w:pPr>
        <w:numPr>
          <w:ilvl w:val="0"/>
          <w:numId w:val="10"/>
        </w:numPr>
        <w:rPr>
          <w:rFonts w:ascii="Arial" w:hAnsi="Arial" w:cs="Arial"/>
        </w:rPr>
      </w:pPr>
      <w:r w:rsidRPr="00BC5C3C">
        <w:rPr>
          <w:rFonts w:ascii="Arial" w:hAnsi="Arial" w:cs="Arial"/>
        </w:rPr>
        <w:t xml:space="preserve">improve fault escalation </w:t>
      </w:r>
    </w:p>
    <w:p w14:paraId="2BF92F59" w14:textId="77777777" w:rsidR="002B5C27" w:rsidRPr="00BC5C3C" w:rsidRDefault="00000000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pict w14:anchorId="311EB432">
          <v:rect id="_x0000_i1040" style="width:0;height:1.5pt" o:hralign="center" o:hrstd="t" o:hr="t" fillcolor="#a0a0a0" stroked="f"/>
        </w:pict>
      </w:r>
    </w:p>
    <w:p w14:paraId="119A267A" w14:textId="77777777" w:rsidR="002B5C27" w:rsidRPr="00BC5C3C" w:rsidRDefault="002B5C27" w:rsidP="002B5C27">
      <w:pPr>
        <w:rPr>
          <w:rFonts w:ascii="Arial" w:hAnsi="Arial" w:cs="Arial"/>
          <w:b/>
          <w:bCs/>
        </w:rPr>
      </w:pPr>
      <w:r w:rsidRPr="00BC5C3C">
        <w:rPr>
          <w:rFonts w:ascii="Arial" w:hAnsi="Arial" w:cs="Arial"/>
          <w:b/>
          <w:bCs/>
        </w:rPr>
        <w:t>8. Marker guidance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913"/>
        <w:gridCol w:w="2632"/>
      </w:tblGrid>
      <w:tr w:rsidR="002B5C27" w:rsidRPr="00BC5C3C" w14:paraId="30C2EDCD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61C2D230" w14:textId="77777777" w:rsidR="002B5C27" w:rsidRPr="00BC5C3C" w:rsidRDefault="002B5C27" w:rsidP="002B5C27">
            <w:pPr>
              <w:rPr>
                <w:rFonts w:ascii="Arial" w:hAnsi="Arial" w:cs="Arial"/>
                <w:b/>
                <w:bCs/>
              </w:rPr>
            </w:pPr>
            <w:r w:rsidRPr="00BC5C3C">
              <w:rPr>
                <w:rFonts w:ascii="Arial" w:hAnsi="Arial" w:cs="Arial"/>
                <w:b/>
                <w:bCs/>
              </w:rPr>
              <w:t>Issue</w:t>
            </w:r>
          </w:p>
        </w:tc>
        <w:tc>
          <w:tcPr>
            <w:tcW w:w="0" w:type="auto"/>
            <w:vAlign w:val="center"/>
            <w:hideMark/>
          </w:tcPr>
          <w:p w14:paraId="0A065A4D" w14:textId="77777777" w:rsidR="002B5C27" w:rsidRPr="00BC5C3C" w:rsidRDefault="002B5C27" w:rsidP="002B5C27">
            <w:pPr>
              <w:rPr>
                <w:rFonts w:ascii="Arial" w:hAnsi="Arial" w:cs="Arial"/>
                <w:b/>
                <w:bCs/>
              </w:rPr>
            </w:pPr>
            <w:r w:rsidRPr="00BC5C3C">
              <w:rPr>
                <w:rFonts w:ascii="Arial" w:hAnsi="Arial" w:cs="Arial"/>
                <w:b/>
                <w:bCs/>
              </w:rPr>
              <w:t>Treatment</w:t>
            </w:r>
          </w:p>
        </w:tc>
      </w:tr>
      <w:tr w:rsidR="002B5C27" w:rsidRPr="00BC5C3C" w14:paraId="0C47DC6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129A34B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Incorrect decay handling</w:t>
            </w:r>
          </w:p>
        </w:tc>
        <w:tc>
          <w:tcPr>
            <w:tcW w:w="0" w:type="auto"/>
            <w:vAlign w:val="center"/>
            <w:hideMark/>
          </w:tcPr>
          <w:p w14:paraId="756A5B92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Penalise accuracy</w:t>
            </w:r>
          </w:p>
        </w:tc>
      </w:tr>
      <w:tr w:rsidR="002B5C27" w:rsidRPr="00BC5C3C" w14:paraId="24ED2ADC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BDE8E9E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Ignoring attenuation fractions</w:t>
            </w:r>
          </w:p>
        </w:tc>
        <w:tc>
          <w:tcPr>
            <w:tcW w:w="0" w:type="auto"/>
            <w:vAlign w:val="center"/>
            <w:hideMark/>
          </w:tcPr>
          <w:p w14:paraId="64121644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Major loss</w:t>
            </w:r>
          </w:p>
        </w:tc>
      </w:tr>
      <w:tr w:rsidR="002B5C27" w:rsidRPr="00BC5C3C" w14:paraId="32937B2F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99212F0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Over-precision</w:t>
            </w:r>
          </w:p>
        </w:tc>
        <w:tc>
          <w:tcPr>
            <w:tcW w:w="0" w:type="auto"/>
            <w:vAlign w:val="center"/>
            <w:hideMark/>
          </w:tcPr>
          <w:p w14:paraId="33ED52EF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Accept reasonable ranges</w:t>
            </w:r>
          </w:p>
        </w:tc>
      </w:tr>
      <w:tr w:rsidR="002B5C27" w:rsidRPr="00BC5C3C" w14:paraId="45409490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EE9842D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Overstating health effects</w:t>
            </w:r>
          </w:p>
        </w:tc>
        <w:tc>
          <w:tcPr>
            <w:tcW w:w="0" w:type="auto"/>
            <w:vAlign w:val="center"/>
            <w:hideMark/>
          </w:tcPr>
          <w:p w14:paraId="3F80A4D7" w14:textId="77777777" w:rsidR="002B5C27" w:rsidRPr="00BC5C3C" w:rsidRDefault="002B5C27" w:rsidP="002B5C27">
            <w:pPr>
              <w:rPr>
                <w:rFonts w:ascii="Arial" w:hAnsi="Arial" w:cs="Arial"/>
              </w:rPr>
            </w:pPr>
            <w:r w:rsidRPr="00BC5C3C">
              <w:rPr>
                <w:rFonts w:ascii="Arial" w:hAnsi="Arial" w:cs="Arial"/>
              </w:rPr>
              <w:t>Correct</w:t>
            </w:r>
          </w:p>
        </w:tc>
      </w:tr>
    </w:tbl>
    <w:p w14:paraId="59902497" w14:textId="77777777" w:rsidR="002B5C27" w:rsidRPr="00BC5C3C" w:rsidRDefault="00000000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pict w14:anchorId="01F3A6E1">
          <v:rect id="_x0000_i1041" style="width:0;height:1.5pt" o:hralign="center" o:hrstd="t" o:hr="t" fillcolor="#a0a0a0" stroked="f"/>
        </w:pict>
      </w:r>
    </w:p>
    <w:p w14:paraId="09D88B40" w14:textId="77777777" w:rsidR="002B5C27" w:rsidRPr="00BC5C3C" w:rsidRDefault="002B5C27" w:rsidP="002B5C27">
      <w:pPr>
        <w:rPr>
          <w:rFonts w:ascii="Arial" w:hAnsi="Arial" w:cs="Arial"/>
          <w:b/>
          <w:bCs/>
        </w:rPr>
      </w:pPr>
      <w:r w:rsidRPr="00BC5C3C">
        <w:rPr>
          <w:rFonts w:ascii="Arial" w:hAnsi="Arial" w:cs="Arial"/>
          <w:b/>
          <w:bCs/>
        </w:rPr>
        <w:t>9. Indicative concluding judgement</w:t>
      </w:r>
    </w:p>
    <w:p w14:paraId="5362DA49" w14:textId="77777777" w:rsidR="002B5C27" w:rsidRPr="00BC5C3C" w:rsidRDefault="002B5C27" w:rsidP="002B5C27">
      <w:pPr>
        <w:rPr>
          <w:rFonts w:ascii="Arial" w:hAnsi="Arial" w:cs="Arial"/>
        </w:rPr>
      </w:pPr>
      <w:r w:rsidRPr="00BC5C3C">
        <w:rPr>
          <w:rFonts w:ascii="Arial" w:hAnsi="Arial" w:cs="Arial"/>
        </w:rPr>
        <w:t>The incident resulted from incomplete source return combined with failure of independent radiation monitoring and over-reliance on administrative controls. The technician entered a partially shielded field and received a significant but non-deterministic dose. The event represents a breakdown in defence in depth across engineering systems, monitoring, and procedural controls.</w:t>
      </w:r>
    </w:p>
    <w:p w14:paraId="7C68B252" w14:textId="77777777" w:rsidR="007B0F1F" w:rsidRPr="00BC5C3C" w:rsidRDefault="007B0F1F">
      <w:pPr>
        <w:rPr>
          <w:rFonts w:ascii="Arial" w:hAnsi="Arial" w:cs="Arial"/>
        </w:rPr>
      </w:pPr>
    </w:p>
    <w:sectPr w:rsidR="007B0F1F" w:rsidRPr="00BC5C3C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23960D" w14:textId="77777777" w:rsidR="000948A1" w:rsidRDefault="000948A1" w:rsidP="002B5C27">
      <w:pPr>
        <w:spacing w:after="0" w:line="240" w:lineRule="auto"/>
      </w:pPr>
      <w:r>
        <w:separator/>
      </w:r>
    </w:p>
  </w:endnote>
  <w:endnote w:type="continuationSeparator" w:id="0">
    <w:p w14:paraId="2BA66C5E" w14:textId="77777777" w:rsidR="000948A1" w:rsidRDefault="000948A1" w:rsidP="002B5C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991992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2B99EEA" w14:textId="1184CE57" w:rsidR="002B5C27" w:rsidRDefault="002B5C2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7A27B8" w14:textId="77777777" w:rsidR="002B5C27" w:rsidRDefault="002B5C2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9551AC" w14:textId="77777777" w:rsidR="000948A1" w:rsidRDefault="000948A1" w:rsidP="002B5C27">
      <w:pPr>
        <w:spacing w:after="0" w:line="240" w:lineRule="auto"/>
      </w:pPr>
      <w:r>
        <w:separator/>
      </w:r>
    </w:p>
  </w:footnote>
  <w:footnote w:type="continuationSeparator" w:id="0">
    <w:p w14:paraId="5DEF36C6" w14:textId="77777777" w:rsidR="000948A1" w:rsidRDefault="000948A1" w:rsidP="002B5C2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5F1D256" w14:textId="6A26BCB3" w:rsidR="002B5C27" w:rsidRDefault="002B5C27" w:rsidP="002B5C27">
    <w:pPr>
      <w:pStyle w:val="Header"/>
      <w:jc w:val="center"/>
    </w:pPr>
    <w:r>
      <w:t>OFFICIAL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F3252F"/>
    <w:multiLevelType w:val="multilevel"/>
    <w:tmpl w:val="4C769B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F46329D"/>
    <w:multiLevelType w:val="multilevel"/>
    <w:tmpl w:val="CFE8A7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53D554D"/>
    <w:multiLevelType w:val="multilevel"/>
    <w:tmpl w:val="41B8B8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F71742C"/>
    <w:multiLevelType w:val="multilevel"/>
    <w:tmpl w:val="F4C607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7983D86"/>
    <w:multiLevelType w:val="multilevel"/>
    <w:tmpl w:val="0E948C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D7D5FB8"/>
    <w:multiLevelType w:val="multilevel"/>
    <w:tmpl w:val="E73EB7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B2D6676"/>
    <w:multiLevelType w:val="multilevel"/>
    <w:tmpl w:val="38C8BE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ED65AEE"/>
    <w:multiLevelType w:val="multilevel"/>
    <w:tmpl w:val="69DC88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B943DE4"/>
    <w:multiLevelType w:val="multilevel"/>
    <w:tmpl w:val="2ADE12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C354BC0"/>
    <w:multiLevelType w:val="multilevel"/>
    <w:tmpl w:val="7AAEEB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79482705">
    <w:abstractNumId w:val="7"/>
  </w:num>
  <w:num w:numId="2" w16cid:durableId="646787907">
    <w:abstractNumId w:val="5"/>
  </w:num>
  <w:num w:numId="3" w16cid:durableId="177936638">
    <w:abstractNumId w:val="4"/>
  </w:num>
  <w:num w:numId="4" w16cid:durableId="315032634">
    <w:abstractNumId w:val="8"/>
  </w:num>
  <w:num w:numId="5" w16cid:durableId="109667390">
    <w:abstractNumId w:val="6"/>
  </w:num>
  <w:num w:numId="6" w16cid:durableId="202180932">
    <w:abstractNumId w:val="9"/>
  </w:num>
  <w:num w:numId="7" w16cid:durableId="1206337403">
    <w:abstractNumId w:val="2"/>
  </w:num>
  <w:num w:numId="8" w16cid:durableId="1762485514">
    <w:abstractNumId w:val="1"/>
  </w:num>
  <w:num w:numId="9" w16cid:durableId="261766913">
    <w:abstractNumId w:val="0"/>
  </w:num>
  <w:num w:numId="10" w16cid:durableId="208765139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5C27"/>
    <w:rsid w:val="000948A1"/>
    <w:rsid w:val="0013438E"/>
    <w:rsid w:val="0029769B"/>
    <w:rsid w:val="002B5C27"/>
    <w:rsid w:val="002D50B9"/>
    <w:rsid w:val="00592ACB"/>
    <w:rsid w:val="006E1FA5"/>
    <w:rsid w:val="007B0F1F"/>
    <w:rsid w:val="007F4B28"/>
    <w:rsid w:val="00A6414C"/>
    <w:rsid w:val="00B42579"/>
    <w:rsid w:val="00BC5C3C"/>
    <w:rsid w:val="00D35B34"/>
    <w:rsid w:val="00FE12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F93BC"/>
  <w15:chartTrackingRefBased/>
  <w15:docId w15:val="{5A1C6A15-8AB0-490C-A42A-F1391C469C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5C2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5C2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5C2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5C2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5C2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5C2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5C2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5C2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5C2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5C2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5C2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5C2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5C2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5C2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5C2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5C2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5C2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5C2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5C2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5C2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5C2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5C2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5C2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5C2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5C2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5C2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5C2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5C2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5C2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B5C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5C27"/>
  </w:style>
  <w:style w:type="paragraph" w:styleId="Footer">
    <w:name w:val="footer"/>
    <w:basedOn w:val="Normal"/>
    <w:link w:val="FooterChar"/>
    <w:uiPriority w:val="99"/>
    <w:unhideWhenUsed/>
    <w:rsid w:val="002B5C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5C2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675</Words>
  <Characters>4064</Characters>
  <Application>Microsoft Office Word</Application>
  <DocSecurity>0</DocSecurity>
  <Lines>184</Lines>
  <Paragraphs>157</Paragraphs>
  <ScaleCrop>false</ScaleCrop>
  <Company/>
  <LinksUpToDate>false</LinksUpToDate>
  <CharactersWithSpaces>4582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Holloway</dc:creator>
  <cp:keywords/>
  <dc:description/>
  <cp:lastModifiedBy>Holloway, Ian Dr (NAVY PEOPLE-NUC PHYS MGR)</cp:lastModifiedBy>
  <cp:revision>6</cp:revision>
  <dcterms:created xsi:type="dcterms:W3CDTF">2026-03-24T15:37:00Z</dcterms:created>
  <dcterms:modified xsi:type="dcterms:W3CDTF">2026-03-26T15:14:00Z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d8a60473-494b-4586-a1bb-b0e663054676_Enabled">
    <vt:lpwstr>true</vt:lpwstr>
  </property>
  <property fmtid="{D5CDD505-2E9C-101B-9397-08002B2CF9AE}" pid="3" name="MSIP_Label_d8a60473-494b-4586-a1bb-b0e663054676_SetDate">
    <vt:lpwstr>2026-03-26T15:13:31Z</vt:lpwstr>
  </property>
  <property fmtid="{D5CDD505-2E9C-101B-9397-08002B2CF9AE}" pid="4" name="MSIP_Label_d8a60473-494b-4586-a1bb-b0e663054676_Method">
    <vt:lpwstr>Privileged</vt:lpwstr>
  </property>
  <property fmtid="{D5CDD505-2E9C-101B-9397-08002B2CF9AE}" pid="5" name="MSIP_Label_d8a60473-494b-4586-a1bb-b0e663054676_Name">
    <vt:lpwstr>MOD-1-O-‘UNMARKED’</vt:lpwstr>
  </property>
  <property fmtid="{D5CDD505-2E9C-101B-9397-08002B2CF9AE}" pid="6" name="MSIP_Label_d8a60473-494b-4586-a1bb-b0e663054676_SiteId">
    <vt:lpwstr>be7760ed-5953-484b-ae95-d0a16dfa09e5</vt:lpwstr>
  </property>
  <property fmtid="{D5CDD505-2E9C-101B-9397-08002B2CF9AE}" pid="7" name="MSIP_Label_d8a60473-494b-4586-a1bb-b0e663054676_ActionId">
    <vt:lpwstr>0e1eca76-6e60-447e-8c86-d4d9509cffc1</vt:lpwstr>
  </property>
  <property fmtid="{D5CDD505-2E9C-101B-9397-08002B2CF9AE}" pid="8" name="MSIP_Label_d8a60473-494b-4586-a1bb-b0e663054676_ContentBits">
    <vt:lpwstr>0</vt:lpwstr>
  </property>
  <property fmtid="{D5CDD505-2E9C-101B-9397-08002B2CF9AE}" pid="9" name="MSIP_Label_d8a60473-494b-4586-a1bb-b0e663054676_Tag">
    <vt:lpwstr>10, 0, 1, 1</vt:lpwstr>
  </property>
</Properties>
</file>