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5BFD9" w14:textId="77777777" w:rsidR="00346A34" w:rsidRPr="00D54593" w:rsidRDefault="005D4F2D">
      <w:pPr>
        <w:pStyle w:val="Normal1"/>
        <w:jc w:val="center"/>
        <w:rPr>
          <w:b/>
          <w:color w:val="222222"/>
          <w:sz w:val="28"/>
          <w:szCs w:val="28"/>
          <w:highlight w:val="white"/>
        </w:rPr>
      </w:pPr>
      <w:r w:rsidRPr="00D54593">
        <w:rPr>
          <w:b/>
          <w:color w:val="222222"/>
          <w:sz w:val="28"/>
          <w:szCs w:val="28"/>
          <w:highlight w:val="white"/>
        </w:rPr>
        <w:t xml:space="preserve"> </w:t>
      </w:r>
      <w:r w:rsidRPr="00D54593">
        <w:rPr>
          <w:b/>
          <w:noProof/>
          <w:color w:val="222222"/>
          <w:sz w:val="28"/>
          <w:szCs w:val="28"/>
          <w:highlight w:val="white"/>
        </w:rPr>
        <w:drawing>
          <wp:inline distT="114300" distB="114300" distL="114300" distR="114300" wp14:anchorId="48545AC9" wp14:editId="672BB712">
            <wp:extent cx="2452140" cy="110197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52140" cy="1101974"/>
                    </a:xfrm>
                    <a:prstGeom prst="rect">
                      <a:avLst/>
                    </a:prstGeom>
                    <a:ln/>
                  </pic:spPr>
                </pic:pic>
              </a:graphicData>
            </a:graphic>
          </wp:inline>
        </w:drawing>
      </w:r>
    </w:p>
    <w:p w14:paraId="56BC5DFF" w14:textId="0CF2D0B3" w:rsidR="00386152" w:rsidRPr="00074402" w:rsidRDefault="00386152" w:rsidP="00386152">
      <w:pPr>
        <w:rPr>
          <w:szCs w:val="24"/>
        </w:rPr>
      </w:pPr>
    </w:p>
    <w:p w14:paraId="136ED19C" w14:textId="77777777" w:rsidR="00386152" w:rsidRDefault="00386152" w:rsidP="00386152">
      <w:pPr>
        <w:spacing w:after="0" w:line="240" w:lineRule="auto"/>
        <w:jc w:val="center"/>
        <w:rPr>
          <w:b/>
          <w:bCs/>
          <w:sz w:val="28"/>
          <w:szCs w:val="28"/>
          <w:u w:val="single"/>
        </w:rPr>
      </w:pPr>
      <w:r>
        <w:rPr>
          <w:b/>
          <w:bCs/>
          <w:sz w:val="28"/>
          <w:szCs w:val="28"/>
          <w:u w:val="single"/>
        </w:rPr>
        <w:t xml:space="preserve">Assessment Component 2 </w:t>
      </w:r>
    </w:p>
    <w:p w14:paraId="1D6C1C93" w14:textId="77777777" w:rsidR="00386152" w:rsidRDefault="00386152" w:rsidP="00386152">
      <w:pPr>
        <w:spacing w:after="0" w:line="240" w:lineRule="auto"/>
        <w:jc w:val="center"/>
        <w:rPr>
          <w:b/>
          <w:bCs/>
          <w:sz w:val="28"/>
          <w:szCs w:val="28"/>
          <w:u w:val="single"/>
        </w:rPr>
      </w:pPr>
    </w:p>
    <w:p w14:paraId="5790F124" w14:textId="77777777" w:rsidR="00386152" w:rsidRDefault="00386152" w:rsidP="00386152">
      <w:pPr>
        <w:spacing w:after="0" w:line="240" w:lineRule="auto"/>
        <w:jc w:val="center"/>
        <w:rPr>
          <w:b/>
          <w:bCs/>
          <w:sz w:val="28"/>
          <w:szCs w:val="28"/>
          <w:u w:val="single"/>
        </w:rPr>
      </w:pPr>
      <w:r>
        <w:rPr>
          <w:b/>
          <w:bCs/>
          <w:sz w:val="28"/>
          <w:szCs w:val="28"/>
          <w:u w:val="single"/>
        </w:rPr>
        <w:t>Written Essay</w:t>
      </w:r>
    </w:p>
    <w:p w14:paraId="6E7FE5B1" w14:textId="77777777" w:rsidR="00386152" w:rsidRDefault="00386152" w:rsidP="00386152">
      <w:pPr>
        <w:spacing w:after="0" w:line="240" w:lineRule="auto"/>
        <w:jc w:val="center"/>
        <w:rPr>
          <w:b/>
          <w:bCs/>
          <w:sz w:val="28"/>
          <w:szCs w:val="28"/>
        </w:rPr>
      </w:pPr>
    </w:p>
    <w:p w14:paraId="3B9B9B8E" w14:textId="77777777" w:rsidR="00386152" w:rsidRDefault="00386152" w:rsidP="00386152">
      <w:pPr>
        <w:tabs>
          <w:tab w:val="left" w:pos="6540"/>
        </w:tabs>
        <w:rPr>
          <w:sz w:val="28"/>
          <w:szCs w:val="28"/>
        </w:rPr>
      </w:pPr>
    </w:p>
    <w:p w14:paraId="5BAB71EC" w14:textId="77777777" w:rsidR="00386152" w:rsidRDefault="00386152" w:rsidP="00386152">
      <w:pPr>
        <w:tabs>
          <w:tab w:val="left" w:pos="6540"/>
        </w:tabs>
        <w:rPr>
          <w:sz w:val="28"/>
          <w:szCs w:val="28"/>
        </w:rPr>
      </w:pPr>
    </w:p>
    <w:p w14:paraId="5B3E54AF" w14:textId="1AF80ED5" w:rsidR="00386152" w:rsidRPr="00386152" w:rsidRDefault="00386152" w:rsidP="00386152">
      <w:pPr>
        <w:tabs>
          <w:tab w:val="left" w:pos="6540"/>
        </w:tabs>
        <w:rPr>
          <w:sz w:val="28"/>
          <w:szCs w:val="28"/>
          <w:lang w:val="it-IT"/>
        </w:rPr>
      </w:pPr>
      <w:proofErr w:type="spellStart"/>
      <w:r w:rsidRPr="00386152">
        <w:rPr>
          <w:b/>
          <w:bCs/>
          <w:sz w:val="28"/>
          <w:szCs w:val="28"/>
          <w:lang w:val="it-IT"/>
        </w:rPr>
        <w:t>Student</w:t>
      </w:r>
      <w:proofErr w:type="spellEnd"/>
      <w:r w:rsidRPr="00386152">
        <w:rPr>
          <w:b/>
          <w:bCs/>
          <w:sz w:val="28"/>
          <w:szCs w:val="28"/>
          <w:lang w:val="it-IT"/>
        </w:rPr>
        <w:t xml:space="preserve"> name</w:t>
      </w:r>
      <w:r w:rsidRPr="00386152">
        <w:rPr>
          <w:sz w:val="28"/>
          <w:szCs w:val="28"/>
          <w:lang w:val="it-IT"/>
        </w:rPr>
        <w:t>:</w:t>
      </w:r>
      <w:r>
        <w:rPr>
          <w:sz w:val="28"/>
          <w:szCs w:val="28"/>
          <w:lang w:val="it-IT"/>
        </w:rPr>
        <w:t xml:space="preserve"> </w:t>
      </w:r>
      <w:r w:rsidRPr="00386152">
        <w:rPr>
          <w:sz w:val="28"/>
          <w:szCs w:val="28"/>
          <w:lang w:val="it-IT"/>
        </w:rPr>
        <w:t>Margareta Nicoleta D</w:t>
      </w:r>
      <w:r>
        <w:rPr>
          <w:sz w:val="28"/>
          <w:szCs w:val="28"/>
          <w:lang w:val="it-IT"/>
        </w:rPr>
        <w:t>ragoi</w:t>
      </w:r>
    </w:p>
    <w:p w14:paraId="01439146" w14:textId="60D9B4C0" w:rsidR="00386152" w:rsidRPr="00386152" w:rsidRDefault="00386152" w:rsidP="00386152">
      <w:pPr>
        <w:tabs>
          <w:tab w:val="left" w:pos="6540"/>
        </w:tabs>
        <w:rPr>
          <w:sz w:val="28"/>
          <w:szCs w:val="28"/>
          <w:lang w:val="it-IT"/>
        </w:rPr>
      </w:pPr>
      <w:proofErr w:type="spellStart"/>
      <w:r w:rsidRPr="00386152">
        <w:rPr>
          <w:b/>
          <w:bCs/>
          <w:sz w:val="28"/>
          <w:szCs w:val="28"/>
          <w:lang w:val="it-IT"/>
        </w:rPr>
        <w:t>Student</w:t>
      </w:r>
      <w:proofErr w:type="spellEnd"/>
      <w:r w:rsidRPr="00386152">
        <w:rPr>
          <w:b/>
          <w:bCs/>
          <w:sz w:val="28"/>
          <w:szCs w:val="28"/>
          <w:lang w:val="it-IT"/>
        </w:rPr>
        <w:t xml:space="preserve"> ID</w:t>
      </w:r>
      <w:r w:rsidRPr="00386152">
        <w:rPr>
          <w:sz w:val="28"/>
          <w:szCs w:val="28"/>
          <w:lang w:val="it-IT"/>
        </w:rPr>
        <w:t>:</w:t>
      </w:r>
      <w:r>
        <w:rPr>
          <w:sz w:val="28"/>
          <w:szCs w:val="28"/>
          <w:lang w:val="it-IT"/>
        </w:rPr>
        <w:t xml:space="preserve"> </w:t>
      </w:r>
      <w:r w:rsidRPr="00386152">
        <w:rPr>
          <w:sz w:val="28"/>
          <w:szCs w:val="28"/>
          <w:lang w:val="it-IT"/>
        </w:rPr>
        <w:t>2</w:t>
      </w:r>
      <w:r>
        <w:rPr>
          <w:sz w:val="28"/>
          <w:szCs w:val="28"/>
          <w:lang w:val="it-IT"/>
        </w:rPr>
        <w:t>019145</w:t>
      </w:r>
    </w:p>
    <w:p w14:paraId="1828D9CA" w14:textId="77777777" w:rsidR="00386152" w:rsidRPr="00386152" w:rsidRDefault="00386152" w:rsidP="00386152">
      <w:pPr>
        <w:tabs>
          <w:tab w:val="left" w:pos="6540"/>
        </w:tabs>
        <w:rPr>
          <w:sz w:val="28"/>
          <w:szCs w:val="28"/>
          <w:lang w:val="it-IT"/>
        </w:rPr>
      </w:pPr>
    </w:p>
    <w:p w14:paraId="7237C610" w14:textId="77777777" w:rsidR="00386152" w:rsidRPr="009B28B0" w:rsidRDefault="00386152" w:rsidP="00386152">
      <w:pPr>
        <w:tabs>
          <w:tab w:val="left" w:pos="6540"/>
        </w:tabs>
        <w:rPr>
          <w:sz w:val="28"/>
          <w:szCs w:val="28"/>
        </w:rPr>
      </w:pPr>
      <w:r w:rsidRPr="00074402">
        <w:rPr>
          <w:b/>
          <w:bCs/>
          <w:sz w:val="28"/>
          <w:szCs w:val="28"/>
        </w:rPr>
        <w:t>Module name</w:t>
      </w:r>
      <w:r w:rsidRPr="00074402">
        <w:rPr>
          <w:sz w:val="28"/>
          <w:szCs w:val="28"/>
        </w:rPr>
        <w:t xml:space="preserve">: </w:t>
      </w:r>
      <w:r w:rsidRPr="009B28B0">
        <w:rPr>
          <w:sz w:val="28"/>
          <w:szCs w:val="28"/>
        </w:rPr>
        <w:t>Children, Young People and Families</w:t>
      </w:r>
    </w:p>
    <w:p w14:paraId="60B65B8B" w14:textId="77777777" w:rsidR="00386152" w:rsidRPr="00386152" w:rsidRDefault="00386152" w:rsidP="00386152">
      <w:pPr>
        <w:tabs>
          <w:tab w:val="left" w:pos="6540"/>
        </w:tabs>
        <w:rPr>
          <w:sz w:val="28"/>
          <w:szCs w:val="28"/>
          <w:lang w:val="fr-FR"/>
        </w:rPr>
      </w:pPr>
      <w:r w:rsidRPr="00386152">
        <w:rPr>
          <w:b/>
          <w:bCs/>
          <w:sz w:val="28"/>
          <w:szCs w:val="28"/>
          <w:lang w:val="fr-FR"/>
        </w:rPr>
        <w:t>Module code</w:t>
      </w:r>
      <w:r w:rsidRPr="00386152">
        <w:rPr>
          <w:sz w:val="28"/>
          <w:szCs w:val="28"/>
          <w:lang w:val="fr-FR"/>
        </w:rPr>
        <w:t>:</w:t>
      </w:r>
      <w:r w:rsidRPr="00386152">
        <w:rPr>
          <w:lang w:val="fr-FR"/>
        </w:rPr>
        <w:t xml:space="preserve"> </w:t>
      </w:r>
      <w:r w:rsidRPr="00386152">
        <w:rPr>
          <w:sz w:val="28"/>
          <w:szCs w:val="28"/>
          <w:lang w:val="fr-FR"/>
        </w:rPr>
        <w:t>(BMHP5004_LON)</w:t>
      </w:r>
    </w:p>
    <w:p w14:paraId="4EE2D22A" w14:textId="2348C3BF" w:rsidR="00386152" w:rsidRPr="00386152" w:rsidRDefault="00386152" w:rsidP="00386152">
      <w:pPr>
        <w:tabs>
          <w:tab w:val="left" w:pos="6540"/>
        </w:tabs>
        <w:rPr>
          <w:sz w:val="28"/>
          <w:szCs w:val="28"/>
          <w:lang w:val="en-GB"/>
        </w:rPr>
      </w:pPr>
      <w:r w:rsidRPr="00386152">
        <w:rPr>
          <w:b/>
          <w:bCs/>
          <w:sz w:val="28"/>
          <w:szCs w:val="28"/>
          <w:lang w:val="en-GB"/>
        </w:rPr>
        <w:t>Lecturer name</w:t>
      </w:r>
      <w:r w:rsidRPr="00386152">
        <w:rPr>
          <w:sz w:val="28"/>
          <w:szCs w:val="28"/>
          <w:lang w:val="en-GB"/>
        </w:rPr>
        <w:t xml:space="preserve">: </w:t>
      </w:r>
      <w:r w:rsidRPr="00386152">
        <w:rPr>
          <w:sz w:val="28"/>
          <w:szCs w:val="28"/>
          <w:lang w:val="en-GB"/>
        </w:rPr>
        <w:t>Bi</w:t>
      </w:r>
      <w:r>
        <w:rPr>
          <w:sz w:val="28"/>
          <w:szCs w:val="28"/>
          <w:lang w:val="en-GB"/>
        </w:rPr>
        <w:t xml:space="preserve">anca </w:t>
      </w:r>
      <w:r w:rsidR="00726F07">
        <w:rPr>
          <w:sz w:val="28"/>
          <w:szCs w:val="28"/>
          <w:lang w:val="en-GB"/>
        </w:rPr>
        <w:t>Sanfilippo</w:t>
      </w:r>
    </w:p>
    <w:p w14:paraId="6EA579F5" w14:textId="39D6C44F" w:rsidR="00386152" w:rsidRPr="00964AB3" w:rsidRDefault="00386152" w:rsidP="00386152">
      <w:pPr>
        <w:tabs>
          <w:tab w:val="left" w:pos="6540"/>
        </w:tabs>
        <w:rPr>
          <w:b/>
          <w:bCs/>
          <w:sz w:val="28"/>
          <w:szCs w:val="28"/>
        </w:rPr>
      </w:pPr>
      <w:r w:rsidRPr="00964AB3">
        <w:rPr>
          <w:b/>
          <w:bCs/>
          <w:sz w:val="28"/>
          <w:szCs w:val="28"/>
        </w:rPr>
        <w:t>Word count</w:t>
      </w:r>
      <w:r>
        <w:rPr>
          <w:b/>
          <w:bCs/>
          <w:sz w:val="28"/>
          <w:szCs w:val="28"/>
        </w:rPr>
        <w:t xml:space="preserve">:  </w:t>
      </w:r>
      <w:r w:rsidR="00726F07">
        <w:rPr>
          <w:b/>
          <w:bCs/>
          <w:sz w:val="28"/>
          <w:szCs w:val="28"/>
        </w:rPr>
        <w:t>2566</w:t>
      </w:r>
    </w:p>
    <w:p w14:paraId="0D19059A" w14:textId="5D44B100" w:rsidR="0076476C" w:rsidRPr="00386152" w:rsidRDefault="0076476C">
      <w:pPr>
        <w:rPr>
          <w:lang w:val="en-GB"/>
        </w:rPr>
      </w:pPr>
    </w:p>
    <w:p w14:paraId="398C0AFA" w14:textId="0CA5C7D9" w:rsidR="00AE6550" w:rsidRDefault="00AE6550" w:rsidP="00AE6550">
      <w:pPr>
        <w:pStyle w:val="TOCHeading"/>
        <w:spacing w:line="360" w:lineRule="auto"/>
        <w:rPr>
          <w:lang w:val="en-GB"/>
        </w:rPr>
      </w:pPr>
      <w:bookmarkStart w:id="0" w:name="_c7jk0zcrjs4y" w:colFirst="0" w:colLast="0"/>
      <w:bookmarkStart w:id="1" w:name="_Toc123659176"/>
      <w:bookmarkEnd w:id="0"/>
    </w:p>
    <w:p w14:paraId="7BC38893" w14:textId="77777777" w:rsidR="00386152" w:rsidRDefault="00386152" w:rsidP="00386152">
      <w:pPr>
        <w:rPr>
          <w:lang w:val="en-GB"/>
        </w:rPr>
      </w:pPr>
    </w:p>
    <w:p w14:paraId="2AFA91DE" w14:textId="77777777" w:rsidR="00386152" w:rsidRPr="00386152" w:rsidRDefault="00386152" w:rsidP="00386152">
      <w:pPr>
        <w:rPr>
          <w:lang w:val="en-GB"/>
        </w:rPr>
      </w:pPr>
    </w:p>
    <w:p w14:paraId="43D6F52F" w14:textId="238AE40A" w:rsidR="002F0883" w:rsidRPr="00CA6656" w:rsidRDefault="005D4F2D" w:rsidP="002F0883">
      <w:pPr>
        <w:rPr>
          <w:b/>
          <w:bCs/>
          <w:lang w:val="en-GB"/>
        </w:rPr>
      </w:pPr>
      <w:r w:rsidRPr="00722AF3">
        <w:rPr>
          <w:b/>
          <w:bCs/>
          <w:lang w:val="en-GB"/>
        </w:rPr>
        <w:t>Introduction</w:t>
      </w:r>
      <w:bookmarkEnd w:id="1"/>
    </w:p>
    <w:p w14:paraId="2888DA73" w14:textId="77777777" w:rsidR="002F0883" w:rsidRPr="001F2EFF" w:rsidRDefault="002F0883" w:rsidP="002F0883">
      <w:pPr>
        <w:pStyle w:val="ListParagraph"/>
        <w:rPr>
          <w:rFonts w:ascii="Arial" w:hAnsi="Arial" w:cs="Arial"/>
          <w:b/>
          <w:bCs/>
          <w:color w:val="000000"/>
          <w:sz w:val="24"/>
          <w:szCs w:val="24"/>
        </w:rPr>
      </w:pPr>
      <w:r w:rsidRPr="003B2328">
        <w:rPr>
          <w:rFonts w:ascii="Arial" w:hAnsi="Arial" w:cs="Arial"/>
          <w:b/>
          <w:bCs/>
          <w:color w:val="000000"/>
          <w:sz w:val="24"/>
          <w:szCs w:val="24"/>
        </w:rPr>
        <w:t>I know a lot about children – I used to be one.</w:t>
      </w:r>
      <w:r>
        <w:rPr>
          <w:rFonts w:ascii="Arial" w:hAnsi="Arial" w:cs="Arial"/>
          <w:b/>
          <w:bCs/>
          <w:color w:val="000000"/>
          <w:sz w:val="24"/>
          <w:szCs w:val="24"/>
        </w:rPr>
        <w:t xml:space="preserve"> </w:t>
      </w:r>
      <w:r w:rsidRPr="003B2328">
        <w:rPr>
          <w:rFonts w:ascii="Arial" w:hAnsi="Arial" w:cs="Arial"/>
          <w:b/>
          <w:bCs/>
          <w:color w:val="000000"/>
          <w:sz w:val="24"/>
          <w:szCs w:val="24"/>
        </w:rPr>
        <w:t>( Spike Milligan)</w:t>
      </w:r>
    </w:p>
    <w:p w14:paraId="25632F45" w14:textId="77777777" w:rsidR="002F0883" w:rsidRPr="00722AF3" w:rsidRDefault="002F0883" w:rsidP="00AE6550">
      <w:pPr>
        <w:rPr>
          <w:b/>
          <w:bCs/>
          <w:lang w:val="en-GB"/>
        </w:rPr>
      </w:pPr>
    </w:p>
    <w:p w14:paraId="432ABA53" w14:textId="37B64D42" w:rsidR="00346A34" w:rsidRDefault="005D4F2D">
      <w:pPr>
        <w:pStyle w:val="Normal1"/>
      </w:pPr>
      <w:r>
        <w:t xml:space="preserve">Childhood is one of the most integral and significant stages in the life cycle of a human being. The core development, both in terms of physical and psychological, takes place in this phase. In this assessment essay, prior to diving deeper into the core elements of childhood and family life, the definition of childhood will be </w:t>
      </w:r>
      <w:r w:rsidR="0064358E">
        <w:t>presented</w:t>
      </w:r>
      <w:r>
        <w:t xml:space="preserve"> along with the perception of the social construction of childhood from ancient times to the present times. The role of policies and the legislation which happens to be shaping the childhood of an individual will be highlighted herein. The </w:t>
      </w:r>
      <w:r w:rsidR="0076476C">
        <w:t>factors which have an impact on development during childhood and the interventions and approach</w:t>
      </w:r>
      <w:r>
        <w:t xml:space="preserve"> that aid in the development will also be portrayed herein. A set of recommendations will be provided which will help in taking initiatives to reduce the inequalities among children. The benefits of these recommendations on the development of children will be specifically discussed here.</w:t>
      </w:r>
    </w:p>
    <w:p w14:paraId="593ADE2A" w14:textId="77777777" w:rsidR="00346A34" w:rsidRDefault="005D4F2D">
      <w:pPr>
        <w:pStyle w:val="Normal1"/>
        <w:rPr>
          <w:rFonts w:ascii="Times New Roman" w:eastAsia="Times New Roman" w:hAnsi="Times New Roman" w:cs="Times New Roman"/>
          <w:sz w:val="24"/>
          <w:szCs w:val="24"/>
        </w:rPr>
      </w:pPr>
      <w:r>
        <w:br w:type="page"/>
      </w:r>
    </w:p>
    <w:p w14:paraId="4269CD32" w14:textId="49224239" w:rsidR="00346A34" w:rsidRDefault="00757C4B">
      <w:pPr>
        <w:pStyle w:val="Heading1"/>
      </w:pPr>
      <w:bookmarkStart w:id="2" w:name="_gxo092vanx9r" w:colFirst="0" w:colLast="0"/>
      <w:bookmarkEnd w:id="2"/>
      <w:r>
        <w:lastRenderedPageBreak/>
        <w:t>Main Body</w:t>
      </w:r>
    </w:p>
    <w:p w14:paraId="6FF1CC21" w14:textId="3D2D0003" w:rsidR="00346A34" w:rsidRDefault="005D4F2D" w:rsidP="00B1182B">
      <w:r>
        <w:t>Childhood is defined by experts as the period of the lifespan of a human which comes between adolescence and infancy. This period extends from ages one to two and twelve to thirteen (</w:t>
      </w:r>
      <w:proofErr w:type="spellStart"/>
      <w:r>
        <w:t>Karatekin</w:t>
      </w:r>
      <w:proofErr w:type="spellEnd"/>
      <w:r>
        <w:t xml:space="preserve"> and Hill, 2019). This stage is further defined by Walsh </w:t>
      </w:r>
      <w:r>
        <w:rPr>
          <w:i/>
        </w:rPr>
        <w:t>et al</w:t>
      </w:r>
      <w:r>
        <w:t xml:space="preserve">. (2019) as the natural biological development of human beings depicting their overall physical and mental development till their adolescence. </w:t>
      </w:r>
      <w:r w:rsidR="00436291">
        <w:t xml:space="preserve">UN Convention on the Rights of child states that child is a human below 18. UK respects that definition. </w:t>
      </w:r>
      <w:r>
        <w:t xml:space="preserve">Childhood is defined as the social construction of a human being within their development stages that determines their growth; however, this term does not have a set definition (Moody and </w:t>
      </w:r>
      <w:proofErr w:type="spellStart"/>
      <w:r>
        <w:t>Darbellay</w:t>
      </w:r>
      <w:proofErr w:type="spellEnd"/>
      <w:r>
        <w:t>, 2019). Children experience a range of things throughout their lives. Many instances influence the lives of children and their family plays the key role of directly influencing their development. The family life of the children determines the quality of health, care, and belongingness the child is receiving from his/her family members (</w:t>
      </w:r>
      <w:proofErr w:type="spellStart"/>
      <w:r>
        <w:t>Garlen</w:t>
      </w:r>
      <w:proofErr w:type="spellEnd"/>
      <w:r>
        <w:t>, 2019). It helps develop their mental, emotional, physical, as well as intellectual selves slowly constructing their social abilities and understanding. The key elements of a family can include constant encouragement, communicated love, mutual respect, and quality and fun time spent with each other. Childhood is the period through which the individuals who learn about the world around them are directly shaped by things they see, hear, or come across regularly (Coates and Pimlott</w:t>
      </w:r>
      <w:r>
        <w:rPr>
          <w:rFonts w:ascii="Cambria Math" w:hAnsi="Cambria Math" w:cs="Cambria Math"/>
        </w:rPr>
        <w:t>‐</w:t>
      </w:r>
      <w:r>
        <w:t>Wilson, 2019). This development is divided into different stages of child development which are cognitive, social and emotional, language and speech, fine motor skills, and gross motor skills</w:t>
      </w:r>
      <w:r w:rsidR="00184683">
        <w:t xml:space="preserve"> (Reding, </w:t>
      </w:r>
      <w:r w:rsidR="00076E7B">
        <w:t>2022)</w:t>
      </w:r>
    </w:p>
    <w:p w14:paraId="65B62D0D" w14:textId="0D97C7F0" w:rsidR="00722AF3" w:rsidRDefault="005D4F2D" w:rsidP="00722AF3">
      <w:pPr>
        <w:rPr>
          <w:sz w:val="24"/>
          <w:szCs w:val="24"/>
        </w:rPr>
      </w:pPr>
      <w:r>
        <w:t xml:space="preserve">It can hereby be said that the childhood of children shape and determine the social construction of the children from their childhood to their adolescence. Childhood is said to be “socially constructed” by many sociologists which means that most of the ideas that people have concerning childhood are all created and promoted by societies and not determined by </w:t>
      </w:r>
      <w:r w:rsidRPr="004B2E79">
        <w:t xml:space="preserve">one’s biological age. </w:t>
      </w:r>
      <w:r w:rsidR="00722AF3" w:rsidRPr="004B2E79">
        <w:t>According to Murphy, et al. (2009), the concept of childhood is difficult to be defined “as it is  socio-historically and culturally constructed”.</w:t>
      </w:r>
      <w:r w:rsidR="00722AF3">
        <w:rPr>
          <w:sz w:val="24"/>
          <w:szCs w:val="24"/>
        </w:rPr>
        <w:t xml:space="preserve"> </w:t>
      </w:r>
    </w:p>
    <w:p w14:paraId="2A310D71" w14:textId="18EB42F0" w:rsidR="00346A34" w:rsidRDefault="005D4F2D">
      <w:pPr>
        <w:pStyle w:val="Normal1"/>
      </w:pPr>
      <w:r>
        <w:t xml:space="preserve">As a widely accepted constructed concept, childhood has changed drastically in a span of over 130 years (Kay, 2022). The access to schooling and the duration of classes for children, availability and innovativeness of toys, commercial amusements, and many more have created significant changes to how the social construction of the children are influenced and shaped. It was since the 1600s that the notion of childhood had shifted the most, with social and philosophical attitudes </w:t>
      </w:r>
      <w:r w:rsidR="0005607A">
        <w:t>recognizing</w:t>
      </w:r>
      <w:r>
        <w:t xml:space="preserve"> children as separate beings who are innocent and require constant protection as well as training to survive and become better achievers (Coates and Pimlott‐Wilson, 2019).</w:t>
      </w:r>
    </w:p>
    <w:p w14:paraId="36DD80D7" w14:textId="59AA1937" w:rsidR="00346A34" w:rsidRDefault="005D4F2D">
      <w:pPr>
        <w:pStyle w:val="Normal1"/>
      </w:pPr>
      <w:r>
        <w:lastRenderedPageBreak/>
        <w:t xml:space="preserve">The early nineteenth century has been one of the most effective periods of changes for children and their childhood including the practices of families. Family structures have changed drastically throughout years that are influenced by the culture and societal practices. </w:t>
      </w:r>
      <w:r w:rsidR="00106FC0" w:rsidRPr="00106FC0">
        <w:t>Each society decides now what is a family. The family as a social construction evolved.</w:t>
      </w:r>
      <w:r w:rsidR="00106FC0" w:rsidRPr="00106FC0">
        <w:rPr>
          <w:b/>
          <w:bCs/>
          <w:sz w:val="32"/>
          <w:szCs w:val="32"/>
        </w:rPr>
        <w:t xml:space="preserve"> </w:t>
      </w:r>
      <w:r>
        <w:t xml:space="preserve">These led UK families to be mostly nuclear where only the father, mother, and their children live. The families living with the grandparents and other family members are known as extended families (Featherstone </w:t>
      </w:r>
      <w:r>
        <w:rPr>
          <w:i/>
        </w:rPr>
        <w:t>et al</w:t>
      </w:r>
      <w:r>
        <w:t xml:space="preserve">., 2019). 87% of children lived with their parents and grandparents during the early 1900s which decreased to children living with two parents and nowadays, this number has decreased to 62%. Herein, more than 26% of the children are found to be looked after by single parents and approximately 15% of the children are found to be living with remarried parents and almost 7% of them have unmarried parents (Blumberg </w:t>
      </w:r>
      <w:r>
        <w:rPr>
          <w:i/>
        </w:rPr>
        <w:t>et al</w:t>
      </w:r>
      <w:r>
        <w:t>., 2019). The lives of children used to be more easy, free, unsupervised, unstructured, and dependent in the past which has changed significantly in the current date.  Looking at the differences in the family life practices of the UK, it is found that children are currently living highly structured and supervised lives. Families have become more structured and the environment where children grow within has become more competitive shaping them to be more future-oriented and self-dependent.</w:t>
      </w:r>
    </w:p>
    <w:p w14:paraId="6AA49B4F" w14:textId="7A2EAE45" w:rsidR="00346A34" w:rsidRDefault="005D4F2D">
      <w:pPr>
        <w:pStyle w:val="Normal1"/>
      </w:pPr>
      <w:r>
        <w:t xml:space="preserve">The changes in legal laws and regulations in the UK has contributed significantly to these changes occurring in the development practices of children. The family law of the UK currently comprises matrimonial, child, and finance laws that structure the ways in which the development of children have been shaped throughout the years (Pearce </w:t>
      </w:r>
      <w:r>
        <w:rPr>
          <w:i/>
        </w:rPr>
        <w:t>et al</w:t>
      </w:r>
      <w:r>
        <w:t xml:space="preserve">., 2019). In the past, there were very few laws protecting children from illegal activities like child </w:t>
      </w:r>
      <w:r w:rsidR="003D13B0">
        <w:t>labor</w:t>
      </w:r>
      <w:r>
        <w:t xml:space="preserve"> and parents had little idea about the rights of their children. The school teachers and other professionals had more liberty in disciplining children the way they saw fit which affected the development of children negatively in many ways. The origination of the “Child Support Act (1991)” was one of the most important contributors to effective social construction of children as separate beings that focused on child maintenance based on statutory guidance (Evans </w:t>
      </w:r>
      <w:r>
        <w:rPr>
          <w:i/>
        </w:rPr>
        <w:t>et al</w:t>
      </w:r>
      <w:r>
        <w:t>., 2020). The “Family Law Act (1996)” was another essential law that protected children from domestic violence while punishing the family members responsible for conducting violence against their children or wives. “Human Rights Act (1998)” is another important legislation that shaped the social construction of children by acknowledging their rights to be treated fairly and respectfully (Cowan and Cowan, 2019).</w:t>
      </w:r>
    </w:p>
    <w:p w14:paraId="47E7126C" w14:textId="77777777" w:rsidR="00346A34" w:rsidRDefault="005D4F2D">
      <w:pPr>
        <w:pStyle w:val="Normal1"/>
      </w:pPr>
      <w:r>
        <w:t xml:space="preserve">The factors that have been improving the lives of children, young age people and families which help reduce inequalities in health and care are the legislation implemented by the government of England. The 1833 Factories Act is implemented more by the government to </w:t>
      </w:r>
      <w:r>
        <w:lastRenderedPageBreak/>
        <w:t>reduce the abuse of children whose age is below nine years. The law also focuses more on having full-time employment at the age of 16 only (</w:t>
      </w:r>
      <w:proofErr w:type="spellStart"/>
      <w:r>
        <w:t>Artiga</w:t>
      </w:r>
      <w:proofErr w:type="spellEnd"/>
      <w:r>
        <w:rPr>
          <w:i/>
        </w:rPr>
        <w:t xml:space="preserve"> et al., </w:t>
      </w:r>
      <w:r>
        <w:t xml:space="preserve">2020).  The most important factor that is used by the government to improve the lives of children is implementing legislation related to the Education Act of 1880. Implementing the Education Law Act of 1880 also helps more in improving the lives of children by saving more from the </w:t>
      </w:r>
      <w:proofErr w:type="spellStart"/>
      <w:r>
        <w:t>abusement</w:t>
      </w:r>
      <w:proofErr w:type="spellEnd"/>
      <w:r>
        <w:t xml:space="preserve"> and harassment. The government after implementing the Education Act of 1880 made compulsory education for children having an age from 5 years to 11 years. The government of England has made more changes in the act which helps more children to adopt the education till the age of 16 years of age.  Legislation implemented by the Government of England also helps more in protecting from harm and abuse such as sexual content and alcohol restrictions in the entire country.  The legislation adopted by the government of England also helps more in saving the lives of innocent children who are being targeted by the traffickers in the country.  </w:t>
      </w:r>
    </w:p>
    <w:p w14:paraId="06BA8238" w14:textId="77777777" w:rsidR="00346A34" w:rsidRDefault="005D4F2D">
      <w:pPr>
        <w:pStyle w:val="Normal1"/>
      </w:pPr>
      <w:r>
        <w:t xml:space="preserve">The NHS also confirms that Children having a habit of consuming alcohol may be more harmful and may take innocent lives without living longer.  Consumption of alcohol having an age below 16 years may affect the healthy development of children in the country.  As said according to the Childline (2021) legislation adopted by the government of England ensures more protection the children who are more targeted for sexual abuse. Ensuring the law implemented by the government of England also states that sex with a child who is below 16 years in the country may be punished more which may be recorded against the law (Baumann </w:t>
      </w:r>
      <w:r>
        <w:rPr>
          <w:i/>
        </w:rPr>
        <w:t xml:space="preserve">et al., </w:t>
      </w:r>
      <w:r>
        <w:t xml:space="preserve">2020). The law also ensures more saving of the innocent lives of every child who is below the age of 16 years. According to Maslow's hierarchy of needs, human beings should meet different needs which helps more in positively satisfying these needs. </w:t>
      </w:r>
    </w:p>
    <w:p w14:paraId="3C224EAC" w14:textId="5352DBA0" w:rsidR="00346A34" w:rsidRDefault="005D4F2D">
      <w:pPr>
        <w:pStyle w:val="Normal1"/>
      </w:pPr>
      <w:r>
        <w:t>Ensuring the law implemented by the government of England helps more in ensuring the protection of children and younger age people. Implementing the legislation by the government of England also helps in ensuring the health needs of the people in the country.  Inequalities in health are reduced more by implementing legislation by the government of England. Facilities among the people and families have been ensured more on allocating the different laws by the government of England</w:t>
      </w:r>
      <w:r w:rsidR="0048088B">
        <w:t>.</w:t>
      </w:r>
      <w:r>
        <w:t xml:space="preserve"> Children in the country are referred to as a national asset by the government of England which may help more generating revenues and </w:t>
      </w:r>
      <w:r w:rsidR="00E31BE0">
        <w:t>globalization</w:t>
      </w:r>
      <w:r>
        <w:t xml:space="preserve"> in the country. It is more important for the government to ensure the protection of every child in the countr</w:t>
      </w:r>
      <w:r w:rsidR="002D5DB7">
        <w:t>y (NSPCC, 2022)</w:t>
      </w:r>
    </w:p>
    <w:p w14:paraId="0B30FC65" w14:textId="090F4A1B" w:rsidR="00346A34" w:rsidRDefault="005D4F2D">
      <w:pPr>
        <w:pStyle w:val="Normal1"/>
      </w:pPr>
      <w:r>
        <w:t xml:space="preserve">The law ensured by the government of England also helps more in saving the innocent lives of children by initiating more awareness campaigns in different societies. Ensuring the health and benefits of families and young people is also referred to as a prime facility </w:t>
      </w:r>
      <w:r w:rsidR="00E31BE0">
        <w:t>organized</w:t>
      </w:r>
      <w:r>
        <w:t xml:space="preserve"> by the government of England.  People in the country are being more benefited by ensuring the </w:t>
      </w:r>
      <w:r>
        <w:lastRenderedPageBreak/>
        <w:t xml:space="preserve">proper health benefits among every individual after the implementation of different legislation in the country by the government (Chen </w:t>
      </w:r>
      <w:r>
        <w:rPr>
          <w:i/>
        </w:rPr>
        <w:t>et al.,</w:t>
      </w:r>
      <w:r>
        <w:t xml:space="preserve"> 2019).  Healthcare facilities should be divided among both males and females equally which may help the government to improve the health benefits among every individual in the country.  Implementing different acts made by the government also helps more in reducing racism and inequalities in the country.  Government should implement the act properly which helps in reducing the inequalities in health care. Government must monitor ensuring the same healthcare facilities for both the rich and poor people in the country.  </w:t>
      </w:r>
    </w:p>
    <w:p w14:paraId="714F7559" w14:textId="674F0FD0" w:rsidR="00346A34" w:rsidRDefault="005D4F2D">
      <w:pPr>
        <w:pStyle w:val="Normal1"/>
      </w:pPr>
      <w:r>
        <w:t xml:space="preserve">The government of England must ensure a healthy share of the income rates among every individual in the country which helps more in reducing the inequalities system in the country. Elderly people and their families should be </w:t>
      </w:r>
      <w:r w:rsidR="009D5233">
        <w:t>prioritized</w:t>
      </w:r>
      <w:r>
        <w:t xml:space="preserve"> more on ensuring the proffer health benefits by the government of England to make the health care systems in the country.  Getting the worst experience in institutions and schools, leaving the institutions earlier and having sex earlier must be monitored to improve the health and social care in the country. The government must ensure the maximum paying of wages for the </w:t>
      </w:r>
      <w:r w:rsidR="0076476C">
        <w:t>person working in different concerned departments which helps</w:t>
      </w:r>
      <w:r>
        <w:t xml:space="preserve"> more in reducing the inequalities in the country (</w:t>
      </w:r>
      <w:proofErr w:type="spellStart"/>
      <w:r>
        <w:t>Omerov</w:t>
      </w:r>
      <w:proofErr w:type="spellEnd"/>
      <w:r>
        <w:t xml:space="preserve"> </w:t>
      </w:r>
      <w:r>
        <w:rPr>
          <w:i/>
        </w:rPr>
        <w:t xml:space="preserve">et al., </w:t>
      </w:r>
      <w:r>
        <w:t xml:space="preserve">2020). Children in the country must be protected more by ensuring the different laws and acts which help more in reducing the inequalities and helps more in improving the lives of the children indirectly.  Inequalities among the people and the families are generated more positively on the earnings made by him/ her. Knowing the consequences of inequality in the country, the government must abide by the laws and regulations to stop the growing rate of inequality in the country.  </w:t>
      </w:r>
    </w:p>
    <w:p w14:paraId="1055BC30" w14:textId="34B4F744" w:rsidR="00346A34" w:rsidRDefault="005D4F2D">
      <w:pPr>
        <w:pStyle w:val="Normal1"/>
      </w:pPr>
      <w:r>
        <w:t xml:space="preserve">The citizens of the country failing to get proper health benefits may </w:t>
      </w:r>
      <w:r w:rsidR="009D5233">
        <w:t>maximize</w:t>
      </w:r>
      <w:r>
        <w:t xml:space="preserve"> more health inequalities which may affect the contribution of the economy of the country. Every child raised in the country must be protected by the Acts such as the Educational Act of 1888 which helps more in empowering the children by providing proper facilities. The Government of England should invest more in the education facility which may help more in reducing the equalities among children in the country. The Healthcare sector must be built in such a way that every rich and poor citizen may benefit from the same </w:t>
      </w:r>
      <w:r w:rsidR="00BB1D71">
        <w:t>healthcare</w:t>
      </w:r>
      <w:r>
        <w:t xml:space="preserve">.  The main reason behind growing inequalities in the country is less paying of wages for every individual working in different </w:t>
      </w:r>
      <w:r w:rsidR="003C775F">
        <w:t>organizations</w:t>
      </w:r>
      <w:r>
        <w:t>. The government must monitor the challenges and issues being faced by the citizens to improve more on reducing the inequalities system in the country.</w:t>
      </w:r>
    </w:p>
    <w:p w14:paraId="442143CC" w14:textId="0007EE9C" w:rsidR="00346A34" w:rsidRDefault="005D4F2D">
      <w:pPr>
        <w:pStyle w:val="Normal1"/>
      </w:pPr>
      <w:r>
        <w:t xml:space="preserve">It is true that there are various acts and legislations targeted at improving the lives of the children who possess a certain amount of vulnerability in them. However, this doesn't </w:t>
      </w:r>
      <w:r w:rsidR="00EE3497">
        <w:t>rove</w:t>
      </w:r>
      <w:r>
        <w:t xml:space="preserve"> much help in eradicating the inequalities in the societies related to the vulnerable children. </w:t>
      </w:r>
      <w:r>
        <w:lastRenderedPageBreak/>
        <w:t xml:space="preserve">One of the most effective approaches, in this case, would be the family systems programs which follow a specific approach which has a core focus on levels of stress, coping mechanisms and depression among children who have been feeling discriminated against. The interventions of the parents and the family members help in dealing with vulnerable children. Apart from this approach, positive </w:t>
      </w:r>
      <w:r w:rsidR="00626859">
        <w:t>behavior</w:t>
      </w:r>
      <w:r>
        <w:t xml:space="preserve"> support is also effective in helping vulnerable children to deal with their problems and come up with genuine solutions within a stipulated time frame. The promotion of proper parenting </w:t>
      </w:r>
      <w:r w:rsidR="00626859">
        <w:t>behavior</w:t>
      </w:r>
      <w:r w:rsidR="00307E03">
        <w:t xml:space="preserve"> will also be helpful </w:t>
      </w:r>
      <w:r>
        <w:t xml:space="preserve">in dealing with the vulnerable children within the family. The vulnerable children are not </w:t>
      </w:r>
      <w:r w:rsidR="003C775F">
        <w:t>only</w:t>
      </w:r>
      <w:r>
        <w:t xml:space="preserve"> limited to their </w:t>
      </w:r>
      <w:r w:rsidR="00307E03">
        <w:t>families;</w:t>
      </w:r>
      <w:r>
        <w:t xml:space="preserve"> they attend the schools too. Here, the points of referral play a very important role (Redding, 2019). When the teacher is not able to solve the issues of the vulnerable children in an inclusive classroom, the points of referral help in providing appropriate guidance to the vulnerable children.</w:t>
      </w:r>
    </w:p>
    <w:p w14:paraId="4B32B217" w14:textId="77777777" w:rsidR="00346A34" w:rsidRDefault="005D4F2D">
      <w:pPr>
        <w:pStyle w:val="Normal1"/>
      </w:pPr>
      <w:r>
        <w:t xml:space="preserve">Some of the most important approaches and interventions for children across different families include universal services that are NHS, GP, and school. There </w:t>
      </w:r>
      <w:r w:rsidR="00307E03">
        <w:t>is</w:t>
      </w:r>
      <w:r>
        <w:t xml:space="preserve"> some key targeted services for children with poor families like free school means along with other targeted interventions and specific services that are identifying specific needs and situations of children (</w:t>
      </w:r>
      <w:proofErr w:type="spellStart"/>
      <w:r>
        <w:t>Stother</w:t>
      </w:r>
      <w:proofErr w:type="spellEnd"/>
      <w:r>
        <w:t xml:space="preserve">, 2019). The rules and regulations have also created effective interventions for children at risk to ensure that the risks surrounding them are identified beforehand. The </w:t>
      </w:r>
      <w:r w:rsidR="0076476C">
        <w:t>child safeguarding</w:t>
      </w:r>
      <w:r>
        <w:t xml:space="preserve"> practices of social service providers can be considered as one of these key interventions that are constantly protecting children from threats from their surroundings. These interventions have been continuously helping children and young people from potential harm. The “Equality Act (2010)” also provides some key interventions that allow children and their rights to be taken equally into consideration as the adults (</w:t>
      </w:r>
      <w:proofErr w:type="spellStart"/>
      <w:r>
        <w:t>Readhead</w:t>
      </w:r>
      <w:proofErr w:type="spellEnd"/>
      <w:r>
        <w:t>, 2022).</w:t>
      </w:r>
    </w:p>
    <w:p w14:paraId="72E6F30B" w14:textId="77777777" w:rsidR="00346A34" w:rsidRDefault="005D4F2D">
      <w:pPr>
        <w:pStyle w:val="Normal1"/>
      </w:pPr>
      <w:r>
        <w:br w:type="page"/>
      </w:r>
    </w:p>
    <w:p w14:paraId="2106F345" w14:textId="77777777" w:rsidR="00346A34" w:rsidRDefault="005D4F2D">
      <w:pPr>
        <w:pStyle w:val="Heading1"/>
      </w:pPr>
      <w:bookmarkStart w:id="3" w:name="_y6bcl5nltnod" w:colFirst="0" w:colLast="0"/>
      <w:bookmarkStart w:id="4" w:name="_Toc123659178"/>
      <w:bookmarkEnd w:id="3"/>
      <w:r>
        <w:lastRenderedPageBreak/>
        <w:t>Conclusion</w:t>
      </w:r>
      <w:bookmarkEnd w:id="4"/>
    </w:p>
    <w:p w14:paraId="22AF64BA" w14:textId="1A6A01AC" w:rsidR="00346A34" w:rsidRDefault="005D4F2D">
      <w:pPr>
        <w:pStyle w:val="Normal1"/>
        <w:rPr>
          <w:rFonts w:ascii="Times New Roman" w:eastAsia="Times New Roman" w:hAnsi="Times New Roman" w:cs="Times New Roman"/>
          <w:color w:val="9900FF"/>
          <w:sz w:val="24"/>
          <w:szCs w:val="24"/>
        </w:rPr>
      </w:pPr>
      <w:r>
        <w:t>In this essay, the various aspects of children, young people and their families have been highlighted in a diligent manner. The development during the childhood of an individual has been</w:t>
      </w:r>
      <w:r w:rsidR="0074491E">
        <w:t xml:space="preserve"> principally</w:t>
      </w:r>
      <w:r>
        <w:t xml:space="preserve"> focused on herein. There are </w:t>
      </w:r>
      <w:r w:rsidR="008B4637">
        <w:t>numerous</w:t>
      </w:r>
      <w:r>
        <w:t xml:space="preserve"> factors which are responsible for the purpose of delaying or hastening the emotional, cognit</w:t>
      </w:r>
      <w:r w:rsidR="00307E03">
        <w:t>ive and physical development of</w:t>
      </w:r>
      <w:r>
        <w:t xml:space="preserve"> an individual. This essay has explored that not </w:t>
      </w:r>
      <w:r w:rsidR="0082443B">
        <w:t>solely</w:t>
      </w:r>
      <w:r>
        <w:t xml:space="preserve"> the family, but the entire society in which a child lives also impacts him or her to a great extent. There are certain factors which shape the childhood of vulnerable children the most. All these factors have been evaluated in this essa</w:t>
      </w:r>
      <w:r w:rsidR="001C38D6">
        <w:t>y.</w:t>
      </w:r>
      <w:r>
        <w:t xml:space="preserve"> The approaches and the interventions which will be appropriate in dealing with the development of the vulnerable children have also been discussed herein, along with a handful of suggestions has also been </w:t>
      </w:r>
      <w:r w:rsidR="00006752">
        <w:t xml:space="preserve">presented </w:t>
      </w:r>
      <w:r>
        <w:t xml:space="preserve">in this </w:t>
      </w:r>
      <w:r w:rsidR="00770173">
        <w:t xml:space="preserve">assessment </w:t>
      </w:r>
      <w:r>
        <w:t>essay.</w:t>
      </w:r>
      <w:r>
        <w:br w:type="page"/>
      </w:r>
    </w:p>
    <w:p w14:paraId="3DB7F210" w14:textId="052C54DC" w:rsidR="00346A34" w:rsidRPr="007021FB" w:rsidRDefault="005D4F2D">
      <w:pPr>
        <w:pStyle w:val="Heading1"/>
      </w:pPr>
      <w:bookmarkStart w:id="5" w:name="_a1gd6fphobbw" w:colFirst="0" w:colLast="0"/>
      <w:bookmarkStart w:id="6" w:name="_Toc123659179"/>
      <w:bookmarkEnd w:id="5"/>
      <w:r w:rsidRPr="007021FB">
        <w:lastRenderedPageBreak/>
        <w:t>References</w:t>
      </w:r>
      <w:bookmarkEnd w:id="6"/>
    </w:p>
    <w:p w14:paraId="54CE1605" w14:textId="05808535" w:rsidR="0076476C" w:rsidRPr="007021FB" w:rsidRDefault="0076476C">
      <w:pPr>
        <w:pStyle w:val="Normal1"/>
      </w:pPr>
      <w:proofErr w:type="spellStart"/>
      <w:r w:rsidRPr="007021FB">
        <w:t>Artiga</w:t>
      </w:r>
      <w:proofErr w:type="spellEnd"/>
      <w:r w:rsidRPr="007021FB">
        <w:t xml:space="preserve">, S., </w:t>
      </w:r>
      <w:proofErr w:type="spellStart"/>
      <w:r w:rsidRPr="007021FB">
        <w:t>Orgera</w:t>
      </w:r>
      <w:proofErr w:type="spellEnd"/>
      <w:r w:rsidRPr="007021FB">
        <w:t xml:space="preserve">, K. and Pham, O. </w:t>
      </w:r>
      <w:r w:rsidR="007B4008" w:rsidRPr="007021FB">
        <w:t>(</w:t>
      </w:r>
      <w:r w:rsidRPr="007021FB">
        <w:t>2020</w:t>
      </w:r>
      <w:r w:rsidR="007B4008" w:rsidRPr="007021FB">
        <w:t>)</w:t>
      </w:r>
      <w:r w:rsidRPr="007021FB">
        <w:t xml:space="preserve"> </w:t>
      </w:r>
      <w:r w:rsidRPr="007021FB">
        <w:rPr>
          <w:i/>
          <w:iCs/>
        </w:rPr>
        <w:t>Disparities in health and health care: Five key questions and answers</w:t>
      </w:r>
      <w:r w:rsidRPr="007021FB">
        <w:t>. Kaiser Family Foundation.</w:t>
      </w:r>
      <w:r w:rsidR="002C3077" w:rsidRPr="007021FB">
        <w:t xml:space="preserve"> California-USA.</w:t>
      </w:r>
    </w:p>
    <w:p w14:paraId="012F9F3A" w14:textId="4D061D62" w:rsidR="0076476C" w:rsidRPr="007021FB" w:rsidRDefault="0076476C">
      <w:pPr>
        <w:pStyle w:val="Normal1"/>
      </w:pPr>
      <w:r w:rsidRPr="007021FB">
        <w:t xml:space="preserve">Baumann, A.A. and </w:t>
      </w:r>
      <w:proofErr w:type="spellStart"/>
      <w:r w:rsidRPr="007021FB">
        <w:t>Cabassa</w:t>
      </w:r>
      <w:proofErr w:type="spellEnd"/>
      <w:r w:rsidRPr="007021FB">
        <w:t>, L.J.</w:t>
      </w:r>
      <w:r w:rsidR="00EF18F9" w:rsidRPr="007021FB">
        <w:t xml:space="preserve"> (</w:t>
      </w:r>
      <w:r w:rsidRPr="007021FB">
        <w:t>2020</w:t>
      </w:r>
      <w:r w:rsidR="00EF18F9" w:rsidRPr="007021FB">
        <w:t>)</w:t>
      </w:r>
      <w:r w:rsidRPr="007021FB">
        <w:rPr>
          <w:i/>
          <w:iCs/>
        </w:rPr>
        <w:t xml:space="preserve"> Reframing implementation science to address inequities in healthcare delivery</w:t>
      </w:r>
      <w:r w:rsidR="00276611" w:rsidRPr="007021FB">
        <w:rPr>
          <w:i/>
          <w:iCs/>
        </w:rPr>
        <w:t>.</w:t>
      </w:r>
      <w:r w:rsidR="005D1F28" w:rsidRPr="007021FB">
        <w:t xml:space="preserve"> BMC Health Services Research, 20(1), pp.1-9.</w:t>
      </w:r>
      <w:r w:rsidR="00276611" w:rsidRPr="007021FB">
        <w:t xml:space="preserve"> (</w:t>
      </w:r>
      <w:r w:rsidR="005B2F24" w:rsidRPr="007021FB">
        <w:t xml:space="preserve">Online) Available at: </w:t>
      </w:r>
      <w:hyperlink r:id="rId9" w:history="1">
        <w:r w:rsidR="005B2F24" w:rsidRPr="007021FB">
          <w:rPr>
            <w:color w:val="0000FF"/>
            <w:u w:val="single"/>
          </w:rPr>
          <w:t>Reframing implementation science to address inequities in healthcare delivery (biomedcentral.com)</w:t>
        </w:r>
      </w:hyperlink>
      <w:r w:rsidR="005B2F24" w:rsidRPr="007021FB">
        <w:t xml:space="preserve"> Date Accessed: </w:t>
      </w:r>
      <w:r w:rsidR="005D1F28" w:rsidRPr="007021FB">
        <w:t>15 December 2022</w:t>
      </w:r>
      <w:r w:rsidR="00B1462C" w:rsidRPr="007021FB">
        <w:t>.</w:t>
      </w:r>
    </w:p>
    <w:p w14:paraId="1AFC2CA5" w14:textId="5905E32F" w:rsidR="0076476C" w:rsidRPr="007021FB" w:rsidRDefault="0076476C">
      <w:pPr>
        <w:pStyle w:val="Normal1"/>
      </w:pPr>
      <w:r w:rsidRPr="007021FB">
        <w:t xml:space="preserve">Blumberg, F.C., </w:t>
      </w:r>
      <w:proofErr w:type="spellStart"/>
      <w:r w:rsidRPr="007021FB">
        <w:t>Deater</w:t>
      </w:r>
      <w:proofErr w:type="spellEnd"/>
      <w:r w:rsidRPr="007021FB">
        <w:rPr>
          <w:rFonts w:ascii="Cambria Math" w:hAnsi="Cambria Math" w:cs="Cambria Math"/>
        </w:rPr>
        <w:t>‐</w:t>
      </w:r>
      <w:r w:rsidRPr="007021FB">
        <w:t>Deckard, K., Calvert, S.L., Flynn, R.M., Green, C.S., Arnold, D. and Brooks, P.J.</w:t>
      </w:r>
      <w:r w:rsidR="00A2287B" w:rsidRPr="007021FB">
        <w:t>(</w:t>
      </w:r>
      <w:r w:rsidRPr="007021FB">
        <w:t>2019</w:t>
      </w:r>
      <w:r w:rsidR="00A2287B" w:rsidRPr="007021FB">
        <w:t xml:space="preserve">) </w:t>
      </w:r>
      <w:r w:rsidRPr="007021FB">
        <w:rPr>
          <w:i/>
          <w:iCs/>
        </w:rPr>
        <w:t>Digital games as a context for children's cognitive development: Research recommendations and policy considerations.</w:t>
      </w:r>
      <w:r w:rsidRPr="007021FB">
        <w:t xml:space="preserve"> Social Policy Report, 32(1), pp.1-33</w:t>
      </w:r>
      <w:r w:rsidR="002F1D74" w:rsidRPr="007021FB">
        <w:t xml:space="preserve"> </w:t>
      </w:r>
      <w:r w:rsidR="00914D32" w:rsidRPr="007021FB">
        <w:t>(</w:t>
      </w:r>
      <w:r w:rsidR="002F1D74" w:rsidRPr="007021FB">
        <w:t>Online</w:t>
      </w:r>
      <w:r w:rsidR="00D72929" w:rsidRPr="007021FB">
        <w:t>)</w:t>
      </w:r>
      <w:r w:rsidR="002F1D74" w:rsidRPr="007021FB">
        <w:t xml:space="preserve"> Available at: </w:t>
      </w:r>
      <w:hyperlink r:id="rId10" w:anchor="citing-papers" w:history="1">
        <w:r w:rsidR="002F1D74" w:rsidRPr="007021FB">
          <w:rPr>
            <w:color w:val="0000FF"/>
            <w:u w:val="single"/>
          </w:rPr>
          <w:t xml:space="preserve"> Digital Games as a Context for Children's Cognitive Development: Research Recommendations and Policy Considerations | Semantic Scholar</w:t>
        </w:r>
      </w:hyperlink>
      <w:r w:rsidR="00D72929" w:rsidRPr="007021FB">
        <w:t xml:space="preserve"> Date Accessed: 15 December 2022.</w:t>
      </w:r>
    </w:p>
    <w:p w14:paraId="57496EBD" w14:textId="34D23B1F" w:rsidR="0076476C" w:rsidRPr="007021FB" w:rsidRDefault="0076476C">
      <w:pPr>
        <w:pStyle w:val="Normal1"/>
      </w:pPr>
      <w:r w:rsidRPr="007021FB">
        <w:t xml:space="preserve">Chen, I.Y., </w:t>
      </w:r>
      <w:proofErr w:type="spellStart"/>
      <w:r w:rsidRPr="007021FB">
        <w:t>Szolovits</w:t>
      </w:r>
      <w:proofErr w:type="spellEnd"/>
      <w:r w:rsidRPr="007021FB">
        <w:t xml:space="preserve">, P. and </w:t>
      </w:r>
      <w:proofErr w:type="spellStart"/>
      <w:r w:rsidRPr="007021FB">
        <w:t>Ghassemi</w:t>
      </w:r>
      <w:proofErr w:type="spellEnd"/>
      <w:r w:rsidRPr="007021FB">
        <w:t>, M.</w:t>
      </w:r>
      <w:r w:rsidR="0051269D" w:rsidRPr="007021FB">
        <w:t>(</w:t>
      </w:r>
      <w:r w:rsidRPr="007021FB">
        <w:t xml:space="preserve"> 2019</w:t>
      </w:r>
      <w:r w:rsidR="0051269D" w:rsidRPr="007021FB">
        <w:t xml:space="preserve">) </w:t>
      </w:r>
      <w:r w:rsidR="00396FBB" w:rsidRPr="007021FB">
        <w:t>“</w:t>
      </w:r>
      <w:r w:rsidRPr="007021FB">
        <w:t>Can AI help reduce disparities in general medical and mental health care?</w:t>
      </w:r>
      <w:r w:rsidR="00396FBB" w:rsidRPr="007021FB">
        <w:t>”</w:t>
      </w:r>
      <w:r w:rsidRPr="007021FB">
        <w:t xml:space="preserve">. </w:t>
      </w:r>
      <w:r w:rsidRPr="007021FB">
        <w:rPr>
          <w:i/>
          <w:iCs/>
        </w:rPr>
        <w:t>AMA journal of ethics,</w:t>
      </w:r>
      <w:r w:rsidRPr="007021FB">
        <w:t xml:space="preserve"> 21(2), pp.167-179.</w:t>
      </w:r>
      <w:r w:rsidR="00332B07" w:rsidRPr="007021FB">
        <w:t xml:space="preserve"> </w:t>
      </w:r>
      <w:r w:rsidR="0089394E" w:rsidRPr="007021FB">
        <w:rPr>
          <w:b/>
          <w:bCs/>
          <w:color w:val="444444"/>
          <w:shd w:val="clear" w:color="auto" w:fill="FFFFFF"/>
        </w:rPr>
        <w:t>DOI: </w:t>
      </w:r>
      <w:hyperlink r:id="rId11" w:tgtFrame="_blank" w:history="1">
        <w:r w:rsidR="0089394E" w:rsidRPr="007021FB">
          <w:rPr>
            <w:color w:val="4007A2"/>
            <w:u w:val="single"/>
            <w:shd w:val="clear" w:color="auto" w:fill="FFFFFF"/>
          </w:rPr>
          <w:t>10.1001/amajethics.2019.167</w:t>
        </w:r>
      </w:hyperlink>
      <w:r w:rsidR="003543D0" w:rsidRPr="007021FB">
        <w:rPr>
          <w:color w:val="444444"/>
          <w:shd w:val="clear" w:color="auto" w:fill="FFFFFF"/>
        </w:rPr>
        <w:t>.</w:t>
      </w:r>
    </w:p>
    <w:p w14:paraId="372A21DD" w14:textId="0032F380" w:rsidR="0076476C" w:rsidRPr="007021FB" w:rsidRDefault="0076476C">
      <w:pPr>
        <w:pStyle w:val="Normal1"/>
      </w:pPr>
      <w:r w:rsidRPr="007021FB">
        <w:t>Coates, J.K. and Pimlott</w:t>
      </w:r>
      <w:r w:rsidRPr="007021FB">
        <w:rPr>
          <w:rFonts w:ascii="Cambria Math" w:hAnsi="Cambria Math" w:cs="Cambria Math"/>
        </w:rPr>
        <w:t>‐</w:t>
      </w:r>
      <w:r w:rsidRPr="007021FB">
        <w:t>Wilson, H.</w:t>
      </w:r>
      <w:r w:rsidR="00C73633" w:rsidRPr="007021FB">
        <w:t xml:space="preserve"> (</w:t>
      </w:r>
      <w:r w:rsidRPr="007021FB">
        <w:t>201</w:t>
      </w:r>
      <w:r w:rsidR="00C74240" w:rsidRPr="007021FB">
        <w:t>8</w:t>
      </w:r>
      <w:r w:rsidR="00C73633" w:rsidRPr="007021FB">
        <w:t>)</w:t>
      </w:r>
      <w:r w:rsidRPr="007021FB">
        <w:t xml:space="preserve"> </w:t>
      </w:r>
      <w:r w:rsidR="00811171" w:rsidRPr="007021FB">
        <w:t>“</w:t>
      </w:r>
      <w:r w:rsidRPr="007021FB">
        <w:t>Learning while playing: Children's forest school experiences in the UK.</w:t>
      </w:r>
      <w:r w:rsidR="00811171" w:rsidRPr="007021FB">
        <w:t xml:space="preserve">” </w:t>
      </w:r>
      <w:r w:rsidRPr="007021FB">
        <w:rPr>
          <w:i/>
          <w:iCs/>
        </w:rPr>
        <w:t>British Educational Research Journal,</w:t>
      </w:r>
      <w:r w:rsidRPr="007021FB">
        <w:t xml:space="preserve"> 45(1), pp.21-40</w:t>
      </w:r>
      <w:r w:rsidR="001F0BFE" w:rsidRPr="007021FB">
        <w:t xml:space="preserve"> </w:t>
      </w:r>
      <w:hyperlink r:id="rId12" w:history="1">
        <w:r w:rsidR="001F0BFE" w:rsidRPr="007021FB">
          <w:rPr>
            <w:b/>
            <w:bCs/>
            <w:color w:val="005274"/>
            <w:u w:val="single"/>
            <w:shd w:val="clear" w:color="auto" w:fill="FFFFFF"/>
          </w:rPr>
          <w:t>https://doi.org/10.1002/berj.3491</w:t>
        </w:r>
      </w:hyperlink>
      <w:r w:rsidR="003543D0" w:rsidRPr="007021FB">
        <w:t>.</w:t>
      </w:r>
    </w:p>
    <w:p w14:paraId="6661EB4E" w14:textId="2F6A706E" w:rsidR="0076476C" w:rsidRPr="007021FB" w:rsidRDefault="0076476C">
      <w:pPr>
        <w:pStyle w:val="Normal1"/>
        <w:rPr>
          <w:lang w:val="en-GB"/>
        </w:rPr>
      </w:pPr>
      <w:r w:rsidRPr="007021FB">
        <w:t xml:space="preserve">Cowan, C.P. and Cowan, P.A. </w:t>
      </w:r>
      <w:r w:rsidR="00842565" w:rsidRPr="007021FB">
        <w:t>(</w:t>
      </w:r>
      <w:r w:rsidRPr="007021FB">
        <w:t>201</w:t>
      </w:r>
      <w:r w:rsidR="00D44B0B" w:rsidRPr="007021FB">
        <w:t>8</w:t>
      </w:r>
      <w:r w:rsidR="00B638F7" w:rsidRPr="007021FB">
        <w:t>)</w:t>
      </w:r>
      <w:r w:rsidRPr="007021FB">
        <w:t xml:space="preserve"> </w:t>
      </w:r>
      <w:r w:rsidR="00842565" w:rsidRPr="007021FB">
        <w:t>“</w:t>
      </w:r>
      <w:r w:rsidRPr="007021FB">
        <w:t>Enhancing parenting effectiveness, fathers' involvement, couple relationship quality, and children's development: Breaking down silos in family policy making and service delivery</w:t>
      </w:r>
      <w:r w:rsidR="00842565" w:rsidRPr="007021FB">
        <w:t>”</w:t>
      </w:r>
      <w:r w:rsidRPr="007021FB">
        <w:t xml:space="preserve"> </w:t>
      </w:r>
      <w:r w:rsidRPr="007021FB">
        <w:rPr>
          <w:i/>
          <w:iCs/>
        </w:rPr>
        <w:t xml:space="preserve">Journal </w:t>
      </w:r>
      <w:r w:rsidR="00842565" w:rsidRPr="007021FB">
        <w:rPr>
          <w:i/>
          <w:iCs/>
        </w:rPr>
        <w:t xml:space="preserve">Theory &amp; Review, </w:t>
      </w:r>
      <w:r w:rsidRPr="007021FB">
        <w:rPr>
          <w:i/>
          <w:iCs/>
        </w:rPr>
        <w:t>of Family</w:t>
      </w:r>
      <w:r w:rsidRPr="007021FB">
        <w:t xml:space="preserve"> 11(1), pp.92-111</w:t>
      </w:r>
      <w:r w:rsidR="00842565" w:rsidRPr="007021FB">
        <w:t xml:space="preserve"> </w:t>
      </w:r>
      <w:hyperlink r:id="rId13" w:history="1">
        <w:r w:rsidR="006A0816" w:rsidRPr="007021FB">
          <w:rPr>
            <w:b/>
            <w:bCs/>
            <w:color w:val="005274"/>
            <w:u w:val="single"/>
            <w:shd w:val="clear" w:color="auto" w:fill="FFFFFF"/>
          </w:rPr>
          <w:t>https://doi.org/10.1111/jftr.12301</w:t>
        </w:r>
      </w:hyperlink>
      <w:r w:rsidR="006A0816" w:rsidRPr="007021FB">
        <w:t>.</w:t>
      </w:r>
    </w:p>
    <w:p w14:paraId="558D0F3D" w14:textId="0E05E772" w:rsidR="0076476C" w:rsidRPr="007021FB" w:rsidRDefault="0076476C">
      <w:pPr>
        <w:pStyle w:val="Normal1"/>
      </w:pPr>
      <w:r w:rsidRPr="007021FB">
        <w:rPr>
          <w:lang w:val="en-GB"/>
        </w:rPr>
        <w:t xml:space="preserve">Evans, S., </w:t>
      </w:r>
      <w:proofErr w:type="spellStart"/>
      <w:r w:rsidRPr="007021FB">
        <w:rPr>
          <w:lang w:val="en-GB"/>
        </w:rPr>
        <w:t>Mikocka-Walus</w:t>
      </w:r>
      <w:proofErr w:type="spellEnd"/>
      <w:r w:rsidRPr="007021FB">
        <w:rPr>
          <w:lang w:val="en-GB"/>
        </w:rPr>
        <w:t xml:space="preserve">, A., </w:t>
      </w:r>
      <w:proofErr w:type="spellStart"/>
      <w:r w:rsidRPr="007021FB">
        <w:rPr>
          <w:lang w:val="en-GB"/>
        </w:rPr>
        <w:t>Klas</w:t>
      </w:r>
      <w:proofErr w:type="spellEnd"/>
      <w:r w:rsidRPr="007021FB">
        <w:rPr>
          <w:lang w:val="en-GB"/>
        </w:rPr>
        <w:t xml:space="preserve">, A., Olive, L., Sciberras, E., </w:t>
      </w:r>
      <w:proofErr w:type="spellStart"/>
      <w:r w:rsidRPr="007021FB">
        <w:rPr>
          <w:lang w:val="en-GB"/>
        </w:rPr>
        <w:t>Karantzas</w:t>
      </w:r>
      <w:proofErr w:type="spellEnd"/>
      <w:r w:rsidRPr="007021FB">
        <w:rPr>
          <w:lang w:val="en-GB"/>
        </w:rPr>
        <w:t xml:space="preserve">, G. and </w:t>
      </w:r>
      <w:proofErr w:type="spellStart"/>
      <w:r w:rsidRPr="007021FB">
        <w:rPr>
          <w:lang w:val="en-GB"/>
        </w:rPr>
        <w:t>Westrupp</w:t>
      </w:r>
      <w:proofErr w:type="spellEnd"/>
      <w:r w:rsidRPr="007021FB">
        <w:rPr>
          <w:lang w:val="en-GB"/>
        </w:rPr>
        <w:t>, E.M.,</w:t>
      </w:r>
      <w:r w:rsidR="00BA1FE7" w:rsidRPr="007021FB">
        <w:rPr>
          <w:lang w:val="en-GB"/>
        </w:rPr>
        <w:t>(</w:t>
      </w:r>
      <w:r w:rsidRPr="007021FB">
        <w:rPr>
          <w:lang w:val="en-GB"/>
        </w:rPr>
        <w:t>2020</w:t>
      </w:r>
      <w:r w:rsidR="00BA1FE7" w:rsidRPr="007021FB">
        <w:rPr>
          <w:lang w:val="en-GB"/>
        </w:rPr>
        <w:t>)</w:t>
      </w:r>
      <w:r w:rsidRPr="007021FB">
        <w:rPr>
          <w:lang w:val="en-GB"/>
        </w:rPr>
        <w:t xml:space="preserve"> </w:t>
      </w:r>
      <w:r w:rsidR="00BA1FE7" w:rsidRPr="007021FB">
        <w:rPr>
          <w:lang w:val="en-GB"/>
        </w:rPr>
        <w:t>“</w:t>
      </w:r>
      <w:r w:rsidRPr="007021FB">
        <w:t>From “it has stopped our lives” to “spending more time together has strengthened bonds”: The varied experiences of Australian families during COVID-19</w:t>
      </w:r>
      <w:r w:rsidR="00BA1FE7" w:rsidRPr="007021FB">
        <w:t>”</w:t>
      </w:r>
      <w:r w:rsidRPr="007021FB">
        <w:t xml:space="preserve"> </w:t>
      </w:r>
      <w:r w:rsidRPr="007021FB">
        <w:rPr>
          <w:i/>
          <w:iCs/>
        </w:rPr>
        <w:t>Frontiers in</w:t>
      </w:r>
      <w:r w:rsidRPr="007021FB">
        <w:t xml:space="preserve"> </w:t>
      </w:r>
      <w:r w:rsidRPr="007021FB">
        <w:rPr>
          <w:i/>
          <w:iCs/>
        </w:rPr>
        <w:t>psychology</w:t>
      </w:r>
      <w:r w:rsidRPr="007021FB">
        <w:t>, 11, p.588667</w:t>
      </w:r>
      <w:r w:rsidR="004A20CD" w:rsidRPr="007021FB">
        <w:t xml:space="preserve"> </w:t>
      </w:r>
      <w:hyperlink r:id="rId14" w:history="1">
        <w:r w:rsidR="004A20CD" w:rsidRPr="007021FB">
          <w:rPr>
            <w:color w:val="282828"/>
            <w:u w:val="single"/>
            <w:shd w:val="clear" w:color="auto" w:fill="F7F7F7"/>
          </w:rPr>
          <w:t>https://doi.org/10.3389/fpsyg.2020.588667</w:t>
        </w:r>
      </w:hyperlink>
      <w:r w:rsidR="004A20CD" w:rsidRPr="007021FB">
        <w:t>.</w:t>
      </w:r>
    </w:p>
    <w:p w14:paraId="17E34E08" w14:textId="4EAAAA28" w:rsidR="00473518" w:rsidRPr="007021FB" w:rsidRDefault="0076476C" w:rsidP="00473518">
      <w:pPr>
        <w:shd w:val="clear" w:color="auto" w:fill="FFFFFF"/>
        <w:spacing w:before="100" w:beforeAutospacing="1" w:after="0"/>
        <w:jc w:val="left"/>
        <w:rPr>
          <w:rFonts w:eastAsia="Times New Roman"/>
          <w:color w:val="666666"/>
          <w:lang w:val="en-GB" w:eastAsia="en-GB"/>
        </w:rPr>
      </w:pPr>
      <w:r w:rsidRPr="007021FB">
        <w:t xml:space="preserve">Featherstone, B., Morris, K., Daniel, B., </w:t>
      </w:r>
      <w:proofErr w:type="spellStart"/>
      <w:r w:rsidRPr="007021FB">
        <w:t>Bywaters</w:t>
      </w:r>
      <w:proofErr w:type="spellEnd"/>
      <w:r w:rsidRPr="007021FB">
        <w:t>, P., Brady, G., Bunting, L., Mason, W. and Mirza, N.</w:t>
      </w:r>
      <w:r w:rsidR="00A94BF0" w:rsidRPr="007021FB">
        <w:t xml:space="preserve"> (</w:t>
      </w:r>
      <w:r w:rsidRPr="007021FB">
        <w:t>2019</w:t>
      </w:r>
      <w:r w:rsidR="00A94BF0" w:rsidRPr="007021FB">
        <w:t>) “</w:t>
      </w:r>
      <w:r w:rsidRPr="007021FB">
        <w:t>Poverty, inequality, child abuse and neglect: Changing the conversation across the UK in child protection?</w:t>
      </w:r>
      <w:r w:rsidR="00A94BF0" w:rsidRPr="007021FB">
        <w:t xml:space="preserve">” </w:t>
      </w:r>
      <w:r w:rsidRPr="007021FB">
        <w:t xml:space="preserve"> </w:t>
      </w:r>
      <w:r w:rsidRPr="007021FB">
        <w:rPr>
          <w:i/>
          <w:iCs/>
        </w:rPr>
        <w:t>Children and Youth Services Review</w:t>
      </w:r>
      <w:r w:rsidR="006F55D4" w:rsidRPr="007021FB">
        <w:rPr>
          <w:i/>
          <w:iCs/>
        </w:rPr>
        <w:t xml:space="preserve"> </w:t>
      </w:r>
      <w:r w:rsidRPr="007021FB">
        <w:t>97, pp.127-133</w:t>
      </w:r>
      <w:r w:rsidR="00473518" w:rsidRPr="007021FB">
        <w:t xml:space="preserve"> </w:t>
      </w:r>
      <w:hyperlink r:id="rId15" w:history="1">
        <w:r w:rsidR="00473518" w:rsidRPr="007021FB">
          <w:rPr>
            <w:rFonts w:eastAsia="Times New Roman"/>
            <w:color w:val="0088CC"/>
            <w:u w:val="single"/>
            <w:lang w:val="en-GB" w:eastAsia="en-GB"/>
          </w:rPr>
          <w:t>10.1016/j.childyouth.2017.06.009</w:t>
        </w:r>
      </w:hyperlink>
    </w:p>
    <w:p w14:paraId="07E73640" w14:textId="27EBB053" w:rsidR="0045668C" w:rsidRPr="007021FB" w:rsidRDefault="0045668C" w:rsidP="00E40EB7">
      <w:pPr>
        <w:pStyle w:val="Normal1"/>
      </w:pPr>
      <w:proofErr w:type="spellStart"/>
      <w:r w:rsidRPr="007021FB">
        <w:lastRenderedPageBreak/>
        <w:t>Garlen</w:t>
      </w:r>
      <w:proofErr w:type="spellEnd"/>
      <w:r w:rsidRPr="007021FB">
        <w:t>, J. C. (2019)</w:t>
      </w:r>
      <w:r w:rsidR="000300CD" w:rsidRPr="007021FB">
        <w:t xml:space="preserve"> “</w:t>
      </w:r>
      <w:r w:rsidRPr="007021FB">
        <w:t>Interrogating innocence: “Childhood” as exclusionary social practice</w:t>
      </w:r>
      <w:r w:rsidR="000300CD" w:rsidRPr="007021FB">
        <w:t xml:space="preserve">” </w:t>
      </w:r>
      <w:r w:rsidR="00CC4CDB" w:rsidRPr="007021FB">
        <w:rPr>
          <w:i/>
          <w:iCs/>
        </w:rPr>
        <w:t>Sage Journal</w:t>
      </w:r>
      <w:r w:rsidRPr="007021FB">
        <w:t>, 26(1), 54–67. https://doi.org/10.1177/0907568218811484</w:t>
      </w:r>
    </w:p>
    <w:p w14:paraId="6F9F187B" w14:textId="460D9DEF" w:rsidR="0076476C" w:rsidRPr="007021FB" w:rsidRDefault="0076476C" w:rsidP="00E40EB7">
      <w:pPr>
        <w:shd w:val="clear" w:color="auto" w:fill="FFFFFF"/>
        <w:rPr>
          <w:rFonts w:eastAsia="Times New Roman"/>
          <w:color w:val="212121"/>
          <w:lang w:val="en-GB" w:eastAsia="en-GB"/>
        </w:rPr>
      </w:pPr>
      <w:proofErr w:type="spellStart"/>
      <w:r w:rsidRPr="007021FB">
        <w:t>Karatekin</w:t>
      </w:r>
      <w:proofErr w:type="spellEnd"/>
      <w:r w:rsidRPr="007021FB">
        <w:t>, C. and Hill, M.</w:t>
      </w:r>
      <w:r w:rsidR="0080131C" w:rsidRPr="007021FB">
        <w:t xml:space="preserve"> (</w:t>
      </w:r>
      <w:r w:rsidRPr="007021FB">
        <w:t>2019</w:t>
      </w:r>
      <w:r w:rsidR="0080131C" w:rsidRPr="007021FB">
        <w:t>) “</w:t>
      </w:r>
      <w:r w:rsidRPr="007021FB">
        <w:t>Expanding the original definition of adverse childhood experiences (ACEs)</w:t>
      </w:r>
      <w:r w:rsidR="0080131C" w:rsidRPr="007021FB">
        <w:t>”</w:t>
      </w:r>
      <w:r w:rsidRPr="007021FB">
        <w:t xml:space="preserve"> </w:t>
      </w:r>
      <w:r w:rsidRPr="007021FB">
        <w:rPr>
          <w:i/>
          <w:iCs/>
        </w:rPr>
        <w:t>Journal of Child &amp; Adolescent Trauma,</w:t>
      </w:r>
      <w:r w:rsidRPr="007021FB">
        <w:t xml:space="preserve"> 12(3), pp.289-306</w:t>
      </w:r>
      <w:r w:rsidR="00E40EB7" w:rsidRPr="007021FB">
        <w:t xml:space="preserve"> </w:t>
      </w:r>
      <w:r w:rsidR="00E40EB7" w:rsidRPr="007021FB">
        <w:rPr>
          <w:rFonts w:eastAsia="Times New Roman"/>
          <w:color w:val="212121"/>
          <w:lang w:val="en-GB" w:eastAsia="en-GB"/>
        </w:rPr>
        <w:t> </w:t>
      </w:r>
      <w:r w:rsidR="00E40EB7" w:rsidRPr="00E40EB7">
        <w:rPr>
          <w:rFonts w:eastAsia="Times New Roman"/>
          <w:color w:val="212121"/>
          <w:lang w:val="en-GB" w:eastAsia="en-GB"/>
        </w:rPr>
        <w:t>DOI: </w:t>
      </w:r>
      <w:hyperlink r:id="rId16" w:tgtFrame="_blank" w:history="1">
        <w:r w:rsidR="00E40EB7" w:rsidRPr="00E40EB7">
          <w:rPr>
            <w:rFonts w:eastAsia="Times New Roman"/>
            <w:color w:val="0071BC"/>
            <w:u w:val="single"/>
            <w:lang w:val="en-GB" w:eastAsia="en-GB"/>
          </w:rPr>
          <w:t>10.1007/s40653-018-0237-5</w:t>
        </w:r>
      </w:hyperlink>
    </w:p>
    <w:p w14:paraId="457B26E3" w14:textId="355247C2" w:rsidR="0076476C" w:rsidRPr="007021FB" w:rsidRDefault="0076476C">
      <w:pPr>
        <w:pStyle w:val="Normal1"/>
      </w:pPr>
      <w:r w:rsidRPr="007021FB">
        <w:t>Kay, L.</w:t>
      </w:r>
      <w:r w:rsidR="00E40EB7" w:rsidRPr="007021FB">
        <w:t>(</w:t>
      </w:r>
      <w:r w:rsidRPr="007021FB">
        <w:t>2022</w:t>
      </w:r>
      <w:r w:rsidR="00E40EB7" w:rsidRPr="007021FB">
        <w:t>)</w:t>
      </w:r>
      <w:r w:rsidR="002B352B" w:rsidRPr="007021FB">
        <w:t>”</w:t>
      </w:r>
      <w:r w:rsidRPr="007021FB">
        <w:t xml:space="preserve"> ‘What works’ and for whom? Bold Beginnings and the construction of the school ready child</w:t>
      </w:r>
      <w:r w:rsidR="002B352B" w:rsidRPr="007021FB">
        <w:t xml:space="preserve">” </w:t>
      </w:r>
      <w:r w:rsidRPr="007021FB">
        <w:rPr>
          <w:i/>
          <w:iCs/>
        </w:rPr>
        <w:t>Journal of Early Childhood Research,</w:t>
      </w:r>
      <w:r w:rsidRPr="007021FB">
        <w:t xml:space="preserve"> 20(2), pp.172-184</w:t>
      </w:r>
      <w:r w:rsidR="00894B82" w:rsidRPr="007021FB">
        <w:t xml:space="preserve"> </w:t>
      </w:r>
    </w:p>
    <w:p w14:paraId="208FA437" w14:textId="1DAAC818" w:rsidR="0076476C" w:rsidRPr="007021FB" w:rsidRDefault="0076476C" w:rsidP="003972D3">
      <w:pPr>
        <w:pStyle w:val="Normal1"/>
      </w:pPr>
      <w:r w:rsidRPr="007021FB">
        <w:t xml:space="preserve">Moody, Z. and </w:t>
      </w:r>
      <w:proofErr w:type="spellStart"/>
      <w:r w:rsidRPr="007021FB">
        <w:t>Darbellay</w:t>
      </w:r>
      <w:proofErr w:type="spellEnd"/>
      <w:r w:rsidRPr="007021FB">
        <w:t>, F.</w:t>
      </w:r>
      <w:r w:rsidR="00EA5427" w:rsidRPr="007021FB">
        <w:t>(</w:t>
      </w:r>
      <w:r w:rsidRPr="007021FB">
        <w:t>2019</w:t>
      </w:r>
      <w:r w:rsidR="00EA5427" w:rsidRPr="007021FB">
        <w:t>)</w:t>
      </w:r>
      <w:r w:rsidRPr="007021FB">
        <w:t xml:space="preserve"> </w:t>
      </w:r>
      <w:r w:rsidR="003972D3" w:rsidRPr="007021FB">
        <w:t>“</w:t>
      </w:r>
      <w:r w:rsidRPr="007021FB">
        <w:t>Studying childhood, children, and their rights: The challenge of interdisciplinarity</w:t>
      </w:r>
      <w:r w:rsidR="003972D3" w:rsidRPr="007021FB">
        <w:t xml:space="preserve">” </w:t>
      </w:r>
      <w:r w:rsidRPr="007021FB">
        <w:rPr>
          <w:i/>
          <w:iCs/>
        </w:rPr>
        <w:t>Childhood</w:t>
      </w:r>
      <w:r w:rsidR="003972D3" w:rsidRPr="007021FB">
        <w:t xml:space="preserve"> </w:t>
      </w:r>
      <w:r w:rsidRPr="007021FB">
        <w:t>26(1), pp.8-21</w:t>
      </w:r>
      <w:r w:rsidR="003972D3" w:rsidRPr="007021FB">
        <w:t xml:space="preserve"> </w:t>
      </w:r>
      <w:hyperlink r:id="rId17" w:history="1">
        <w:r w:rsidR="003972D3" w:rsidRPr="007021FB">
          <w:rPr>
            <w:color w:val="006ACC"/>
            <w:u w:val="single"/>
            <w:shd w:val="clear" w:color="auto" w:fill="FFFFFF"/>
          </w:rPr>
          <w:t>https://doi.org/10.1177/0907568218798016</w:t>
        </w:r>
      </w:hyperlink>
    </w:p>
    <w:p w14:paraId="035F301C" w14:textId="3900FDA4" w:rsidR="00230E97" w:rsidRPr="007021FB" w:rsidRDefault="00230E97" w:rsidP="006E4D12">
      <w:pPr>
        <w:rPr>
          <w:noProof/>
        </w:rPr>
      </w:pPr>
      <w:r w:rsidRPr="007021FB">
        <w:rPr>
          <w:noProof/>
          <w:lang w:val="en-GB"/>
        </w:rPr>
        <w:t>Murphy, L.,</w:t>
      </w:r>
      <w:r w:rsidR="00501B48" w:rsidRPr="007021FB">
        <w:rPr>
          <w:noProof/>
          <w:lang w:val="en-GB"/>
        </w:rPr>
        <w:t xml:space="preserve"> </w:t>
      </w:r>
      <w:r w:rsidR="00B147B3" w:rsidRPr="007021FB">
        <w:rPr>
          <w:noProof/>
          <w:lang w:val="en-GB"/>
        </w:rPr>
        <w:t>Mufti, E, and Derek, K.</w:t>
      </w:r>
      <w:r w:rsidRPr="007021FB">
        <w:rPr>
          <w:noProof/>
          <w:lang w:val="en-GB"/>
        </w:rPr>
        <w:t xml:space="preserve"> </w:t>
      </w:r>
      <w:r w:rsidRPr="007021FB">
        <w:rPr>
          <w:noProof/>
        </w:rPr>
        <w:t xml:space="preserve">(2009) </w:t>
      </w:r>
      <w:r w:rsidRPr="007021FB">
        <w:rPr>
          <w:i/>
          <w:iCs/>
          <w:noProof/>
        </w:rPr>
        <w:t>Education Studies : An Introduction</w:t>
      </w:r>
      <w:r w:rsidRPr="007021FB">
        <w:rPr>
          <w:noProof/>
        </w:rPr>
        <w:t>, Maidenhead, Berks: Open Univeristy Press</w:t>
      </w:r>
      <w:r w:rsidR="00B50A3F" w:rsidRPr="007021FB">
        <w:rPr>
          <w:noProof/>
        </w:rPr>
        <w:t>, UK.</w:t>
      </w:r>
    </w:p>
    <w:p w14:paraId="6D0B9F1B" w14:textId="77A010CF" w:rsidR="002D5DB7" w:rsidRPr="007021FB" w:rsidRDefault="002D5DB7" w:rsidP="006E4D12">
      <w:pPr>
        <w:rPr>
          <w:noProof/>
        </w:rPr>
      </w:pPr>
      <w:r w:rsidRPr="007021FB">
        <w:rPr>
          <w:noProof/>
        </w:rPr>
        <w:t>NSPCC</w:t>
      </w:r>
      <w:r w:rsidR="00A413AB" w:rsidRPr="007021FB">
        <w:rPr>
          <w:noProof/>
        </w:rPr>
        <w:t xml:space="preserve"> (2022) </w:t>
      </w:r>
      <w:r w:rsidR="00A413AB" w:rsidRPr="007021FB">
        <w:rPr>
          <w:i/>
          <w:iCs/>
          <w:noProof/>
        </w:rPr>
        <w:t>Children and the Law</w:t>
      </w:r>
      <w:r w:rsidR="00EA46E4" w:rsidRPr="007021FB">
        <w:rPr>
          <w:i/>
          <w:iCs/>
          <w:noProof/>
        </w:rPr>
        <w:t xml:space="preserve"> </w:t>
      </w:r>
      <w:r w:rsidR="00EA46E4" w:rsidRPr="007021FB">
        <w:rPr>
          <w:noProof/>
        </w:rPr>
        <w:t>(Online) Available at:</w:t>
      </w:r>
      <w:r w:rsidR="00DB7417" w:rsidRPr="007021FB">
        <w:t xml:space="preserve"> </w:t>
      </w:r>
      <w:hyperlink r:id="rId18" w:history="1">
        <w:r w:rsidR="00DB7417" w:rsidRPr="007021FB">
          <w:rPr>
            <w:color w:val="0000FF"/>
            <w:u w:val="single"/>
          </w:rPr>
          <w:t>Children and the law | NSPCC Learning</w:t>
        </w:r>
      </w:hyperlink>
      <w:r w:rsidR="00DB7417" w:rsidRPr="007021FB">
        <w:t xml:space="preserve"> Accessed: 9 January 2023.</w:t>
      </w:r>
    </w:p>
    <w:p w14:paraId="0755BFEE" w14:textId="6D154069" w:rsidR="0076476C" w:rsidRPr="007021FB" w:rsidRDefault="0076476C" w:rsidP="003030DF">
      <w:pPr>
        <w:shd w:val="clear" w:color="auto" w:fill="FFFFFF"/>
        <w:spacing w:before="100" w:beforeAutospacing="1" w:after="100" w:afterAutospacing="1"/>
        <w:jc w:val="left"/>
        <w:rPr>
          <w:rFonts w:eastAsia="Times New Roman"/>
          <w:color w:val="212121"/>
          <w:lang w:val="en-GB" w:eastAsia="en-GB"/>
        </w:rPr>
      </w:pPr>
      <w:proofErr w:type="spellStart"/>
      <w:r w:rsidRPr="007021FB">
        <w:t>Omerov</w:t>
      </w:r>
      <w:proofErr w:type="spellEnd"/>
      <w:r w:rsidRPr="007021FB">
        <w:t xml:space="preserve">, P., </w:t>
      </w:r>
      <w:proofErr w:type="spellStart"/>
      <w:r w:rsidRPr="007021FB">
        <w:t>Craftman</w:t>
      </w:r>
      <w:proofErr w:type="spellEnd"/>
      <w:r w:rsidRPr="007021FB">
        <w:t xml:space="preserve">, Å.G., </w:t>
      </w:r>
      <w:proofErr w:type="spellStart"/>
      <w:r w:rsidRPr="007021FB">
        <w:t>Mattsson</w:t>
      </w:r>
      <w:proofErr w:type="spellEnd"/>
      <w:r w:rsidRPr="007021FB">
        <w:t xml:space="preserve">, E. and </w:t>
      </w:r>
      <w:proofErr w:type="spellStart"/>
      <w:r w:rsidRPr="007021FB">
        <w:t>Klarare</w:t>
      </w:r>
      <w:proofErr w:type="spellEnd"/>
      <w:r w:rsidRPr="007021FB">
        <w:t>, A.</w:t>
      </w:r>
      <w:r w:rsidR="00420AEF" w:rsidRPr="007021FB">
        <w:t xml:space="preserve"> (</w:t>
      </w:r>
      <w:r w:rsidRPr="007021FB">
        <w:t>2020</w:t>
      </w:r>
      <w:r w:rsidR="00420AEF" w:rsidRPr="007021FB">
        <w:t xml:space="preserve">) </w:t>
      </w:r>
      <w:r w:rsidR="00533D1D" w:rsidRPr="007021FB">
        <w:t>“</w:t>
      </w:r>
      <w:r w:rsidRPr="007021FB">
        <w:t>Homeless persons' experiences of health</w:t>
      </w:r>
      <w:r w:rsidRPr="007021FB">
        <w:rPr>
          <w:rFonts w:ascii="Cambria Math" w:hAnsi="Cambria Math" w:cs="Cambria Math"/>
        </w:rPr>
        <w:t>‐</w:t>
      </w:r>
      <w:r w:rsidRPr="007021FB">
        <w:t>and social care: A systematic integrative review</w:t>
      </w:r>
      <w:r w:rsidR="002F5C7B" w:rsidRPr="007021FB">
        <w:t xml:space="preserve">” </w:t>
      </w:r>
      <w:r w:rsidR="00533D1D" w:rsidRPr="007021FB">
        <w:t xml:space="preserve"> </w:t>
      </w:r>
      <w:r w:rsidRPr="007021FB">
        <w:rPr>
          <w:i/>
          <w:iCs/>
        </w:rPr>
        <w:t>Health &amp; social care in the community,</w:t>
      </w:r>
      <w:r w:rsidRPr="007021FB">
        <w:t xml:space="preserve"> 28(1), pp.1-11</w:t>
      </w:r>
      <w:r w:rsidR="006E4D12" w:rsidRPr="007021FB">
        <w:t xml:space="preserve"> </w:t>
      </w:r>
      <w:r w:rsidR="006E4D12" w:rsidRPr="007021FB">
        <w:rPr>
          <w:rFonts w:eastAsia="Times New Roman"/>
          <w:color w:val="212121"/>
          <w:lang w:val="en-GB" w:eastAsia="en-GB"/>
        </w:rPr>
        <w:t>DOI: </w:t>
      </w:r>
      <w:hyperlink r:id="rId19" w:tgtFrame="_blank" w:history="1">
        <w:r w:rsidR="006E4D12" w:rsidRPr="007021FB">
          <w:rPr>
            <w:rFonts w:eastAsia="Times New Roman"/>
            <w:color w:val="0071BC"/>
            <w:u w:val="single"/>
            <w:lang w:val="en-GB" w:eastAsia="en-GB"/>
          </w:rPr>
          <w:t>10.1111/hsc.12857</w:t>
        </w:r>
      </w:hyperlink>
    </w:p>
    <w:p w14:paraId="7FB0B339" w14:textId="695AF206" w:rsidR="0076476C" w:rsidRPr="007021FB" w:rsidRDefault="0076476C" w:rsidP="003030DF">
      <w:pPr>
        <w:pStyle w:val="Normal1"/>
      </w:pPr>
      <w:r w:rsidRPr="007021FB">
        <w:t>Pearce, A., Dundas, R., Whitehead, M. and Taylor-Robinson, D.</w:t>
      </w:r>
      <w:r w:rsidR="003030DF" w:rsidRPr="007021FB">
        <w:t xml:space="preserve"> (</w:t>
      </w:r>
      <w:r w:rsidRPr="007021FB">
        <w:t>2019</w:t>
      </w:r>
      <w:r w:rsidR="003030DF" w:rsidRPr="007021FB">
        <w:t>)</w:t>
      </w:r>
      <w:r w:rsidRPr="007021FB">
        <w:t xml:space="preserve"> </w:t>
      </w:r>
      <w:r w:rsidR="003030DF" w:rsidRPr="007021FB">
        <w:t>“</w:t>
      </w:r>
      <w:r w:rsidRPr="007021FB">
        <w:t>Pathways to inequalities in child health</w:t>
      </w:r>
      <w:r w:rsidR="003030DF" w:rsidRPr="007021FB">
        <w:rPr>
          <w:i/>
          <w:iCs/>
        </w:rPr>
        <w:t>”</w:t>
      </w:r>
      <w:r w:rsidRPr="007021FB">
        <w:rPr>
          <w:i/>
          <w:iCs/>
        </w:rPr>
        <w:t xml:space="preserve"> Archives of disease in childhood</w:t>
      </w:r>
      <w:r w:rsidRPr="007021FB">
        <w:t xml:space="preserve"> 104(10), pp.998-1003</w:t>
      </w:r>
      <w:r w:rsidR="003030DF" w:rsidRPr="007021FB">
        <w:t xml:space="preserve"> </w:t>
      </w:r>
      <w:hyperlink r:id="rId20" w:tgtFrame="_new" w:history="1">
        <w:r w:rsidR="003030DF" w:rsidRPr="007021FB">
          <w:rPr>
            <w:color w:val="005A96"/>
            <w:u w:val="single"/>
            <w:shd w:val="clear" w:color="auto" w:fill="FFFFFF"/>
          </w:rPr>
          <w:t>http://dx.doi.org/10.1136/archdischild-2018-314808</w:t>
        </w:r>
      </w:hyperlink>
    </w:p>
    <w:p w14:paraId="38D88087" w14:textId="2449F781" w:rsidR="0076476C" w:rsidRPr="007021FB" w:rsidRDefault="0076476C">
      <w:pPr>
        <w:pStyle w:val="Normal1"/>
      </w:pPr>
      <w:proofErr w:type="spellStart"/>
      <w:r w:rsidRPr="007021FB">
        <w:t>Readhead</w:t>
      </w:r>
      <w:proofErr w:type="spellEnd"/>
      <w:r w:rsidRPr="007021FB">
        <w:t xml:space="preserve">, A. </w:t>
      </w:r>
      <w:r w:rsidR="00636B3F" w:rsidRPr="007021FB">
        <w:t>(</w:t>
      </w:r>
      <w:r w:rsidRPr="007021FB">
        <w:t>2022</w:t>
      </w:r>
      <w:r w:rsidR="00636B3F" w:rsidRPr="007021FB">
        <w:t>)</w:t>
      </w:r>
      <w:r w:rsidRPr="007021FB">
        <w:t xml:space="preserve"> </w:t>
      </w:r>
      <w:r w:rsidRPr="007021FB">
        <w:rPr>
          <w:i/>
          <w:iCs/>
        </w:rPr>
        <w:t>“Getting Everyone on the Same Page” An Integrated Transition Planning Process for Youths with an Intellectual/Developmental Disability with a Social Return on Investment Perspective</w:t>
      </w:r>
      <w:r w:rsidR="00454434" w:rsidRPr="007021FB">
        <w:t xml:space="preserve">, </w:t>
      </w:r>
      <w:r w:rsidR="00821B48" w:rsidRPr="007021FB">
        <w:t>Brock Univer</w:t>
      </w:r>
      <w:r w:rsidR="00454434" w:rsidRPr="007021FB">
        <w:t xml:space="preserve">sity </w:t>
      </w:r>
      <w:r w:rsidR="008E2474" w:rsidRPr="007021FB">
        <w:t xml:space="preserve">(Online) Available at: </w:t>
      </w:r>
      <w:hyperlink r:id="rId21" w:history="1">
        <w:r w:rsidR="008E2474" w:rsidRPr="007021FB">
          <w:rPr>
            <w:color w:val="0000FF"/>
            <w:u w:val="single"/>
          </w:rPr>
          <w:t>Microsoft Word - Full_Dissertation_Final__Submission_V5_December_2021.docx (brocku.ca)</w:t>
        </w:r>
      </w:hyperlink>
      <w:r w:rsidR="00636B3F" w:rsidRPr="007021FB">
        <w:t xml:space="preserve"> Accessed: 8 January 2023</w:t>
      </w:r>
    </w:p>
    <w:p w14:paraId="2B348607" w14:textId="3FB5F69F" w:rsidR="00076E7B" w:rsidRPr="007021FB" w:rsidRDefault="00076E7B">
      <w:pPr>
        <w:pStyle w:val="Normal1"/>
      </w:pPr>
      <w:r w:rsidRPr="007021FB">
        <w:t xml:space="preserve">Reding, M. (2022) </w:t>
      </w:r>
      <w:r w:rsidR="00B422A3" w:rsidRPr="007021FB">
        <w:rPr>
          <w:i/>
          <w:iCs/>
        </w:rPr>
        <w:t>What are the child development stages?</w:t>
      </w:r>
      <w:r w:rsidR="00162848" w:rsidRPr="007021FB">
        <w:t xml:space="preserve"> CPD Online College (Online) Available at:</w:t>
      </w:r>
      <w:r w:rsidR="00C3737A" w:rsidRPr="007021FB">
        <w:t xml:space="preserve"> </w:t>
      </w:r>
      <w:hyperlink r:id="rId22" w:history="1">
        <w:r w:rsidR="00C3737A" w:rsidRPr="007021FB">
          <w:rPr>
            <w:color w:val="0000FF"/>
            <w:u w:val="single"/>
          </w:rPr>
          <w:t>What Are The Child Development Stages | The 5 Stages, Characteristics (cpdonline.co.uk)</w:t>
        </w:r>
      </w:hyperlink>
      <w:r w:rsidR="00C3737A" w:rsidRPr="007021FB">
        <w:t xml:space="preserve"> Accessed: 8 January 2023.</w:t>
      </w:r>
    </w:p>
    <w:p w14:paraId="64C78765" w14:textId="1BE0A1BD" w:rsidR="0076476C" w:rsidRPr="007021FB" w:rsidRDefault="0076476C">
      <w:pPr>
        <w:pStyle w:val="Normal1"/>
      </w:pPr>
      <w:r w:rsidRPr="007021FB">
        <w:t>Redding, C.</w:t>
      </w:r>
      <w:r w:rsidR="007F3855" w:rsidRPr="007021FB">
        <w:t xml:space="preserve"> (</w:t>
      </w:r>
      <w:r w:rsidRPr="007021FB">
        <w:t>2019</w:t>
      </w:r>
      <w:r w:rsidR="007F3855" w:rsidRPr="007021FB">
        <w:t>)</w:t>
      </w:r>
      <w:r w:rsidR="007F3855" w:rsidRPr="007021FB">
        <w:rPr>
          <w:i/>
          <w:iCs/>
        </w:rPr>
        <w:t xml:space="preserve"> </w:t>
      </w:r>
      <w:r w:rsidRPr="007021FB">
        <w:rPr>
          <w:i/>
          <w:iCs/>
        </w:rPr>
        <w:t xml:space="preserve">A teacher like me: A review of the effect of student–teacher racial/ethnic matching on teacher perceptions of students and student academic and </w:t>
      </w:r>
      <w:proofErr w:type="spellStart"/>
      <w:r w:rsidRPr="007021FB">
        <w:rPr>
          <w:i/>
          <w:iCs/>
        </w:rPr>
        <w:t>behavioural</w:t>
      </w:r>
      <w:proofErr w:type="spellEnd"/>
      <w:r w:rsidRPr="007021FB">
        <w:rPr>
          <w:i/>
          <w:iCs/>
        </w:rPr>
        <w:t xml:space="preserve"> </w:t>
      </w:r>
      <w:r w:rsidRPr="007021FB">
        <w:rPr>
          <w:i/>
          <w:iCs/>
        </w:rPr>
        <w:lastRenderedPageBreak/>
        <w:t>outcomes</w:t>
      </w:r>
      <w:r w:rsidR="00E33939" w:rsidRPr="007021FB">
        <w:rPr>
          <w:i/>
          <w:iCs/>
        </w:rPr>
        <w:t xml:space="preserve">” </w:t>
      </w:r>
      <w:r w:rsidRPr="007021FB">
        <w:rPr>
          <w:i/>
          <w:iCs/>
        </w:rPr>
        <w:t xml:space="preserve"> Review of educational research</w:t>
      </w:r>
      <w:r w:rsidR="00126C74" w:rsidRPr="007021FB">
        <w:rPr>
          <w:i/>
          <w:iCs/>
        </w:rPr>
        <w:t xml:space="preserve"> </w:t>
      </w:r>
      <w:r w:rsidRPr="007021FB">
        <w:t>89(4), pp.499-535</w:t>
      </w:r>
      <w:r w:rsidR="00126C74" w:rsidRPr="007021FB">
        <w:t xml:space="preserve"> (Online) Available at:</w:t>
      </w:r>
      <w:r w:rsidR="00F52C1C" w:rsidRPr="007021FB">
        <w:t xml:space="preserve"> </w:t>
      </w:r>
      <w:hyperlink r:id="rId23" w:history="1">
        <w:r w:rsidR="00F52C1C" w:rsidRPr="007021FB">
          <w:rPr>
            <w:color w:val="0000FF"/>
            <w:u w:val="single"/>
          </w:rPr>
          <w:t>A Teacher Like Me: A Review of the Effect of Student–Teacher Racial/Ethnic Matching on Teacher Perceptions of Students and Student Academic and Behavioral Outcomes - Christopher Redding, 2019 (sagepub.com)</w:t>
        </w:r>
      </w:hyperlink>
      <w:r w:rsidR="0096130A" w:rsidRPr="007021FB">
        <w:t xml:space="preserve"> Accessed: 10 </w:t>
      </w:r>
      <w:proofErr w:type="spellStart"/>
      <w:r w:rsidR="0096130A" w:rsidRPr="007021FB">
        <w:t>january</w:t>
      </w:r>
      <w:proofErr w:type="spellEnd"/>
      <w:r w:rsidR="0096130A" w:rsidRPr="007021FB">
        <w:t xml:space="preserve"> 2023</w:t>
      </w:r>
    </w:p>
    <w:p w14:paraId="55A20B0D" w14:textId="1A3E1D27" w:rsidR="0076476C" w:rsidRPr="007021FB" w:rsidRDefault="0076476C">
      <w:pPr>
        <w:pStyle w:val="Normal1"/>
      </w:pPr>
      <w:proofErr w:type="spellStart"/>
      <w:r w:rsidRPr="007021FB">
        <w:t>Stother</w:t>
      </w:r>
      <w:proofErr w:type="spellEnd"/>
      <w:r w:rsidRPr="007021FB">
        <w:t xml:space="preserve">, A. </w:t>
      </w:r>
      <w:r w:rsidR="00871FD6" w:rsidRPr="007021FB">
        <w:t>(</w:t>
      </w:r>
      <w:r w:rsidRPr="007021FB">
        <w:t>2019</w:t>
      </w:r>
      <w:r w:rsidR="00871FD6" w:rsidRPr="007021FB">
        <w:t xml:space="preserve">) </w:t>
      </w:r>
      <w:r w:rsidRPr="007021FB">
        <w:rPr>
          <w:i/>
          <w:iCs/>
        </w:rPr>
        <w:t>Post-Adoption Support for Children and Young People in Educational Settings</w:t>
      </w:r>
      <w:r w:rsidRPr="007021FB">
        <w:t xml:space="preserve"> (Doctoral dissertation, University of Manchester)</w:t>
      </w:r>
      <w:r w:rsidR="00A75E74" w:rsidRPr="007021FB">
        <w:t xml:space="preserve"> (</w:t>
      </w:r>
      <w:r w:rsidR="00871FD6" w:rsidRPr="007021FB">
        <w:t xml:space="preserve">Online) Available at: </w:t>
      </w:r>
      <w:hyperlink r:id="rId24" w:history="1">
        <w:r w:rsidR="00871FD6" w:rsidRPr="007021FB">
          <w:rPr>
            <w:color w:val="0000FF"/>
            <w:u w:val="single"/>
          </w:rPr>
          <w:t>FULL_TEXT.PDF (manchester.ac.uk)</w:t>
        </w:r>
      </w:hyperlink>
      <w:r w:rsidR="00871FD6" w:rsidRPr="007021FB">
        <w:t xml:space="preserve"> Accessed 9 January 2023.</w:t>
      </w:r>
    </w:p>
    <w:p w14:paraId="448ED800" w14:textId="676570A0" w:rsidR="0076476C" w:rsidRPr="007021FB" w:rsidRDefault="0076476C">
      <w:pPr>
        <w:pStyle w:val="Normal1"/>
      </w:pPr>
      <w:r w:rsidRPr="007021FB">
        <w:t xml:space="preserve">Walsh, D., McCartney, G., Smith, M. and </w:t>
      </w:r>
      <w:proofErr w:type="spellStart"/>
      <w:r w:rsidRPr="007021FB">
        <w:t>Armour</w:t>
      </w:r>
      <w:proofErr w:type="spellEnd"/>
      <w:r w:rsidRPr="007021FB">
        <w:t>, G.</w:t>
      </w:r>
      <w:r w:rsidR="001A75B3" w:rsidRPr="007021FB">
        <w:t xml:space="preserve"> (</w:t>
      </w:r>
      <w:r w:rsidRPr="007021FB">
        <w:t>2019</w:t>
      </w:r>
      <w:r w:rsidR="001A75B3" w:rsidRPr="007021FB">
        <w:t>)</w:t>
      </w:r>
      <w:r w:rsidRPr="007021FB">
        <w:t xml:space="preserve"> </w:t>
      </w:r>
      <w:r w:rsidR="001A75B3" w:rsidRPr="007021FB">
        <w:t>“</w:t>
      </w:r>
      <w:r w:rsidRPr="007021FB">
        <w:t>Relationship between childhood socioeconomic position and adverse childhood experiences (ACEs): a systematic review</w:t>
      </w:r>
      <w:r w:rsidR="001A75B3" w:rsidRPr="007021FB">
        <w:t>”</w:t>
      </w:r>
      <w:r w:rsidRPr="007021FB">
        <w:t xml:space="preserve"> </w:t>
      </w:r>
      <w:r w:rsidRPr="007021FB">
        <w:rPr>
          <w:i/>
          <w:iCs/>
        </w:rPr>
        <w:t>J</w:t>
      </w:r>
      <w:r w:rsidR="00671C37" w:rsidRPr="007021FB">
        <w:rPr>
          <w:i/>
          <w:iCs/>
        </w:rPr>
        <w:t xml:space="preserve">ournal of </w:t>
      </w:r>
      <w:r w:rsidRPr="007021FB">
        <w:rPr>
          <w:i/>
          <w:iCs/>
        </w:rPr>
        <w:t xml:space="preserve"> Epidemiol</w:t>
      </w:r>
      <w:r w:rsidR="00671C37" w:rsidRPr="007021FB">
        <w:rPr>
          <w:i/>
          <w:iCs/>
        </w:rPr>
        <w:t xml:space="preserve">ogy and </w:t>
      </w:r>
      <w:r w:rsidRPr="007021FB">
        <w:rPr>
          <w:i/>
          <w:iCs/>
        </w:rPr>
        <w:t xml:space="preserve"> Community Health </w:t>
      </w:r>
      <w:r w:rsidRPr="007021FB">
        <w:t>73(12), pp.1087-1093</w:t>
      </w:r>
      <w:r w:rsidR="00671C37" w:rsidRPr="007021FB">
        <w:t xml:space="preserve"> </w:t>
      </w:r>
      <w:proofErr w:type="spellStart"/>
      <w:r w:rsidR="005B4C0D" w:rsidRPr="007021FB">
        <w:rPr>
          <w:color w:val="212121"/>
          <w:shd w:val="clear" w:color="auto" w:fill="FFFFFF"/>
        </w:rPr>
        <w:t>doi</w:t>
      </w:r>
      <w:proofErr w:type="spellEnd"/>
      <w:r w:rsidR="005B4C0D" w:rsidRPr="007021FB">
        <w:rPr>
          <w:color w:val="212121"/>
          <w:shd w:val="clear" w:color="auto" w:fill="FFFFFF"/>
        </w:rPr>
        <w:t>: </w:t>
      </w:r>
      <w:hyperlink r:id="rId25" w:tgtFrame="_blank" w:history="1">
        <w:r w:rsidR="005B4C0D" w:rsidRPr="007021FB">
          <w:rPr>
            <w:color w:val="376FAA"/>
            <w:u w:val="single"/>
            <w:shd w:val="clear" w:color="auto" w:fill="FFFFFF"/>
          </w:rPr>
          <w:t>10.1136/jech-2019-212738</w:t>
        </w:r>
      </w:hyperlink>
    </w:p>
    <w:p w14:paraId="37014F84" w14:textId="09680CAC" w:rsidR="0076476C" w:rsidRPr="007021FB" w:rsidRDefault="0076476C">
      <w:pPr>
        <w:pStyle w:val="Normal1"/>
      </w:pPr>
      <w:r w:rsidRPr="007021FB">
        <w:t>Williams, D.R. and Cooper, L.A.</w:t>
      </w:r>
      <w:r w:rsidR="007021FB" w:rsidRPr="007021FB">
        <w:t xml:space="preserve"> (</w:t>
      </w:r>
      <w:r w:rsidRPr="007021FB">
        <w:t>2019</w:t>
      </w:r>
      <w:r w:rsidR="007021FB" w:rsidRPr="007021FB">
        <w:t>)</w:t>
      </w:r>
      <w:r w:rsidRPr="007021FB">
        <w:t xml:space="preserve"> </w:t>
      </w:r>
      <w:r w:rsidR="007021FB" w:rsidRPr="007021FB">
        <w:t>“</w:t>
      </w:r>
      <w:r w:rsidRPr="007021FB">
        <w:t>Reducing racial inequities in health: using what we already know to take action</w:t>
      </w:r>
      <w:r w:rsidR="007021FB" w:rsidRPr="007021FB">
        <w:t xml:space="preserve">” </w:t>
      </w:r>
      <w:r w:rsidRPr="007021FB">
        <w:t xml:space="preserve"> </w:t>
      </w:r>
      <w:r w:rsidRPr="007021FB">
        <w:rPr>
          <w:i/>
          <w:iCs/>
        </w:rPr>
        <w:t>International journal of environmental research and public health</w:t>
      </w:r>
      <w:r w:rsidR="007021FB" w:rsidRPr="007021FB">
        <w:t xml:space="preserve"> </w:t>
      </w:r>
      <w:r w:rsidRPr="007021FB">
        <w:t>16(4), p.606</w:t>
      </w:r>
      <w:r w:rsidR="007021FB" w:rsidRPr="007021FB">
        <w:t xml:space="preserve"> </w:t>
      </w:r>
      <w:hyperlink r:id="rId26" w:history="1">
        <w:r w:rsidR="007021FB" w:rsidRPr="007021FB">
          <w:rPr>
            <w:b/>
            <w:bCs/>
            <w:color w:val="4F5671"/>
            <w:u w:val="single"/>
            <w:shd w:val="clear" w:color="auto" w:fill="FFFFFF"/>
          </w:rPr>
          <w:t>https://doi.org/10.3390/ijerph16040606</w:t>
        </w:r>
      </w:hyperlink>
    </w:p>
    <w:sectPr w:rsidR="0076476C" w:rsidRPr="007021FB" w:rsidSect="00346A34">
      <w:footerReference w:type="default" r:id="rId2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E1C34" w14:textId="77777777" w:rsidR="005B50AE" w:rsidRDefault="005B50AE" w:rsidP="00346A34">
      <w:pPr>
        <w:spacing w:before="0" w:after="0" w:line="240" w:lineRule="auto"/>
      </w:pPr>
      <w:r>
        <w:separator/>
      </w:r>
    </w:p>
  </w:endnote>
  <w:endnote w:type="continuationSeparator" w:id="0">
    <w:p w14:paraId="774CFACD" w14:textId="77777777" w:rsidR="005B50AE" w:rsidRDefault="005B50AE" w:rsidP="00346A3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04558"/>
      <w:docPartObj>
        <w:docPartGallery w:val="Page Numbers (Bottom of Page)"/>
        <w:docPartUnique/>
      </w:docPartObj>
    </w:sdtPr>
    <w:sdtEndPr/>
    <w:sdtContent>
      <w:p w14:paraId="494A9397" w14:textId="77777777" w:rsidR="0076476C" w:rsidRDefault="009912C3">
        <w:pPr>
          <w:pStyle w:val="Footer"/>
          <w:jc w:val="right"/>
        </w:pPr>
        <w:r>
          <w:fldChar w:fldCharType="begin"/>
        </w:r>
        <w:r>
          <w:instrText xml:space="preserve"> PAGE   \* MERGEFORMAT </w:instrText>
        </w:r>
        <w:r>
          <w:fldChar w:fldCharType="separate"/>
        </w:r>
        <w:r w:rsidR="00307E03">
          <w:rPr>
            <w:noProof/>
          </w:rPr>
          <w:t>1</w:t>
        </w:r>
        <w:r>
          <w:rPr>
            <w:noProof/>
          </w:rPr>
          <w:fldChar w:fldCharType="end"/>
        </w:r>
      </w:p>
    </w:sdtContent>
  </w:sdt>
  <w:p w14:paraId="4D0CDF12" w14:textId="77777777" w:rsidR="0076476C" w:rsidRDefault="00764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8FDBA" w14:textId="77777777" w:rsidR="005B50AE" w:rsidRDefault="005B50AE" w:rsidP="00346A34">
      <w:pPr>
        <w:spacing w:before="0" w:after="0" w:line="240" w:lineRule="auto"/>
      </w:pPr>
      <w:r>
        <w:separator/>
      </w:r>
    </w:p>
  </w:footnote>
  <w:footnote w:type="continuationSeparator" w:id="0">
    <w:p w14:paraId="12148A05" w14:textId="77777777" w:rsidR="005B50AE" w:rsidRDefault="005B50AE" w:rsidP="00346A3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45A6B"/>
    <w:multiLevelType w:val="multilevel"/>
    <w:tmpl w:val="229E8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6812A8"/>
    <w:multiLevelType w:val="multilevel"/>
    <w:tmpl w:val="E8A80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126597"/>
    <w:multiLevelType w:val="multilevel"/>
    <w:tmpl w:val="4058C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D817F1"/>
    <w:multiLevelType w:val="multilevel"/>
    <w:tmpl w:val="3F9A5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635DC2"/>
    <w:multiLevelType w:val="multilevel"/>
    <w:tmpl w:val="6C402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0921698">
    <w:abstractNumId w:val="3"/>
  </w:num>
  <w:num w:numId="2" w16cid:durableId="2114200032">
    <w:abstractNumId w:val="0"/>
  </w:num>
  <w:num w:numId="3" w16cid:durableId="968438062">
    <w:abstractNumId w:val="2"/>
  </w:num>
  <w:num w:numId="4" w16cid:durableId="631251245">
    <w:abstractNumId w:val="4"/>
  </w:num>
  <w:num w:numId="5" w16cid:durableId="1860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6A34"/>
    <w:rsid w:val="00006752"/>
    <w:rsid w:val="000300CD"/>
    <w:rsid w:val="0005607A"/>
    <w:rsid w:val="00076E7B"/>
    <w:rsid w:val="00106FC0"/>
    <w:rsid w:val="00126C74"/>
    <w:rsid w:val="00162848"/>
    <w:rsid w:val="00184683"/>
    <w:rsid w:val="001A75B3"/>
    <w:rsid w:val="001B2009"/>
    <w:rsid w:val="001C38D6"/>
    <w:rsid w:val="001F0BFE"/>
    <w:rsid w:val="00230E97"/>
    <w:rsid w:val="00276611"/>
    <w:rsid w:val="002B352B"/>
    <w:rsid w:val="002C3077"/>
    <w:rsid w:val="002D5DB7"/>
    <w:rsid w:val="002F0883"/>
    <w:rsid w:val="002F1D74"/>
    <w:rsid w:val="002F5C7B"/>
    <w:rsid w:val="003030DF"/>
    <w:rsid w:val="00307E03"/>
    <w:rsid w:val="00332B07"/>
    <w:rsid w:val="00346A34"/>
    <w:rsid w:val="003543D0"/>
    <w:rsid w:val="0035603A"/>
    <w:rsid w:val="00386152"/>
    <w:rsid w:val="0039165B"/>
    <w:rsid w:val="00396FBB"/>
    <w:rsid w:val="003972D3"/>
    <w:rsid w:val="003C775F"/>
    <w:rsid w:val="003D13B0"/>
    <w:rsid w:val="00420AEF"/>
    <w:rsid w:val="00436291"/>
    <w:rsid w:val="00454434"/>
    <w:rsid w:val="0045668C"/>
    <w:rsid w:val="00473518"/>
    <w:rsid w:val="0048088B"/>
    <w:rsid w:val="004A20CD"/>
    <w:rsid w:val="004B2E79"/>
    <w:rsid w:val="00501B48"/>
    <w:rsid w:val="0051269D"/>
    <w:rsid w:val="00533D1D"/>
    <w:rsid w:val="005B2F24"/>
    <w:rsid w:val="005B4C0D"/>
    <w:rsid w:val="005B50AE"/>
    <w:rsid w:val="005D1F28"/>
    <w:rsid w:val="005D4006"/>
    <w:rsid w:val="005D4F2D"/>
    <w:rsid w:val="00602E5F"/>
    <w:rsid w:val="00626859"/>
    <w:rsid w:val="00636B3F"/>
    <w:rsid w:val="0064358E"/>
    <w:rsid w:val="00671C37"/>
    <w:rsid w:val="006A0816"/>
    <w:rsid w:val="006E4656"/>
    <w:rsid w:val="006E4D12"/>
    <w:rsid w:val="006F55D4"/>
    <w:rsid w:val="007021FB"/>
    <w:rsid w:val="00722AF3"/>
    <w:rsid w:val="00726F07"/>
    <w:rsid w:val="0074491E"/>
    <w:rsid w:val="00757C4B"/>
    <w:rsid w:val="00763C12"/>
    <w:rsid w:val="0076476C"/>
    <w:rsid w:val="00770173"/>
    <w:rsid w:val="007B4008"/>
    <w:rsid w:val="007B7837"/>
    <w:rsid w:val="007C135C"/>
    <w:rsid w:val="007F3855"/>
    <w:rsid w:val="0080131C"/>
    <w:rsid w:val="00811171"/>
    <w:rsid w:val="00821B48"/>
    <w:rsid w:val="0082443B"/>
    <w:rsid w:val="00842565"/>
    <w:rsid w:val="008518F0"/>
    <w:rsid w:val="00871FD6"/>
    <w:rsid w:val="0089394E"/>
    <w:rsid w:val="00894B82"/>
    <w:rsid w:val="008B4637"/>
    <w:rsid w:val="008E2474"/>
    <w:rsid w:val="00914D32"/>
    <w:rsid w:val="00922BA0"/>
    <w:rsid w:val="0096130A"/>
    <w:rsid w:val="009912C3"/>
    <w:rsid w:val="009D5233"/>
    <w:rsid w:val="009D6A02"/>
    <w:rsid w:val="009F1FBA"/>
    <w:rsid w:val="009F7884"/>
    <w:rsid w:val="00A2287B"/>
    <w:rsid w:val="00A413AB"/>
    <w:rsid w:val="00A75E74"/>
    <w:rsid w:val="00A94BF0"/>
    <w:rsid w:val="00AD47B5"/>
    <w:rsid w:val="00AE6550"/>
    <w:rsid w:val="00B1182B"/>
    <w:rsid w:val="00B1462C"/>
    <w:rsid w:val="00B147B3"/>
    <w:rsid w:val="00B263B8"/>
    <w:rsid w:val="00B422A3"/>
    <w:rsid w:val="00B50A3F"/>
    <w:rsid w:val="00B638F7"/>
    <w:rsid w:val="00B8012E"/>
    <w:rsid w:val="00BA1FE7"/>
    <w:rsid w:val="00BB1D71"/>
    <w:rsid w:val="00BC4FC9"/>
    <w:rsid w:val="00BC6F44"/>
    <w:rsid w:val="00C3737A"/>
    <w:rsid w:val="00C41710"/>
    <w:rsid w:val="00C73633"/>
    <w:rsid w:val="00C74240"/>
    <w:rsid w:val="00CA6656"/>
    <w:rsid w:val="00CC4CDB"/>
    <w:rsid w:val="00CC6652"/>
    <w:rsid w:val="00D44B0B"/>
    <w:rsid w:val="00D54593"/>
    <w:rsid w:val="00D72929"/>
    <w:rsid w:val="00DB494A"/>
    <w:rsid w:val="00DB7417"/>
    <w:rsid w:val="00E31BE0"/>
    <w:rsid w:val="00E33939"/>
    <w:rsid w:val="00E40EB7"/>
    <w:rsid w:val="00EA46E4"/>
    <w:rsid w:val="00EA5427"/>
    <w:rsid w:val="00EB282A"/>
    <w:rsid w:val="00EE3497"/>
    <w:rsid w:val="00EF18F9"/>
    <w:rsid w:val="00EF7CFC"/>
    <w:rsid w:val="00F43626"/>
    <w:rsid w:val="00F52C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9D41C"/>
  <w15:docId w15:val="{8047ACFE-6CB4-4A14-BFA5-733E002C4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46A34"/>
    <w:pPr>
      <w:keepNext/>
      <w:keepLines/>
      <w:spacing w:before="480"/>
      <w:outlineLvl w:val="0"/>
    </w:pPr>
    <w:rPr>
      <w:b/>
    </w:rPr>
  </w:style>
  <w:style w:type="paragraph" w:styleId="Heading2">
    <w:name w:val="heading 2"/>
    <w:basedOn w:val="Normal1"/>
    <w:next w:val="Normal1"/>
    <w:rsid w:val="00346A34"/>
    <w:pPr>
      <w:keepNext/>
      <w:keepLines/>
      <w:spacing w:before="360" w:after="120"/>
      <w:outlineLvl w:val="1"/>
    </w:pPr>
    <w:rPr>
      <w:sz w:val="32"/>
      <w:szCs w:val="32"/>
    </w:rPr>
  </w:style>
  <w:style w:type="paragraph" w:styleId="Heading3">
    <w:name w:val="heading 3"/>
    <w:basedOn w:val="Normal1"/>
    <w:next w:val="Normal1"/>
    <w:rsid w:val="00346A34"/>
    <w:pPr>
      <w:keepNext/>
      <w:keepLines/>
      <w:spacing w:before="320" w:after="80"/>
      <w:outlineLvl w:val="2"/>
    </w:pPr>
    <w:rPr>
      <w:color w:val="434343"/>
      <w:sz w:val="28"/>
      <w:szCs w:val="28"/>
    </w:rPr>
  </w:style>
  <w:style w:type="paragraph" w:styleId="Heading4">
    <w:name w:val="heading 4"/>
    <w:basedOn w:val="Normal1"/>
    <w:next w:val="Normal1"/>
    <w:rsid w:val="00346A34"/>
    <w:pPr>
      <w:keepNext/>
      <w:keepLines/>
      <w:spacing w:before="280" w:after="80"/>
      <w:outlineLvl w:val="3"/>
    </w:pPr>
    <w:rPr>
      <w:color w:val="666666"/>
      <w:sz w:val="24"/>
      <w:szCs w:val="24"/>
    </w:rPr>
  </w:style>
  <w:style w:type="paragraph" w:styleId="Heading5">
    <w:name w:val="heading 5"/>
    <w:basedOn w:val="Normal1"/>
    <w:next w:val="Normal1"/>
    <w:rsid w:val="00346A34"/>
    <w:pPr>
      <w:keepNext/>
      <w:keepLines/>
      <w:spacing w:after="80"/>
      <w:outlineLvl w:val="4"/>
    </w:pPr>
    <w:rPr>
      <w:color w:val="666666"/>
    </w:rPr>
  </w:style>
  <w:style w:type="paragraph" w:styleId="Heading6">
    <w:name w:val="heading 6"/>
    <w:basedOn w:val="Normal1"/>
    <w:next w:val="Normal1"/>
    <w:rsid w:val="00346A34"/>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46A34"/>
  </w:style>
  <w:style w:type="paragraph" w:styleId="Title">
    <w:name w:val="Title"/>
    <w:basedOn w:val="Normal1"/>
    <w:next w:val="Normal1"/>
    <w:rsid w:val="00346A34"/>
    <w:pPr>
      <w:keepNext/>
      <w:keepLines/>
      <w:spacing w:before="0" w:after="60"/>
    </w:pPr>
    <w:rPr>
      <w:sz w:val="52"/>
      <w:szCs w:val="52"/>
    </w:rPr>
  </w:style>
  <w:style w:type="paragraph" w:styleId="Subtitle">
    <w:name w:val="Subtitle"/>
    <w:basedOn w:val="Normal1"/>
    <w:next w:val="Normal1"/>
    <w:rsid w:val="00346A34"/>
    <w:pPr>
      <w:keepNext/>
      <w:keepLines/>
      <w:spacing w:before="0" w:after="320"/>
    </w:pPr>
    <w:rPr>
      <w:color w:val="666666"/>
      <w:sz w:val="30"/>
      <w:szCs w:val="30"/>
    </w:rPr>
  </w:style>
  <w:style w:type="paragraph" w:styleId="BalloonText">
    <w:name w:val="Balloon Text"/>
    <w:basedOn w:val="Normal"/>
    <w:link w:val="BalloonTextChar"/>
    <w:uiPriority w:val="99"/>
    <w:semiHidden/>
    <w:unhideWhenUsed/>
    <w:rsid w:val="0076476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476C"/>
    <w:rPr>
      <w:rFonts w:ascii="Tahoma" w:hAnsi="Tahoma" w:cs="Tahoma"/>
      <w:sz w:val="16"/>
      <w:szCs w:val="16"/>
    </w:rPr>
  </w:style>
  <w:style w:type="paragraph" w:styleId="Header">
    <w:name w:val="header"/>
    <w:basedOn w:val="Normal"/>
    <w:link w:val="HeaderChar"/>
    <w:uiPriority w:val="99"/>
    <w:semiHidden/>
    <w:unhideWhenUsed/>
    <w:rsid w:val="0076476C"/>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76476C"/>
  </w:style>
  <w:style w:type="paragraph" w:styleId="Footer">
    <w:name w:val="footer"/>
    <w:basedOn w:val="Normal"/>
    <w:link w:val="FooterChar"/>
    <w:uiPriority w:val="99"/>
    <w:unhideWhenUsed/>
    <w:rsid w:val="0076476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6476C"/>
  </w:style>
  <w:style w:type="paragraph" w:styleId="TOCHeading">
    <w:name w:val="TOC Heading"/>
    <w:basedOn w:val="Heading1"/>
    <w:next w:val="Normal"/>
    <w:uiPriority w:val="39"/>
    <w:unhideWhenUsed/>
    <w:qFormat/>
    <w:rsid w:val="0076476C"/>
    <w:pPr>
      <w:spacing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2">
    <w:name w:val="toc 2"/>
    <w:basedOn w:val="Normal"/>
    <w:next w:val="Normal"/>
    <w:autoRedefine/>
    <w:uiPriority w:val="39"/>
    <w:semiHidden/>
    <w:unhideWhenUsed/>
    <w:qFormat/>
    <w:rsid w:val="0076476C"/>
    <w:pPr>
      <w:spacing w:before="0" w:after="100" w:line="276" w:lineRule="auto"/>
      <w:ind w:left="220"/>
      <w:jc w:val="left"/>
    </w:pPr>
    <w:rPr>
      <w:rFonts w:asciiTheme="minorHAnsi" w:eastAsiaTheme="minorEastAsia" w:hAnsiTheme="minorHAnsi" w:cstheme="minorBidi"/>
    </w:rPr>
  </w:style>
  <w:style w:type="paragraph" w:styleId="TOC1">
    <w:name w:val="toc 1"/>
    <w:basedOn w:val="Normal"/>
    <w:next w:val="Normal"/>
    <w:autoRedefine/>
    <w:uiPriority w:val="39"/>
    <w:unhideWhenUsed/>
    <w:qFormat/>
    <w:rsid w:val="0076476C"/>
    <w:pPr>
      <w:spacing w:before="0" w:after="100" w:line="276" w:lineRule="auto"/>
      <w:jc w:val="left"/>
    </w:pPr>
    <w:rPr>
      <w:rFonts w:asciiTheme="minorHAnsi" w:eastAsiaTheme="minorEastAsia" w:hAnsiTheme="minorHAnsi" w:cstheme="minorBidi"/>
    </w:rPr>
  </w:style>
  <w:style w:type="paragraph" w:styleId="TOC3">
    <w:name w:val="toc 3"/>
    <w:basedOn w:val="Normal"/>
    <w:next w:val="Normal"/>
    <w:autoRedefine/>
    <w:uiPriority w:val="39"/>
    <w:semiHidden/>
    <w:unhideWhenUsed/>
    <w:qFormat/>
    <w:rsid w:val="0076476C"/>
    <w:pPr>
      <w:spacing w:before="0" w:after="100" w:line="276" w:lineRule="auto"/>
      <w:ind w:left="440"/>
      <w:jc w:val="left"/>
    </w:pPr>
    <w:rPr>
      <w:rFonts w:asciiTheme="minorHAnsi" w:eastAsiaTheme="minorEastAsia" w:hAnsiTheme="minorHAnsi" w:cstheme="minorBidi"/>
    </w:rPr>
  </w:style>
  <w:style w:type="character" w:styleId="Hyperlink">
    <w:name w:val="Hyperlink"/>
    <w:basedOn w:val="DefaultParagraphFont"/>
    <w:uiPriority w:val="99"/>
    <w:unhideWhenUsed/>
    <w:rsid w:val="0076476C"/>
    <w:rPr>
      <w:color w:val="0000FF" w:themeColor="hyperlink"/>
      <w:u w:val="single"/>
    </w:rPr>
  </w:style>
  <w:style w:type="paragraph" w:styleId="ListParagraph">
    <w:name w:val="List Paragraph"/>
    <w:basedOn w:val="Normal"/>
    <w:uiPriority w:val="34"/>
    <w:qFormat/>
    <w:rsid w:val="00436291"/>
    <w:pPr>
      <w:spacing w:before="0" w:after="160" w:line="259" w:lineRule="auto"/>
      <w:ind w:left="720"/>
      <w:contextualSpacing/>
      <w:jc w:val="left"/>
    </w:pPr>
    <w:rPr>
      <w:rFonts w:asciiTheme="minorHAnsi" w:eastAsiaTheme="minorHAnsi" w:hAnsiTheme="minorHAnsi" w:cstheme="minorBidi"/>
      <w:lang w:val="en-GB"/>
    </w:rPr>
  </w:style>
  <w:style w:type="character" w:styleId="UnresolvedMention">
    <w:name w:val="Unresolved Mention"/>
    <w:basedOn w:val="DefaultParagraphFont"/>
    <w:uiPriority w:val="99"/>
    <w:semiHidden/>
    <w:unhideWhenUsed/>
    <w:rsid w:val="004566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100937">
      <w:bodyDiv w:val="1"/>
      <w:marLeft w:val="0"/>
      <w:marRight w:val="0"/>
      <w:marTop w:val="0"/>
      <w:marBottom w:val="0"/>
      <w:divBdr>
        <w:top w:val="none" w:sz="0" w:space="0" w:color="auto"/>
        <w:left w:val="none" w:sz="0" w:space="0" w:color="auto"/>
        <w:bottom w:val="none" w:sz="0" w:space="0" w:color="auto"/>
        <w:right w:val="none" w:sz="0" w:space="0" w:color="auto"/>
      </w:divBdr>
    </w:div>
    <w:div w:id="507603161">
      <w:bodyDiv w:val="1"/>
      <w:marLeft w:val="0"/>
      <w:marRight w:val="0"/>
      <w:marTop w:val="0"/>
      <w:marBottom w:val="0"/>
      <w:divBdr>
        <w:top w:val="none" w:sz="0" w:space="0" w:color="auto"/>
        <w:left w:val="none" w:sz="0" w:space="0" w:color="auto"/>
        <w:bottom w:val="none" w:sz="0" w:space="0" w:color="auto"/>
        <w:right w:val="none" w:sz="0" w:space="0" w:color="auto"/>
      </w:divBdr>
    </w:div>
    <w:div w:id="859398756">
      <w:bodyDiv w:val="1"/>
      <w:marLeft w:val="0"/>
      <w:marRight w:val="0"/>
      <w:marTop w:val="0"/>
      <w:marBottom w:val="0"/>
      <w:divBdr>
        <w:top w:val="none" w:sz="0" w:space="0" w:color="auto"/>
        <w:left w:val="none" w:sz="0" w:space="0" w:color="auto"/>
        <w:bottom w:val="none" w:sz="0" w:space="0" w:color="auto"/>
        <w:right w:val="none" w:sz="0" w:space="0" w:color="auto"/>
      </w:divBdr>
    </w:div>
    <w:div w:id="1457869559">
      <w:bodyDiv w:val="1"/>
      <w:marLeft w:val="0"/>
      <w:marRight w:val="0"/>
      <w:marTop w:val="0"/>
      <w:marBottom w:val="0"/>
      <w:divBdr>
        <w:top w:val="none" w:sz="0" w:space="0" w:color="auto"/>
        <w:left w:val="none" w:sz="0" w:space="0" w:color="auto"/>
        <w:bottom w:val="none" w:sz="0" w:space="0" w:color="auto"/>
        <w:right w:val="none" w:sz="0" w:space="0" w:color="auto"/>
      </w:divBdr>
    </w:div>
    <w:div w:id="1467579899">
      <w:bodyDiv w:val="1"/>
      <w:marLeft w:val="0"/>
      <w:marRight w:val="0"/>
      <w:marTop w:val="0"/>
      <w:marBottom w:val="0"/>
      <w:divBdr>
        <w:top w:val="none" w:sz="0" w:space="0" w:color="auto"/>
        <w:left w:val="none" w:sz="0" w:space="0" w:color="auto"/>
        <w:bottom w:val="none" w:sz="0" w:space="0" w:color="auto"/>
        <w:right w:val="none" w:sz="0" w:space="0" w:color="auto"/>
      </w:divBdr>
      <w:divsChild>
        <w:div w:id="1912884035">
          <w:marLeft w:val="0"/>
          <w:marRight w:val="0"/>
          <w:marTop w:val="0"/>
          <w:marBottom w:val="0"/>
          <w:divBdr>
            <w:top w:val="none" w:sz="0" w:space="0" w:color="auto"/>
            <w:left w:val="none" w:sz="0" w:space="0" w:color="auto"/>
            <w:bottom w:val="none" w:sz="0" w:space="0" w:color="auto"/>
            <w:right w:val="none" w:sz="0" w:space="0" w:color="auto"/>
          </w:divBdr>
        </w:div>
      </w:divsChild>
    </w:div>
    <w:div w:id="18867898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jftr.12301" TargetMode="External"/><Relationship Id="rId18" Type="http://schemas.openxmlformats.org/officeDocument/2006/relationships/hyperlink" Target="https://learning.nspcc.org.uk/child-protection-system/children-the-law" TargetMode="External"/><Relationship Id="rId26" Type="http://schemas.openxmlformats.org/officeDocument/2006/relationships/hyperlink" Target="https://doi.org/10.3390/ijerph16040606" TargetMode="External"/><Relationship Id="rId3" Type="http://schemas.openxmlformats.org/officeDocument/2006/relationships/styles" Target="styles.xml"/><Relationship Id="rId21" Type="http://schemas.openxmlformats.org/officeDocument/2006/relationships/hyperlink" Target="https://dr.library.brocku.ca/bitstream/handle/10464/15577/Brock_Readhead_Anne_2021.pdf?sequence=1&amp;isAllowed=y" TargetMode="External"/><Relationship Id="rId7" Type="http://schemas.openxmlformats.org/officeDocument/2006/relationships/endnotes" Target="endnotes.xml"/><Relationship Id="rId12" Type="http://schemas.openxmlformats.org/officeDocument/2006/relationships/hyperlink" Target="https://doi.org/10.1002/berj.3491" TargetMode="External"/><Relationship Id="rId17" Type="http://schemas.openxmlformats.org/officeDocument/2006/relationships/hyperlink" Target="https://doi.org/10.1177/0907568218798016" TargetMode="External"/><Relationship Id="rId25" Type="http://schemas.openxmlformats.org/officeDocument/2006/relationships/hyperlink" Target="https://doi.org/10.1136%2Fjech-2019-212738" TargetMode="External"/><Relationship Id="rId2" Type="http://schemas.openxmlformats.org/officeDocument/2006/relationships/numbering" Target="numbering.xml"/><Relationship Id="rId16" Type="http://schemas.openxmlformats.org/officeDocument/2006/relationships/hyperlink" Target="https://doi.org/10.1007/s40653-018-0237-5" TargetMode="External"/><Relationship Id="rId20" Type="http://schemas.openxmlformats.org/officeDocument/2006/relationships/hyperlink" Target="http://dx.doi.org/10.1136/archdischild-2018-31480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ck/a?!&amp;&amp;p=b05a644a700425d9JmltdHM9MTY3MzEzNjAwMCZpZ3VpZD0wOWM1NThkYy1mOWY5LTYwZDAtMDNjMy00OGQ0Zjg0MjYxZDkmaW5zaWQ9NTQyMg&amp;ptn=3&amp;hsh=3&amp;fclid=09c558dc-f9f9-60d0-03c3-48d4f84261d9&amp;psq=Chen%2c+I.Y.%2c+Szolovits%2c+P.+and+Ghassemi%2c+M.(+2019)+%e2%80%9cCan+AI+help+reduce+disparities+in+general+medical+and+mental+health+care%3f%e2%80%9d.+AMA+journal+of+ethics%2c+&amp;u=a1aHR0cHM6Ly9kb2kub3JnLzEwLjEwMDEvYW1hamV0aGljcy4yMDE5LjE2Nw&amp;ntb=1" TargetMode="External"/><Relationship Id="rId24" Type="http://schemas.openxmlformats.org/officeDocument/2006/relationships/hyperlink" Target="https://pure.manchester.ac.uk/ws/portalfiles/portal/188962674/FULL_TEXT.PDF" TargetMode="External"/><Relationship Id="rId5" Type="http://schemas.openxmlformats.org/officeDocument/2006/relationships/webSettings" Target="webSettings.xml"/><Relationship Id="rId15" Type="http://schemas.openxmlformats.org/officeDocument/2006/relationships/hyperlink" Target="https://doi.org/10.1016/j.childyouth.2017.06.009" TargetMode="External"/><Relationship Id="rId23" Type="http://schemas.openxmlformats.org/officeDocument/2006/relationships/hyperlink" Target="https://journals.sagepub.com/doi/10.3102/0034654319853545" TargetMode="External"/><Relationship Id="rId28" Type="http://schemas.openxmlformats.org/officeDocument/2006/relationships/fontTable" Target="fontTable.xml"/><Relationship Id="rId10" Type="http://schemas.openxmlformats.org/officeDocument/2006/relationships/hyperlink" Target="https://www.semanticscholar.org/paper/Digital-Games-as-a-Context-for-Children's-Cognitive-Blumberg-Deater-Deckard/e83af1bb7551cb66df893876c10295647c7eeddb" TargetMode="External"/><Relationship Id="rId19" Type="http://schemas.openxmlformats.org/officeDocument/2006/relationships/hyperlink" Target="https://doi.org/10.1111/hsc.12857" TargetMode="External"/><Relationship Id="rId4" Type="http://schemas.openxmlformats.org/officeDocument/2006/relationships/settings" Target="settings.xml"/><Relationship Id="rId9" Type="http://schemas.openxmlformats.org/officeDocument/2006/relationships/hyperlink" Target="https://bmchealthservres.biomedcentral.com/counter/pdf/10.1186/s12913-020-4975-3.pdf" TargetMode="External"/><Relationship Id="rId14" Type="http://schemas.openxmlformats.org/officeDocument/2006/relationships/hyperlink" Target="https://doi.org/10.3389/fpsyg.2020.588667" TargetMode="External"/><Relationship Id="rId22" Type="http://schemas.openxmlformats.org/officeDocument/2006/relationships/hyperlink" Target="https://cpdonline.co.uk/knowledge-base/safeguarding/child-development-stag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0DD9A9-53A3-43DE-8C29-70F1BDD92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3549</Words>
  <Characters>20233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Margareta Dragoi</cp:lastModifiedBy>
  <cp:revision>129</cp:revision>
  <dcterms:created xsi:type="dcterms:W3CDTF">2023-01-03T14:16:00Z</dcterms:created>
  <dcterms:modified xsi:type="dcterms:W3CDTF">2023-01-09T01:26:00Z</dcterms:modified>
</cp:coreProperties>
</file>