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00C50" w14:textId="77777777" w:rsidR="007609D6" w:rsidRDefault="007609D6" w:rsidP="007609D6">
      <w:pPr>
        <w:rPr>
          <w:sz w:val="28"/>
        </w:rPr>
      </w:pPr>
      <w:r>
        <w:rPr>
          <w:rFonts w:ascii="Times New Roman"/>
          <w:noProof/>
        </w:rPr>
        <w:drawing>
          <wp:inline distT="0" distB="0" distL="0" distR="0" wp14:anchorId="0556ABEC" wp14:editId="690E353A">
            <wp:extent cx="1885950" cy="819150"/>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5" cstate="print"/>
                    <a:stretch>
                      <a:fillRect/>
                    </a:stretch>
                  </pic:blipFill>
                  <pic:spPr>
                    <a:xfrm>
                      <a:off x="0" y="0"/>
                      <a:ext cx="1886259" cy="819284"/>
                    </a:xfrm>
                    <a:prstGeom prst="rect">
                      <a:avLst/>
                    </a:prstGeom>
                  </pic:spPr>
                </pic:pic>
              </a:graphicData>
            </a:graphic>
          </wp:inline>
        </w:drawing>
      </w:r>
    </w:p>
    <w:p w14:paraId="1915433D" w14:textId="77777777" w:rsidR="007609D6" w:rsidRDefault="007609D6" w:rsidP="007609D6">
      <w:pPr>
        <w:rPr>
          <w:sz w:val="28"/>
        </w:rPr>
      </w:pPr>
    </w:p>
    <w:p w14:paraId="5FC13D65" w14:textId="77777777" w:rsidR="007609D6" w:rsidRDefault="007609D6" w:rsidP="007609D6">
      <w:pPr>
        <w:rPr>
          <w:sz w:val="28"/>
        </w:rPr>
      </w:pPr>
    </w:p>
    <w:p w14:paraId="135D3B6A" w14:textId="77777777" w:rsidR="007609D6" w:rsidRPr="00BC2421" w:rsidRDefault="007609D6" w:rsidP="007609D6">
      <w:pPr>
        <w:jc w:val="center"/>
        <w:rPr>
          <w:sz w:val="40"/>
          <w:szCs w:val="40"/>
        </w:rPr>
      </w:pPr>
      <w:r w:rsidRPr="00BC2421">
        <w:rPr>
          <w:sz w:val="40"/>
          <w:szCs w:val="40"/>
        </w:rPr>
        <w:t>BA (Hons) International</w:t>
      </w:r>
      <w:r w:rsidRPr="00BC2421">
        <w:rPr>
          <w:spacing w:val="3"/>
          <w:sz w:val="40"/>
          <w:szCs w:val="40"/>
        </w:rPr>
        <w:t xml:space="preserve"> </w:t>
      </w:r>
      <w:r w:rsidRPr="00BC2421">
        <w:rPr>
          <w:sz w:val="40"/>
          <w:szCs w:val="40"/>
        </w:rPr>
        <w:t>Hotel Management</w:t>
      </w:r>
    </w:p>
    <w:p w14:paraId="7ABCFE50" w14:textId="77777777" w:rsidR="007609D6" w:rsidRPr="00BC2421" w:rsidRDefault="007609D6" w:rsidP="007609D6">
      <w:pPr>
        <w:jc w:val="center"/>
        <w:rPr>
          <w:sz w:val="36"/>
          <w:szCs w:val="36"/>
        </w:rPr>
      </w:pPr>
      <w:r w:rsidRPr="00BC2421">
        <w:rPr>
          <w:sz w:val="36"/>
          <w:szCs w:val="36"/>
        </w:rPr>
        <w:t>BMIH5005: Personnel</w:t>
      </w:r>
      <w:r w:rsidRPr="00BC2421">
        <w:rPr>
          <w:spacing w:val="3"/>
          <w:sz w:val="36"/>
          <w:szCs w:val="36"/>
        </w:rPr>
        <w:t xml:space="preserve"> </w:t>
      </w:r>
      <w:r w:rsidRPr="00BC2421">
        <w:rPr>
          <w:sz w:val="36"/>
          <w:szCs w:val="36"/>
        </w:rPr>
        <w:t>Resourcing</w:t>
      </w:r>
      <w:r w:rsidRPr="00BC2421">
        <w:rPr>
          <w:spacing w:val="-3"/>
          <w:sz w:val="36"/>
          <w:szCs w:val="36"/>
        </w:rPr>
        <w:t xml:space="preserve"> </w:t>
      </w:r>
      <w:r w:rsidRPr="00BC2421">
        <w:rPr>
          <w:sz w:val="36"/>
          <w:szCs w:val="36"/>
        </w:rPr>
        <w:t>and</w:t>
      </w:r>
      <w:r w:rsidRPr="00BC2421">
        <w:rPr>
          <w:spacing w:val="2"/>
          <w:sz w:val="36"/>
          <w:szCs w:val="36"/>
        </w:rPr>
        <w:t xml:space="preserve"> </w:t>
      </w:r>
      <w:r w:rsidRPr="00BC2421">
        <w:rPr>
          <w:sz w:val="36"/>
          <w:szCs w:val="36"/>
        </w:rPr>
        <w:t>Development</w:t>
      </w:r>
    </w:p>
    <w:p w14:paraId="3F7534BB" w14:textId="77777777" w:rsidR="007609D6" w:rsidRDefault="007609D6" w:rsidP="007609D6">
      <w:pPr>
        <w:rPr>
          <w:szCs w:val="24"/>
        </w:rPr>
      </w:pPr>
    </w:p>
    <w:p w14:paraId="0E74B28B" w14:textId="77777777" w:rsidR="007609D6" w:rsidRDefault="007609D6" w:rsidP="007609D6">
      <w:pPr>
        <w:rPr>
          <w:szCs w:val="24"/>
        </w:rPr>
      </w:pPr>
      <w:r w:rsidRPr="00BC2421">
        <w:rPr>
          <w:b/>
          <w:bCs/>
          <w:szCs w:val="24"/>
        </w:rPr>
        <w:t>Assignment Title</w:t>
      </w:r>
      <w:r>
        <w:rPr>
          <w:szCs w:val="24"/>
        </w:rPr>
        <w:t xml:space="preserve">: </w:t>
      </w:r>
      <w:r w:rsidRPr="00D66D64">
        <w:rPr>
          <w:szCs w:val="24"/>
        </w:rPr>
        <w:t>“The</w:t>
      </w:r>
      <w:r w:rsidRPr="00D66D64">
        <w:rPr>
          <w:spacing w:val="39"/>
          <w:szCs w:val="24"/>
        </w:rPr>
        <w:t xml:space="preserve"> </w:t>
      </w:r>
      <w:r w:rsidRPr="00D66D64">
        <w:rPr>
          <w:szCs w:val="24"/>
        </w:rPr>
        <w:t>role</w:t>
      </w:r>
      <w:r w:rsidRPr="00D66D64">
        <w:rPr>
          <w:spacing w:val="40"/>
          <w:szCs w:val="24"/>
        </w:rPr>
        <w:t xml:space="preserve"> </w:t>
      </w:r>
      <w:r w:rsidRPr="00D66D64">
        <w:rPr>
          <w:szCs w:val="24"/>
        </w:rPr>
        <w:t>of</w:t>
      </w:r>
      <w:r w:rsidRPr="00D66D64">
        <w:rPr>
          <w:spacing w:val="40"/>
          <w:szCs w:val="24"/>
        </w:rPr>
        <w:t xml:space="preserve"> </w:t>
      </w:r>
      <w:r w:rsidRPr="00D66D64">
        <w:rPr>
          <w:szCs w:val="24"/>
        </w:rPr>
        <w:t>HRM</w:t>
      </w:r>
      <w:r>
        <w:rPr>
          <w:spacing w:val="39"/>
          <w:szCs w:val="24"/>
        </w:rPr>
        <w:t xml:space="preserve"> </w:t>
      </w:r>
      <w:r w:rsidRPr="00D66D64">
        <w:rPr>
          <w:szCs w:val="24"/>
        </w:rPr>
        <w:t>is nothing</w:t>
      </w:r>
      <w:r>
        <w:rPr>
          <w:szCs w:val="24"/>
        </w:rPr>
        <w:t xml:space="preserve"> </w:t>
      </w:r>
      <w:r w:rsidRPr="00D66D64">
        <w:rPr>
          <w:szCs w:val="24"/>
        </w:rPr>
        <w:t>more</w:t>
      </w:r>
      <w:r>
        <w:rPr>
          <w:szCs w:val="24"/>
        </w:rPr>
        <w:t xml:space="preserve"> </w:t>
      </w:r>
      <w:r w:rsidRPr="00D66D64">
        <w:rPr>
          <w:szCs w:val="24"/>
        </w:rPr>
        <w:t xml:space="preserve">than recruitment </w:t>
      </w:r>
      <w:r w:rsidRPr="00D66D64">
        <w:rPr>
          <w:spacing w:val="-1"/>
          <w:szCs w:val="24"/>
        </w:rPr>
        <w:t>and</w:t>
      </w:r>
      <w:r w:rsidRPr="00D66D64">
        <w:rPr>
          <w:spacing w:val="-59"/>
          <w:szCs w:val="24"/>
        </w:rPr>
        <w:t xml:space="preserve"> </w:t>
      </w:r>
      <w:r w:rsidRPr="00D66D64">
        <w:rPr>
          <w:szCs w:val="24"/>
        </w:rPr>
        <w:t>compensation within a large</w:t>
      </w:r>
      <w:r w:rsidRPr="00D66D64">
        <w:rPr>
          <w:spacing w:val="1"/>
          <w:szCs w:val="24"/>
        </w:rPr>
        <w:t xml:space="preserve"> </w:t>
      </w:r>
      <w:r w:rsidRPr="00D66D64">
        <w:rPr>
          <w:szCs w:val="24"/>
        </w:rPr>
        <w:t>hotel.” How far do you agree</w:t>
      </w:r>
      <w:r w:rsidRPr="00D66D64">
        <w:rPr>
          <w:spacing w:val="-59"/>
          <w:szCs w:val="24"/>
        </w:rPr>
        <w:t xml:space="preserve"> </w:t>
      </w:r>
      <w:r w:rsidRPr="00D66D64">
        <w:rPr>
          <w:szCs w:val="24"/>
        </w:rPr>
        <w:t>with</w:t>
      </w:r>
      <w:r w:rsidRPr="00D66D64">
        <w:rPr>
          <w:spacing w:val="-2"/>
          <w:szCs w:val="24"/>
        </w:rPr>
        <w:t xml:space="preserve"> </w:t>
      </w:r>
      <w:r w:rsidRPr="00D66D64">
        <w:rPr>
          <w:szCs w:val="24"/>
        </w:rPr>
        <w:t>the</w:t>
      </w:r>
      <w:r w:rsidRPr="00D66D64">
        <w:rPr>
          <w:spacing w:val="-4"/>
          <w:szCs w:val="24"/>
        </w:rPr>
        <w:t xml:space="preserve"> </w:t>
      </w:r>
      <w:r w:rsidRPr="00D66D64">
        <w:rPr>
          <w:szCs w:val="24"/>
        </w:rPr>
        <w:t>above</w:t>
      </w:r>
      <w:r w:rsidRPr="00D66D64">
        <w:rPr>
          <w:spacing w:val="-4"/>
          <w:szCs w:val="24"/>
        </w:rPr>
        <w:t xml:space="preserve"> </w:t>
      </w:r>
      <w:r w:rsidRPr="00D66D64">
        <w:rPr>
          <w:szCs w:val="24"/>
        </w:rPr>
        <w:t>description?</w:t>
      </w:r>
    </w:p>
    <w:p w14:paraId="2DF23259" w14:textId="77777777" w:rsidR="007609D6" w:rsidRDefault="007609D6" w:rsidP="007609D6">
      <w:pPr>
        <w:rPr>
          <w:szCs w:val="24"/>
        </w:rPr>
      </w:pPr>
    </w:p>
    <w:p w14:paraId="3F824E7C" w14:textId="77777777" w:rsidR="007609D6" w:rsidRDefault="007609D6" w:rsidP="007609D6">
      <w:pPr>
        <w:rPr>
          <w:szCs w:val="24"/>
        </w:rPr>
      </w:pPr>
    </w:p>
    <w:p w14:paraId="0509AFD6" w14:textId="77777777" w:rsidR="007609D6" w:rsidRPr="00BC2421" w:rsidRDefault="007609D6" w:rsidP="007609D6">
      <w:pPr>
        <w:jc w:val="center"/>
        <w:rPr>
          <w:sz w:val="36"/>
          <w:szCs w:val="36"/>
        </w:rPr>
      </w:pPr>
      <w:r w:rsidRPr="00BC2421">
        <w:rPr>
          <w:sz w:val="36"/>
          <w:szCs w:val="36"/>
        </w:rPr>
        <w:t>Lecturer Name: Helen</w:t>
      </w:r>
      <w:r w:rsidRPr="00BC2421">
        <w:rPr>
          <w:spacing w:val="2"/>
          <w:sz w:val="36"/>
          <w:szCs w:val="36"/>
        </w:rPr>
        <w:t xml:space="preserve"> </w:t>
      </w:r>
      <w:r w:rsidRPr="00BC2421">
        <w:rPr>
          <w:sz w:val="36"/>
          <w:szCs w:val="36"/>
        </w:rPr>
        <w:t>Lee</w:t>
      </w:r>
    </w:p>
    <w:p w14:paraId="5FAB4E7A" w14:textId="77777777" w:rsidR="007609D6" w:rsidRPr="00BC2421" w:rsidRDefault="007609D6" w:rsidP="007609D6">
      <w:pPr>
        <w:jc w:val="center"/>
        <w:rPr>
          <w:sz w:val="36"/>
          <w:szCs w:val="36"/>
        </w:rPr>
      </w:pPr>
      <w:r w:rsidRPr="00BC2421">
        <w:rPr>
          <w:sz w:val="36"/>
          <w:szCs w:val="36"/>
        </w:rPr>
        <w:t xml:space="preserve">Student Name: </w:t>
      </w:r>
      <w:proofErr w:type="spellStart"/>
      <w:r w:rsidRPr="00BC2421">
        <w:rPr>
          <w:sz w:val="36"/>
          <w:szCs w:val="36"/>
        </w:rPr>
        <w:t>Mashuda</w:t>
      </w:r>
      <w:proofErr w:type="spellEnd"/>
      <w:r w:rsidRPr="00BC2421">
        <w:rPr>
          <w:sz w:val="36"/>
          <w:szCs w:val="36"/>
        </w:rPr>
        <w:t xml:space="preserve"> Begum</w:t>
      </w:r>
    </w:p>
    <w:p w14:paraId="49EE7ED4" w14:textId="77777777" w:rsidR="007609D6" w:rsidRDefault="007609D6" w:rsidP="007609D6">
      <w:pPr>
        <w:jc w:val="center"/>
        <w:rPr>
          <w:sz w:val="28"/>
        </w:rPr>
      </w:pPr>
      <w:r w:rsidRPr="00BC2421">
        <w:rPr>
          <w:sz w:val="36"/>
          <w:szCs w:val="36"/>
        </w:rPr>
        <w:t>Student ID:</w:t>
      </w:r>
      <w:r>
        <w:rPr>
          <w:sz w:val="36"/>
          <w:szCs w:val="36"/>
        </w:rPr>
        <w:t>2119256</w:t>
      </w:r>
    </w:p>
    <w:p w14:paraId="5D84630E" w14:textId="77777777" w:rsidR="007609D6" w:rsidRDefault="007609D6" w:rsidP="007609D6">
      <w:pPr>
        <w:jc w:val="center"/>
      </w:pPr>
    </w:p>
    <w:p w14:paraId="3AD8FA56" w14:textId="77777777" w:rsidR="007609D6" w:rsidRDefault="007609D6" w:rsidP="007609D6">
      <w:pPr>
        <w:jc w:val="center"/>
        <w:rPr>
          <w:sz w:val="28"/>
        </w:rPr>
      </w:pPr>
    </w:p>
    <w:p w14:paraId="31087E73" w14:textId="77777777" w:rsidR="007609D6" w:rsidRDefault="007609D6" w:rsidP="007609D6">
      <w:pPr>
        <w:jc w:val="center"/>
        <w:rPr>
          <w:sz w:val="28"/>
        </w:rPr>
      </w:pPr>
    </w:p>
    <w:p w14:paraId="2DE7C703" w14:textId="77777777" w:rsidR="007609D6" w:rsidRDefault="007609D6" w:rsidP="007609D6">
      <w:pPr>
        <w:jc w:val="center"/>
        <w:rPr>
          <w:sz w:val="28"/>
        </w:rPr>
      </w:pPr>
    </w:p>
    <w:p w14:paraId="2FCA91A3" w14:textId="77777777" w:rsidR="007609D6" w:rsidRDefault="007609D6" w:rsidP="007609D6">
      <w:pPr>
        <w:jc w:val="center"/>
        <w:rPr>
          <w:sz w:val="28"/>
        </w:rPr>
      </w:pPr>
    </w:p>
    <w:p w14:paraId="0941E200" w14:textId="77777777" w:rsidR="007609D6" w:rsidRDefault="007609D6" w:rsidP="007609D6">
      <w:pPr>
        <w:jc w:val="center"/>
        <w:rPr>
          <w:sz w:val="28"/>
        </w:rPr>
      </w:pPr>
    </w:p>
    <w:p w14:paraId="3F87CDED" w14:textId="77777777" w:rsidR="007609D6" w:rsidRDefault="007609D6" w:rsidP="007609D6">
      <w:pPr>
        <w:jc w:val="center"/>
        <w:rPr>
          <w:sz w:val="28"/>
        </w:rPr>
      </w:pPr>
    </w:p>
    <w:p w14:paraId="57F3D237" w14:textId="77777777" w:rsidR="007609D6" w:rsidRDefault="007609D6" w:rsidP="007609D6">
      <w:pPr>
        <w:jc w:val="center"/>
        <w:rPr>
          <w:sz w:val="28"/>
        </w:rPr>
      </w:pPr>
    </w:p>
    <w:p w14:paraId="3FD46F02" w14:textId="77777777" w:rsidR="007609D6" w:rsidRDefault="007609D6" w:rsidP="007609D6">
      <w:pPr>
        <w:jc w:val="center"/>
        <w:rPr>
          <w:sz w:val="28"/>
        </w:rPr>
      </w:pPr>
    </w:p>
    <w:p w14:paraId="53B37033" w14:textId="77777777" w:rsidR="007609D6" w:rsidRDefault="007609D6" w:rsidP="007609D6">
      <w:pPr>
        <w:jc w:val="center"/>
        <w:rPr>
          <w:sz w:val="28"/>
        </w:rPr>
      </w:pPr>
    </w:p>
    <w:p w14:paraId="25E43184" w14:textId="77777777" w:rsidR="007609D6" w:rsidRDefault="007609D6" w:rsidP="007609D6">
      <w:pPr>
        <w:jc w:val="center"/>
        <w:rPr>
          <w:sz w:val="28"/>
        </w:rPr>
      </w:pPr>
    </w:p>
    <w:p w14:paraId="3E4C5864" w14:textId="77777777" w:rsidR="007609D6" w:rsidRDefault="007609D6" w:rsidP="007609D6">
      <w:pPr>
        <w:spacing w:line="240" w:lineRule="auto"/>
        <w:jc w:val="left"/>
        <w:rPr>
          <w:sz w:val="28"/>
        </w:rPr>
      </w:pPr>
      <w:r>
        <w:rPr>
          <w:sz w:val="28"/>
        </w:rPr>
        <w:br w:type="page"/>
      </w:r>
    </w:p>
    <w:p w14:paraId="11E7BA17" w14:textId="77777777" w:rsidR="007609D6" w:rsidRPr="00754107" w:rsidRDefault="007609D6" w:rsidP="007609D6">
      <w:pPr>
        <w:jc w:val="center"/>
        <w:rPr>
          <w:sz w:val="28"/>
        </w:rPr>
      </w:pPr>
      <w:r>
        <w:rPr>
          <w:sz w:val="28"/>
        </w:rPr>
        <w:lastRenderedPageBreak/>
        <w:t>“</w:t>
      </w:r>
      <w:r w:rsidRPr="00754107">
        <w:rPr>
          <w:sz w:val="28"/>
        </w:rPr>
        <w:t>Role of Human Resource Management in Employee Engagement</w:t>
      </w:r>
      <w:r>
        <w:rPr>
          <w:sz w:val="28"/>
        </w:rPr>
        <w:t>”</w:t>
      </w:r>
    </w:p>
    <w:p w14:paraId="01DABBF5" w14:textId="77777777" w:rsidR="007609D6" w:rsidRDefault="007609D6" w:rsidP="007609D6">
      <w:r>
        <w:t xml:space="preserve">Employee engagement assesses how effectively organisations involve employees in company information. Engaged workforces significantly outperform disengaged ones. This essay is going to highlight the roles of human resource management in engaging employees in terms of Holiday Inn. Along with this discussion, this essay will illustrate other functions of human resource management in addition to recruitment and compensation. Holiday Inn is a well-known American hotel chain owned by InterContinental Hotels Group (IHG). This brand's properties provide upscale amenities and services to guests, featuring a combination of rooms and suites. Holiday Inn, with over 1100 properties globally, is acknowledged as a major leader in the hotel industry (Demirovic, </w:t>
      </w:r>
      <w:proofErr w:type="spellStart"/>
      <w:r>
        <w:t>Desivojevic</w:t>
      </w:r>
      <w:proofErr w:type="spellEnd"/>
      <w:r>
        <w:t xml:space="preserve"> and Radovan, 2014). Holiday Inn operates by adhering to the standards established by the IHG groups and the Holiday Inn brand. They rely on the employees who are the essential resources for delivering services to the guests. The human resources department of Holiday Inn ensures employee engagement to effectively manage staff and help the properties achieve their goals.</w:t>
      </w:r>
    </w:p>
    <w:p w14:paraId="3F6950F0" w14:textId="77777777" w:rsidR="007609D6" w:rsidRDefault="007609D6" w:rsidP="007609D6">
      <w:r>
        <w:t xml:space="preserve">Organisations must comprehend what motivates their employees to maximise productivity. Employees who engage in regular communication with each other are more productive (Anon, 2022). In the dynamic and motivated environment of Holiday Inn, innovation and creativity flourish. By prioritising employee engagement, Holiday Inn is potentially establishing the foundation for future success. Committed employees are more content in their jobs, which enables them to provide customers with a more tailored experience. According to (Carbonara, 2020), elevated employee engagement is linked with enhanced employee satisfaction, increased employee retention and a decline in employee turnover. Research indicates that employees are nearly 90% less willing to quit their jobs when they are highly engaged in their work. As per (Robert Earl Sibson, 2016), heightened satisfaction will boost word-of-mouth marketing and employees will share the advantages of joining the organisation within their network. This will improve the overall image and reputation of an organisation in the market. An excellent reputation in the market, a low turnover rate, and positive feedback from every employee will make the organisation highly sought after as an employer (Roper and Fill, 2012). Having a strong brand reputation enables Holiday Inn to select the employees who are best suited for the organisation, leading to a boost in overall employee productivity. HR departments have a distinct advantage in promoting </w:t>
      </w:r>
      <w:r>
        <w:lastRenderedPageBreak/>
        <w:t xml:space="preserve">strategic initiatives and enhancing employee engagement throughout the organisation. The human resource function of Holiday Inn has to recruit employees, onboarding, design development plans for employees, and devise retention strategies to ensure that employees feel valued at the workplace and engaged in their roles (Sheehan et al., 2014). As per (Parry, 2020), Recruiting entails several steps that fall under HR's purview, including identifying potential candidates, holding interviews, developing and implementing onboarding processes, training and orientation participants, and ultimately making a hiring decision. Human resources can increase employee buy-in by hiring people whose values are congruent with those of the business and by equipping them with the digital skills, knowledge, and resources they need from day one (Yousif </w:t>
      </w:r>
      <w:proofErr w:type="spellStart"/>
      <w:r>
        <w:t>Maalderink</w:t>
      </w:r>
      <w:proofErr w:type="spellEnd"/>
      <w:r>
        <w:t>, 2014). By communicating effectively, the HR department of Holiday Inn engages employees and informs them about company news, policies, and procedures. When it comes to encouraging employee engagement, nothing is more important than HR's ability to recognise and reward hard work. Bonuses, reward programs, or shout-outs in the team chat are a few examples that are used in Holiday Inn</w:t>
      </w:r>
      <w:r w:rsidRPr="00870DBD">
        <w:t xml:space="preserve"> </w:t>
      </w:r>
      <w:r>
        <w:t xml:space="preserve">(Armstrong, 2022). Recognising and rewarding employees helps Holiday Inn to boost employee morale and productivity. Building a positive relationship with employees requires constant two-way communication. The human resource function of Holiday Inn has regular conversations with workers via Secure Chats, email, newsletters, or in-person meetings to increase engagement and appreciation, which in turn boosts performance. Human resources at Holiday Inn gauges morale and identify causes of employee turnover through routine exit interviews and engagement surveys. Using this data helps Holiday Inn boost employee engagement by taking proper required initiatives and programs for employees. Inquiring about employees' level of engagement in their work allows the HR of Holiday Inn to evaluate the organisation's overall engagement. Using data to increase engagement and retention rates, Staff turnover and the associated costs are significantly mitigated at Holiday Inn. More positive mental health and a sense of security in the workplace are two goals of employee engagement programs. To achieve this goal, Holiday Inn foster an inclusive and supportive work environment for all employees, communicate openly about safety concerns, and make the company's policies and safety procedures easily accessible through a Hub (Zheng, 2023). To create a psychologically safe workplace in which workers feel comfortable bringing up safety issues, the HR of Holiday Inn plays a significant role. To help the HR department </w:t>
      </w:r>
      <w:r>
        <w:lastRenderedPageBreak/>
        <w:t>achieve its goals, Holiday Inn provide employees with the right tools and technologies, like employee engagement apps, so that they can develop their skills. This includes providing staff with resources such as offline and online courses, training materials, books etc. Individual Development Plans (IDPs) and other online tools are made available to employees by the human resources of Holiday Inn to facilitate personal growth and progress monitoring.</w:t>
      </w:r>
    </w:p>
    <w:p w14:paraId="4652E41A" w14:textId="77777777" w:rsidR="007609D6" w:rsidRDefault="007609D6" w:rsidP="007609D6">
      <w:r>
        <w:t xml:space="preserve">The main purpose of human resource management is to identify the future requirements of Holiday Inn. This understanding impacts recruitment, selection, execution, learning and development, and all other functions of human resource management (Harrison, 2019). The human resource management of Holiday Inn aligns the organisation's workforce with its goals and vision. Globalisation, technological progress, legal modifications, voluntary turnover, expansion of product/service range, work-life equilibrium, and mass recruitment are all strategically managed with a carefully devised plan of HRM at Holiday Inn. They also provide training to employees to synchronise their objectives with the company's to enhance their engagement and retention. HR of Holiday Inn is involved in multiple areas like engagement of employees, development of employees, compliance, managing data, and more. However, a key focus for HR at Holiday Inn is attracting, selecting, and onboarding appropriate candidates for the organisation. Recruitment enables the HR of Holiday Inn to attract suitable candidates for a job, while selection entails identifying and picking the most qualified candidate for that role. When organisations hire the wrong candidate, the impact on the business is often more significant than leaving the position vacant. Hiring new employees is not only an operational task but also a vital strategic move for the company. Realising this, Holiday Inn developed a strong recruitment and selection process. Performance management fosters an environment that motivates employees to strive for excellence and deliver top-notch work and creates a continuous communication channel between managers and employees essential for the company to achieve its strategic objectives that optimise employee performance and align their efforts with the established goals efficiently (Shields, 2016). It is an ongoing and methodical process designed to ensure the achievement of organisational business objectives. Employee morale-boosting activities are not limited to team lunches or after-work gatherings. It occurs as a result of the company's ethos, encompassing its mission, vision, and core values. When employees have numerous lucrative opportunities, the importance of employee recognition is </w:t>
      </w:r>
      <w:r>
        <w:lastRenderedPageBreak/>
        <w:t xml:space="preserve">significant. Employee rewards and recognition programmes of Holiday Inn not only appreciate individuals but also motivate the employees to produce better results (Boyle, 2012). Valuing employees and maintaining positive relationships with them is not only beneficial for current business operations but also serves as a strategic advantage for the future. Holiday Inn developed a skilled and dedicated workforce to assist the organisation in reaching its goals. Compensation and benefits are essential hygiene factors in HRM as they play a key role in maintaining workforce motivation which motivates employees to excel by offering benefits tied to their actions and performance. Benefits are essential for attracting skilled employees to a company, even if they do not provide direct monetary compensation to the employee (Laufer and Moore, 2013). Employees appreciate benefits offered by Holiday Inn such as flexible work schedules, telecommuting options, gym memberships, catered meals, and a casual dress code. Success in garnering and upholding support for organisational change relies on the dissemination of accurate, precise, and optimal information. Holiday Inn has updated and responsive policies as well as established and reliable policies to disseminate precise, optimal, and accurate information. An effective and well-defined policy framework encompasses all aspects of a business and its operations comprehensively (Gan, 2021). HR of Holiday Inn comprehends the crucial policy documents and created pre-made HR templates to streamline the process. Human resource specialists of Holiday Inn handle organisations' health, safety, and security duties which involve recognising hazardous situations and behaviours, creating plans to control and reduce exposure, complying with legal regulations, fostering a culture of safety, and evaluating the effectiveness of health, safety, and security initiatives. The primary focus of the multidisciplinary field of occupational health and safety is safeguarding the welfare, health, and safety of employees. The goal of all occupational health and safety programmes is to promote a secure work environment that entails collaborations across different fields (E Kevin Kelloway, Francis and Gatien, 2021). Employee well-being is the state of physical and mental health influenced by factors both within and sometimes outside the workplace. These factors encompass their interactions with colleagues, utilisation of tools and resources, impact of major business decisions on them personally and professionally, and various other aspects. Ensuring compliance with regulations and safety standards, maintaining the accuracy of employee information, and overseeing employee benefits are additional responsibilities within the realm of human resource management of </w:t>
      </w:r>
      <w:r>
        <w:lastRenderedPageBreak/>
        <w:t xml:space="preserve">Holiday Inn. The main goal is to help staff members maximise their performance to support the company in reaching its objectives (Theobald and Cooper, 2012). HR Compliance refers to the company's commitment to following the operational standards set by employment law. All institutions, regardless of their location, must comply with the laws, rules, and regulations related to employment. HR at Holiday Inn ensures that the system meets all legal requirements which involves being accountable for meeting all health and safety requirements daily. It ensures that employees receive their legal and contractual workplace entitlements (Torrington </w:t>
      </w:r>
      <w:r w:rsidRPr="00BC2421">
        <w:rPr>
          <w:i/>
          <w:iCs/>
        </w:rPr>
        <w:t>et al.,</w:t>
      </w:r>
      <w:r>
        <w:t xml:space="preserve"> 2020). Employees and external partners initially reach out to HR administrators for any inquiries related to HR. HR administrators at Holiday Inn prioritise handling most employee paperwork, such as contracts, recruitment paperwork, and starter packs. The HR department of Holiday Inn complies with employment laws, necessitating a thorough understanding of them. Human resource management involves responsibilities such as transfers, training, promotions, illness, and leaves.</w:t>
      </w:r>
    </w:p>
    <w:p w14:paraId="75058CEA" w14:textId="77777777" w:rsidR="007609D6" w:rsidRDefault="007609D6" w:rsidP="007609D6">
      <w:r>
        <w:t>Elevated employee engagement is associated with increased employee satisfaction, resulting in enhanced employee retention and reduced turnover. Research indicates that employees are nearly 90% less willing to quit their jobs when they are highly engaged at work. The roles of human resource management at Holiday Inn in engaging employees have been discussed in this essay</w:t>
      </w:r>
      <w:r w:rsidRPr="00D66D64">
        <w:t xml:space="preserve"> </w:t>
      </w:r>
      <w:r>
        <w:t>(Armstrong</w:t>
      </w:r>
      <w:r>
        <w:rPr>
          <w:spacing w:val="1"/>
        </w:rPr>
        <w:t xml:space="preserve"> </w:t>
      </w:r>
      <w:r>
        <w:t>and</w:t>
      </w:r>
      <w:r>
        <w:rPr>
          <w:spacing w:val="-1"/>
        </w:rPr>
        <w:t xml:space="preserve"> </w:t>
      </w:r>
      <w:r>
        <w:t>Taylor, 2020). The functions of human resource management are not limited to recruitment and compensation only rather there are other functions which require close focus of human resource management to achieve the objectives of the organisations and these functions have also been discussed in this essay. This essay will enable the reader to understand the role of human resource management in a hotel in engaging its employees.</w:t>
      </w:r>
    </w:p>
    <w:p w14:paraId="70FBD42E" w14:textId="77777777" w:rsidR="007609D6" w:rsidRDefault="007609D6" w:rsidP="007609D6">
      <w:pPr>
        <w:spacing w:line="240" w:lineRule="auto"/>
        <w:jc w:val="left"/>
        <w:rPr>
          <w:sz w:val="28"/>
        </w:rPr>
      </w:pPr>
      <w:r>
        <w:rPr>
          <w:sz w:val="28"/>
        </w:rPr>
        <w:br w:type="page"/>
      </w:r>
    </w:p>
    <w:p w14:paraId="0807ED90" w14:textId="77777777" w:rsidR="007609D6" w:rsidRDefault="007609D6" w:rsidP="007609D6">
      <w:pPr>
        <w:rPr>
          <w:sz w:val="28"/>
        </w:rPr>
      </w:pPr>
      <w:r w:rsidRPr="00D66D64">
        <w:rPr>
          <w:sz w:val="28"/>
        </w:rPr>
        <w:lastRenderedPageBreak/>
        <w:t>References</w:t>
      </w:r>
    </w:p>
    <w:p w14:paraId="333162BD"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 xml:space="preserve">Anon, (2022). </w:t>
      </w:r>
      <w:r w:rsidRPr="00BC2421">
        <w:rPr>
          <w:rFonts w:ascii="Arial" w:hAnsi="Arial" w:cs="Arial"/>
          <w:iCs/>
          <w:sz w:val="24"/>
          <w:szCs w:val="24"/>
        </w:rPr>
        <w:t>14 most important functions of Human resource management</w:t>
      </w:r>
      <w:r w:rsidRPr="00BC2421">
        <w:rPr>
          <w:rFonts w:ascii="Arial" w:hAnsi="Arial" w:cs="Arial"/>
          <w:sz w:val="24"/>
          <w:szCs w:val="24"/>
        </w:rPr>
        <w:t>. [online] Available at: https://www.chrmp.com/functions-of-human-resource-management/.</w:t>
      </w:r>
    </w:p>
    <w:p w14:paraId="08A5B3B2"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 xml:space="preserve">Armstrong, M. (2022). </w:t>
      </w:r>
      <w:r w:rsidRPr="00BC2421">
        <w:rPr>
          <w:rFonts w:ascii="Arial" w:hAnsi="Arial" w:cs="Arial"/>
          <w:iCs/>
          <w:sz w:val="24"/>
          <w:szCs w:val="24"/>
        </w:rPr>
        <w:t>Employee reward.</w:t>
      </w:r>
      <w:r w:rsidRPr="00BC2421">
        <w:rPr>
          <w:rFonts w:ascii="Arial" w:hAnsi="Arial" w:cs="Arial"/>
          <w:sz w:val="24"/>
          <w:szCs w:val="24"/>
        </w:rPr>
        <w:t xml:space="preserve"> Wimbledon: Chartered Institute Of Personnel And Development.</w:t>
      </w:r>
    </w:p>
    <w:p w14:paraId="57EB6EA2"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Armstrong,</w:t>
      </w:r>
      <w:r w:rsidRPr="00BC2421">
        <w:rPr>
          <w:rFonts w:ascii="Arial" w:hAnsi="Arial" w:cs="Arial"/>
          <w:spacing w:val="1"/>
          <w:sz w:val="24"/>
          <w:szCs w:val="24"/>
        </w:rPr>
        <w:t xml:space="preserve"> </w:t>
      </w:r>
      <w:r w:rsidRPr="00BC2421">
        <w:rPr>
          <w:rFonts w:ascii="Arial" w:hAnsi="Arial" w:cs="Arial"/>
          <w:sz w:val="24"/>
          <w:szCs w:val="24"/>
        </w:rPr>
        <w:t>M.</w:t>
      </w:r>
      <w:r w:rsidRPr="00BC2421">
        <w:rPr>
          <w:rFonts w:ascii="Arial" w:hAnsi="Arial" w:cs="Arial"/>
          <w:spacing w:val="1"/>
          <w:sz w:val="24"/>
          <w:szCs w:val="24"/>
        </w:rPr>
        <w:t xml:space="preserve"> </w:t>
      </w:r>
      <w:r w:rsidRPr="00BC2421">
        <w:rPr>
          <w:rFonts w:ascii="Arial" w:hAnsi="Arial" w:cs="Arial"/>
          <w:sz w:val="24"/>
          <w:szCs w:val="24"/>
        </w:rPr>
        <w:t>and</w:t>
      </w:r>
      <w:r w:rsidRPr="00BC2421">
        <w:rPr>
          <w:rFonts w:ascii="Arial" w:hAnsi="Arial" w:cs="Arial"/>
          <w:spacing w:val="-1"/>
          <w:sz w:val="24"/>
          <w:szCs w:val="24"/>
        </w:rPr>
        <w:t xml:space="preserve"> </w:t>
      </w:r>
      <w:r w:rsidRPr="00BC2421">
        <w:rPr>
          <w:rFonts w:ascii="Arial" w:hAnsi="Arial" w:cs="Arial"/>
          <w:sz w:val="24"/>
          <w:szCs w:val="24"/>
        </w:rPr>
        <w:t>Taylor,</w:t>
      </w:r>
      <w:r w:rsidRPr="00BC2421">
        <w:rPr>
          <w:rFonts w:ascii="Arial" w:hAnsi="Arial" w:cs="Arial"/>
          <w:spacing w:val="1"/>
          <w:sz w:val="24"/>
          <w:szCs w:val="24"/>
        </w:rPr>
        <w:t xml:space="preserve"> </w:t>
      </w:r>
      <w:r w:rsidRPr="00BC2421">
        <w:rPr>
          <w:rFonts w:ascii="Arial" w:hAnsi="Arial" w:cs="Arial"/>
          <w:sz w:val="24"/>
          <w:szCs w:val="24"/>
        </w:rPr>
        <w:t>S.</w:t>
      </w:r>
      <w:r w:rsidRPr="00BC2421">
        <w:rPr>
          <w:rFonts w:ascii="Arial" w:hAnsi="Arial" w:cs="Arial"/>
          <w:spacing w:val="1"/>
          <w:sz w:val="24"/>
          <w:szCs w:val="24"/>
        </w:rPr>
        <w:t xml:space="preserve"> </w:t>
      </w:r>
      <w:r w:rsidRPr="00BC2421">
        <w:rPr>
          <w:rFonts w:ascii="Arial" w:hAnsi="Arial" w:cs="Arial"/>
          <w:sz w:val="24"/>
          <w:szCs w:val="24"/>
        </w:rPr>
        <w:t>2020, Armstrong’s handbook</w:t>
      </w:r>
      <w:r w:rsidRPr="00BC2421">
        <w:rPr>
          <w:rFonts w:ascii="Arial" w:hAnsi="Arial" w:cs="Arial"/>
          <w:spacing w:val="1"/>
          <w:sz w:val="24"/>
          <w:szCs w:val="24"/>
        </w:rPr>
        <w:t xml:space="preserve"> </w:t>
      </w:r>
      <w:r w:rsidRPr="00BC2421">
        <w:rPr>
          <w:rFonts w:ascii="Arial" w:hAnsi="Arial" w:cs="Arial"/>
          <w:sz w:val="24"/>
          <w:szCs w:val="24"/>
        </w:rPr>
        <w:t>of human</w:t>
      </w:r>
      <w:r w:rsidRPr="00BC2421">
        <w:rPr>
          <w:rFonts w:ascii="Arial" w:hAnsi="Arial" w:cs="Arial"/>
          <w:spacing w:val="-2"/>
          <w:sz w:val="24"/>
          <w:szCs w:val="24"/>
        </w:rPr>
        <w:t xml:space="preserve"> </w:t>
      </w:r>
      <w:r w:rsidRPr="00BC2421">
        <w:rPr>
          <w:rFonts w:ascii="Arial" w:hAnsi="Arial" w:cs="Arial"/>
          <w:sz w:val="24"/>
          <w:szCs w:val="24"/>
        </w:rPr>
        <w:t>resource</w:t>
      </w:r>
      <w:r w:rsidRPr="00BC2421">
        <w:rPr>
          <w:rFonts w:ascii="Arial" w:hAnsi="Arial" w:cs="Arial"/>
          <w:spacing w:val="-1"/>
          <w:sz w:val="24"/>
          <w:szCs w:val="24"/>
        </w:rPr>
        <w:t xml:space="preserve"> </w:t>
      </w:r>
      <w:r w:rsidRPr="00BC2421">
        <w:rPr>
          <w:rFonts w:ascii="Arial" w:hAnsi="Arial" w:cs="Arial"/>
          <w:sz w:val="24"/>
          <w:szCs w:val="24"/>
        </w:rPr>
        <w:t>management practice. 15th</w:t>
      </w:r>
      <w:r w:rsidRPr="00BC2421">
        <w:rPr>
          <w:rFonts w:ascii="Arial" w:hAnsi="Arial" w:cs="Arial"/>
          <w:spacing w:val="-2"/>
          <w:sz w:val="24"/>
          <w:szCs w:val="24"/>
        </w:rPr>
        <w:t xml:space="preserve"> </w:t>
      </w:r>
      <w:r w:rsidRPr="00BC2421">
        <w:rPr>
          <w:rFonts w:ascii="Arial" w:hAnsi="Arial" w:cs="Arial"/>
          <w:sz w:val="24"/>
          <w:szCs w:val="24"/>
        </w:rPr>
        <w:t>edition.</w:t>
      </w:r>
      <w:r w:rsidRPr="00BC2421">
        <w:rPr>
          <w:rFonts w:ascii="Arial" w:hAnsi="Arial" w:cs="Arial"/>
          <w:spacing w:val="3"/>
          <w:sz w:val="24"/>
          <w:szCs w:val="24"/>
        </w:rPr>
        <w:t xml:space="preserve"> </w:t>
      </w:r>
      <w:r w:rsidRPr="00BC2421">
        <w:rPr>
          <w:rFonts w:ascii="Arial" w:hAnsi="Arial" w:cs="Arial"/>
          <w:sz w:val="24"/>
          <w:szCs w:val="24"/>
        </w:rPr>
        <w:t>London, United Kingdom: Kogan Page.</w:t>
      </w:r>
    </w:p>
    <w:p w14:paraId="7E0014D0"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 xml:space="preserve">Boyle, D.C. (2012). </w:t>
      </w:r>
      <w:r w:rsidRPr="00BC2421">
        <w:rPr>
          <w:rFonts w:ascii="Arial" w:hAnsi="Arial" w:cs="Arial"/>
          <w:iCs/>
          <w:sz w:val="24"/>
          <w:szCs w:val="24"/>
        </w:rPr>
        <w:t>Secrets of a successful employee recognition system</w:t>
      </w:r>
      <w:r w:rsidRPr="00BC2421">
        <w:rPr>
          <w:rFonts w:ascii="Arial" w:hAnsi="Arial" w:cs="Arial"/>
          <w:sz w:val="24"/>
          <w:szCs w:val="24"/>
        </w:rPr>
        <w:t>. Portland, Or.: Productivity Press.</w:t>
      </w:r>
    </w:p>
    <w:p w14:paraId="642B7934"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 xml:space="preserve">Carbonara, S. (2020). </w:t>
      </w:r>
      <w:r w:rsidRPr="00BC2421">
        <w:rPr>
          <w:rFonts w:ascii="Arial" w:hAnsi="Arial" w:cs="Arial"/>
          <w:iCs/>
          <w:sz w:val="24"/>
          <w:szCs w:val="24"/>
        </w:rPr>
        <w:t>Manager’s Guide to Employee Engagement</w:t>
      </w:r>
      <w:r w:rsidRPr="00BC2421">
        <w:rPr>
          <w:rFonts w:ascii="Arial" w:hAnsi="Arial" w:cs="Arial"/>
          <w:sz w:val="24"/>
          <w:szCs w:val="24"/>
        </w:rPr>
        <w:t xml:space="preserve">. New York: </w:t>
      </w:r>
      <w:proofErr w:type="spellStart"/>
      <w:r w:rsidRPr="00BC2421">
        <w:rPr>
          <w:rFonts w:ascii="Arial" w:hAnsi="Arial" w:cs="Arial"/>
          <w:sz w:val="24"/>
          <w:szCs w:val="24"/>
        </w:rPr>
        <w:t>Mcgraw-Hill</w:t>
      </w:r>
      <w:proofErr w:type="spellEnd"/>
      <w:r w:rsidRPr="00BC2421">
        <w:rPr>
          <w:rFonts w:ascii="Arial" w:hAnsi="Arial" w:cs="Arial"/>
          <w:sz w:val="24"/>
          <w:szCs w:val="24"/>
        </w:rPr>
        <w:t>.</w:t>
      </w:r>
    </w:p>
    <w:p w14:paraId="72D5B3A7"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 xml:space="preserve">Demirovic, D., </w:t>
      </w:r>
      <w:proofErr w:type="spellStart"/>
      <w:r w:rsidRPr="00BC2421">
        <w:rPr>
          <w:rFonts w:ascii="Arial" w:hAnsi="Arial" w:cs="Arial"/>
          <w:sz w:val="24"/>
          <w:szCs w:val="24"/>
        </w:rPr>
        <w:t>Desivojevic</w:t>
      </w:r>
      <w:proofErr w:type="spellEnd"/>
      <w:r w:rsidRPr="00BC2421">
        <w:rPr>
          <w:rFonts w:ascii="Arial" w:hAnsi="Arial" w:cs="Arial"/>
          <w:sz w:val="24"/>
          <w:szCs w:val="24"/>
        </w:rPr>
        <w:t xml:space="preserve">, M. and Radovan, P. (2014). </w:t>
      </w:r>
      <w:r w:rsidRPr="00BC2421">
        <w:rPr>
          <w:rFonts w:ascii="Arial" w:hAnsi="Arial" w:cs="Arial"/>
          <w:iCs/>
          <w:sz w:val="24"/>
          <w:szCs w:val="24"/>
        </w:rPr>
        <w:t>Functioning Model of Human Resource Management on the Example of Hotel ‘Holiday Inn’ in Belgrade (Holiday Inn )</w:t>
      </w:r>
      <w:r w:rsidRPr="00BC2421">
        <w:rPr>
          <w:rFonts w:ascii="Arial" w:hAnsi="Arial" w:cs="Arial"/>
          <w:sz w:val="24"/>
          <w:szCs w:val="24"/>
        </w:rPr>
        <w:t xml:space="preserve">. SSRN Electronic Journal. </w:t>
      </w:r>
      <w:proofErr w:type="spellStart"/>
      <w:r w:rsidRPr="00BC2421">
        <w:rPr>
          <w:rFonts w:ascii="Arial" w:hAnsi="Arial" w:cs="Arial"/>
          <w:sz w:val="24"/>
          <w:szCs w:val="24"/>
        </w:rPr>
        <w:t>doi:https</w:t>
      </w:r>
      <w:proofErr w:type="spellEnd"/>
      <w:r w:rsidRPr="00BC2421">
        <w:rPr>
          <w:rFonts w:ascii="Arial" w:hAnsi="Arial" w:cs="Arial"/>
          <w:sz w:val="24"/>
          <w:szCs w:val="24"/>
        </w:rPr>
        <w:t>://doi.org/10.2139/ssrn.2561557.</w:t>
      </w:r>
    </w:p>
    <w:p w14:paraId="0B59FFDD"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 xml:space="preserve">E Kevin Kelloway, Francis, L.D. and Gatien, B. (2021). </w:t>
      </w:r>
      <w:r w:rsidRPr="00BC2421">
        <w:rPr>
          <w:rFonts w:ascii="Arial" w:hAnsi="Arial" w:cs="Arial"/>
          <w:iCs/>
          <w:sz w:val="24"/>
          <w:szCs w:val="24"/>
        </w:rPr>
        <w:t>Management of Occupational Health and Safety</w:t>
      </w:r>
      <w:r w:rsidRPr="00BC2421">
        <w:rPr>
          <w:rFonts w:ascii="Arial" w:hAnsi="Arial" w:cs="Arial"/>
          <w:sz w:val="24"/>
          <w:szCs w:val="24"/>
        </w:rPr>
        <w:t>. Toronto, Ontario: Nelson.</w:t>
      </w:r>
    </w:p>
    <w:p w14:paraId="16B96DDF"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 xml:space="preserve">Gan, G. (2021). </w:t>
      </w:r>
      <w:r w:rsidRPr="00BC2421">
        <w:rPr>
          <w:rFonts w:ascii="Arial" w:hAnsi="Arial" w:cs="Arial"/>
          <w:iCs/>
          <w:sz w:val="24"/>
          <w:szCs w:val="24"/>
        </w:rPr>
        <w:t>Communication</w:t>
      </w:r>
      <w:r w:rsidRPr="00BC2421">
        <w:rPr>
          <w:rFonts w:ascii="Arial" w:hAnsi="Arial" w:cs="Arial"/>
          <w:sz w:val="24"/>
          <w:szCs w:val="24"/>
        </w:rPr>
        <w:t>. Philadelphia: Chelsea House Publishers.</w:t>
      </w:r>
    </w:p>
    <w:p w14:paraId="62B8BA68"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 xml:space="preserve">Harrison, R. (2019). </w:t>
      </w:r>
      <w:r w:rsidRPr="00BC2421">
        <w:rPr>
          <w:rFonts w:ascii="Arial" w:hAnsi="Arial" w:cs="Arial"/>
          <w:iCs/>
          <w:sz w:val="24"/>
          <w:szCs w:val="24"/>
        </w:rPr>
        <w:t>Learning and development</w:t>
      </w:r>
      <w:r w:rsidRPr="00BC2421">
        <w:rPr>
          <w:rFonts w:ascii="Arial" w:hAnsi="Arial" w:cs="Arial"/>
          <w:sz w:val="24"/>
          <w:szCs w:val="24"/>
        </w:rPr>
        <w:t>. London: Chartered Institute Of Personnel And Development.</w:t>
      </w:r>
    </w:p>
    <w:p w14:paraId="63D42309"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 xml:space="preserve">Laufer, A. and Moore, B.E. (2013). Attitudes toward Productivity Pay Programs. </w:t>
      </w:r>
      <w:r w:rsidRPr="00BC2421">
        <w:rPr>
          <w:rFonts w:ascii="Arial" w:hAnsi="Arial" w:cs="Arial"/>
          <w:iCs/>
          <w:sz w:val="24"/>
          <w:szCs w:val="24"/>
        </w:rPr>
        <w:t>Journal of Construction Engineering and Management</w:t>
      </w:r>
      <w:r w:rsidRPr="00BC2421">
        <w:rPr>
          <w:rFonts w:ascii="Arial" w:hAnsi="Arial" w:cs="Arial"/>
          <w:sz w:val="24"/>
          <w:szCs w:val="24"/>
        </w:rPr>
        <w:t xml:space="preserve">, 109(1), pp.89–101. </w:t>
      </w:r>
      <w:proofErr w:type="spellStart"/>
      <w:r w:rsidRPr="00BC2421">
        <w:rPr>
          <w:rFonts w:ascii="Arial" w:hAnsi="Arial" w:cs="Arial"/>
          <w:sz w:val="24"/>
          <w:szCs w:val="24"/>
        </w:rPr>
        <w:t>doi:https</w:t>
      </w:r>
      <w:proofErr w:type="spellEnd"/>
      <w:r w:rsidRPr="00BC2421">
        <w:rPr>
          <w:rFonts w:ascii="Arial" w:hAnsi="Arial" w:cs="Arial"/>
          <w:sz w:val="24"/>
          <w:szCs w:val="24"/>
        </w:rPr>
        <w:t>://doi.org/10.1061/(</w:t>
      </w:r>
      <w:proofErr w:type="spellStart"/>
      <w:r w:rsidRPr="00BC2421">
        <w:rPr>
          <w:rFonts w:ascii="Arial" w:hAnsi="Arial" w:cs="Arial"/>
          <w:sz w:val="24"/>
          <w:szCs w:val="24"/>
        </w:rPr>
        <w:t>asce</w:t>
      </w:r>
      <w:proofErr w:type="spellEnd"/>
      <w:r w:rsidRPr="00BC2421">
        <w:rPr>
          <w:rFonts w:ascii="Arial" w:hAnsi="Arial" w:cs="Arial"/>
          <w:sz w:val="24"/>
          <w:szCs w:val="24"/>
        </w:rPr>
        <w:t>)0733-9364(1983)109:1(89).</w:t>
      </w:r>
    </w:p>
    <w:p w14:paraId="5C5108C1"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 xml:space="preserve">Parry, J. (2020). </w:t>
      </w:r>
      <w:r w:rsidRPr="00BC2421">
        <w:rPr>
          <w:rFonts w:ascii="Arial" w:hAnsi="Arial" w:cs="Arial"/>
          <w:iCs/>
          <w:sz w:val="24"/>
          <w:szCs w:val="24"/>
        </w:rPr>
        <w:t>Recruitment</w:t>
      </w:r>
      <w:r w:rsidRPr="00BC2421">
        <w:rPr>
          <w:rFonts w:ascii="Arial" w:hAnsi="Arial" w:cs="Arial"/>
          <w:sz w:val="24"/>
          <w:szCs w:val="24"/>
        </w:rPr>
        <w:t>. London: Library Association Publishing.</w:t>
      </w:r>
    </w:p>
    <w:p w14:paraId="2BC9B0F3"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 xml:space="preserve">Robert Earl Sibson (2016). </w:t>
      </w:r>
      <w:r w:rsidRPr="00BC2421">
        <w:rPr>
          <w:rFonts w:ascii="Arial" w:hAnsi="Arial" w:cs="Arial"/>
          <w:iCs/>
          <w:sz w:val="24"/>
          <w:szCs w:val="24"/>
        </w:rPr>
        <w:t>Increasing employee productivity</w:t>
      </w:r>
      <w:r w:rsidRPr="00BC2421">
        <w:rPr>
          <w:rFonts w:ascii="Arial" w:hAnsi="Arial" w:cs="Arial"/>
          <w:sz w:val="24"/>
          <w:szCs w:val="24"/>
        </w:rPr>
        <w:t xml:space="preserve">. New York: </w:t>
      </w:r>
      <w:proofErr w:type="spellStart"/>
      <w:r w:rsidRPr="00BC2421">
        <w:rPr>
          <w:rFonts w:ascii="Arial" w:hAnsi="Arial" w:cs="Arial"/>
          <w:sz w:val="24"/>
          <w:szCs w:val="24"/>
        </w:rPr>
        <w:t>Amacom</w:t>
      </w:r>
      <w:proofErr w:type="spellEnd"/>
      <w:r w:rsidRPr="00BC2421">
        <w:rPr>
          <w:rFonts w:ascii="Arial" w:hAnsi="Arial" w:cs="Arial"/>
          <w:sz w:val="24"/>
          <w:szCs w:val="24"/>
        </w:rPr>
        <w:t>.</w:t>
      </w:r>
    </w:p>
    <w:p w14:paraId="73963623"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 xml:space="preserve">Roper, S. and Fill, C. (2012). </w:t>
      </w:r>
      <w:r w:rsidRPr="00BC2421">
        <w:rPr>
          <w:rFonts w:ascii="Arial" w:hAnsi="Arial" w:cs="Arial"/>
          <w:iCs/>
          <w:sz w:val="24"/>
          <w:szCs w:val="24"/>
        </w:rPr>
        <w:t>Corporate Reputation : Brand and Communication</w:t>
      </w:r>
      <w:r w:rsidRPr="00BC2421">
        <w:rPr>
          <w:rFonts w:ascii="Arial" w:hAnsi="Arial" w:cs="Arial"/>
          <w:sz w:val="24"/>
          <w:szCs w:val="24"/>
        </w:rPr>
        <w:t>. Harlow, England: Pearson.</w:t>
      </w:r>
    </w:p>
    <w:p w14:paraId="64A7D114"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 xml:space="preserve">Sheehan, C., De Cieri, H., Cooper, B. and Brooks, R. (2014). Exploring the power dimensions of the human resource function. </w:t>
      </w:r>
      <w:r w:rsidRPr="00BC2421">
        <w:rPr>
          <w:rFonts w:ascii="Arial" w:hAnsi="Arial" w:cs="Arial"/>
          <w:iCs/>
          <w:sz w:val="24"/>
          <w:szCs w:val="24"/>
        </w:rPr>
        <w:t>Human Resource Management Journal</w:t>
      </w:r>
      <w:r w:rsidRPr="00BC2421">
        <w:rPr>
          <w:rFonts w:ascii="Arial" w:hAnsi="Arial" w:cs="Arial"/>
          <w:sz w:val="24"/>
          <w:szCs w:val="24"/>
        </w:rPr>
        <w:t xml:space="preserve">, 24(2), pp.193–210. </w:t>
      </w:r>
      <w:proofErr w:type="spellStart"/>
      <w:r w:rsidRPr="00BC2421">
        <w:rPr>
          <w:rFonts w:ascii="Arial" w:hAnsi="Arial" w:cs="Arial"/>
          <w:sz w:val="24"/>
          <w:szCs w:val="24"/>
        </w:rPr>
        <w:t>doi:https</w:t>
      </w:r>
      <w:proofErr w:type="spellEnd"/>
      <w:r w:rsidRPr="00BC2421">
        <w:rPr>
          <w:rFonts w:ascii="Arial" w:hAnsi="Arial" w:cs="Arial"/>
          <w:sz w:val="24"/>
          <w:szCs w:val="24"/>
        </w:rPr>
        <w:t>://doi.org/10.1111/1748-8583.12027.</w:t>
      </w:r>
    </w:p>
    <w:p w14:paraId="150CC98E"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lastRenderedPageBreak/>
        <w:t xml:space="preserve">Shields, J. (2016). </w:t>
      </w:r>
      <w:r w:rsidRPr="00BC2421">
        <w:rPr>
          <w:rFonts w:ascii="Arial" w:hAnsi="Arial" w:cs="Arial"/>
          <w:iCs/>
          <w:sz w:val="24"/>
          <w:szCs w:val="24"/>
        </w:rPr>
        <w:t>Managing Employee Performance and Reward : concepts, practices, strategies.</w:t>
      </w:r>
      <w:r w:rsidRPr="00BC2421">
        <w:rPr>
          <w:rFonts w:ascii="Arial" w:hAnsi="Arial" w:cs="Arial"/>
          <w:sz w:val="24"/>
          <w:szCs w:val="24"/>
        </w:rPr>
        <w:t xml:space="preserve"> Cambridge: Cambridge University Press.</w:t>
      </w:r>
    </w:p>
    <w:p w14:paraId="269D0589"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 xml:space="preserve">Theobald, T. and Cooper, C.L. (2012). </w:t>
      </w:r>
      <w:r w:rsidRPr="00BC2421">
        <w:rPr>
          <w:rFonts w:ascii="Arial" w:hAnsi="Arial" w:cs="Arial"/>
          <w:iCs/>
          <w:sz w:val="24"/>
          <w:szCs w:val="24"/>
        </w:rPr>
        <w:t>Doing the right thing : the importance of wellbeing in the workplace</w:t>
      </w:r>
      <w:r w:rsidRPr="00BC2421">
        <w:rPr>
          <w:rFonts w:ascii="Arial" w:hAnsi="Arial" w:cs="Arial"/>
          <w:sz w:val="24"/>
          <w:szCs w:val="24"/>
        </w:rPr>
        <w:t>. Basingstoke: Palgrave Macmillan.</w:t>
      </w:r>
    </w:p>
    <w:p w14:paraId="70EA0E0A"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Torrington,</w:t>
      </w:r>
      <w:r w:rsidRPr="00BC2421">
        <w:rPr>
          <w:rFonts w:ascii="Arial" w:hAnsi="Arial" w:cs="Arial"/>
          <w:spacing w:val="1"/>
          <w:sz w:val="24"/>
          <w:szCs w:val="24"/>
        </w:rPr>
        <w:t xml:space="preserve"> </w:t>
      </w:r>
      <w:r w:rsidRPr="00BC2421">
        <w:rPr>
          <w:rFonts w:ascii="Arial" w:hAnsi="Arial" w:cs="Arial"/>
          <w:sz w:val="24"/>
          <w:szCs w:val="24"/>
        </w:rPr>
        <w:t>D,</w:t>
      </w:r>
      <w:r w:rsidRPr="00BC2421">
        <w:rPr>
          <w:rFonts w:ascii="Arial" w:hAnsi="Arial" w:cs="Arial"/>
          <w:spacing w:val="1"/>
          <w:sz w:val="24"/>
          <w:szCs w:val="24"/>
        </w:rPr>
        <w:t xml:space="preserve"> </w:t>
      </w:r>
      <w:r w:rsidRPr="00BC2421">
        <w:rPr>
          <w:rFonts w:ascii="Arial" w:hAnsi="Arial" w:cs="Arial"/>
          <w:sz w:val="24"/>
          <w:szCs w:val="24"/>
        </w:rPr>
        <w:t>Hall,</w:t>
      </w:r>
      <w:r w:rsidRPr="00BC2421">
        <w:rPr>
          <w:rFonts w:ascii="Arial" w:hAnsi="Arial" w:cs="Arial"/>
          <w:spacing w:val="1"/>
          <w:sz w:val="24"/>
          <w:szCs w:val="24"/>
        </w:rPr>
        <w:t xml:space="preserve"> </w:t>
      </w:r>
      <w:r w:rsidRPr="00BC2421">
        <w:rPr>
          <w:rFonts w:ascii="Arial" w:hAnsi="Arial" w:cs="Arial"/>
          <w:sz w:val="24"/>
          <w:szCs w:val="24"/>
        </w:rPr>
        <w:t>L,</w:t>
      </w:r>
      <w:r w:rsidRPr="00BC2421">
        <w:rPr>
          <w:rFonts w:ascii="Arial" w:hAnsi="Arial" w:cs="Arial"/>
          <w:spacing w:val="2"/>
          <w:sz w:val="24"/>
          <w:szCs w:val="24"/>
        </w:rPr>
        <w:t xml:space="preserve"> </w:t>
      </w:r>
      <w:r w:rsidRPr="00BC2421">
        <w:rPr>
          <w:rFonts w:ascii="Arial" w:hAnsi="Arial" w:cs="Arial"/>
          <w:sz w:val="24"/>
          <w:szCs w:val="24"/>
        </w:rPr>
        <w:t>Atkinson, C, and</w:t>
      </w:r>
      <w:r w:rsidRPr="00BC2421">
        <w:rPr>
          <w:rFonts w:ascii="Arial" w:hAnsi="Arial" w:cs="Arial"/>
          <w:spacing w:val="-1"/>
          <w:sz w:val="24"/>
          <w:szCs w:val="24"/>
        </w:rPr>
        <w:t xml:space="preserve"> </w:t>
      </w:r>
      <w:r w:rsidRPr="00BC2421">
        <w:rPr>
          <w:rFonts w:ascii="Arial" w:hAnsi="Arial" w:cs="Arial"/>
          <w:sz w:val="24"/>
          <w:szCs w:val="24"/>
        </w:rPr>
        <w:t>Taylor,</w:t>
      </w:r>
      <w:r w:rsidRPr="00BC2421">
        <w:rPr>
          <w:rFonts w:ascii="Arial" w:hAnsi="Arial" w:cs="Arial"/>
          <w:spacing w:val="-1"/>
          <w:sz w:val="24"/>
          <w:szCs w:val="24"/>
        </w:rPr>
        <w:t xml:space="preserve"> </w:t>
      </w:r>
      <w:r w:rsidRPr="00BC2421">
        <w:rPr>
          <w:rFonts w:ascii="Arial" w:hAnsi="Arial" w:cs="Arial"/>
          <w:sz w:val="24"/>
          <w:szCs w:val="24"/>
        </w:rPr>
        <w:t>S., (2020),</w:t>
      </w:r>
      <w:r w:rsidRPr="00BC2421">
        <w:rPr>
          <w:rFonts w:ascii="Arial" w:hAnsi="Arial" w:cs="Arial"/>
          <w:spacing w:val="1"/>
          <w:sz w:val="24"/>
          <w:szCs w:val="24"/>
        </w:rPr>
        <w:t xml:space="preserve"> </w:t>
      </w:r>
      <w:r w:rsidRPr="00BC2421">
        <w:rPr>
          <w:rFonts w:ascii="Arial" w:hAnsi="Arial" w:cs="Arial"/>
          <w:sz w:val="24"/>
          <w:szCs w:val="24"/>
        </w:rPr>
        <w:t>Human</w:t>
      </w:r>
      <w:r w:rsidRPr="00BC2421">
        <w:rPr>
          <w:rFonts w:ascii="Arial" w:hAnsi="Arial" w:cs="Arial"/>
          <w:spacing w:val="-53"/>
          <w:sz w:val="24"/>
          <w:szCs w:val="24"/>
        </w:rPr>
        <w:t xml:space="preserve">  </w:t>
      </w:r>
      <w:r w:rsidRPr="00BC2421">
        <w:rPr>
          <w:rFonts w:ascii="Arial" w:hAnsi="Arial" w:cs="Arial"/>
          <w:sz w:val="24"/>
          <w:szCs w:val="24"/>
        </w:rPr>
        <w:t>Resource</w:t>
      </w:r>
      <w:r w:rsidRPr="00BC2421">
        <w:rPr>
          <w:rFonts w:ascii="Arial" w:hAnsi="Arial" w:cs="Arial"/>
          <w:spacing w:val="-1"/>
          <w:sz w:val="24"/>
          <w:szCs w:val="24"/>
        </w:rPr>
        <w:t xml:space="preserve"> </w:t>
      </w:r>
      <w:r w:rsidRPr="00BC2421">
        <w:rPr>
          <w:rFonts w:ascii="Arial" w:hAnsi="Arial" w:cs="Arial"/>
          <w:sz w:val="24"/>
          <w:szCs w:val="24"/>
        </w:rPr>
        <w:t>Management</w:t>
      </w:r>
      <w:r w:rsidRPr="00BC2421">
        <w:rPr>
          <w:rFonts w:ascii="Arial" w:hAnsi="Arial" w:cs="Arial"/>
          <w:spacing w:val="-1"/>
          <w:sz w:val="24"/>
          <w:szCs w:val="24"/>
        </w:rPr>
        <w:t xml:space="preserve"> </w:t>
      </w:r>
      <w:r w:rsidRPr="00BC2421">
        <w:rPr>
          <w:rFonts w:ascii="Arial" w:hAnsi="Arial" w:cs="Arial"/>
          <w:sz w:val="24"/>
          <w:szCs w:val="24"/>
        </w:rPr>
        <w:t xml:space="preserve">PDF </w:t>
      </w:r>
      <w:proofErr w:type="spellStart"/>
      <w:r w:rsidRPr="00BC2421">
        <w:rPr>
          <w:rFonts w:ascii="Arial" w:hAnsi="Arial" w:cs="Arial"/>
          <w:sz w:val="24"/>
          <w:szCs w:val="24"/>
        </w:rPr>
        <w:t>EBook</w:t>
      </w:r>
      <w:proofErr w:type="spellEnd"/>
      <w:r w:rsidRPr="00BC2421">
        <w:rPr>
          <w:rFonts w:ascii="Arial" w:hAnsi="Arial" w:cs="Arial"/>
          <w:sz w:val="24"/>
          <w:szCs w:val="24"/>
        </w:rPr>
        <w:t>,</w:t>
      </w:r>
      <w:r w:rsidRPr="00BC2421">
        <w:rPr>
          <w:rFonts w:ascii="Arial" w:hAnsi="Arial" w:cs="Arial"/>
          <w:spacing w:val="3"/>
          <w:sz w:val="24"/>
          <w:szCs w:val="24"/>
        </w:rPr>
        <w:t xml:space="preserve"> </w:t>
      </w:r>
      <w:r w:rsidRPr="00BC2421">
        <w:rPr>
          <w:rFonts w:ascii="Arial" w:hAnsi="Arial" w:cs="Arial"/>
          <w:sz w:val="24"/>
          <w:szCs w:val="24"/>
        </w:rPr>
        <w:t>Pearson</w:t>
      </w:r>
      <w:r w:rsidRPr="00BC2421">
        <w:rPr>
          <w:rFonts w:ascii="Arial" w:hAnsi="Arial" w:cs="Arial"/>
          <w:spacing w:val="1"/>
          <w:sz w:val="24"/>
          <w:szCs w:val="24"/>
        </w:rPr>
        <w:t xml:space="preserve"> </w:t>
      </w:r>
      <w:r w:rsidRPr="00BC2421">
        <w:rPr>
          <w:rFonts w:ascii="Arial" w:hAnsi="Arial" w:cs="Arial"/>
          <w:sz w:val="24"/>
          <w:szCs w:val="24"/>
        </w:rPr>
        <w:t>Education,</w:t>
      </w:r>
      <w:r w:rsidRPr="00BC2421">
        <w:rPr>
          <w:rFonts w:ascii="Arial" w:hAnsi="Arial" w:cs="Arial"/>
          <w:spacing w:val="1"/>
          <w:sz w:val="24"/>
          <w:szCs w:val="24"/>
        </w:rPr>
        <w:t xml:space="preserve"> </w:t>
      </w:r>
      <w:r w:rsidRPr="00BC2421">
        <w:rPr>
          <w:rFonts w:ascii="Arial" w:hAnsi="Arial" w:cs="Arial"/>
          <w:sz w:val="24"/>
          <w:szCs w:val="24"/>
        </w:rPr>
        <w:t>Limited,</w:t>
      </w:r>
      <w:r w:rsidRPr="00BC2421">
        <w:rPr>
          <w:rFonts w:ascii="Arial" w:hAnsi="Arial" w:cs="Arial"/>
          <w:spacing w:val="-1"/>
          <w:sz w:val="24"/>
          <w:szCs w:val="24"/>
        </w:rPr>
        <w:t xml:space="preserve"> </w:t>
      </w:r>
      <w:r w:rsidRPr="00BC2421">
        <w:rPr>
          <w:rFonts w:ascii="Arial" w:hAnsi="Arial" w:cs="Arial"/>
          <w:sz w:val="24"/>
          <w:szCs w:val="24"/>
        </w:rPr>
        <w:t>Harlow.</w:t>
      </w:r>
      <w:r w:rsidRPr="00BC2421">
        <w:rPr>
          <w:rFonts w:ascii="Arial" w:hAnsi="Arial" w:cs="Arial"/>
          <w:spacing w:val="2"/>
          <w:sz w:val="24"/>
          <w:szCs w:val="24"/>
        </w:rPr>
        <w:t xml:space="preserve"> </w:t>
      </w:r>
      <w:r w:rsidRPr="00BC2421">
        <w:rPr>
          <w:rFonts w:ascii="Arial" w:hAnsi="Arial" w:cs="Arial"/>
          <w:sz w:val="24"/>
          <w:szCs w:val="24"/>
        </w:rPr>
        <w:t>Available from:</w:t>
      </w:r>
      <w:r w:rsidRPr="00BC2421">
        <w:rPr>
          <w:rFonts w:ascii="Arial" w:hAnsi="Arial" w:cs="Arial"/>
          <w:spacing w:val="1"/>
          <w:sz w:val="24"/>
          <w:szCs w:val="24"/>
        </w:rPr>
        <w:t xml:space="preserve"> </w:t>
      </w:r>
      <w:r w:rsidRPr="00BC2421">
        <w:rPr>
          <w:rFonts w:ascii="Arial" w:hAnsi="Arial" w:cs="Arial"/>
          <w:sz w:val="24"/>
          <w:szCs w:val="24"/>
        </w:rPr>
        <w:t xml:space="preserve">ProQuest </w:t>
      </w:r>
      <w:proofErr w:type="spellStart"/>
      <w:r w:rsidRPr="00BC2421">
        <w:rPr>
          <w:rFonts w:ascii="Arial" w:hAnsi="Arial" w:cs="Arial"/>
          <w:sz w:val="24"/>
          <w:szCs w:val="24"/>
        </w:rPr>
        <w:t>Ebook</w:t>
      </w:r>
      <w:proofErr w:type="spellEnd"/>
      <w:r w:rsidRPr="00BC2421">
        <w:rPr>
          <w:rFonts w:ascii="Arial" w:hAnsi="Arial" w:cs="Arial"/>
          <w:spacing w:val="-2"/>
          <w:sz w:val="24"/>
          <w:szCs w:val="24"/>
        </w:rPr>
        <w:t xml:space="preserve"> </w:t>
      </w:r>
      <w:r w:rsidRPr="00BC2421">
        <w:rPr>
          <w:rFonts w:ascii="Arial" w:hAnsi="Arial" w:cs="Arial"/>
          <w:sz w:val="24"/>
          <w:szCs w:val="24"/>
        </w:rPr>
        <w:t>Central.</w:t>
      </w:r>
    </w:p>
    <w:p w14:paraId="5E299B74"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 xml:space="preserve">www.joinblink.com. (2020). </w:t>
      </w:r>
      <w:r w:rsidRPr="00BC2421">
        <w:rPr>
          <w:rFonts w:ascii="Arial" w:hAnsi="Arial" w:cs="Arial"/>
          <w:iCs/>
          <w:sz w:val="24"/>
          <w:szCs w:val="24"/>
        </w:rPr>
        <w:t>The Vital Role HR Plays In Employee Engagement | Blink</w:t>
      </w:r>
      <w:r w:rsidRPr="00BC2421">
        <w:rPr>
          <w:rFonts w:ascii="Arial" w:hAnsi="Arial" w:cs="Arial"/>
          <w:sz w:val="24"/>
          <w:szCs w:val="24"/>
        </w:rPr>
        <w:t>. [online] Available at: https://www.joinblink.com/intelligence/role-of-hr-employee-engagement#:~:text=One%20key%20role%20that%20HR.</w:t>
      </w:r>
    </w:p>
    <w:p w14:paraId="7D3D9ADC"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 xml:space="preserve">Yousif </w:t>
      </w:r>
      <w:proofErr w:type="spellStart"/>
      <w:r w:rsidRPr="00BC2421">
        <w:rPr>
          <w:rFonts w:ascii="Arial" w:hAnsi="Arial" w:cs="Arial"/>
          <w:sz w:val="24"/>
          <w:szCs w:val="24"/>
        </w:rPr>
        <w:t>Maalderink</w:t>
      </w:r>
      <w:proofErr w:type="spellEnd"/>
      <w:r w:rsidRPr="00BC2421">
        <w:rPr>
          <w:rFonts w:ascii="Arial" w:hAnsi="Arial" w:cs="Arial"/>
          <w:sz w:val="24"/>
          <w:szCs w:val="24"/>
        </w:rPr>
        <w:t xml:space="preserve"> (2014). </w:t>
      </w:r>
      <w:r w:rsidRPr="00BC2421">
        <w:rPr>
          <w:rFonts w:ascii="Arial" w:hAnsi="Arial" w:cs="Arial"/>
          <w:iCs/>
          <w:sz w:val="24"/>
          <w:szCs w:val="24"/>
        </w:rPr>
        <w:t>Human Resource Management</w:t>
      </w:r>
      <w:r w:rsidRPr="00BC2421">
        <w:rPr>
          <w:rFonts w:ascii="Arial" w:hAnsi="Arial" w:cs="Arial"/>
          <w:sz w:val="24"/>
          <w:szCs w:val="24"/>
        </w:rPr>
        <w:t>. CreateSpace.</w:t>
      </w:r>
    </w:p>
    <w:p w14:paraId="3F6AF570" w14:textId="77777777" w:rsidR="007609D6" w:rsidRPr="00BC2421" w:rsidRDefault="007609D6" w:rsidP="007609D6">
      <w:pPr>
        <w:pStyle w:val="ListParagraph"/>
        <w:numPr>
          <w:ilvl w:val="0"/>
          <w:numId w:val="1"/>
        </w:numPr>
        <w:spacing w:line="360" w:lineRule="auto"/>
        <w:jc w:val="both"/>
        <w:rPr>
          <w:rFonts w:ascii="Arial" w:hAnsi="Arial" w:cs="Arial"/>
          <w:sz w:val="24"/>
          <w:szCs w:val="24"/>
        </w:rPr>
      </w:pPr>
      <w:r w:rsidRPr="00BC2421">
        <w:rPr>
          <w:rFonts w:ascii="Arial" w:hAnsi="Arial" w:cs="Arial"/>
          <w:sz w:val="24"/>
          <w:szCs w:val="24"/>
        </w:rPr>
        <w:t xml:space="preserve">Zheng, M. (2023). </w:t>
      </w:r>
      <w:r w:rsidRPr="00BC2421">
        <w:rPr>
          <w:rFonts w:ascii="Arial" w:hAnsi="Arial" w:cs="Arial"/>
          <w:iCs/>
          <w:sz w:val="24"/>
          <w:szCs w:val="24"/>
        </w:rPr>
        <w:t>How to Support Professional Development with a Supportive Workplace Environment</w:t>
      </w:r>
      <w:r w:rsidRPr="00BC2421">
        <w:rPr>
          <w:rFonts w:ascii="Arial" w:hAnsi="Arial" w:cs="Arial"/>
          <w:sz w:val="24"/>
          <w:szCs w:val="24"/>
        </w:rPr>
        <w:t>. Independently Published.</w:t>
      </w:r>
    </w:p>
    <w:p w14:paraId="1E5F752A" w14:textId="4000BA85" w:rsidR="00422A17" w:rsidRDefault="00422A17"/>
    <w:sectPr w:rsidR="00422A17" w:rsidSect="002449E8">
      <w:foot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6793342"/>
      <w:docPartObj>
        <w:docPartGallery w:val="Page Numbers (Bottom of Page)"/>
        <w:docPartUnique/>
      </w:docPartObj>
    </w:sdtPr>
    <w:sdtEndPr>
      <w:rPr>
        <w:noProof/>
      </w:rPr>
    </w:sdtEndPr>
    <w:sdtContent>
      <w:p w14:paraId="611CF09F" w14:textId="77777777" w:rsidR="00000000"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E47FBF3"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1E336D"/>
    <w:multiLevelType w:val="hybridMultilevel"/>
    <w:tmpl w:val="24760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6502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A8D"/>
    <w:rsid w:val="002449E8"/>
    <w:rsid w:val="00332A8D"/>
    <w:rsid w:val="00422A17"/>
    <w:rsid w:val="007609D6"/>
    <w:rsid w:val="007B1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25322"/>
  <w15:chartTrackingRefBased/>
  <w15:docId w15:val="{6AE5CE90-C1B0-43D6-9935-C78489974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9D6"/>
    <w:pPr>
      <w:spacing w:after="0" w:line="360" w:lineRule="auto"/>
      <w:jc w:val="both"/>
    </w:pPr>
    <w:rPr>
      <w:rFonts w:ascii="Arial" w:eastAsia="Times New Roman" w:hAnsi="Arial" w:cs="Times New Roman"/>
      <w:kern w:val="0"/>
      <w:sz w:val="24"/>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qFormat/>
    <w:rsid w:val="007609D6"/>
    <w:pPr>
      <w:spacing w:after="0" w:line="240" w:lineRule="auto"/>
    </w:pPr>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7609D6"/>
    <w:pPr>
      <w:tabs>
        <w:tab w:val="center" w:pos="4680"/>
        <w:tab w:val="right" w:pos="9360"/>
      </w:tabs>
      <w:spacing w:line="240" w:lineRule="auto"/>
    </w:pPr>
  </w:style>
  <w:style w:type="character" w:customStyle="1" w:styleId="FooterChar">
    <w:name w:val="Footer Char"/>
    <w:basedOn w:val="DefaultParagraphFont"/>
    <w:link w:val="Footer"/>
    <w:uiPriority w:val="99"/>
    <w:rsid w:val="007609D6"/>
    <w:rPr>
      <w:rFonts w:ascii="Arial" w:eastAsia="Times New Roman" w:hAnsi="Arial" w:cs="Times New Roman"/>
      <w:kern w:val="0"/>
      <w:sz w:val="24"/>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2384</Words>
  <Characters>13589</Characters>
  <Application>Microsoft Office Word</Application>
  <DocSecurity>0</DocSecurity>
  <Lines>113</Lines>
  <Paragraphs>31</Paragraphs>
  <ScaleCrop>false</ScaleCrop>
  <Company/>
  <LinksUpToDate>false</LinksUpToDate>
  <CharactersWithSpaces>15942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marwah300916@gmail.com</dc:creator>
  <cp:keywords/>
  <dc:description/>
  <cp:lastModifiedBy>marwah300916@gmail.com</cp:lastModifiedBy>
  <cp:revision>2</cp:revision>
  <dcterms:created xsi:type="dcterms:W3CDTF">2024-02-29T22:59:00Z</dcterms:created>
  <dcterms:modified xsi:type="dcterms:W3CDTF">2024-02-29T22:59:00Z</dcterms:modified>
</cp:coreProperties>
</file>