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D664" w14:textId="786D584D" w:rsidR="006C01D6" w:rsidRDefault="006C01D6">
      <w:pPr>
        <w:rPr>
          <w:sz w:val="20"/>
          <w:szCs w:val="20"/>
        </w:rPr>
      </w:pPr>
      <w:r w:rsidRPr="006C01D6">
        <w:rPr>
          <w:noProof/>
          <w:sz w:val="20"/>
          <w:szCs w:val="20"/>
        </w:rPr>
        <w:drawing>
          <wp:anchor distT="0" distB="0" distL="114300" distR="114300" simplePos="0" relativeHeight="251658240" behindDoc="0" locked="0" layoutInCell="1" allowOverlap="1" wp14:anchorId="4B1B9EE3" wp14:editId="182AAF5B">
            <wp:simplePos x="0" y="0"/>
            <wp:positionH relativeFrom="margin">
              <wp:align>center</wp:align>
            </wp:positionH>
            <wp:positionV relativeFrom="margin">
              <wp:align>top</wp:align>
            </wp:positionV>
            <wp:extent cx="4148455" cy="1783080"/>
            <wp:effectExtent l="0" t="0" r="4445"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4">
                      <a:extLst>
                        <a:ext uri="{28A0092B-C50C-407E-A947-70E740481C1C}">
                          <a14:useLocalDpi xmlns:a14="http://schemas.microsoft.com/office/drawing/2010/main" val="0"/>
                        </a:ext>
                      </a:extLst>
                    </a:blip>
                    <a:srcRect l="15145" t="19259" r="13773" b="19638"/>
                    <a:stretch/>
                  </pic:blipFill>
                  <pic:spPr bwMode="auto">
                    <a:xfrm>
                      <a:off x="0" y="0"/>
                      <a:ext cx="4148455" cy="1783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F049F1" w14:textId="2CE6935D" w:rsidR="006C01D6" w:rsidRDefault="006C01D6">
      <w:pPr>
        <w:rPr>
          <w:noProof/>
          <w:sz w:val="20"/>
          <w:szCs w:val="20"/>
        </w:rPr>
      </w:pPr>
    </w:p>
    <w:p w14:paraId="1443C601" w14:textId="5C59B478" w:rsidR="006C01D6" w:rsidRDefault="006C01D6">
      <w:pPr>
        <w:rPr>
          <w:sz w:val="20"/>
          <w:szCs w:val="20"/>
        </w:rPr>
      </w:pPr>
    </w:p>
    <w:p w14:paraId="02F3DA79" w14:textId="77777777" w:rsidR="006C01D6" w:rsidRDefault="006C01D6">
      <w:pPr>
        <w:rPr>
          <w:sz w:val="20"/>
          <w:szCs w:val="20"/>
        </w:rPr>
      </w:pPr>
    </w:p>
    <w:p w14:paraId="06B351E2" w14:textId="77777777" w:rsidR="006C01D6" w:rsidRDefault="006C01D6">
      <w:pPr>
        <w:rPr>
          <w:sz w:val="20"/>
          <w:szCs w:val="20"/>
        </w:rPr>
      </w:pPr>
    </w:p>
    <w:p w14:paraId="7ABAD375" w14:textId="608BD962" w:rsidR="006C01D6" w:rsidRDefault="006C01D6">
      <w:pPr>
        <w:rPr>
          <w:sz w:val="20"/>
          <w:szCs w:val="20"/>
        </w:rPr>
      </w:pPr>
    </w:p>
    <w:p w14:paraId="75E1F235" w14:textId="77777777" w:rsidR="003F18DC" w:rsidRDefault="003F18DC">
      <w:pPr>
        <w:rPr>
          <w:sz w:val="20"/>
          <w:szCs w:val="20"/>
        </w:rPr>
      </w:pPr>
    </w:p>
    <w:p w14:paraId="03252792" w14:textId="77777777" w:rsidR="003F18DC" w:rsidRDefault="003F18DC">
      <w:pPr>
        <w:rPr>
          <w:sz w:val="20"/>
          <w:szCs w:val="20"/>
        </w:rPr>
      </w:pPr>
    </w:p>
    <w:p w14:paraId="3F7DB874" w14:textId="27243B08" w:rsidR="006C01D6" w:rsidRPr="006C01D6" w:rsidRDefault="006C01D6" w:rsidP="006C01D6">
      <w:pPr>
        <w:jc w:val="center"/>
        <w:rPr>
          <w:rFonts w:ascii="Times New Roman" w:hAnsi="Times New Roman" w:cs="Times New Roman"/>
          <w:b/>
          <w:bCs/>
          <w:sz w:val="24"/>
          <w:szCs w:val="24"/>
        </w:rPr>
      </w:pPr>
      <w:r w:rsidRPr="006C01D6">
        <w:rPr>
          <w:rFonts w:ascii="Times New Roman" w:hAnsi="Times New Roman" w:cs="Times New Roman"/>
          <w:b/>
          <w:bCs/>
          <w:sz w:val="24"/>
          <w:szCs w:val="24"/>
        </w:rPr>
        <w:t>University of Wales Trinity Saint David</w:t>
      </w:r>
    </w:p>
    <w:p w14:paraId="33F95E00" w14:textId="3A75892F" w:rsidR="006C01D6" w:rsidRDefault="006C01D6" w:rsidP="006C01D6">
      <w:pPr>
        <w:jc w:val="center"/>
        <w:rPr>
          <w:rFonts w:ascii="Times New Roman" w:hAnsi="Times New Roman" w:cs="Times New Roman"/>
          <w:b/>
          <w:bCs/>
          <w:sz w:val="24"/>
          <w:szCs w:val="24"/>
        </w:rPr>
      </w:pPr>
      <w:r w:rsidRPr="006C01D6">
        <w:rPr>
          <w:rFonts w:ascii="Times New Roman" w:hAnsi="Times New Roman" w:cs="Times New Roman"/>
          <w:b/>
          <w:bCs/>
          <w:sz w:val="24"/>
          <w:szCs w:val="24"/>
        </w:rPr>
        <w:t>Waterfront, IQ Campus University of Wales Trinity, Swansea SA1 8EW</w:t>
      </w:r>
    </w:p>
    <w:p w14:paraId="4A038819" w14:textId="77777777" w:rsidR="003F18DC" w:rsidRDefault="003F18DC" w:rsidP="006C01D6">
      <w:pPr>
        <w:jc w:val="center"/>
        <w:rPr>
          <w:rFonts w:ascii="Times New Roman" w:hAnsi="Times New Roman" w:cs="Times New Roman"/>
          <w:b/>
          <w:bCs/>
          <w:sz w:val="24"/>
          <w:szCs w:val="24"/>
        </w:rPr>
      </w:pPr>
    </w:p>
    <w:p w14:paraId="3CFC4339" w14:textId="1484E9A1" w:rsidR="006C01D6" w:rsidRDefault="006C01D6" w:rsidP="006C01D6">
      <w:pPr>
        <w:jc w:val="center"/>
        <w:rPr>
          <w:rFonts w:ascii="Times New Roman" w:hAnsi="Times New Roman" w:cs="Times New Roman"/>
          <w:b/>
          <w:bCs/>
          <w:sz w:val="24"/>
          <w:szCs w:val="24"/>
          <w:lang w:val="en-GB"/>
        </w:rPr>
      </w:pPr>
      <w:r w:rsidRPr="006C01D6">
        <w:rPr>
          <w:rFonts w:ascii="Times New Roman" w:hAnsi="Times New Roman" w:cs="Times New Roman"/>
          <w:b/>
          <w:bCs/>
          <w:sz w:val="24"/>
          <w:szCs w:val="24"/>
        </w:rPr>
        <w:t xml:space="preserve">Contract </w:t>
      </w:r>
      <w:r>
        <w:rPr>
          <w:rFonts w:ascii="Times New Roman" w:hAnsi="Times New Roman" w:cs="Times New Roman"/>
          <w:b/>
          <w:bCs/>
          <w:sz w:val="24"/>
          <w:szCs w:val="24"/>
        </w:rPr>
        <w:t xml:space="preserve">Law </w:t>
      </w:r>
      <w:r w:rsidR="003F18DC">
        <w:rPr>
          <w:rFonts w:ascii="Times New Roman" w:hAnsi="Times New Roman" w:cs="Times New Roman"/>
          <w:b/>
          <w:bCs/>
          <w:sz w:val="24"/>
          <w:szCs w:val="24"/>
        </w:rPr>
        <w:t>(</w:t>
      </w:r>
      <w:r w:rsidRPr="006C01D6">
        <w:rPr>
          <w:rFonts w:ascii="Times New Roman" w:hAnsi="Times New Roman" w:cs="Times New Roman"/>
          <w:b/>
          <w:bCs/>
          <w:sz w:val="24"/>
          <w:szCs w:val="24"/>
          <w:lang w:val="en-GB"/>
        </w:rPr>
        <w:t>BMLW</w:t>
      </w:r>
      <w:r w:rsidR="003F18DC">
        <w:rPr>
          <w:rFonts w:ascii="Times New Roman" w:hAnsi="Times New Roman" w:cs="Times New Roman"/>
          <w:b/>
          <w:bCs/>
          <w:sz w:val="24"/>
          <w:szCs w:val="24"/>
          <w:lang w:val="en-GB"/>
        </w:rPr>
        <w:t xml:space="preserve"> </w:t>
      </w:r>
      <w:r w:rsidRPr="006C01D6">
        <w:rPr>
          <w:rFonts w:ascii="Times New Roman" w:hAnsi="Times New Roman" w:cs="Times New Roman"/>
          <w:b/>
          <w:bCs/>
          <w:sz w:val="24"/>
          <w:szCs w:val="24"/>
          <w:lang w:val="en-GB"/>
        </w:rPr>
        <w:t>5009</w:t>
      </w:r>
      <w:r w:rsidR="003F18DC">
        <w:rPr>
          <w:rFonts w:ascii="Times New Roman" w:hAnsi="Times New Roman" w:cs="Times New Roman"/>
          <w:b/>
          <w:bCs/>
          <w:sz w:val="24"/>
          <w:szCs w:val="24"/>
          <w:lang w:val="en-GB"/>
        </w:rPr>
        <w:t>)</w:t>
      </w:r>
    </w:p>
    <w:p w14:paraId="12F69338" w14:textId="5B642F75" w:rsidR="003F18DC" w:rsidRDefault="003F18DC" w:rsidP="006C01D6">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Ms. Laura Night</w:t>
      </w:r>
    </w:p>
    <w:p w14:paraId="19B56FB9" w14:textId="77777777" w:rsidR="003F18DC" w:rsidRDefault="003F18DC" w:rsidP="006C01D6">
      <w:pPr>
        <w:jc w:val="center"/>
        <w:rPr>
          <w:rFonts w:ascii="Times New Roman" w:hAnsi="Times New Roman" w:cs="Times New Roman"/>
          <w:b/>
          <w:bCs/>
          <w:sz w:val="24"/>
          <w:szCs w:val="24"/>
          <w:lang w:val="en-GB"/>
        </w:rPr>
      </w:pPr>
    </w:p>
    <w:p w14:paraId="40BE7602" w14:textId="04891348" w:rsidR="003F18DC" w:rsidRDefault="003F18DC" w:rsidP="006C01D6">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February 2023</w:t>
      </w:r>
    </w:p>
    <w:p w14:paraId="41170220" w14:textId="111186A6" w:rsidR="003F18DC" w:rsidRDefault="003F18DC" w:rsidP="006C01D6">
      <w:pPr>
        <w:jc w:val="center"/>
        <w:rPr>
          <w:rFonts w:ascii="Times New Roman" w:hAnsi="Times New Roman" w:cs="Times New Roman"/>
          <w:b/>
          <w:bCs/>
          <w:sz w:val="24"/>
          <w:szCs w:val="24"/>
          <w:lang w:val="en-GB"/>
        </w:rPr>
      </w:pPr>
      <w:r w:rsidRPr="003F18DC">
        <w:rPr>
          <w:rFonts w:ascii="Times New Roman" w:hAnsi="Times New Roman" w:cs="Times New Roman"/>
          <w:b/>
          <w:bCs/>
          <w:sz w:val="24"/>
          <w:szCs w:val="24"/>
          <w:lang w:val="en-GB"/>
        </w:rPr>
        <w:t>Intention to create legal relations</w:t>
      </w:r>
    </w:p>
    <w:p w14:paraId="282452B0" w14:textId="77777777" w:rsidR="003F18DC" w:rsidRDefault="003F18DC" w:rsidP="006C01D6">
      <w:pPr>
        <w:jc w:val="center"/>
        <w:rPr>
          <w:rFonts w:ascii="Times New Roman" w:hAnsi="Times New Roman" w:cs="Times New Roman"/>
          <w:b/>
          <w:bCs/>
          <w:sz w:val="24"/>
          <w:szCs w:val="24"/>
          <w:lang w:val="en-GB"/>
        </w:rPr>
      </w:pPr>
    </w:p>
    <w:p w14:paraId="68674E71" w14:textId="65311CA2" w:rsidR="003F18DC" w:rsidRDefault="003F18DC" w:rsidP="006C01D6">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Prepared by:</w:t>
      </w:r>
    </w:p>
    <w:p w14:paraId="18CC9741" w14:textId="5EEA3E2A" w:rsidR="003F18DC" w:rsidRDefault="003F18DC" w:rsidP="006C01D6">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Mohamed Elyasaq Bin Mohamed Hashim</w:t>
      </w:r>
    </w:p>
    <w:p w14:paraId="5B5FB8BC" w14:textId="3DBF0BB6" w:rsidR="003F18DC" w:rsidRDefault="003F18DC" w:rsidP="006C01D6">
      <w:pPr>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2120975</w:t>
      </w:r>
    </w:p>
    <w:p w14:paraId="24ED92B7" w14:textId="77777777" w:rsidR="003F18DC" w:rsidRDefault="003F18DC" w:rsidP="006C01D6">
      <w:pPr>
        <w:jc w:val="center"/>
        <w:rPr>
          <w:rFonts w:ascii="Times New Roman" w:hAnsi="Times New Roman" w:cs="Times New Roman"/>
          <w:b/>
          <w:bCs/>
          <w:sz w:val="24"/>
          <w:szCs w:val="24"/>
          <w:lang w:val="en-GB"/>
        </w:rPr>
      </w:pPr>
    </w:p>
    <w:p w14:paraId="68894C10" w14:textId="77777777" w:rsidR="003F18DC" w:rsidRPr="006C01D6" w:rsidRDefault="003F18DC" w:rsidP="006C01D6">
      <w:pPr>
        <w:jc w:val="center"/>
        <w:rPr>
          <w:rFonts w:ascii="Times New Roman" w:hAnsi="Times New Roman" w:cs="Times New Roman"/>
          <w:b/>
          <w:bCs/>
          <w:sz w:val="24"/>
          <w:szCs w:val="24"/>
        </w:rPr>
      </w:pPr>
    </w:p>
    <w:p w14:paraId="497F79EE" w14:textId="77777777" w:rsidR="006C01D6" w:rsidRPr="006C01D6" w:rsidRDefault="006C01D6" w:rsidP="006C01D6">
      <w:pPr>
        <w:jc w:val="center"/>
        <w:rPr>
          <w:rFonts w:ascii="Times New Roman" w:hAnsi="Times New Roman" w:cs="Times New Roman"/>
          <w:b/>
          <w:bCs/>
        </w:rPr>
      </w:pPr>
    </w:p>
    <w:p w14:paraId="639D1FF1" w14:textId="77777777" w:rsidR="006C01D6" w:rsidRDefault="006C01D6">
      <w:pPr>
        <w:rPr>
          <w:sz w:val="20"/>
          <w:szCs w:val="20"/>
        </w:rPr>
      </w:pPr>
    </w:p>
    <w:p w14:paraId="0D9E65AD" w14:textId="77777777" w:rsidR="006C01D6" w:rsidRDefault="006C01D6" w:rsidP="006C01D6">
      <w:pPr>
        <w:rPr>
          <w:sz w:val="20"/>
          <w:szCs w:val="20"/>
        </w:rPr>
      </w:pPr>
    </w:p>
    <w:p w14:paraId="32F795FF" w14:textId="77777777" w:rsidR="006C01D6" w:rsidRDefault="006C01D6" w:rsidP="006C01D6">
      <w:pPr>
        <w:rPr>
          <w:sz w:val="20"/>
          <w:szCs w:val="20"/>
        </w:rPr>
      </w:pPr>
    </w:p>
    <w:p w14:paraId="05C7D128" w14:textId="77777777" w:rsidR="006C01D6" w:rsidRDefault="006C01D6" w:rsidP="006C01D6">
      <w:pPr>
        <w:rPr>
          <w:sz w:val="20"/>
          <w:szCs w:val="20"/>
        </w:rPr>
      </w:pPr>
    </w:p>
    <w:p w14:paraId="30B19B70" w14:textId="61A0F602" w:rsidR="00171215" w:rsidRDefault="00171215" w:rsidP="006C01D6">
      <w:pPr>
        <w:jc w:val="center"/>
        <w:rPr>
          <w:b/>
          <w:bCs/>
          <w:sz w:val="20"/>
          <w:szCs w:val="20"/>
        </w:rPr>
      </w:pPr>
    </w:p>
    <w:p w14:paraId="770AA29C" w14:textId="6E0D2C7C" w:rsidR="003F18DC" w:rsidRDefault="003F18DC" w:rsidP="006C01D6">
      <w:pPr>
        <w:jc w:val="center"/>
        <w:rPr>
          <w:b/>
          <w:bCs/>
          <w:sz w:val="20"/>
          <w:szCs w:val="20"/>
        </w:rPr>
      </w:pPr>
    </w:p>
    <w:p w14:paraId="0A708DF5" w14:textId="1B029BB1" w:rsidR="003F18DC" w:rsidRDefault="003F18DC" w:rsidP="006C01D6">
      <w:pPr>
        <w:jc w:val="center"/>
        <w:rPr>
          <w:b/>
          <w:bCs/>
          <w:sz w:val="20"/>
          <w:szCs w:val="20"/>
        </w:rPr>
      </w:pPr>
    </w:p>
    <w:p w14:paraId="4E1B84CE" w14:textId="10C2B2D3" w:rsidR="003F18DC" w:rsidRDefault="003F18DC" w:rsidP="006C01D6">
      <w:pPr>
        <w:jc w:val="center"/>
        <w:rPr>
          <w:b/>
          <w:bCs/>
          <w:sz w:val="20"/>
          <w:szCs w:val="20"/>
        </w:rPr>
      </w:pPr>
    </w:p>
    <w:p w14:paraId="2209DEF6" w14:textId="77777777" w:rsidR="00F80023" w:rsidRDefault="00F80023" w:rsidP="0011624E">
      <w:pPr>
        <w:rPr>
          <w:b/>
          <w:bCs/>
          <w:sz w:val="20"/>
          <w:szCs w:val="20"/>
        </w:rPr>
      </w:pPr>
    </w:p>
    <w:p w14:paraId="3F3A8AE5" w14:textId="6D4242CF" w:rsidR="00216BC1" w:rsidRDefault="00216BC1" w:rsidP="0011624E">
      <w:pPr>
        <w:rPr>
          <w:rFonts w:ascii="Times New Roman" w:hAnsi="Times New Roman" w:cs="Times New Roman"/>
          <w:b/>
          <w:bCs/>
          <w:sz w:val="24"/>
          <w:szCs w:val="24"/>
        </w:rPr>
      </w:pPr>
      <w:r>
        <w:rPr>
          <w:rFonts w:ascii="Times New Roman" w:hAnsi="Times New Roman" w:cs="Times New Roman"/>
          <w:b/>
          <w:bCs/>
          <w:sz w:val="24"/>
          <w:szCs w:val="24"/>
        </w:rPr>
        <w:lastRenderedPageBreak/>
        <w:t>I</w:t>
      </w:r>
      <w:r w:rsidRPr="00216BC1">
        <w:rPr>
          <w:rFonts w:ascii="Times New Roman" w:hAnsi="Times New Roman" w:cs="Times New Roman"/>
          <w:b/>
          <w:bCs/>
          <w:sz w:val="24"/>
          <w:szCs w:val="24"/>
        </w:rPr>
        <w:t>ntention to create legal relations</w:t>
      </w:r>
    </w:p>
    <w:p w14:paraId="40D00459" w14:textId="40782D48" w:rsidR="00056B79" w:rsidRPr="00056B79" w:rsidRDefault="00F80023" w:rsidP="0011624E">
      <w:pPr>
        <w:rPr>
          <w:rFonts w:ascii="Times New Roman" w:hAnsi="Times New Roman" w:cs="Times New Roman"/>
          <w:sz w:val="24"/>
          <w:szCs w:val="24"/>
        </w:rPr>
      </w:pPr>
      <w:r w:rsidRPr="00F80023">
        <w:rPr>
          <w:rFonts w:ascii="Times New Roman" w:hAnsi="Times New Roman" w:cs="Times New Roman"/>
          <w:sz w:val="24"/>
          <w:szCs w:val="24"/>
        </w:rPr>
        <w:t xml:space="preserve">People routinely make agreements in the normal course of their daily lives. Such agreements can include promises made by two or more people to meet in a restaurant or cinema, to watch over someone's home while they are away, or lending money to someone so they can buy something to eat or drink. Yet, not every agreement is meant to be enforceable in court because neither party is intended to be able to bring a lawsuit for violation of the agreement. </w:t>
      </w:r>
      <w:r w:rsidR="00056B79" w:rsidRPr="00056B79">
        <w:rPr>
          <w:rFonts w:ascii="Times New Roman" w:hAnsi="Times New Roman" w:cs="Times New Roman"/>
          <w:sz w:val="24"/>
          <w:szCs w:val="24"/>
        </w:rPr>
        <w:t>One of the essential components of a valid and enforceable contract is the intent to establish legal relations</w:t>
      </w:r>
      <w:r w:rsidR="0020315A">
        <w:rPr>
          <w:rFonts w:ascii="Times New Roman" w:hAnsi="Times New Roman" w:cs="Times New Roman"/>
          <w:sz w:val="24"/>
          <w:szCs w:val="24"/>
        </w:rPr>
        <w:t>. I</w:t>
      </w:r>
      <w:r w:rsidR="00056B79" w:rsidRPr="00056B79">
        <w:rPr>
          <w:rFonts w:ascii="Times New Roman" w:hAnsi="Times New Roman" w:cs="Times New Roman"/>
          <w:sz w:val="24"/>
          <w:szCs w:val="24"/>
        </w:rPr>
        <w:t>f this intention is missing, the contract will be void. Evidence of the establishment of a legally binding contract can be found in an agreement that includes an offer, acceptance, and consideration. A contract is not considered to have been formed if there is no intent to establish legal relations. In other words, a contract will only be formed upon acceptance of an offer if both the offeror and the offeree clearly intended to do so. The court considers the objective assessments of the parties' intentions when determining whether or not there was an intention to establish legal relations. The court considers what the parties appeared to the reasonable person to intend rather than what they actually intended.</w:t>
      </w:r>
      <w:r w:rsidR="0020315A">
        <w:rPr>
          <w:rFonts w:ascii="Times New Roman" w:hAnsi="Times New Roman" w:cs="Times New Roman"/>
          <w:sz w:val="24"/>
          <w:szCs w:val="24"/>
        </w:rPr>
        <w:t xml:space="preserve"> According to </w:t>
      </w:r>
      <w:r w:rsidR="0020315A" w:rsidRPr="0020315A">
        <w:rPr>
          <w:rFonts w:ascii="Times New Roman" w:hAnsi="Times New Roman" w:cs="Times New Roman"/>
          <w:sz w:val="24"/>
          <w:szCs w:val="24"/>
        </w:rPr>
        <w:t>Lord Stowell in Dalrymple v. Dalrymple (1811)</w:t>
      </w:r>
      <w:r w:rsidR="0020315A">
        <w:rPr>
          <w:rFonts w:ascii="Times New Roman" w:hAnsi="Times New Roman" w:cs="Times New Roman"/>
          <w:sz w:val="24"/>
          <w:szCs w:val="24"/>
        </w:rPr>
        <w:t xml:space="preserve">, </w:t>
      </w:r>
      <w:r w:rsidR="0020315A" w:rsidRPr="0020315A">
        <w:rPr>
          <w:rFonts w:ascii="Times New Roman" w:hAnsi="Times New Roman" w:cs="Times New Roman"/>
          <w:sz w:val="24"/>
          <w:szCs w:val="24"/>
        </w:rPr>
        <w:t>as justification for the intention to establish legal relations</w:t>
      </w:r>
      <w:r w:rsidR="0020315A">
        <w:rPr>
          <w:rFonts w:ascii="Times New Roman" w:hAnsi="Times New Roman" w:cs="Times New Roman"/>
          <w:sz w:val="24"/>
          <w:szCs w:val="24"/>
        </w:rPr>
        <w:t xml:space="preserve">, a contract </w:t>
      </w:r>
      <w:r w:rsidR="002041A8">
        <w:rPr>
          <w:rFonts w:ascii="Times New Roman" w:hAnsi="Times New Roman" w:cs="Times New Roman"/>
          <w:sz w:val="24"/>
          <w:szCs w:val="24"/>
        </w:rPr>
        <w:t>“</w:t>
      </w:r>
      <w:r w:rsidR="0020315A" w:rsidRPr="0020315A">
        <w:rPr>
          <w:rFonts w:ascii="Times New Roman" w:hAnsi="Times New Roman" w:cs="Times New Roman"/>
          <w:sz w:val="24"/>
          <w:szCs w:val="24"/>
        </w:rPr>
        <w:t>should not be the sports of the idle hour, mere matters of pleasantry and badinage,</w:t>
      </w:r>
      <w:r w:rsidR="0020315A">
        <w:rPr>
          <w:rFonts w:ascii="Times New Roman" w:hAnsi="Times New Roman" w:cs="Times New Roman"/>
          <w:sz w:val="24"/>
          <w:szCs w:val="24"/>
        </w:rPr>
        <w:t xml:space="preserve"> and</w:t>
      </w:r>
      <w:r w:rsidR="0020315A" w:rsidRPr="0020315A">
        <w:rPr>
          <w:rFonts w:ascii="Times New Roman" w:hAnsi="Times New Roman" w:cs="Times New Roman"/>
          <w:sz w:val="24"/>
          <w:szCs w:val="24"/>
        </w:rPr>
        <w:t xml:space="preserve"> never intended by the parties to have any serious effect whatever</w:t>
      </w:r>
      <w:r w:rsidR="000B644B">
        <w:rPr>
          <w:rFonts w:ascii="Times New Roman" w:hAnsi="Times New Roman" w:cs="Times New Roman"/>
          <w:sz w:val="24"/>
          <w:szCs w:val="24"/>
        </w:rPr>
        <w:t>”</w:t>
      </w:r>
      <w:r w:rsidR="0020315A">
        <w:rPr>
          <w:rFonts w:ascii="Times New Roman" w:hAnsi="Times New Roman" w:cs="Times New Roman"/>
          <w:sz w:val="24"/>
          <w:szCs w:val="24"/>
        </w:rPr>
        <w:t>.</w:t>
      </w:r>
    </w:p>
    <w:p w14:paraId="2AB919C1" w14:textId="2BA02C69" w:rsidR="00C91751" w:rsidRDefault="002041A8" w:rsidP="0011624E">
      <w:pPr>
        <w:rPr>
          <w:rFonts w:ascii="Times New Roman" w:hAnsi="Times New Roman" w:cs="Times New Roman"/>
          <w:sz w:val="24"/>
          <w:szCs w:val="24"/>
        </w:rPr>
      </w:pPr>
      <w:r w:rsidRPr="002041A8">
        <w:rPr>
          <w:rFonts w:ascii="Times New Roman" w:hAnsi="Times New Roman" w:cs="Times New Roman"/>
          <w:sz w:val="24"/>
          <w:szCs w:val="24"/>
        </w:rPr>
        <w:t xml:space="preserve">One could argue that public policy is the foundation of the doctrine of the intention to establish legal relations. As a matter of policy, the law of contracts should not be applied to domestic disputes because doing so would cause the courts to become overburdened with unimportant domestic disputes. Thereby, even though the parties may have intended to be bound by the agreement, the Scottish Law Commission </w:t>
      </w:r>
      <w:r>
        <w:rPr>
          <w:rFonts w:ascii="Times New Roman" w:hAnsi="Times New Roman" w:cs="Times New Roman"/>
          <w:sz w:val="24"/>
          <w:szCs w:val="24"/>
        </w:rPr>
        <w:t xml:space="preserve">has </w:t>
      </w:r>
      <w:proofErr w:type="spellStart"/>
      <w:r>
        <w:rPr>
          <w:rFonts w:ascii="Times New Roman" w:hAnsi="Times New Roman" w:cs="Times New Roman"/>
          <w:sz w:val="24"/>
          <w:szCs w:val="24"/>
        </w:rPr>
        <w:t>expressen</w:t>
      </w:r>
      <w:proofErr w:type="spellEnd"/>
      <w:r w:rsidRPr="002041A8">
        <w:rPr>
          <w:rFonts w:ascii="Times New Roman" w:hAnsi="Times New Roman" w:cs="Times New Roman"/>
          <w:sz w:val="24"/>
          <w:szCs w:val="24"/>
        </w:rPr>
        <w:t xml:space="preserve"> in 1977 that </w:t>
      </w:r>
      <w:r>
        <w:rPr>
          <w:rFonts w:ascii="Times New Roman" w:hAnsi="Times New Roman" w:cs="Times New Roman"/>
          <w:sz w:val="24"/>
          <w:szCs w:val="24"/>
        </w:rPr>
        <w:t>“</w:t>
      </w:r>
      <w:r w:rsidRPr="002041A8">
        <w:rPr>
          <w:rFonts w:ascii="Times New Roman" w:hAnsi="Times New Roman" w:cs="Times New Roman"/>
          <w:sz w:val="24"/>
          <w:szCs w:val="24"/>
        </w:rPr>
        <w:t>it is generally correct for courts to refrain from enforcing entirely social engagements, such as plans to play squash or attend dinner</w:t>
      </w:r>
      <w:r w:rsidR="000B644B">
        <w:rPr>
          <w:rFonts w:ascii="Times New Roman" w:hAnsi="Times New Roman" w:cs="Times New Roman"/>
          <w:sz w:val="24"/>
          <w:szCs w:val="24"/>
        </w:rPr>
        <w:t>”</w:t>
      </w:r>
      <w:r w:rsidRPr="002041A8">
        <w:rPr>
          <w:rFonts w:ascii="Times New Roman" w:hAnsi="Times New Roman" w:cs="Times New Roman"/>
          <w:sz w:val="24"/>
          <w:szCs w:val="24"/>
        </w:rPr>
        <w:t>.</w:t>
      </w:r>
    </w:p>
    <w:p w14:paraId="02242555" w14:textId="16880C40" w:rsidR="00C91751" w:rsidRDefault="00593EE5" w:rsidP="0011624E">
      <w:pPr>
        <w:rPr>
          <w:rFonts w:ascii="Times New Roman" w:hAnsi="Times New Roman" w:cs="Times New Roman"/>
          <w:b/>
          <w:bCs/>
          <w:sz w:val="24"/>
          <w:szCs w:val="24"/>
        </w:rPr>
      </w:pPr>
      <w:r w:rsidRPr="00593EE5">
        <w:rPr>
          <w:rFonts w:ascii="Times New Roman" w:hAnsi="Times New Roman" w:cs="Times New Roman"/>
          <w:b/>
          <w:bCs/>
          <w:sz w:val="24"/>
          <w:szCs w:val="24"/>
        </w:rPr>
        <w:t>Rebuttable Presumption</w:t>
      </w:r>
    </w:p>
    <w:p w14:paraId="7C4AAD9E" w14:textId="78164E79" w:rsidR="00593EE5" w:rsidRPr="00593EE5" w:rsidRDefault="00A304F5" w:rsidP="0011624E">
      <w:pPr>
        <w:rPr>
          <w:rFonts w:ascii="Times New Roman" w:hAnsi="Times New Roman" w:cs="Times New Roman"/>
          <w:sz w:val="24"/>
          <w:szCs w:val="24"/>
        </w:rPr>
      </w:pPr>
      <w:r w:rsidRPr="00A304F5">
        <w:rPr>
          <w:rFonts w:ascii="Times New Roman" w:hAnsi="Times New Roman" w:cs="Times New Roman"/>
          <w:sz w:val="24"/>
          <w:szCs w:val="24"/>
        </w:rPr>
        <w:t xml:space="preserve">A presumption is a legal principle that allows a court to presume a truth to be true until there is more compelling evidence to the contrary. Each presumption is supported by a specific set of visible facts and one or more of the following: existing law, reason, logic, or individual rights. </w:t>
      </w:r>
      <w:proofErr w:type="gramStart"/>
      <w:r w:rsidRPr="00A304F5">
        <w:rPr>
          <w:rFonts w:ascii="Times New Roman" w:hAnsi="Times New Roman" w:cs="Times New Roman"/>
          <w:sz w:val="24"/>
          <w:szCs w:val="24"/>
        </w:rPr>
        <w:t>A</w:t>
      </w:r>
      <w:proofErr w:type="gramEnd"/>
      <w:r w:rsidRPr="00A304F5">
        <w:rPr>
          <w:rFonts w:ascii="Times New Roman" w:hAnsi="Times New Roman" w:cs="Times New Roman"/>
          <w:sz w:val="24"/>
          <w:szCs w:val="24"/>
        </w:rPr>
        <w:t xml:space="preserve"> assumption is rebuttable if factual evidence can disprove it. The presumption can be disproven by presenting evidence to the judge. In some cases, the law of evidence allows for a presumption of a specific fact to be made with no requirement for proof. The burden of proof in a court trial is changed when a presumption is invoked from one side to the other. An Attorney General's office report from 2020 states that </w:t>
      </w:r>
      <w:r>
        <w:rPr>
          <w:rFonts w:ascii="Times New Roman" w:hAnsi="Times New Roman" w:cs="Times New Roman"/>
          <w:sz w:val="24"/>
          <w:szCs w:val="24"/>
        </w:rPr>
        <w:t>“</w:t>
      </w:r>
      <w:r w:rsidRPr="00A304F5">
        <w:rPr>
          <w:rFonts w:ascii="Times New Roman" w:hAnsi="Times New Roman" w:cs="Times New Roman"/>
          <w:sz w:val="24"/>
          <w:szCs w:val="24"/>
        </w:rPr>
        <w:t>a presumption is meant to aid investigators and prosecutors by encouraging them to take into account this list of evidence. It's crucial to remember that this idea does not aim to promote instant disclosure. As a result, the disclosure test should always be used, and each piece of evidence should be carefully considered in light of the overall circumstances of the case</w:t>
      </w:r>
      <w:r>
        <w:rPr>
          <w:rFonts w:ascii="Times New Roman" w:hAnsi="Times New Roman" w:cs="Times New Roman"/>
          <w:sz w:val="24"/>
          <w:szCs w:val="24"/>
        </w:rPr>
        <w:t>”</w:t>
      </w:r>
      <w:r w:rsidRPr="00A304F5">
        <w:rPr>
          <w:rFonts w:ascii="Times New Roman" w:hAnsi="Times New Roman" w:cs="Times New Roman"/>
          <w:sz w:val="24"/>
          <w:szCs w:val="24"/>
        </w:rPr>
        <w:t>.</w:t>
      </w:r>
      <w:r>
        <w:rPr>
          <w:rFonts w:ascii="Times New Roman" w:hAnsi="Times New Roman" w:cs="Times New Roman"/>
          <w:sz w:val="24"/>
          <w:szCs w:val="24"/>
        </w:rPr>
        <w:t xml:space="preserve"> </w:t>
      </w:r>
      <w:r w:rsidRPr="00A304F5">
        <w:rPr>
          <w:rFonts w:ascii="Times New Roman" w:hAnsi="Times New Roman" w:cs="Times New Roman"/>
          <w:sz w:val="24"/>
          <w:szCs w:val="24"/>
        </w:rPr>
        <w:t>From a contractual standpoint, when persons enter into agreements, the law strives to strike a balance by presuming that in some cases there is no desire to form legal ties, while in others there is such an assumption.</w:t>
      </w:r>
    </w:p>
    <w:p w14:paraId="7D02C4D3" w14:textId="77777777" w:rsidR="00F80023" w:rsidRDefault="00F80023" w:rsidP="0011624E">
      <w:pPr>
        <w:rPr>
          <w:rFonts w:ascii="Times New Roman" w:hAnsi="Times New Roman" w:cs="Times New Roman"/>
          <w:b/>
          <w:bCs/>
          <w:sz w:val="24"/>
          <w:szCs w:val="24"/>
        </w:rPr>
      </w:pPr>
    </w:p>
    <w:p w14:paraId="09325C3D" w14:textId="77777777" w:rsidR="00F80023" w:rsidRDefault="00F80023" w:rsidP="0011624E">
      <w:pPr>
        <w:rPr>
          <w:rFonts w:ascii="Times New Roman" w:hAnsi="Times New Roman" w:cs="Times New Roman"/>
          <w:b/>
          <w:bCs/>
          <w:sz w:val="24"/>
          <w:szCs w:val="24"/>
        </w:rPr>
      </w:pPr>
    </w:p>
    <w:p w14:paraId="30F26585" w14:textId="6E45DCBE" w:rsidR="00C91751" w:rsidRPr="003F648A" w:rsidRDefault="003F648A" w:rsidP="0011624E">
      <w:pPr>
        <w:rPr>
          <w:rFonts w:ascii="Times New Roman" w:hAnsi="Times New Roman" w:cs="Times New Roman"/>
          <w:b/>
          <w:bCs/>
          <w:sz w:val="24"/>
          <w:szCs w:val="24"/>
        </w:rPr>
      </w:pPr>
      <w:r w:rsidRPr="003F648A">
        <w:rPr>
          <w:rFonts w:ascii="Times New Roman" w:hAnsi="Times New Roman" w:cs="Times New Roman"/>
          <w:b/>
          <w:bCs/>
          <w:sz w:val="24"/>
          <w:szCs w:val="24"/>
        </w:rPr>
        <w:lastRenderedPageBreak/>
        <w:t>Agreements made within a social or domestic context</w:t>
      </w:r>
    </w:p>
    <w:p w14:paraId="0015B989" w14:textId="45807CD8" w:rsidR="0076107D" w:rsidRDefault="005D797E" w:rsidP="0011624E">
      <w:pPr>
        <w:rPr>
          <w:rFonts w:ascii="Times New Roman" w:hAnsi="Times New Roman" w:cs="Times New Roman"/>
          <w:sz w:val="24"/>
          <w:szCs w:val="24"/>
        </w:rPr>
      </w:pPr>
      <w:r w:rsidRPr="005D797E">
        <w:rPr>
          <w:rFonts w:ascii="Times New Roman" w:hAnsi="Times New Roman" w:cs="Times New Roman"/>
          <w:sz w:val="24"/>
          <w:szCs w:val="24"/>
        </w:rPr>
        <w:t>Social agreements are typically made between husband and wife, parents and children, or generally amongst friends. In these situations, the parties must present proof that both of them intended to be bound by the contract. The presumption under social agreements is that there is no desire to create legal relations.</w:t>
      </w:r>
    </w:p>
    <w:p w14:paraId="6C8A6D9C" w14:textId="5BD4A3E2" w:rsidR="007A3873" w:rsidRDefault="0066459C" w:rsidP="0011624E">
      <w:pPr>
        <w:rPr>
          <w:rFonts w:ascii="Times New Roman" w:hAnsi="Times New Roman" w:cs="Times New Roman"/>
          <w:sz w:val="24"/>
          <w:szCs w:val="24"/>
        </w:rPr>
      </w:pPr>
      <w:r w:rsidRPr="0066459C">
        <w:rPr>
          <w:rFonts w:ascii="Times New Roman" w:hAnsi="Times New Roman" w:cs="Times New Roman"/>
          <w:sz w:val="24"/>
          <w:szCs w:val="24"/>
        </w:rPr>
        <w:t xml:space="preserve">In </w:t>
      </w:r>
      <w:bookmarkStart w:id="0" w:name="_Hlk129333288"/>
      <w:r w:rsidRPr="0066459C">
        <w:rPr>
          <w:rFonts w:ascii="Times New Roman" w:hAnsi="Times New Roman" w:cs="Times New Roman"/>
          <w:sz w:val="24"/>
          <w:szCs w:val="24"/>
        </w:rPr>
        <w:t>Balfour v. Balfour [1919]</w:t>
      </w:r>
      <w:bookmarkEnd w:id="0"/>
      <w:r w:rsidRPr="0066459C">
        <w:rPr>
          <w:rFonts w:ascii="Times New Roman" w:hAnsi="Times New Roman" w:cs="Times New Roman"/>
          <w:sz w:val="24"/>
          <w:szCs w:val="24"/>
        </w:rPr>
        <w:t>, the defendant and his wife immigrated to England from Ceylon. Under doctor's recommendation, the defendant's wife remained in London when he returned to Ceylon. During his absence, the defendant pledged to give his wife £30 every week until she could go back to Ceylon. But the defendant later got a divorce from the plaintiff. She filed a claim against the defendant for £30 each month. As there was no purpose to establish legal relations, the Court of Appeal determined there was no such contract between the parties.</w:t>
      </w:r>
      <w:r w:rsidR="007E313C" w:rsidRPr="007E313C">
        <w:t xml:space="preserve"> </w:t>
      </w:r>
      <w:r w:rsidR="007E313C" w:rsidRPr="007E313C">
        <w:rPr>
          <w:rFonts w:ascii="Times New Roman" w:hAnsi="Times New Roman" w:cs="Times New Roman"/>
          <w:sz w:val="24"/>
          <w:szCs w:val="24"/>
        </w:rPr>
        <w:t>According to Lord Justice Atkin, the husband and wife's agreement was not legally binding since the parties did not intend for it to have that effect.</w:t>
      </w:r>
      <w:r w:rsidR="007E313C">
        <w:rPr>
          <w:rFonts w:ascii="Times New Roman" w:hAnsi="Times New Roman" w:cs="Times New Roman"/>
          <w:sz w:val="24"/>
          <w:szCs w:val="24"/>
        </w:rPr>
        <w:t xml:space="preserve"> </w:t>
      </w:r>
      <w:proofErr w:type="gramStart"/>
      <w:r w:rsidR="003F1626" w:rsidRPr="003F1626">
        <w:rPr>
          <w:rFonts w:ascii="Times New Roman" w:hAnsi="Times New Roman" w:cs="Times New Roman"/>
          <w:sz w:val="24"/>
          <w:szCs w:val="24"/>
        </w:rPr>
        <w:t>But,</w:t>
      </w:r>
      <w:proofErr w:type="gramEnd"/>
      <w:r w:rsidR="003F1626" w:rsidRPr="003F1626">
        <w:rPr>
          <w:rFonts w:ascii="Times New Roman" w:hAnsi="Times New Roman" w:cs="Times New Roman"/>
          <w:sz w:val="24"/>
          <w:szCs w:val="24"/>
        </w:rPr>
        <w:t xml:space="preserve"> the court had a contrary opinion in Merritt v. Merritt [1970. In this case, a husband and wife were divorcing, and at that time, the husband agreed to send his wife £40 each month under the condition that she utilise it to keep up with the mortgage. The husband signing the agreement made it more formal, and the parties' keen bargaining without acting in good faith indicates an intention to establish legal relations.</w:t>
      </w:r>
    </w:p>
    <w:p w14:paraId="1CCA90C4" w14:textId="114DF597" w:rsidR="00C91751" w:rsidRDefault="007A3873" w:rsidP="0011624E">
      <w:pPr>
        <w:rPr>
          <w:rFonts w:ascii="Times New Roman" w:hAnsi="Times New Roman" w:cs="Times New Roman"/>
          <w:sz w:val="24"/>
          <w:szCs w:val="24"/>
        </w:rPr>
      </w:pPr>
      <w:r>
        <w:rPr>
          <w:rFonts w:ascii="Times New Roman" w:hAnsi="Times New Roman" w:cs="Times New Roman"/>
          <w:sz w:val="24"/>
          <w:szCs w:val="24"/>
        </w:rPr>
        <w:t>On the other hand, d</w:t>
      </w:r>
      <w:r w:rsidRPr="007A3873">
        <w:rPr>
          <w:rFonts w:ascii="Times New Roman" w:hAnsi="Times New Roman" w:cs="Times New Roman"/>
          <w:sz w:val="24"/>
          <w:szCs w:val="24"/>
        </w:rPr>
        <w:t>omestic agreements between parents and children are examined equally when determining the intention to establish legal connections.</w:t>
      </w:r>
      <w:r>
        <w:rPr>
          <w:rFonts w:ascii="Times New Roman" w:hAnsi="Times New Roman" w:cs="Times New Roman"/>
          <w:sz w:val="24"/>
          <w:szCs w:val="24"/>
        </w:rPr>
        <w:t xml:space="preserve"> </w:t>
      </w:r>
      <w:r w:rsidR="0097411D" w:rsidRPr="0097411D">
        <w:rPr>
          <w:rFonts w:ascii="Times New Roman" w:hAnsi="Times New Roman" w:cs="Times New Roman"/>
          <w:sz w:val="24"/>
          <w:szCs w:val="24"/>
        </w:rPr>
        <w:t xml:space="preserve">In the case of Jones v. </w:t>
      </w:r>
      <w:proofErr w:type="spellStart"/>
      <w:r w:rsidR="0097411D" w:rsidRPr="0097411D">
        <w:rPr>
          <w:rFonts w:ascii="Times New Roman" w:hAnsi="Times New Roman" w:cs="Times New Roman"/>
          <w:sz w:val="24"/>
          <w:szCs w:val="24"/>
        </w:rPr>
        <w:t>Padavatton</w:t>
      </w:r>
      <w:proofErr w:type="spellEnd"/>
      <w:r w:rsidR="0097411D" w:rsidRPr="0097411D">
        <w:rPr>
          <w:rFonts w:ascii="Times New Roman" w:hAnsi="Times New Roman" w:cs="Times New Roman"/>
          <w:sz w:val="24"/>
          <w:szCs w:val="24"/>
        </w:rPr>
        <w:t xml:space="preserve"> (1969), a mother offered her daughter a stipend in exchange for giving up a prestigious employment in New York so that she might study for the bar in England. The daughter concurred, but she had financial difficulties while in school. As a result, her mother purchased her a house and gave her permission to rent out a portion of it while keeping the rental income. But, after a disagreement, the mother tried to take back custody of the property. The daughter attempted to prove that the house's provision was contractual but failed.</w:t>
      </w:r>
      <w:r w:rsidR="0097411D">
        <w:rPr>
          <w:rFonts w:ascii="Times New Roman" w:hAnsi="Times New Roman" w:cs="Times New Roman"/>
          <w:sz w:val="24"/>
          <w:szCs w:val="24"/>
        </w:rPr>
        <w:t xml:space="preserve"> </w:t>
      </w:r>
      <w:r w:rsidR="0097411D" w:rsidRPr="0097411D">
        <w:rPr>
          <w:rFonts w:ascii="Times New Roman" w:hAnsi="Times New Roman" w:cs="Times New Roman"/>
          <w:sz w:val="24"/>
          <w:szCs w:val="24"/>
        </w:rPr>
        <w:t>The parties happily trusted one another when the family arrangement was made, so there was no intention to establish legal relations, and as a result, the arrangement between the mother and daughter, in which the mother gave her daughter a house to live in and rent out for her expenses in exchange for the daughter becoming a barrister in the UK, was not deemed to be legally binding.</w:t>
      </w:r>
      <w:r w:rsidR="0097411D">
        <w:rPr>
          <w:rFonts w:ascii="Times New Roman" w:hAnsi="Times New Roman" w:cs="Times New Roman"/>
          <w:sz w:val="24"/>
          <w:szCs w:val="24"/>
        </w:rPr>
        <w:t xml:space="preserve"> </w:t>
      </w:r>
      <w:r w:rsidR="0097411D" w:rsidRPr="0097411D">
        <w:rPr>
          <w:rFonts w:ascii="Times New Roman" w:hAnsi="Times New Roman" w:cs="Times New Roman"/>
          <w:sz w:val="24"/>
          <w:szCs w:val="24"/>
        </w:rPr>
        <w:t>In Simpkins v. Pays [1955]</w:t>
      </w:r>
      <w:r w:rsidR="00F80023">
        <w:rPr>
          <w:rFonts w:ascii="Times New Roman" w:hAnsi="Times New Roman" w:cs="Times New Roman"/>
          <w:sz w:val="24"/>
          <w:szCs w:val="24"/>
        </w:rPr>
        <w:t>,</w:t>
      </w:r>
      <w:r w:rsidR="0097411D" w:rsidRPr="0097411D">
        <w:rPr>
          <w:rFonts w:ascii="Times New Roman" w:hAnsi="Times New Roman" w:cs="Times New Roman"/>
          <w:sz w:val="24"/>
          <w:szCs w:val="24"/>
        </w:rPr>
        <w:t xml:space="preserve"> a house guest and other members of the family entered newspaper contests in the guest's name and contributed equally to the contests' entry fees. They had agreed to equally divide any winnings. The lodger claimed there was no purpose to establish a formal relationship when they won £750 and refused to split the money. The judges determined that the agreement to split the prize money from the Sunday paper competition was legally enforceable because all the parties shared the entrance fee, which clearly showed a desire to establish a legal relationship.</w:t>
      </w:r>
    </w:p>
    <w:p w14:paraId="0F31BC03" w14:textId="336A3DFA" w:rsidR="0028470C" w:rsidRPr="0028470C" w:rsidRDefault="0028470C" w:rsidP="0011624E">
      <w:pPr>
        <w:rPr>
          <w:rFonts w:ascii="Times New Roman" w:hAnsi="Times New Roman" w:cs="Times New Roman"/>
          <w:b/>
          <w:bCs/>
          <w:sz w:val="24"/>
          <w:szCs w:val="24"/>
        </w:rPr>
      </w:pPr>
      <w:r w:rsidRPr="0028470C">
        <w:rPr>
          <w:rFonts w:ascii="Times New Roman" w:hAnsi="Times New Roman" w:cs="Times New Roman"/>
          <w:b/>
          <w:bCs/>
          <w:sz w:val="24"/>
          <w:szCs w:val="24"/>
        </w:rPr>
        <w:t>Agreements made within a commercial</w:t>
      </w:r>
      <w:r>
        <w:rPr>
          <w:rFonts w:ascii="Times New Roman" w:hAnsi="Times New Roman" w:cs="Times New Roman"/>
          <w:b/>
          <w:bCs/>
          <w:sz w:val="24"/>
          <w:szCs w:val="24"/>
        </w:rPr>
        <w:t xml:space="preserve"> or </w:t>
      </w:r>
      <w:r w:rsidRPr="0028470C">
        <w:rPr>
          <w:rFonts w:ascii="Times New Roman" w:hAnsi="Times New Roman" w:cs="Times New Roman"/>
          <w:b/>
          <w:bCs/>
          <w:sz w:val="24"/>
          <w:szCs w:val="24"/>
        </w:rPr>
        <w:t>business context</w:t>
      </w:r>
    </w:p>
    <w:p w14:paraId="09654646" w14:textId="760B4969" w:rsidR="00EC0074" w:rsidRDefault="0076107D" w:rsidP="0011624E">
      <w:pPr>
        <w:rPr>
          <w:rFonts w:ascii="Times New Roman" w:hAnsi="Times New Roman" w:cs="Times New Roman"/>
          <w:sz w:val="24"/>
          <w:szCs w:val="24"/>
        </w:rPr>
      </w:pPr>
      <w:r w:rsidRPr="0076107D">
        <w:rPr>
          <w:rFonts w:ascii="Times New Roman" w:hAnsi="Times New Roman" w:cs="Times New Roman"/>
          <w:sz w:val="24"/>
          <w:szCs w:val="24"/>
        </w:rPr>
        <w:t xml:space="preserve">Regarding the goal to establish legal ties, contracts of a business or commercial nature are viewed differently from social and domestic agreements. Profitable business relationships contain a rebuttable presumption that contracts will be enforceable by law unless proof to the opposite is presented. So, it will be on to the party asserting that there was not an intent to establish a legal relationship to present evidence to refute the assumption. In most business agreements, the law assumes a purpose to create legally binding obligations; therefore, in the </w:t>
      </w:r>
      <w:r w:rsidRPr="0076107D">
        <w:rPr>
          <w:rFonts w:ascii="Times New Roman" w:hAnsi="Times New Roman" w:cs="Times New Roman"/>
          <w:sz w:val="24"/>
          <w:szCs w:val="24"/>
        </w:rPr>
        <w:lastRenderedPageBreak/>
        <w:t xml:space="preserve">event that the parties choose to deny this intention, it must be clearly denied, according to a newspaper article published in The Sydney Morning Herald </w:t>
      </w:r>
      <w:r w:rsidR="00FE676C">
        <w:rPr>
          <w:rFonts w:ascii="Times New Roman" w:hAnsi="Times New Roman" w:cs="Times New Roman"/>
          <w:sz w:val="24"/>
          <w:szCs w:val="24"/>
        </w:rPr>
        <w:t>(</w:t>
      </w:r>
      <w:r w:rsidRPr="0076107D">
        <w:rPr>
          <w:rFonts w:ascii="Times New Roman" w:hAnsi="Times New Roman" w:cs="Times New Roman"/>
          <w:sz w:val="24"/>
          <w:szCs w:val="24"/>
        </w:rPr>
        <w:t>1970</w:t>
      </w:r>
      <w:r w:rsidR="00FE676C">
        <w:rPr>
          <w:rFonts w:ascii="Times New Roman" w:hAnsi="Times New Roman" w:cs="Times New Roman"/>
          <w:sz w:val="24"/>
          <w:szCs w:val="24"/>
        </w:rPr>
        <w:t>)</w:t>
      </w:r>
      <w:r w:rsidRPr="0076107D">
        <w:rPr>
          <w:rFonts w:ascii="Times New Roman" w:hAnsi="Times New Roman" w:cs="Times New Roman"/>
          <w:sz w:val="24"/>
          <w:szCs w:val="24"/>
        </w:rPr>
        <w:t>.</w:t>
      </w:r>
      <w:r w:rsidR="00971F29">
        <w:rPr>
          <w:rFonts w:ascii="Times New Roman" w:hAnsi="Times New Roman" w:cs="Times New Roman"/>
          <w:sz w:val="24"/>
          <w:szCs w:val="24"/>
        </w:rPr>
        <w:t xml:space="preserve"> </w:t>
      </w:r>
      <w:r w:rsidR="00CA59AD" w:rsidRPr="00CA59AD">
        <w:rPr>
          <w:rFonts w:ascii="Times New Roman" w:hAnsi="Times New Roman" w:cs="Times New Roman"/>
          <w:sz w:val="24"/>
          <w:szCs w:val="24"/>
        </w:rPr>
        <w:t>In the Esso v</w:t>
      </w:r>
      <w:r w:rsidR="00FE676C">
        <w:rPr>
          <w:rFonts w:ascii="Times New Roman" w:hAnsi="Times New Roman" w:cs="Times New Roman"/>
          <w:sz w:val="24"/>
          <w:szCs w:val="24"/>
        </w:rPr>
        <w:t xml:space="preserve"> </w:t>
      </w:r>
      <w:r w:rsidR="00CA59AD" w:rsidRPr="00CA59AD">
        <w:rPr>
          <w:rFonts w:ascii="Times New Roman" w:hAnsi="Times New Roman" w:cs="Times New Roman"/>
          <w:sz w:val="24"/>
          <w:szCs w:val="24"/>
        </w:rPr>
        <w:t>Commissioners of Customs and Excise [1975] case, the explanation was that for every 4 litres of petrol purchased, the customer would receive a coin with images of football players. According to the court, neither the sellers nor the buyers had any intention of making a legally enforceable agreement about the coins, which have minimal intrinsic worth. They have a business agreement, and Esso Petroleum wants to encourage the selling of petrol. According to the House of Lords, there was a desire to establish legal ties since promises made in advertisements had to be honoured.</w:t>
      </w:r>
      <w:r w:rsidR="00971F29">
        <w:rPr>
          <w:rFonts w:ascii="Times New Roman" w:hAnsi="Times New Roman" w:cs="Times New Roman"/>
          <w:sz w:val="24"/>
          <w:szCs w:val="24"/>
        </w:rPr>
        <w:t xml:space="preserve"> </w:t>
      </w:r>
    </w:p>
    <w:p w14:paraId="25E3F448" w14:textId="4F0E637B" w:rsidR="00C91751" w:rsidRDefault="00971F29" w:rsidP="0011624E">
      <w:pPr>
        <w:rPr>
          <w:rFonts w:ascii="Times New Roman" w:hAnsi="Times New Roman" w:cs="Times New Roman"/>
          <w:sz w:val="24"/>
          <w:szCs w:val="24"/>
        </w:rPr>
      </w:pPr>
      <w:r w:rsidRPr="00971F29">
        <w:rPr>
          <w:rFonts w:ascii="Times New Roman" w:hAnsi="Times New Roman" w:cs="Times New Roman"/>
          <w:sz w:val="24"/>
          <w:szCs w:val="24"/>
        </w:rPr>
        <w:t>In Edwards v. Skyway (1964), the defendant, Skyways, offered to pay Edward if he stopped contributing to his pension fund. But, due to financial issues, the corporation does not pay as per the contract. Given that the transaction was conducted in a legal commercial environment, the court decides that the plaintiff is entitled to damages. In addition, the harm principle states that the defendant is obligated to compensate the claimant if only a monetary duty existed. It was agreed that the airline in this instance was obligated to compensate Edward.</w:t>
      </w:r>
      <w:r w:rsidR="00FE676C">
        <w:rPr>
          <w:rFonts w:ascii="Times New Roman" w:hAnsi="Times New Roman" w:cs="Times New Roman"/>
          <w:sz w:val="24"/>
          <w:szCs w:val="24"/>
        </w:rPr>
        <w:t xml:space="preserve"> </w:t>
      </w:r>
      <w:r w:rsidR="00ED794B" w:rsidRPr="00ED794B">
        <w:rPr>
          <w:rFonts w:ascii="Times New Roman" w:hAnsi="Times New Roman" w:cs="Times New Roman"/>
          <w:sz w:val="24"/>
          <w:szCs w:val="24"/>
        </w:rPr>
        <w:t xml:space="preserve">The plaintiffs and defendants in Rose and Frank v. Compton (1925) entered into an arrangement for the provision of some carbonised tissue paper. The plaintiffs were to serve as the defendant's exclusive representatives in America up until March 1920, according to the agreement. An honourable vow clause in the contract said that the arrangement was not a formal or legally binding contract and would not fall under the court's purview. The plaintiffs filed a claim for breach when the defendants cancelled the contract early. The principle of </w:t>
      </w:r>
      <w:proofErr w:type="spellStart"/>
      <w:r w:rsidR="00ED794B" w:rsidRPr="00ED794B">
        <w:rPr>
          <w:rFonts w:ascii="Times New Roman" w:hAnsi="Times New Roman" w:cs="Times New Roman"/>
          <w:sz w:val="24"/>
          <w:szCs w:val="24"/>
        </w:rPr>
        <w:t>honor</w:t>
      </w:r>
      <w:proofErr w:type="spellEnd"/>
      <w:r w:rsidR="00ED794B" w:rsidRPr="00ED794B">
        <w:rPr>
          <w:rFonts w:ascii="Times New Roman" w:hAnsi="Times New Roman" w:cs="Times New Roman"/>
          <w:sz w:val="24"/>
          <w:szCs w:val="24"/>
        </w:rPr>
        <w:t>-pledge clauses, which clarify that there is no purpose to establish legal ties in a contract, was approved by the House of Lords.</w:t>
      </w:r>
    </w:p>
    <w:p w14:paraId="0ADDA18A" w14:textId="67C96188" w:rsidR="00C91751" w:rsidRDefault="00487F2E" w:rsidP="0011624E">
      <w:pPr>
        <w:rPr>
          <w:rFonts w:ascii="Times New Roman" w:hAnsi="Times New Roman" w:cs="Times New Roman"/>
          <w:sz w:val="24"/>
          <w:szCs w:val="24"/>
        </w:rPr>
      </w:pPr>
      <w:r w:rsidRPr="00487F2E">
        <w:rPr>
          <w:rFonts w:ascii="Times New Roman" w:hAnsi="Times New Roman" w:cs="Times New Roman"/>
          <w:sz w:val="24"/>
          <w:szCs w:val="24"/>
        </w:rPr>
        <w:t>In Kleinwort Benson v. Malaysian Mining Corp. (1989), the defendant borrowed money from a bank to fund its London-based subsidiary firm and sent the bank a "comfort letter" stating that its policy is to make sure the subsidiary company can pay its debts to the bank. The court ruled that a "comfort letter" that, from a business standpoint, seems to guarantee a company's financial stability but really contains material to support this, is not a binding contract and does not show a desire to establish legal ties.</w:t>
      </w:r>
      <w:r>
        <w:rPr>
          <w:rFonts w:ascii="Times New Roman" w:hAnsi="Times New Roman" w:cs="Times New Roman"/>
          <w:sz w:val="24"/>
          <w:szCs w:val="24"/>
        </w:rPr>
        <w:t xml:space="preserve"> </w:t>
      </w:r>
      <w:r w:rsidR="00AF37F4" w:rsidRPr="00AF37F4">
        <w:rPr>
          <w:rFonts w:ascii="Times New Roman" w:hAnsi="Times New Roman" w:cs="Times New Roman"/>
          <w:sz w:val="24"/>
          <w:szCs w:val="24"/>
        </w:rPr>
        <w:t>Contrarily, Judge Humphrey Lloyd QC said in the case of ERDC Group Ltd v. Brunel University (2006) that although letters of intent can take many different forms, the ones used in this instance did result in a binding agreement between the parties. He concluded that the letter's conditions were sufficiently clear to be enforceable and that the parties actually intended to establish a legal relationship. Hence, each intent letter must be read in light of the actual circumstances, not just generalisations.</w:t>
      </w:r>
    </w:p>
    <w:p w14:paraId="5FA1C7F5" w14:textId="5E04923A" w:rsidR="00D1391E" w:rsidRDefault="00E97A64" w:rsidP="0011624E">
      <w:pPr>
        <w:rPr>
          <w:rFonts w:ascii="Times New Roman" w:hAnsi="Times New Roman" w:cs="Times New Roman"/>
          <w:sz w:val="24"/>
          <w:szCs w:val="24"/>
        </w:rPr>
      </w:pPr>
      <w:r w:rsidRPr="00E97A64">
        <w:rPr>
          <w:rFonts w:ascii="Times New Roman" w:hAnsi="Times New Roman" w:cs="Times New Roman"/>
          <w:sz w:val="24"/>
          <w:szCs w:val="24"/>
        </w:rPr>
        <w:t xml:space="preserve">Unless a collective agreement is in written and expressly contains a provision to the contrary, it is presumed that it is not legally enforceable under section 179 of the Trade Union and Labour Relations (Consolidation) Act 1992. </w:t>
      </w:r>
      <w:r w:rsidR="00F80023" w:rsidRPr="00F80023">
        <w:rPr>
          <w:rFonts w:ascii="Times New Roman" w:hAnsi="Times New Roman" w:cs="Times New Roman"/>
          <w:sz w:val="24"/>
          <w:szCs w:val="24"/>
        </w:rPr>
        <w:t>With the equitable remedy of rectification, the court can fix a mistake in a written agreement if the mistake was made by both parties or just one party. In Tyne and Wear Passenger Transport Executive t/a Nexus v. National Union of Rail, Maritime, and Transport Workers and another</w:t>
      </w:r>
      <w:r w:rsidR="00F80023">
        <w:rPr>
          <w:rFonts w:ascii="Times New Roman" w:hAnsi="Times New Roman" w:cs="Times New Roman"/>
          <w:sz w:val="24"/>
          <w:szCs w:val="24"/>
        </w:rPr>
        <w:t xml:space="preserve"> (2021)</w:t>
      </w:r>
      <w:r w:rsidR="00F80023" w:rsidRPr="00F80023">
        <w:rPr>
          <w:rFonts w:ascii="Times New Roman" w:hAnsi="Times New Roman" w:cs="Times New Roman"/>
          <w:sz w:val="24"/>
          <w:szCs w:val="24"/>
        </w:rPr>
        <w:t xml:space="preserve">, Nexus asked for the collective agreement to be changed. It said that taking into account the payment of the bonus as part of an enhanced shift allowance was not what the parties had in mind at the time, and that the unions knew, or should have known, that the payment was not meant to be part of the enhanced shift allowance. The Court of Appeal said that the Trade Union and Labour Relations (Consolidation) Act 1992 doesn't give the court the power to change a collective </w:t>
      </w:r>
      <w:r w:rsidR="00F80023" w:rsidRPr="00F80023">
        <w:rPr>
          <w:rFonts w:ascii="Times New Roman" w:hAnsi="Times New Roman" w:cs="Times New Roman"/>
          <w:sz w:val="24"/>
          <w:szCs w:val="24"/>
        </w:rPr>
        <w:lastRenderedPageBreak/>
        <w:t>agreement. Instead, any claim should be made about individual employee contracts that may include the terms of the collective agreement.</w:t>
      </w:r>
    </w:p>
    <w:p w14:paraId="706A9B6D" w14:textId="3A17DF36" w:rsidR="008C0560" w:rsidRPr="008C0560" w:rsidRDefault="008C0560" w:rsidP="0011624E">
      <w:pPr>
        <w:rPr>
          <w:rFonts w:ascii="Times New Roman" w:hAnsi="Times New Roman" w:cs="Times New Roman"/>
          <w:b/>
          <w:bCs/>
          <w:sz w:val="24"/>
          <w:szCs w:val="24"/>
        </w:rPr>
      </w:pPr>
      <w:r w:rsidRPr="008C0560">
        <w:rPr>
          <w:rFonts w:ascii="Times New Roman" w:hAnsi="Times New Roman" w:cs="Times New Roman"/>
          <w:b/>
          <w:bCs/>
          <w:sz w:val="24"/>
          <w:szCs w:val="24"/>
        </w:rPr>
        <w:t>Agreements made with public bodies or those which affect public interest</w:t>
      </w:r>
    </w:p>
    <w:p w14:paraId="59AC3A8A" w14:textId="53489E06" w:rsidR="00D1391E" w:rsidRPr="00765D3B" w:rsidRDefault="00765D3B" w:rsidP="0011624E">
      <w:pPr>
        <w:rPr>
          <w:rFonts w:ascii="Times New Roman" w:hAnsi="Times New Roman" w:cs="Times New Roman"/>
          <w:sz w:val="24"/>
          <w:szCs w:val="24"/>
        </w:rPr>
      </w:pPr>
      <w:r w:rsidRPr="00765D3B">
        <w:rPr>
          <w:rFonts w:ascii="Times New Roman" w:hAnsi="Times New Roman" w:cs="Times New Roman"/>
          <w:sz w:val="24"/>
          <w:szCs w:val="24"/>
        </w:rPr>
        <w:t>Martin (2003) defined public law as the area of the law that regulates connections between individuals who directly affect society and the government, between various agencies within a state, and between various organs of government. Public law includes all procedural law as well as criminal, tax, administrative, and administrative law.</w:t>
      </w:r>
    </w:p>
    <w:p w14:paraId="1697E01D" w14:textId="3C1529EB" w:rsidR="00C91751" w:rsidRDefault="00D56562" w:rsidP="0011624E">
      <w:pPr>
        <w:rPr>
          <w:rFonts w:ascii="Times New Roman" w:hAnsi="Times New Roman" w:cs="Times New Roman"/>
          <w:sz w:val="24"/>
          <w:szCs w:val="24"/>
        </w:rPr>
      </w:pPr>
      <w:r w:rsidRPr="00D56562">
        <w:rPr>
          <w:rFonts w:ascii="Times New Roman" w:hAnsi="Times New Roman" w:cs="Times New Roman"/>
          <w:sz w:val="24"/>
          <w:szCs w:val="24"/>
        </w:rPr>
        <w:t>The court may decline to discover an intention to establish legal relations in cases where it would put the general public at unnecessary financial risk, would in some manner thwart Parliament's objective, or would impair the operation of a public service. For instance, the provision of power was the focus of a statutory responsibility in the Willmore v. South Eastern Electricity Board (1957) case. It was decided that no purpose existed to establish contractual or legal relations.</w:t>
      </w:r>
      <w:r>
        <w:rPr>
          <w:rFonts w:ascii="Times New Roman" w:hAnsi="Times New Roman" w:cs="Times New Roman"/>
          <w:sz w:val="24"/>
          <w:szCs w:val="24"/>
        </w:rPr>
        <w:t xml:space="preserve"> </w:t>
      </w:r>
      <w:r w:rsidR="00EE40DD">
        <w:rPr>
          <w:rFonts w:ascii="Times New Roman" w:hAnsi="Times New Roman" w:cs="Times New Roman"/>
          <w:sz w:val="24"/>
          <w:szCs w:val="24"/>
        </w:rPr>
        <w:t xml:space="preserve">In </w:t>
      </w:r>
      <w:proofErr w:type="spellStart"/>
      <w:r w:rsidR="00EE40DD" w:rsidRPr="00EE40DD">
        <w:rPr>
          <w:rFonts w:ascii="Times New Roman" w:hAnsi="Times New Roman" w:cs="Times New Roman"/>
          <w:sz w:val="24"/>
          <w:szCs w:val="24"/>
        </w:rPr>
        <w:t>Triefus</w:t>
      </w:r>
      <w:proofErr w:type="spellEnd"/>
      <w:r w:rsidR="00EE40DD" w:rsidRPr="00EE40DD">
        <w:rPr>
          <w:rFonts w:ascii="Times New Roman" w:hAnsi="Times New Roman" w:cs="Times New Roman"/>
          <w:sz w:val="24"/>
          <w:szCs w:val="24"/>
        </w:rPr>
        <w:t xml:space="preserve"> v Post Office </w:t>
      </w:r>
      <w:r w:rsidR="00EE40DD">
        <w:rPr>
          <w:rFonts w:ascii="Times New Roman" w:hAnsi="Times New Roman" w:cs="Times New Roman"/>
          <w:sz w:val="24"/>
          <w:szCs w:val="24"/>
        </w:rPr>
        <w:t>(</w:t>
      </w:r>
      <w:r w:rsidR="00EE40DD" w:rsidRPr="00EE40DD">
        <w:rPr>
          <w:rFonts w:ascii="Times New Roman" w:hAnsi="Times New Roman" w:cs="Times New Roman"/>
          <w:sz w:val="24"/>
          <w:szCs w:val="24"/>
        </w:rPr>
        <w:t>1957</w:t>
      </w:r>
      <w:r w:rsidR="00EE40DD">
        <w:rPr>
          <w:rFonts w:ascii="Times New Roman" w:hAnsi="Times New Roman" w:cs="Times New Roman"/>
          <w:sz w:val="24"/>
          <w:szCs w:val="24"/>
        </w:rPr>
        <w:t>) case, t</w:t>
      </w:r>
      <w:r w:rsidR="00EE40DD" w:rsidRPr="00EE40DD">
        <w:rPr>
          <w:rFonts w:ascii="Times New Roman" w:hAnsi="Times New Roman" w:cs="Times New Roman"/>
          <w:sz w:val="24"/>
          <w:szCs w:val="24"/>
        </w:rPr>
        <w:t xml:space="preserve">he court has determined that the Post Office does not have a contractual commitment to the sender of a letter under the terms of the Post Office Act and Regulations, which governs how it operates. In addition, Lord Justice stated in his conclusion that </w:t>
      </w:r>
      <w:r w:rsidR="00EE40DD">
        <w:rPr>
          <w:rFonts w:ascii="Times New Roman" w:hAnsi="Times New Roman" w:cs="Times New Roman"/>
          <w:sz w:val="24"/>
          <w:szCs w:val="24"/>
        </w:rPr>
        <w:t>“t</w:t>
      </w:r>
      <w:r w:rsidR="00EE40DD" w:rsidRPr="00EE40DD">
        <w:rPr>
          <w:rFonts w:ascii="Times New Roman" w:hAnsi="Times New Roman" w:cs="Times New Roman"/>
          <w:sz w:val="24"/>
          <w:szCs w:val="24"/>
        </w:rPr>
        <w:t>he Post Office does not enter into an express or implicit contract of carriage. It receives postal packets for postal transmission in accordance with and subject to the Post Office Act's and its implementing regulations' rules</w:t>
      </w:r>
      <w:r w:rsidR="00EE40DD">
        <w:rPr>
          <w:rFonts w:ascii="Times New Roman" w:hAnsi="Times New Roman" w:cs="Times New Roman"/>
          <w:sz w:val="24"/>
          <w:szCs w:val="24"/>
        </w:rPr>
        <w:t xml:space="preserve">”. </w:t>
      </w:r>
      <w:r w:rsidR="003B703E" w:rsidRPr="003B703E">
        <w:rPr>
          <w:rFonts w:ascii="Times New Roman" w:hAnsi="Times New Roman" w:cs="Times New Roman"/>
          <w:sz w:val="24"/>
          <w:szCs w:val="24"/>
        </w:rPr>
        <w:t>The claimant in Robinson v HM Customs &amp; Excise (2000) acted as an insider for HM Customs &amp; Excise and afterwards claimed fees and costs in return. There was no desire to establish legal connections in these circumstances, which was one of the factors contributing to the court's decision against the claimant.</w:t>
      </w:r>
    </w:p>
    <w:p w14:paraId="7915192F" w14:textId="285EE7A7" w:rsidR="00C91751" w:rsidRPr="00EE40DD" w:rsidRDefault="00EE40DD" w:rsidP="0011624E">
      <w:pPr>
        <w:rPr>
          <w:rFonts w:ascii="Times New Roman" w:hAnsi="Times New Roman" w:cs="Times New Roman"/>
          <w:b/>
          <w:bCs/>
          <w:sz w:val="24"/>
          <w:szCs w:val="24"/>
        </w:rPr>
      </w:pPr>
      <w:r w:rsidRPr="00EE40DD">
        <w:rPr>
          <w:rFonts w:ascii="Times New Roman" w:hAnsi="Times New Roman" w:cs="Times New Roman"/>
          <w:b/>
          <w:bCs/>
          <w:sz w:val="24"/>
          <w:szCs w:val="24"/>
        </w:rPr>
        <w:t>(2180 words)</w:t>
      </w:r>
    </w:p>
    <w:p w14:paraId="37B38DC8" w14:textId="7E5300ED" w:rsidR="00C91751" w:rsidRDefault="00C91751" w:rsidP="0011624E">
      <w:pPr>
        <w:rPr>
          <w:rFonts w:ascii="Times New Roman" w:hAnsi="Times New Roman" w:cs="Times New Roman"/>
          <w:sz w:val="24"/>
          <w:szCs w:val="24"/>
        </w:rPr>
      </w:pPr>
    </w:p>
    <w:p w14:paraId="51578B0B" w14:textId="267E0415" w:rsidR="00C91751" w:rsidRDefault="00C91751" w:rsidP="0011624E">
      <w:pPr>
        <w:rPr>
          <w:rFonts w:ascii="Times New Roman" w:hAnsi="Times New Roman" w:cs="Times New Roman"/>
          <w:sz w:val="24"/>
          <w:szCs w:val="24"/>
        </w:rPr>
      </w:pPr>
    </w:p>
    <w:p w14:paraId="4B6F605C" w14:textId="0AD0953F" w:rsidR="00C91751" w:rsidRDefault="00C91751" w:rsidP="0011624E">
      <w:pPr>
        <w:rPr>
          <w:rFonts w:ascii="Times New Roman" w:hAnsi="Times New Roman" w:cs="Times New Roman"/>
          <w:sz w:val="24"/>
          <w:szCs w:val="24"/>
        </w:rPr>
      </w:pPr>
    </w:p>
    <w:p w14:paraId="7EFA53F8" w14:textId="6474593D" w:rsidR="00C91751" w:rsidRDefault="00C91751" w:rsidP="0011624E">
      <w:pPr>
        <w:rPr>
          <w:rFonts w:ascii="Times New Roman" w:hAnsi="Times New Roman" w:cs="Times New Roman"/>
          <w:sz w:val="24"/>
          <w:szCs w:val="24"/>
        </w:rPr>
      </w:pPr>
    </w:p>
    <w:p w14:paraId="5E9054A5" w14:textId="620C35D3" w:rsidR="00C91751" w:rsidRDefault="00C91751" w:rsidP="0011624E">
      <w:pPr>
        <w:rPr>
          <w:rFonts w:ascii="Times New Roman" w:hAnsi="Times New Roman" w:cs="Times New Roman"/>
          <w:sz w:val="24"/>
          <w:szCs w:val="24"/>
        </w:rPr>
      </w:pPr>
    </w:p>
    <w:p w14:paraId="0979D179" w14:textId="2165BF10" w:rsidR="00C91751" w:rsidRDefault="00C91751" w:rsidP="0011624E">
      <w:pPr>
        <w:rPr>
          <w:rFonts w:ascii="Times New Roman" w:hAnsi="Times New Roman" w:cs="Times New Roman"/>
          <w:sz w:val="24"/>
          <w:szCs w:val="24"/>
        </w:rPr>
      </w:pPr>
    </w:p>
    <w:p w14:paraId="575F93D1" w14:textId="08B68BF3" w:rsidR="00C91751" w:rsidRDefault="00C91751" w:rsidP="0011624E">
      <w:pPr>
        <w:rPr>
          <w:rFonts w:ascii="Times New Roman" w:hAnsi="Times New Roman" w:cs="Times New Roman"/>
          <w:sz w:val="24"/>
          <w:szCs w:val="24"/>
        </w:rPr>
      </w:pPr>
    </w:p>
    <w:p w14:paraId="1FD2B6FB" w14:textId="71C26E22" w:rsidR="00C91751" w:rsidRDefault="00C91751" w:rsidP="0011624E">
      <w:pPr>
        <w:rPr>
          <w:rFonts w:ascii="Times New Roman" w:hAnsi="Times New Roman" w:cs="Times New Roman"/>
          <w:sz w:val="24"/>
          <w:szCs w:val="24"/>
        </w:rPr>
      </w:pPr>
    </w:p>
    <w:p w14:paraId="5B203152" w14:textId="77777777" w:rsidR="007E313C" w:rsidRDefault="007E313C" w:rsidP="0011624E">
      <w:pPr>
        <w:rPr>
          <w:rFonts w:ascii="Times New Roman" w:hAnsi="Times New Roman" w:cs="Times New Roman"/>
          <w:b/>
          <w:bCs/>
          <w:sz w:val="24"/>
          <w:szCs w:val="24"/>
        </w:rPr>
      </w:pPr>
    </w:p>
    <w:p w14:paraId="0F731093" w14:textId="77777777" w:rsidR="007E313C" w:rsidRDefault="007E313C" w:rsidP="0011624E">
      <w:pPr>
        <w:rPr>
          <w:rFonts w:ascii="Times New Roman" w:hAnsi="Times New Roman" w:cs="Times New Roman"/>
          <w:b/>
          <w:bCs/>
          <w:sz w:val="24"/>
          <w:szCs w:val="24"/>
        </w:rPr>
      </w:pPr>
    </w:p>
    <w:p w14:paraId="2F2EDA12" w14:textId="77777777" w:rsidR="00EE40DD" w:rsidRDefault="00EE40DD" w:rsidP="0011624E">
      <w:pPr>
        <w:rPr>
          <w:rFonts w:ascii="Times New Roman" w:hAnsi="Times New Roman" w:cs="Times New Roman"/>
          <w:b/>
          <w:bCs/>
          <w:sz w:val="24"/>
          <w:szCs w:val="24"/>
        </w:rPr>
      </w:pPr>
    </w:p>
    <w:p w14:paraId="0375ECC1" w14:textId="77777777" w:rsidR="00EE40DD" w:rsidRDefault="00EE40DD" w:rsidP="0011624E">
      <w:pPr>
        <w:rPr>
          <w:rFonts w:ascii="Times New Roman" w:hAnsi="Times New Roman" w:cs="Times New Roman"/>
          <w:b/>
          <w:bCs/>
          <w:sz w:val="24"/>
          <w:szCs w:val="24"/>
        </w:rPr>
      </w:pPr>
    </w:p>
    <w:p w14:paraId="040186C3" w14:textId="77777777" w:rsidR="00EE40DD" w:rsidRDefault="00EE40DD" w:rsidP="0011624E">
      <w:pPr>
        <w:rPr>
          <w:rFonts w:ascii="Times New Roman" w:hAnsi="Times New Roman" w:cs="Times New Roman"/>
          <w:b/>
          <w:bCs/>
          <w:sz w:val="24"/>
          <w:szCs w:val="24"/>
        </w:rPr>
      </w:pPr>
    </w:p>
    <w:p w14:paraId="700ED785" w14:textId="77777777" w:rsidR="00EE40DD" w:rsidRDefault="00EE40DD" w:rsidP="0011624E">
      <w:pPr>
        <w:rPr>
          <w:rFonts w:ascii="Times New Roman" w:hAnsi="Times New Roman" w:cs="Times New Roman"/>
          <w:b/>
          <w:bCs/>
          <w:sz w:val="24"/>
          <w:szCs w:val="24"/>
        </w:rPr>
      </w:pPr>
    </w:p>
    <w:p w14:paraId="4B07FBF9" w14:textId="046EFB5C" w:rsidR="00C91751" w:rsidRDefault="00C91751" w:rsidP="0011624E">
      <w:pPr>
        <w:rPr>
          <w:rFonts w:ascii="Times New Roman" w:hAnsi="Times New Roman" w:cs="Times New Roman"/>
          <w:b/>
          <w:bCs/>
          <w:sz w:val="24"/>
          <w:szCs w:val="24"/>
        </w:rPr>
      </w:pPr>
      <w:r w:rsidRPr="00C91751">
        <w:rPr>
          <w:rFonts w:ascii="Times New Roman" w:hAnsi="Times New Roman" w:cs="Times New Roman"/>
          <w:b/>
          <w:bCs/>
          <w:sz w:val="24"/>
          <w:szCs w:val="24"/>
        </w:rPr>
        <w:lastRenderedPageBreak/>
        <w:t>References</w:t>
      </w:r>
    </w:p>
    <w:p w14:paraId="3E7E978F" w14:textId="77777777" w:rsidR="00EE40DD" w:rsidRPr="00EE40DD" w:rsidRDefault="00EE40DD" w:rsidP="00EE40DD">
      <w:pPr>
        <w:rPr>
          <w:rFonts w:ascii="Times New Roman" w:hAnsi="Times New Roman" w:cs="Times New Roman"/>
          <w:i/>
          <w:iCs/>
          <w:sz w:val="24"/>
          <w:szCs w:val="24"/>
        </w:rPr>
      </w:pPr>
      <w:proofErr w:type="spellStart"/>
      <w:r w:rsidRPr="00EE40DD">
        <w:rPr>
          <w:rFonts w:ascii="Times New Roman" w:hAnsi="Times New Roman" w:cs="Times New Roman"/>
          <w:i/>
          <w:iCs/>
          <w:sz w:val="24"/>
          <w:szCs w:val="24"/>
        </w:rPr>
        <w:t>Beauman</w:t>
      </w:r>
      <w:proofErr w:type="spellEnd"/>
      <w:r w:rsidRPr="00EE40DD">
        <w:rPr>
          <w:rFonts w:ascii="Times New Roman" w:hAnsi="Times New Roman" w:cs="Times New Roman"/>
          <w:i/>
          <w:iCs/>
          <w:sz w:val="24"/>
          <w:szCs w:val="24"/>
        </w:rPr>
        <w:t>, C. (2020). Ten things you need to know about intention to create legal relations. A Level Law Review, 1 Jan., p.17.</w:t>
      </w:r>
    </w:p>
    <w:p w14:paraId="19892F61" w14:textId="77777777" w:rsidR="00EE40DD" w:rsidRPr="00EE40DD" w:rsidRDefault="00EE40DD" w:rsidP="00EE40DD">
      <w:pPr>
        <w:rPr>
          <w:rFonts w:ascii="Times New Roman" w:hAnsi="Times New Roman" w:cs="Times New Roman"/>
          <w:i/>
          <w:iCs/>
          <w:sz w:val="24"/>
          <w:szCs w:val="24"/>
        </w:rPr>
      </w:pPr>
      <w:r w:rsidRPr="00EE40DD">
        <w:rPr>
          <w:rFonts w:ascii="Times New Roman" w:hAnsi="Times New Roman" w:cs="Times New Roman"/>
          <w:i/>
          <w:iCs/>
          <w:sz w:val="24"/>
          <w:szCs w:val="24"/>
        </w:rPr>
        <w:t>Braverman, S. and Buckland, R. (2020). Consultation on revisions to the Attorney General’s Guidelines on Disclosure and the CPIA Code of Practice. [online] United Kingdom Government, p.7. Available at: https://assets.publishing.service.gov.uk/government/uploads/system/uploads/attachment_data/file/879676/Consultation_document_-_FINAL.pdf.</w:t>
      </w:r>
    </w:p>
    <w:p w14:paraId="3EEB5B54" w14:textId="77777777" w:rsidR="00EE40DD" w:rsidRPr="00EE40DD" w:rsidRDefault="00EE40DD" w:rsidP="00EE40DD">
      <w:pPr>
        <w:rPr>
          <w:rFonts w:ascii="Times New Roman" w:hAnsi="Times New Roman" w:cs="Times New Roman"/>
          <w:i/>
          <w:iCs/>
          <w:sz w:val="24"/>
          <w:szCs w:val="24"/>
        </w:rPr>
      </w:pPr>
      <w:r w:rsidRPr="00EE40DD">
        <w:rPr>
          <w:rFonts w:ascii="Times New Roman" w:hAnsi="Times New Roman" w:cs="Times New Roman"/>
          <w:i/>
          <w:iCs/>
          <w:sz w:val="24"/>
          <w:szCs w:val="24"/>
        </w:rPr>
        <w:t xml:space="preserve">Courts and Tribunals Judiciary (2022). Tyne &amp; Wear Passenger Transport Executive T/A Nexus (respondent) v Unite the Union (appellant) &amp; </w:t>
      </w:r>
      <w:proofErr w:type="spellStart"/>
      <w:r w:rsidRPr="00EE40DD">
        <w:rPr>
          <w:rFonts w:ascii="Times New Roman" w:hAnsi="Times New Roman" w:cs="Times New Roman"/>
          <w:i/>
          <w:iCs/>
          <w:sz w:val="24"/>
          <w:szCs w:val="24"/>
        </w:rPr>
        <w:t>anr</w:t>
      </w:r>
      <w:proofErr w:type="spellEnd"/>
      <w:r w:rsidRPr="00EE40DD">
        <w:rPr>
          <w:rFonts w:ascii="Times New Roman" w:hAnsi="Times New Roman" w:cs="Times New Roman"/>
          <w:i/>
          <w:iCs/>
          <w:sz w:val="24"/>
          <w:szCs w:val="24"/>
        </w:rPr>
        <w:t>. [online] Courts and Tribunals Judiciary. Available at: https://www.judiciary.uk/live-hearings/tyne-wear-passenger-transport-executive-t-a-nexus-respondent-v-unite-the-union-appellant-anr/.</w:t>
      </w:r>
    </w:p>
    <w:p w14:paraId="661B7D1B" w14:textId="77777777" w:rsidR="00EE40DD" w:rsidRPr="00EE40DD" w:rsidRDefault="00EE40DD" w:rsidP="00EE40DD">
      <w:pPr>
        <w:rPr>
          <w:rFonts w:ascii="Times New Roman" w:hAnsi="Times New Roman" w:cs="Times New Roman"/>
          <w:i/>
          <w:iCs/>
          <w:sz w:val="24"/>
          <w:szCs w:val="24"/>
        </w:rPr>
      </w:pPr>
      <w:r w:rsidRPr="00EE40DD">
        <w:rPr>
          <w:rFonts w:ascii="Times New Roman" w:hAnsi="Times New Roman" w:cs="Times New Roman"/>
          <w:i/>
          <w:iCs/>
          <w:sz w:val="24"/>
          <w:szCs w:val="24"/>
        </w:rPr>
        <w:t xml:space="preserve">Ewan </w:t>
      </w:r>
      <w:proofErr w:type="spellStart"/>
      <w:r w:rsidRPr="00EE40DD">
        <w:rPr>
          <w:rFonts w:ascii="Times New Roman" w:hAnsi="Times New Roman" w:cs="Times New Roman"/>
          <w:i/>
          <w:iCs/>
          <w:sz w:val="24"/>
          <w:szCs w:val="24"/>
        </w:rPr>
        <w:t>Mckendrick</w:t>
      </w:r>
      <w:proofErr w:type="spellEnd"/>
      <w:r w:rsidRPr="00EE40DD">
        <w:rPr>
          <w:rFonts w:ascii="Times New Roman" w:hAnsi="Times New Roman" w:cs="Times New Roman"/>
          <w:i/>
          <w:iCs/>
          <w:sz w:val="24"/>
          <w:szCs w:val="24"/>
        </w:rPr>
        <w:t xml:space="preserve"> (1997). Contract law. 12th ed. London: Palgrave, p.113.</w:t>
      </w:r>
    </w:p>
    <w:p w14:paraId="479B5B9C" w14:textId="77777777" w:rsidR="00EE40DD" w:rsidRPr="00EE40DD" w:rsidRDefault="00EE40DD" w:rsidP="00EE40DD">
      <w:pPr>
        <w:rPr>
          <w:rFonts w:ascii="Times New Roman" w:hAnsi="Times New Roman" w:cs="Times New Roman"/>
          <w:i/>
          <w:iCs/>
          <w:sz w:val="24"/>
          <w:szCs w:val="24"/>
        </w:rPr>
      </w:pPr>
      <w:r w:rsidRPr="00EE40DD">
        <w:rPr>
          <w:rFonts w:ascii="Times New Roman" w:hAnsi="Times New Roman" w:cs="Times New Roman"/>
          <w:i/>
          <w:iCs/>
          <w:sz w:val="24"/>
          <w:szCs w:val="24"/>
        </w:rPr>
        <w:t xml:space="preserve">Hill, G.N. and Hill, K. (2002). The people’s Law </w:t>
      </w:r>
      <w:proofErr w:type="gramStart"/>
      <w:r w:rsidRPr="00EE40DD">
        <w:rPr>
          <w:rFonts w:ascii="Times New Roman" w:hAnsi="Times New Roman" w:cs="Times New Roman"/>
          <w:i/>
          <w:iCs/>
          <w:sz w:val="24"/>
          <w:szCs w:val="24"/>
        </w:rPr>
        <w:t>Dictionary :</w:t>
      </w:r>
      <w:proofErr w:type="gramEnd"/>
      <w:r w:rsidRPr="00EE40DD">
        <w:rPr>
          <w:rFonts w:ascii="Times New Roman" w:hAnsi="Times New Roman" w:cs="Times New Roman"/>
          <w:i/>
          <w:iCs/>
          <w:sz w:val="24"/>
          <w:szCs w:val="24"/>
        </w:rPr>
        <w:t xml:space="preserve"> Taking the Mystery out of Legal Language. [online] New York, USA: </w:t>
      </w:r>
      <w:proofErr w:type="spellStart"/>
      <w:r w:rsidRPr="00EE40DD">
        <w:rPr>
          <w:rFonts w:ascii="Times New Roman" w:hAnsi="Times New Roman" w:cs="Times New Roman"/>
          <w:i/>
          <w:iCs/>
          <w:sz w:val="24"/>
          <w:szCs w:val="24"/>
        </w:rPr>
        <w:t>Mjf</w:t>
      </w:r>
      <w:proofErr w:type="spellEnd"/>
      <w:r w:rsidRPr="00EE40DD">
        <w:rPr>
          <w:rFonts w:ascii="Times New Roman" w:hAnsi="Times New Roman" w:cs="Times New Roman"/>
          <w:i/>
          <w:iCs/>
          <w:sz w:val="24"/>
          <w:szCs w:val="24"/>
        </w:rPr>
        <w:t xml:space="preserve"> Books, p.322. Available at: https://ia800607.us.archive.org/22/items/B-001-001-744/B-001-001-744.pdf.</w:t>
      </w:r>
    </w:p>
    <w:p w14:paraId="2E16519B" w14:textId="77777777" w:rsidR="00EE40DD" w:rsidRPr="00EE40DD" w:rsidRDefault="00EE40DD" w:rsidP="00EE40DD">
      <w:pPr>
        <w:rPr>
          <w:rFonts w:ascii="Times New Roman" w:hAnsi="Times New Roman" w:cs="Times New Roman"/>
          <w:i/>
          <w:iCs/>
          <w:sz w:val="24"/>
          <w:szCs w:val="24"/>
        </w:rPr>
      </w:pPr>
      <w:r w:rsidRPr="00EE40DD">
        <w:rPr>
          <w:rFonts w:ascii="Times New Roman" w:hAnsi="Times New Roman" w:cs="Times New Roman"/>
          <w:i/>
          <w:iCs/>
          <w:sz w:val="24"/>
          <w:szCs w:val="24"/>
        </w:rPr>
        <w:t xml:space="preserve">Ibrahim, N., </w:t>
      </w:r>
      <w:proofErr w:type="spellStart"/>
      <w:r w:rsidRPr="00EE40DD">
        <w:rPr>
          <w:rFonts w:ascii="Times New Roman" w:hAnsi="Times New Roman" w:cs="Times New Roman"/>
          <w:i/>
          <w:iCs/>
          <w:sz w:val="24"/>
          <w:szCs w:val="24"/>
        </w:rPr>
        <w:t>Asuhaimi</w:t>
      </w:r>
      <w:proofErr w:type="spellEnd"/>
      <w:r w:rsidRPr="00EE40DD">
        <w:rPr>
          <w:rFonts w:ascii="Times New Roman" w:hAnsi="Times New Roman" w:cs="Times New Roman"/>
          <w:i/>
          <w:iCs/>
          <w:sz w:val="24"/>
          <w:szCs w:val="24"/>
        </w:rPr>
        <w:t xml:space="preserve">, F., Abd </w:t>
      </w:r>
      <w:proofErr w:type="spellStart"/>
      <w:r w:rsidRPr="00EE40DD">
        <w:rPr>
          <w:rFonts w:ascii="Times New Roman" w:hAnsi="Times New Roman" w:cs="Times New Roman"/>
          <w:i/>
          <w:iCs/>
          <w:sz w:val="24"/>
          <w:szCs w:val="24"/>
        </w:rPr>
        <w:t>Ghadas</w:t>
      </w:r>
      <w:proofErr w:type="spellEnd"/>
      <w:r w:rsidRPr="00EE40DD">
        <w:rPr>
          <w:rFonts w:ascii="Times New Roman" w:hAnsi="Times New Roman" w:cs="Times New Roman"/>
          <w:i/>
          <w:iCs/>
          <w:sz w:val="24"/>
          <w:szCs w:val="24"/>
        </w:rPr>
        <w:t xml:space="preserve">, Z. and </w:t>
      </w:r>
      <w:proofErr w:type="spellStart"/>
      <w:r w:rsidRPr="00EE40DD">
        <w:rPr>
          <w:rFonts w:ascii="Times New Roman" w:hAnsi="Times New Roman" w:cs="Times New Roman"/>
          <w:i/>
          <w:iCs/>
          <w:sz w:val="24"/>
          <w:szCs w:val="24"/>
        </w:rPr>
        <w:t>Zakariah</w:t>
      </w:r>
      <w:proofErr w:type="spellEnd"/>
      <w:r w:rsidRPr="00EE40DD">
        <w:rPr>
          <w:rFonts w:ascii="Times New Roman" w:hAnsi="Times New Roman" w:cs="Times New Roman"/>
          <w:i/>
          <w:iCs/>
          <w:sz w:val="24"/>
          <w:szCs w:val="24"/>
        </w:rPr>
        <w:t xml:space="preserve">, A. (2015). The Application of Contract Law Principles in Domestic Contracts. </w:t>
      </w:r>
      <w:proofErr w:type="spellStart"/>
      <w:r w:rsidRPr="00EE40DD">
        <w:rPr>
          <w:rFonts w:ascii="Times New Roman" w:hAnsi="Times New Roman" w:cs="Times New Roman"/>
          <w:i/>
          <w:iCs/>
          <w:sz w:val="24"/>
          <w:szCs w:val="24"/>
        </w:rPr>
        <w:t>Pertanika</w:t>
      </w:r>
      <w:proofErr w:type="spellEnd"/>
      <w:r w:rsidRPr="00EE40DD">
        <w:rPr>
          <w:rFonts w:ascii="Times New Roman" w:hAnsi="Times New Roman" w:cs="Times New Roman"/>
          <w:i/>
          <w:iCs/>
          <w:sz w:val="24"/>
          <w:szCs w:val="24"/>
        </w:rPr>
        <w:t xml:space="preserve"> Journals, [online] 23. Available at: https://www.researchgate.net/profile/Zuhairah-Abd-Ghadas/publication/316545096_The_application_of_contract_law_principles_in_domestic_contracts/links/59707c3e0f7e9b44173dffab/The-application-of-contract-law-principles-in-domestic-contracts.pdf.</w:t>
      </w:r>
    </w:p>
    <w:p w14:paraId="29456A4C" w14:textId="77777777" w:rsidR="00EE40DD" w:rsidRPr="00EE40DD" w:rsidRDefault="00EE40DD" w:rsidP="00EE40DD">
      <w:pPr>
        <w:rPr>
          <w:rFonts w:ascii="Times New Roman" w:hAnsi="Times New Roman" w:cs="Times New Roman"/>
          <w:i/>
          <w:iCs/>
          <w:sz w:val="24"/>
          <w:szCs w:val="24"/>
        </w:rPr>
      </w:pPr>
      <w:r w:rsidRPr="00EE40DD">
        <w:rPr>
          <w:rFonts w:ascii="Times New Roman" w:hAnsi="Times New Roman" w:cs="Times New Roman"/>
          <w:i/>
          <w:iCs/>
          <w:sz w:val="24"/>
          <w:szCs w:val="24"/>
        </w:rPr>
        <w:t>LawTeacher.net (2013). Legal Issues in Social Agreements and Contract Law. [online] www.lawteacher.net. Available at: https://www.lawteacher.net/free-law-essays/contract-law/social-and-domestic-agreement-rebutting-assumption-contract-law-essay.php#ftn4 [Accessed 10 Mar. 2023].</w:t>
      </w:r>
    </w:p>
    <w:p w14:paraId="670BA7EB" w14:textId="77777777" w:rsidR="00EE40DD" w:rsidRPr="00EE40DD" w:rsidRDefault="00EE40DD" w:rsidP="00EE40DD">
      <w:pPr>
        <w:rPr>
          <w:rFonts w:ascii="Times New Roman" w:hAnsi="Times New Roman" w:cs="Times New Roman"/>
          <w:i/>
          <w:iCs/>
          <w:sz w:val="24"/>
          <w:szCs w:val="24"/>
        </w:rPr>
      </w:pPr>
      <w:proofErr w:type="spellStart"/>
      <w:r w:rsidRPr="00EE40DD">
        <w:rPr>
          <w:rFonts w:ascii="Times New Roman" w:hAnsi="Times New Roman" w:cs="Times New Roman"/>
          <w:i/>
          <w:iCs/>
          <w:sz w:val="24"/>
          <w:szCs w:val="24"/>
        </w:rPr>
        <w:t>Makhanu</w:t>
      </w:r>
      <w:proofErr w:type="spellEnd"/>
      <w:r w:rsidRPr="00EE40DD">
        <w:rPr>
          <w:rFonts w:ascii="Times New Roman" w:hAnsi="Times New Roman" w:cs="Times New Roman"/>
          <w:i/>
          <w:iCs/>
          <w:sz w:val="24"/>
          <w:szCs w:val="24"/>
        </w:rPr>
        <w:t>, H. (2019). IMPLICATION OF THE PARTIES’ INTENTION TO A CONTRACT: Legal opinion on whether the intention of parties is enforceable notwithstanding its exclusion from express terms and conditions in a contract duly executed by the parties. The Moi University School of Law.</w:t>
      </w:r>
    </w:p>
    <w:p w14:paraId="4535D90F" w14:textId="77777777" w:rsidR="00EE40DD" w:rsidRPr="00EE40DD" w:rsidRDefault="00EE40DD" w:rsidP="00EE40DD">
      <w:pPr>
        <w:rPr>
          <w:rFonts w:ascii="Times New Roman" w:hAnsi="Times New Roman" w:cs="Times New Roman"/>
          <w:i/>
          <w:iCs/>
          <w:sz w:val="24"/>
          <w:szCs w:val="24"/>
        </w:rPr>
      </w:pPr>
      <w:r w:rsidRPr="00EE40DD">
        <w:rPr>
          <w:rFonts w:ascii="Times New Roman" w:hAnsi="Times New Roman" w:cs="Times New Roman"/>
          <w:i/>
          <w:iCs/>
          <w:sz w:val="24"/>
          <w:szCs w:val="24"/>
        </w:rPr>
        <w:t xml:space="preserve">Martin, E.A. (2003). A Dictionary of Law. 7th ed. </w:t>
      </w:r>
      <w:proofErr w:type="gramStart"/>
      <w:r w:rsidRPr="00EE40DD">
        <w:rPr>
          <w:rFonts w:ascii="Times New Roman" w:hAnsi="Times New Roman" w:cs="Times New Roman"/>
          <w:i/>
          <w:iCs/>
          <w:sz w:val="24"/>
          <w:szCs w:val="24"/>
        </w:rPr>
        <w:t>Oxford ;</w:t>
      </w:r>
      <w:proofErr w:type="gramEnd"/>
      <w:r w:rsidRPr="00EE40DD">
        <w:rPr>
          <w:rFonts w:ascii="Times New Roman" w:hAnsi="Times New Roman" w:cs="Times New Roman"/>
          <w:i/>
          <w:iCs/>
          <w:sz w:val="24"/>
          <w:szCs w:val="24"/>
        </w:rPr>
        <w:t xml:space="preserve"> New York: Oxford University Press.</w:t>
      </w:r>
    </w:p>
    <w:p w14:paraId="3DD4E380" w14:textId="77777777" w:rsidR="00EE40DD" w:rsidRPr="00EE40DD" w:rsidRDefault="00EE40DD" w:rsidP="00EE40DD">
      <w:pPr>
        <w:rPr>
          <w:rFonts w:ascii="Times New Roman" w:hAnsi="Times New Roman" w:cs="Times New Roman"/>
          <w:i/>
          <w:iCs/>
          <w:sz w:val="24"/>
          <w:szCs w:val="24"/>
        </w:rPr>
      </w:pPr>
      <w:r w:rsidRPr="00EE40DD">
        <w:rPr>
          <w:rFonts w:ascii="Times New Roman" w:hAnsi="Times New Roman" w:cs="Times New Roman"/>
          <w:i/>
          <w:iCs/>
          <w:sz w:val="24"/>
          <w:szCs w:val="24"/>
        </w:rPr>
        <w:t xml:space="preserve">Nik Mahdi, N.M., Mohamad </w:t>
      </w:r>
      <w:proofErr w:type="spellStart"/>
      <w:r w:rsidRPr="00EE40DD">
        <w:rPr>
          <w:rFonts w:ascii="Times New Roman" w:hAnsi="Times New Roman" w:cs="Times New Roman"/>
          <w:i/>
          <w:iCs/>
          <w:sz w:val="24"/>
          <w:szCs w:val="24"/>
        </w:rPr>
        <w:t>Anuar</w:t>
      </w:r>
      <w:proofErr w:type="spellEnd"/>
      <w:r w:rsidRPr="00EE40DD">
        <w:rPr>
          <w:rFonts w:ascii="Times New Roman" w:hAnsi="Times New Roman" w:cs="Times New Roman"/>
          <w:i/>
          <w:iCs/>
          <w:sz w:val="24"/>
          <w:szCs w:val="24"/>
        </w:rPr>
        <w:t xml:space="preserve">, N.I., </w:t>
      </w:r>
      <w:proofErr w:type="spellStart"/>
      <w:r w:rsidRPr="00EE40DD">
        <w:rPr>
          <w:rFonts w:ascii="Times New Roman" w:hAnsi="Times New Roman" w:cs="Times New Roman"/>
          <w:i/>
          <w:iCs/>
          <w:sz w:val="24"/>
          <w:szCs w:val="24"/>
        </w:rPr>
        <w:t>Razmin</w:t>
      </w:r>
      <w:proofErr w:type="spellEnd"/>
      <w:r w:rsidRPr="00EE40DD">
        <w:rPr>
          <w:rFonts w:ascii="Times New Roman" w:hAnsi="Times New Roman" w:cs="Times New Roman"/>
          <w:i/>
          <w:iCs/>
          <w:sz w:val="24"/>
          <w:szCs w:val="24"/>
        </w:rPr>
        <w:t xml:space="preserve">, N.H. and Mat </w:t>
      </w:r>
      <w:proofErr w:type="spellStart"/>
      <w:r w:rsidRPr="00EE40DD">
        <w:rPr>
          <w:rFonts w:ascii="Times New Roman" w:hAnsi="Times New Roman" w:cs="Times New Roman"/>
          <w:i/>
          <w:iCs/>
          <w:sz w:val="24"/>
          <w:szCs w:val="24"/>
        </w:rPr>
        <w:t>Yusoff</w:t>
      </w:r>
      <w:proofErr w:type="spellEnd"/>
      <w:r w:rsidRPr="00EE40DD">
        <w:rPr>
          <w:rFonts w:ascii="Times New Roman" w:hAnsi="Times New Roman" w:cs="Times New Roman"/>
          <w:i/>
          <w:iCs/>
          <w:sz w:val="24"/>
          <w:szCs w:val="24"/>
        </w:rPr>
        <w:t xml:space="preserve">, N.D. (2012). Enforceable Contracts: Intention </w:t>
      </w:r>
      <w:proofErr w:type="gramStart"/>
      <w:r w:rsidRPr="00EE40DD">
        <w:rPr>
          <w:rFonts w:ascii="Times New Roman" w:hAnsi="Times New Roman" w:cs="Times New Roman"/>
          <w:i/>
          <w:iCs/>
          <w:sz w:val="24"/>
          <w:szCs w:val="24"/>
        </w:rPr>
        <w:t>To</w:t>
      </w:r>
      <w:proofErr w:type="gramEnd"/>
      <w:r w:rsidRPr="00EE40DD">
        <w:rPr>
          <w:rFonts w:ascii="Times New Roman" w:hAnsi="Times New Roman" w:cs="Times New Roman"/>
          <w:i/>
          <w:iCs/>
          <w:sz w:val="24"/>
          <w:szCs w:val="24"/>
        </w:rPr>
        <w:t xml:space="preserve"> Create Legal Relations. In: Proceedings of the 20th International Business Information Management Association (IBIMA). pp.1194–1199.</w:t>
      </w:r>
    </w:p>
    <w:p w14:paraId="2B28712E" w14:textId="77777777" w:rsidR="00EE40DD" w:rsidRPr="00EE40DD" w:rsidRDefault="00EE40DD" w:rsidP="00EE40DD">
      <w:pPr>
        <w:rPr>
          <w:rFonts w:ascii="Times New Roman" w:hAnsi="Times New Roman" w:cs="Times New Roman"/>
          <w:i/>
          <w:iCs/>
          <w:sz w:val="24"/>
          <w:szCs w:val="24"/>
        </w:rPr>
      </w:pPr>
      <w:r w:rsidRPr="00EE40DD">
        <w:rPr>
          <w:rFonts w:ascii="Times New Roman" w:hAnsi="Times New Roman" w:cs="Times New Roman"/>
          <w:i/>
          <w:iCs/>
          <w:sz w:val="24"/>
          <w:szCs w:val="24"/>
        </w:rPr>
        <w:t>Scottish Law Commission (1977). MEMORANDUM No: 36 CONSTITUTION AND PROOF OF VOLUNTARY OBLIGATIONS: FORMATION OF CONTRACT. [online] Scottish Law Commission. Scotland: Scottish Law Commission. Available at: https://www.scotlawcom.gov.uk/files/3113/1350/5391/cm36.pdf.</w:t>
      </w:r>
    </w:p>
    <w:p w14:paraId="30ADBD95" w14:textId="0C8E5C45" w:rsidR="00EE40DD" w:rsidRPr="00EE40DD" w:rsidRDefault="00EE40DD" w:rsidP="0011624E">
      <w:pPr>
        <w:rPr>
          <w:rFonts w:ascii="Times New Roman" w:hAnsi="Times New Roman" w:cs="Times New Roman"/>
          <w:i/>
          <w:iCs/>
          <w:sz w:val="24"/>
          <w:szCs w:val="24"/>
        </w:rPr>
      </w:pPr>
      <w:r w:rsidRPr="00EE40DD">
        <w:rPr>
          <w:rFonts w:ascii="Times New Roman" w:hAnsi="Times New Roman" w:cs="Times New Roman"/>
          <w:i/>
          <w:iCs/>
          <w:sz w:val="24"/>
          <w:szCs w:val="24"/>
        </w:rPr>
        <w:lastRenderedPageBreak/>
        <w:t>The Sydney Morning Herald (1970). Commercial Law (1). Google Books, [online] 6 Oct., p.9. Available at: https://books.google.co.uk/books?id=k6spAAAAIBAJ&amp;pg=PA9&amp;dq=intention+to+create+legal+relations+in+commercial+or+business+agreements&amp;article_id=4804.</w:t>
      </w:r>
    </w:p>
    <w:p w14:paraId="7D43A112" w14:textId="77777777" w:rsidR="00D1391E" w:rsidRDefault="007E313C" w:rsidP="00D1391E">
      <w:pPr>
        <w:rPr>
          <w:rFonts w:ascii="Times New Roman" w:hAnsi="Times New Roman" w:cs="Times New Roman"/>
          <w:b/>
          <w:bCs/>
          <w:sz w:val="24"/>
          <w:szCs w:val="24"/>
          <w:lang w:val="en-GB"/>
        </w:rPr>
      </w:pPr>
      <w:r w:rsidRPr="007E313C">
        <w:rPr>
          <w:rFonts w:ascii="Times New Roman" w:hAnsi="Times New Roman" w:cs="Times New Roman"/>
          <w:b/>
          <w:bCs/>
          <w:sz w:val="24"/>
          <w:szCs w:val="24"/>
          <w:lang w:val="en-GB"/>
        </w:rPr>
        <w:t>Legislation</w:t>
      </w:r>
      <w:r w:rsidRPr="007E313C">
        <w:rPr>
          <w:rFonts w:ascii="Times New Roman" w:hAnsi="Times New Roman" w:cs="Times New Roman"/>
          <w:b/>
          <w:bCs/>
          <w:sz w:val="24"/>
          <w:szCs w:val="24"/>
          <w:lang w:val="en-GB"/>
        </w:rPr>
        <w:t xml:space="preserve"> </w:t>
      </w:r>
      <w:r w:rsidRPr="007E313C">
        <w:rPr>
          <w:rFonts w:ascii="Times New Roman" w:hAnsi="Times New Roman" w:cs="Times New Roman"/>
          <w:b/>
          <w:bCs/>
          <w:sz w:val="24"/>
          <w:szCs w:val="24"/>
          <w:lang w:val="en-GB"/>
        </w:rPr>
        <w:t>(act)</w:t>
      </w:r>
      <w:r w:rsidR="00D1391E">
        <w:rPr>
          <w:rFonts w:ascii="Times New Roman" w:hAnsi="Times New Roman" w:cs="Times New Roman"/>
          <w:b/>
          <w:bCs/>
          <w:sz w:val="24"/>
          <w:szCs w:val="24"/>
          <w:lang w:val="en-GB"/>
        </w:rPr>
        <w:t xml:space="preserve"> </w:t>
      </w:r>
    </w:p>
    <w:p w14:paraId="779AC057" w14:textId="13117D02" w:rsidR="007E313C" w:rsidRPr="00D1391E" w:rsidRDefault="00D1391E" w:rsidP="007E313C">
      <w:pPr>
        <w:rPr>
          <w:rFonts w:ascii="Times New Roman" w:hAnsi="Times New Roman" w:cs="Times New Roman"/>
          <w:i/>
          <w:iCs/>
          <w:sz w:val="24"/>
          <w:szCs w:val="24"/>
        </w:rPr>
      </w:pPr>
      <w:r w:rsidRPr="00D1391E">
        <w:rPr>
          <w:rFonts w:ascii="Times New Roman" w:hAnsi="Times New Roman" w:cs="Times New Roman"/>
          <w:i/>
          <w:iCs/>
          <w:sz w:val="24"/>
          <w:szCs w:val="24"/>
        </w:rPr>
        <w:t>Trade Union &amp; Labour Relations (Consolidation) Act s.179</w:t>
      </w:r>
      <w:r>
        <w:rPr>
          <w:rFonts w:ascii="Times New Roman" w:hAnsi="Times New Roman" w:cs="Times New Roman"/>
          <w:b/>
          <w:bCs/>
          <w:i/>
          <w:iCs/>
          <w:sz w:val="24"/>
          <w:szCs w:val="24"/>
        </w:rPr>
        <w:t xml:space="preserve"> - </w:t>
      </w:r>
      <w:r w:rsidRPr="00D1391E">
        <w:rPr>
          <w:rFonts w:ascii="Times New Roman" w:hAnsi="Times New Roman" w:cs="Times New Roman"/>
          <w:i/>
          <w:iCs/>
          <w:sz w:val="24"/>
          <w:szCs w:val="24"/>
        </w:rPr>
        <w:t>His Majesty's Stationery Office (HMSO) (1992). Trade Union and Labour Relations (Consolidation) Act 1992 CHAPTER 52. [online] legislation.gov.uk, London: HMSO Publications, pp.93–94. Available at: https://www.legislation.gov.uk/ukpga/1992/52/pdfs/ukpga_19920052_en.pdf.</w:t>
      </w:r>
    </w:p>
    <w:p w14:paraId="6489EB00" w14:textId="5F192CDF" w:rsidR="007E313C" w:rsidRDefault="007E313C" w:rsidP="007E313C">
      <w:pPr>
        <w:rPr>
          <w:rFonts w:ascii="Times New Roman" w:hAnsi="Times New Roman" w:cs="Times New Roman"/>
          <w:b/>
          <w:bCs/>
          <w:sz w:val="24"/>
          <w:szCs w:val="24"/>
          <w:lang w:val="en-GB"/>
        </w:rPr>
      </w:pPr>
      <w:r>
        <w:rPr>
          <w:rFonts w:ascii="Times New Roman" w:hAnsi="Times New Roman" w:cs="Times New Roman"/>
          <w:b/>
          <w:bCs/>
          <w:sz w:val="24"/>
          <w:szCs w:val="24"/>
          <w:lang w:val="en-GB"/>
        </w:rPr>
        <w:t>Case Law</w:t>
      </w:r>
    </w:p>
    <w:p w14:paraId="63DB5D8C" w14:textId="0394FB66" w:rsidR="00FE676C" w:rsidRPr="00FE676C" w:rsidRDefault="00FE676C" w:rsidP="007E313C">
      <w:pPr>
        <w:rPr>
          <w:rFonts w:ascii="Times New Roman" w:hAnsi="Times New Roman" w:cs="Times New Roman"/>
          <w:i/>
          <w:iCs/>
          <w:sz w:val="24"/>
          <w:szCs w:val="24"/>
          <w:lang w:val="en-GB"/>
        </w:rPr>
      </w:pPr>
      <w:r w:rsidRPr="00FE676C">
        <w:rPr>
          <w:rFonts w:ascii="Times New Roman" w:hAnsi="Times New Roman" w:cs="Times New Roman"/>
          <w:i/>
          <w:iCs/>
          <w:sz w:val="24"/>
          <w:szCs w:val="24"/>
          <w:lang w:val="en-GB"/>
        </w:rPr>
        <w:t>Dalrymple v Dalrymple (1811) 2 Hag Con 54</w:t>
      </w:r>
    </w:p>
    <w:p w14:paraId="7A2C0348" w14:textId="61E459C3" w:rsidR="007E313C" w:rsidRDefault="007E313C" w:rsidP="007E313C">
      <w:pPr>
        <w:rPr>
          <w:rFonts w:ascii="Times New Roman" w:hAnsi="Times New Roman" w:cs="Times New Roman"/>
          <w:i/>
          <w:iCs/>
          <w:sz w:val="24"/>
          <w:szCs w:val="24"/>
        </w:rPr>
      </w:pPr>
      <w:r w:rsidRPr="007E313C">
        <w:rPr>
          <w:rFonts w:ascii="Times New Roman" w:hAnsi="Times New Roman" w:cs="Times New Roman"/>
          <w:i/>
          <w:iCs/>
          <w:sz w:val="24"/>
          <w:szCs w:val="24"/>
        </w:rPr>
        <w:t>Balfour v. Balfour [1919] 2 KB 571</w:t>
      </w:r>
    </w:p>
    <w:p w14:paraId="10547CBD" w14:textId="69CBFDD7" w:rsidR="007E313C" w:rsidRPr="007E313C" w:rsidRDefault="003F1626" w:rsidP="007E313C">
      <w:pPr>
        <w:rPr>
          <w:rFonts w:ascii="Times New Roman" w:hAnsi="Times New Roman" w:cs="Times New Roman"/>
          <w:i/>
          <w:iCs/>
          <w:sz w:val="24"/>
          <w:szCs w:val="24"/>
          <w:lang w:val="en-GB"/>
        </w:rPr>
      </w:pPr>
      <w:r w:rsidRPr="003F1626">
        <w:rPr>
          <w:rFonts w:ascii="Times New Roman" w:hAnsi="Times New Roman" w:cs="Times New Roman"/>
          <w:i/>
          <w:iCs/>
          <w:sz w:val="24"/>
          <w:szCs w:val="24"/>
        </w:rPr>
        <w:t xml:space="preserve">Merritt v. Merritt [1970] EWCA </w:t>
      </w:r>
      <w:proofErr w:type="spellStart"/>
      <w:r w:rsidRPr="003F1626">
        <w:rPr>
          <w:rFonts w:ascii="Times New Roman" w:hAnsi="Times New Roman" w:cs="Times New Roman"/>
          <w:i/>
          <w:iCs/>
          <w:sz w:val="24"/>
          <w:szCs w:val="24"/>
        </w:rPr>
        <w:t>Civ</w:t>
      </w:r>
      <w:proofErr w:type="spellEnd"/>
      <w:r w:rsidRPr="003F1626">
        <w:rPr>
          <w:rFonts w:ascii="Times New Roman" w:hAnsi="Times New Roman" w:cs="Times New Roman"/>
          <w:i/>
          <w:iCs/>
          <w:sz w:val="24"/>
          <w:szCs w:val="24"/>
        </w:rPr>
        <w:t xml:space="preserve"> 6</w:t>
      </w:r>
    </w:p>
    <w:p w14:paraId="7EB548E9" w14:textId="36A26172" w:rsidR="000F3814" w:rsidRDefault="003F1626" w:rsidP="0011624E">
      <w:pPr>
        <w:rPr>
          <w:rFonts w:ascii="Times New Roman" w:hAnsi="Times New Roman" w:cs="Times New Roman"/>
          <w:i/>
          <w:iCs/>
          <w:sz w:val="24"/>
          <w:szCs w:val="24"/>
        </w:rPr>
      </w:pPr>
      <w:r w:rsidRPr="003F1626">
        <w:rPr>
          <w:rFonts w:ascii="Times New Roman" w:hAnsi="Times New Roman" w:cs="Times New Roman"/>
          <w:i/>
          <w:iCs/>
          <w:sz w:val="24"/>
          <w:szCs w:val="24"/>
        </w:rPr>
        <w:t xml:space="preserve">Jones v </w:t>
      </w:r>
      <w:proofErr w:type="spellStart"/>
      <w:r w:rsidRPr="003F1626">
        <w:rPr>
          <w:rFonts w:ascii="Times New Roman" w:hAnsi="Times New Roman" w:cs="Times New Roman"/>
          <w:i/>
          <w:iCs/>
          <w:sz w:val="24"/>
          <w:szCs w:val="24"/>
        </w:rPr>
        <w:t>Padavatton</w:t>
      </w:r>
      <w:proofErr w:type="spellEnd"/>
      <w:r w:rsidRPr="003F1626">
        <w:rPr>
          <w:rFonts w:ascii="Times New Roman" w:hAnsi="Times New Roman" w:cs="Times New Roman"/>
          <w:i/>
          <w:iCs/>
          <w:sz w:val="24"/>
          <w:szCs w:val="24"/>
        </w:rPr>
        <w:t xml:space="preserve"> (1969) 1 WLR 328</w:t>
      </w:r>
    </w:p>
    <w:p w14:paraId="0E813074" w14:textId="24DE350B" w:rsidR="0097411D" w:rsidRDefault="0097411D" w:rsidP="0011624E">
      <w:pPr>
        <w:rPr>
          <w:rFonts w:ascii="Times New Roman" w:hAnsi="Times New Roman" w:cs="Times New Roman"/>
          <w:i/>
          <w:iCs/>
          <w:sz w:val="24"/>
          <w:szCs w:val="24"/>
        </w:rPr>
      </w:pPr>
      <w:r w:rsidRPr="0097411D">
        <w:rPr>
          <w:rFonts w:ascii="Times New Roman" w:hAnsi="Times New Roman" w:cs="Times New Roman"/>
          <w:i/>
          <w:iCs/>
          <w:sz w:val="24"/>
          <w:szCs w:val="24"/>
        </w:rPr>
        <w:t>Simpkins v Pays [1955] 1 WLR 975 </w:t>
      </w:r>
    </w:p>
    <w:p w14:paraId="7BA5B8AA" w14:textId="3257F6E5" w:rsidR="00DE25D9" w:rsidRDefault="00DE25D9" w:rsidP="0011624E">
      <w:pPr>
        <w:rPr>
          <w:rFonts w:ascii="Times New Roman" w:hAnsi="Times New Roman" w:cs="Times New Roman"/>
          <w:i/>
          <w:iCs/>
          <w:sz w:val="24"/>
          <w:szCs w:val="24"/>
        </w:rPr>
      </w:pPr>
      <w:r w:rsidRPr="00DE25D9">
        <w:rPr>
          <w:rFonts w:ascii="Times New Roman" w:hAnsi="Times New Roman" w:cs="Times New Roman"/>
          <w:i/>
          <w:iCs/>
          <w:sz w:val="24"/>
          <w:szCs w:val="24"/>
        </w:rPr>
        <w:t>Esso Petroleum Co Ltd v Commissioners of Customs and Excise [1975] UKHL 4</w:t>
      </w:r>
    </w:p>
    <w:p w14:paraId="73A78B0D" w14:textId="1A400721" w:rsidR="00971F29" w:rsidRDefault="00971F29" w:rsidP="0011624E">
      <w:pPr>
        <w:rPr>
          <w:rFonts w:ascii="Times New Roman" w:hAnsi="Times New Roman" w:cs="Times New Roman"/>
          <w:i/>
          <w:iCs/>
          <w:sz w:val="24"/>
          <w:szCs w:val="24"/>
        </w:rPr>
      </w:pPr>
      <w:r>
        <w:rPr>
          <w:rFonts w:ascii="Times New Roman" w:hAnsi="Times New Roman" w:cs="Times New Roman"/>
          <w:i/>
          <w:iCs/>
          <w:sz w:val="24"/>
          <w:szCs w:val="24"/>
        </w:rPr>
        <w:t xml:space="preserve">Edwards vs Skyways </w:t>
      </w:r>
      <w:r w:rsidRPr="00971F29">
        <w:rPr>
          <w:rFonts w:ascii="Times New Roman" w:hAnsi="Times New Roman" w:cs="Times New Roman"/>
          <w:i/>
          <w:iCs/>
          <w:sz w:val="24"/>
          <w:szCs w:val="24"/>
        </w:rPr>
        <w:t>[1964] 1 WLR 349; [1964] 1 All ER 494; (1964) 108 SJ 279; [1964] CLY 589.</w:t>
      </w:r>
    </w:p>
    <w:p w14:paraId="255E3EA1" w14:textId="6BE1C57A" w:rsidR="00FE676C" w:rsidRDefault="00FE676C" w:rsidP="0011624E">
      <w:pPr>
        <w:rPr>
          <w:rFonts w:ascii="Times New Roman" w:hAnsi="Times New Roman" w:cs="Times New Roman"/>
          <w:i/>
          <w:iCs/>
          <w:sz w:val="24"/>
          <w:szCs w:val="24"/>
        </w:rPr>
      </w:pPr>
      <w:r w:rsidRPr="00FE676C">
        <w:rPr>
          <w:rFonts w:ascii="Times New Roman" w:hAnsi="Times New Roman" w:cs="Times New Roman"/>
          <w:i/>
          <w:iCs/>
          <w:sz w:val="24"/>
          <w:szCs w:val="24"/>
        </w:rPr>
        <w:t>Rose &amp; Frank Co v Crompton Bros [1925] AC 445</w:t>
      </w:r>
    </w:p>
    <w:p w14:paraId="4F61DCE5" w14:textId="6E5EA7CE" w:rsidR="007416FF" w:rsidRDefault="007416FF" w:rsidP="0011624E">
      <w:pPr>
        <w:rPr>
          <w:rFonts w:ascii="Times New Roman" w:hAnsi="Times New Roman" w:cs="Times New Roman"/>
          <w:i/>
          <w:iCs/>
          <w:sz w:val="24"/>
          <w:szCs w:val="24"/>
        </w:rPr>
      </w:pPr>
      <w:r w:rsidRPr="007416FF">
        <w:rPr>
          <w:rFonts w:ascii="Times New Roman" w:hAnsi="Times New Roman" w:cs="Times New Roman"/>
          <w:i/>
          <w:iCs/>
          <w:sz w:val="24"/>
          <w:szCs w:val="24"/>
        </w:rPr>
        <w:t>Kleinwort Benson Ltd v Malaysian Mining Corporation, [1989] 1 WLR 379</w:t>
      </w:r>
    </w:p>
    <w:p w14:paraId="0BB46D31" w14:textId="29F6E09D" w:rsidR="00487F2E" w:rsidRPr="00487F2E" w:rsidRDefault="00487F2E" w:rsidP="00487F2E">
      <w:pPr>
        <w:rPr>
          <w:rFonts w:ascii="Times New Roman" w:hAnsi="Times New Roman" w:cs="Times New Roman"/>
          <w:b/>
          <w:bCs/>
          <w:i/>
          <w:iCs/>
          <w:sz w:val="24"/>
          <w:szCs w:val="24"/>
        </w:rPr>
      </w:pPr>
      <w:r w:rsidRPr="00487F2E">
        <w:rPr>
          <w:rFonts w:ascii="Times New Roman" w:hAnsi="Times New Roman" w:cs="Times New Roman"/>
          <w:i/>
          <w:iCs/>
          <w:sz w:val="24"/>
          <w:szCs w:val="24"/>
        </w:rPr>
        <w:t>ERDC Group Ltd v Brunel University</w:t>
      </w:r>
      <w:r>
        <w:rPr>
          <w:rFonts w:ascii="Times New Roman" w:hAnsi="Times New Roman" w:cs="Times New Roman"/>
          <w:b/>
          <w:bCs/>
          <w:i/>
          <w:iCs/>
          <w:sz w:val="24"/>
          <w:szCs w:val="24"/>
        </w:rPr>
        <w:t xml:space="preserve"> </w:t>
      </w:r>
      <w:r w:rsidRPr="00487F2E">
        <w:rPr>
          <w:rFonts w:ascii="Times New Roman" w:hAnsi="Times New Roman" w:cs="Times New Roman"/>
          <w:i/>
          <w:iCs/>
          <w:sz w:val="24"/>
          <w:szCs w:val="24"/>
        </w:rPr>
        <w:t>[2006]</w:t>
      </w:r>
      <w:r>
        <w:rPr>
          <w:rFonts w:ascii="Times New Roman" w:hAnsi="Times New Roman" w:cs="Times New Roman"/>
          <w:b/>
          <w:bCs/>
          <w:i/>
          <w:iCs/>
          <w:sz w:val="24"/>
          <w:szCs w:val="24"/>
        </w:rPr>
        <w:t xml:space="preserve"> </w:t>
      </w:r>
      <w:r w:rsidRPr="00487F2E">
        <w:rPr>
          <w:rFonts w:ascii="Times New Roman" w:hAnsi="Times New Roman" w:cs="Times New Roman"/>
          <w:i/>
          <w:iCs/>
          <w:sz w:val="24"/>
          <w:szCs w:val="24"/>
        </w:rPr>
        <w:t>EWHC 687 (TCC)</w:t>
      </w:r>
    </w:p>
    <w:p w14:paraId="1BB08B70" w14:textId="77777777" w:rsidR="00E97A64" w:rsidRPr="00E97A64" w:rsidRDefault="00E97A64" w:rsidP="00E97A64">
      <w:pPr>
        <w:rPr>
          <w:rFonts w:ascii="Times New Roman" w:hAnsi="Times New Roman" w:cs="Times New Roman"/>
          <w:i/>
          <w:iCs/>
          <w:sz w:val="24"/>
          <w:szCs w:val="24"/>
        </w:rPr>
      </w:pPr>
      <w:r w:rsidRPr="00E97A64">
        <w:rPr>
          <w:rFonts w:ascii="Times New Roman" w:hAnsi="Times New Roman" w:cs="Times New Roman"/>
          <w:i/>
          <w:iCs/>
          <w:sz w:val="24"/>
          <w:szCs w:val="24"/>
        </w:rPr>
        <w:t>Tyne and Wear Passenger Transport Executive (t/a Nexus) v (1) National Union of Rail, Maritime and Transport Workers and (2) Unite the Union</w:t>
      </w:r>
      <w:r>
        <w:rPr>
          <w:rFonts w:ascii="Times New Roman" w:hAnsi="Times New Roman" w:cs="Times New Roman"/>
          <w:i/>
          <w:iCs/>
          <w:sz w:val="24"/>
          <w:szCs w:val="24"/>
        </w:rPr>
        <w:t xml:space="preserve"> </w:t>
      </w:r>
      <w:r w:rsidRPr="00E97A64">
        <w:rPr>
          <w:rFonts w:ascii="Times New Roman" w:hAnsi="Times New Roman" w:cs="Times New Roman"/>
          <w:i/>
          <w:iCs/>
          <w:sz w:val="24"/>
          <w:szCs w:val="24"/>
        </w:rPr>
        <w:t>[2021] EWHC 1388 (Ch)</w:t>
      </w:r>
    </w:p>
    <w:p w14:paraId="405878CE" w14:textId="46464BDC" w:rsidR="00487F2E" w:rsidRDefault="00D56562" w:rsidP="0011624E">
      <w:pPr>
        <w:rPr>
          <w:rFonts w:ascii="Times New Roman" w:hAnsi="Times New Roman" w:cs="Times New Roman"/>
          <w:i/>
          <w:iCs/>
          <w:sz w:val="24"/>
          <w:szCs w:val="24"/>
        </w:rPr>
      </w:pPr>
      <w:r w:rsidRPr="00D56562">
        <w:rPr>
          <w:rFonts w:ascii="Times New Roman" w:hAnsi="Times New Roman" w:cs="Times New Roman"/>
          <w:i/>
          <w:iCs/>
          <w:sz w:val="24"/>
          <w:szCs w:val="24"/>
        </w:rPr>
        <w:t>Willmore v. South Eastern Electricity Board, (1957) 2 Lloyd’s Rep 375</w:t>
      </w:r>
    </w:p>
    <w:p w14:paraId="11D90C6B" w14:textId="2DBF6894" w:rsidR="00D56562" w:rsidRDefault="00D56562" w:rsidP="0011624E">
      <w:pPr>
        <w:rPr>
          <w:rFonts w:ascii="Times New Roman" w:hAnsi="Times New Roman" w:cs="Times New Roman"/>
          <w:i/>
          <w:iCs/>
          <w:sz w:val="24"/>
          <w:szCs w:val="24"/>
        </w:rPr>
      </w:pPr>
      <w:proofErr w:type="spellStart"/>
      <w:r w:rsidRPr="00D56562">
        <w:rPr>
          <w:rFonts w:ascii="Times New Roman" w:hAnsi="Times New Roman" w:cs="Times New Roman"/>
          <w:i/>
          <w:iCs/>
          <w:sz w:val="24"/>
          <w:szCs w:val="24"/>
        </w:rPr>
        <w:t>Triefus</w:t>
      </w:r>
      <w:proofErr w:type="spellEnd"/>
      <w:r w:rsidRPr="00D56562">
        <w:rPr>
          <w:rFonts w:ascii="Times New Roman" w:hAnsi="Times New Roman" w:cs="Times New Roman"/>
          <w:i/>
          <w:iCs/>
          <w:sz w:val="24"/>
          <w:szCs w:val="24"/>
        </w:rPr>
        <w:t xml:space="preserve"> &amp;</w:t>
      </w:r>
      <w:r>
        <w:rPr>
          <w:rFonts w:ascii="Times New Roman" w:hAnsi="Times New Roman" w:cs="Times New Roman"/>
          <w:i/>
          <w:iCs/>
          <w:sz w:val="24"/>
          <w:szCs w:val="24"/>
        </w:rPr>
        <w:t xml:space="preserve"> </w:t>
      </w:r>
      <w:r w:rsidRPr="00D56562">
        <w:rPr>
          <w:rFonts w:ascii="Times New Roman" w:hAnsi="Times New Roman" w:cs="Times New Roman"/>
          <w:i/>
          <w:iCs/>
          <w:sz w:val="24"/>
          <w:szCs w:val="24"/>
        </w:rPr>
        <w:t>Co. Ltd. v. Post Office [1957] 2 Q.B. 352.</w:t>
      </w:r>
    </w:p>
    <w:p w14:paraId="231BC39E" w14:textId="76682185" w:rsidR="003B703E" w:rsidRPr="003F1626" w:rsidRDefault="003B703E" w:rsidP="0011624E">
      <w:pPr>
        <w:rPr>
          <w:rFonts w:ascii="Times New Roman" w:hAnsi="Times New Roman" w:cs="Times New Roman"/>
          <w:i/>
          <w:iCs/>
          <w:sz w:val="24"/>
          <w:szCs w:val="24"/>
        </w:rPr>
      </w:pPr>
      <w:r w:rsidRPr="003B703E">
        <w:rPr>
          <w:rFonts w:ascii="Times New Roman" w:hAnsi="Times New Roman" w:cs="Times New Roman"/>
          <w:i/>
          <w:iCs/>
          <w:sz w:val="24"/>
          <w:szCs w:val="24"/>
        </w:rPr>
        <w:t>Robinson v HM Customs v Excise (2000) The Times 28 April</w:t>
      </w:r>
    </w:p>
    <w:sectPr w:rsidR="003B703E" w:rsidRPr="003F1626" w:rsidSect="003F18D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1D6"/>
    <w:rsid w:val="00056B79"/>
    <w:rsid w:val="000B644B"/>
    <w:rsid w:val="000F3814"/>
    <w:rsid w:val="0011624E"/>
    <w:rsid w:val="00171215"/>
    <w:rsid w:val="0020315A"/>
    <w:rsid w:val="002041A8"/>
    <w:rsid w:val="00207ADD"/>
    <w:rsid w:val="00216BC1"/>
    <w:rsid w:val="0028470C"/>
    <w:rsid w:val="003B4109"/>
    <w:rsid w:val="003B703E"/>
    <w:rsid w:val="003F1626"/>
    <w:rsid w:val="003F18DC"/>
    <w:rsid w:val="003F648A"/>
    <w:rsid w:val="00487F2E"/>
    <w:rsid w:val="00571019"/>
    <w:rsid w:val="00593EE5"/>
    <w:rsid w:val="005D797E"/>
    <w:rsid w:val="0066459C"/>
    <w:rsid w:val="006C01D6"/>
    <w:rsid w:val="00741352"/>
    <w:rsid w:val="007416FF"/>
    <w:rsid w:val="0076107D"/>
    <w:rsid w:val="00765D3B"/>
    <w:rsid w:val="007A3873"/>
    <w:rsid w:val="007E313C"/>
    <w:rsid w:val="008C0560"/>
    <w:rsid w:val="008C24E7"/>
    <w:rsid w:val="00957F1A"/>
    <w:rsid w:val="00971F29"/>
    <w:rsid w:val="0097411D"/>
    <w:rsid w:val="00980A8B"/>
    <w:rsid w:val="00A304F5"/>
    <w:rsid w:val="00A77CB6"/>
    <w:rsid w:val="00AF37F4"/>
    <w:rsid w:val="00C91751"/>
    <w:rsid w:val="00CA59AD"/>
    <w:rsid w:val="00D1391E"/>
    <w:rsid w:val="00D56562"/>
    <w:rsid w:val="00DE25D9"/>
    <w:rsid w:val="00E8086A"/>
    <w:rsid w:val="00E97A64"/>
    <w:rsid w:val="00EC0074"/>
    <w:rsid w:val="00ED794B"/>
    <w:rsid w:val="00EE40DD"/>
    <w:rsid w:val="00F36B4A"/>
    <w:rsid w:val="00F80023"/>
    <w:rsid w:val="00FE676C"/>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0386B"/>
  <w15:chartTrackingRefBased/>
  <w15:docId w15:val="{74B6A867-6A52-4CB7-9FF9-686CE6A3C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1391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10375">
      <w:bodyDiv w:val="1"/>
      <w:marLeft w:val="0"/>
      <w:marRight w:val="0"/>
      <w:marTop w:val="0"/>
      <w:marBottom w:val="0"/>
      <w:divBdr>
        <w:top w:val="none" w:sz="0" w:space="0" w:color="auto"/>
        <w:left w:val="none" w:sz="0" w:space="0" w:color="auto"/>
        <w:bottom w:val="none" w:sz="0" w:space="0" w:color="auto"/>
        <w:right w:val="none" w:sz="0" w:space="0" w:color="auto"/>
      </w:divBdr>
      <w:divsChild>
        <w:div w:id="26681670">
          <w:marLeft w:val="0"/>
          <w:marRight w:val="0"/>
          <w:marTop w:val="0"/>
          <w:marBottom w:val="0"/>
          <w:divBdr>
            <w:top w:val="none" w:sz="0" w:space="0" w:color="auto"/>
            <w:left w:val="none" w:sz="0" w:space="0" w:color="auto"/>
            <w:bottom w:val="none" w:sz="0" w:space="0" w:color="auto"/>
            <w:right w:val="none" w:sz="0" w:space="0" w:color="auto"/>
          </w:divBdr>
        </w:div>
      </w:divsChild>
    </w:div>
    <w:div w:id="342559296">
      <w:bodyDiv w:val="1"/>
      <w:marLeft w:val="0"/>
      <w:marRight w:val="0"/>
      <w:marTop w:val="0"/>
      <w:marBottom w:val="0"/>
      <w:divBdr>
        <w:top w:val="none" w:sz="0" w:space="0" w:color="auto"/>
        <w:left w:val="none" w:sz="0" w:space="0" w:color="auto"/>
        <w:bottom w:val="none" w:sz="0" w:space="0" w:color="auto"/>
        <w:right w:val="none" w:sz="0" w:space="0" w:color="auto"/>
      </w:divBdr>
    </w:div>
    <w:div w:id="791366959">
      <w:bodyDiv w:val="1"/>
      <w:marLeft w:val="0"/>
      <w:marRight w:val="0"/>
      <w:marTop w:val="0"/>
      <w:marBottom w:val="0"/>
      <w:divBdr>
        <w:top w:val="none" w:sz="0" w:space="0" w:color="auto"/>
        <w:left w:val="none" w:sz="0" w:space="0" w:color="auto"/>
        <w:bottom w:val="none" w:sz="0" w:space="0" w:color="auto"/>
        <w:right w:val="none" w:sz="0" w:space="0" w:color="auto"/>
      </w:divBdr>
      <w:divsChild>
        <w:div w:id="1939294601">
          <w:marLeft w:val="0"/>
          <w:marRight w:val="0"/>
          <w:marTop w:val="0"/>
          <w:marBottom w:val="0"/>
          <w:divBdr>
            <w:top w:val="none" w:sz="0" w:space="0" w:color="auto"/>
            <w:left w:val="none" w:sz="0" w:space="0" w:color="auto"/>
            <w:bottom w:val="none" w:sz="0" w:space="0" w:color="auto"/>
            <w:right w:val="none" w:sz="0" w:space="0" w:color="auto"/>
          </w:divBdr>
        </w:div>
      </w:divsChild>
    </w:div>
    <w:div w:id="921066245">
      <w:bodyDiv w:val="1"/>
      <w:marLeft w:val="0"/>
      <w:marRight w:val="0"/>
      <w:marTop w:val="0"/>
      <w:marBottom w:val="0"/>
      <w:divBdr>
        <w:top w:val="none" w:sz="0" w:space="0" w:color="auto"/>
        <w:left w:val="none" w:sz="0" w:space="0" w:color="auto"/>
        <w:bottom w:val="none" w:sz="0" w:space="0" w:color="auto"/>
        <w:right w:val="none" w:sz="0" w:space="0" w:color="auto"/>
      </w:divBdr>
      <w:divsChild>
        <w:div w:id="1216163921">
          <w:marLeft w:val="0"/>
          <w:marRight w:val="0"/>
          <w:marTop w:val="0"/>
          <w:marBottom w:val="0"/>
          <w:divBdr>
            <w:top w:val="none" w:sz="0" w:space="0" w:color="auto"/>
            <w:left w:val="none" w:sz="0" w:space="0" w:color="auto"/>
            <w:bottom w:val="none" w:sz="0" w:space="0" w:color="auto"/>
            <w:right w:val="none" w:sz="0" w:space="0" w:color="auto"/>
          </w:divBdr>
        </w:div>
      </w:divsChild>
    </w:div>
    <w:div w:id="1374380624">
      <w:bodyDiv w:val="1"/>
      <w:marLeft w:val="0"/>
      <w:marRight w:val="0"/>
      <w:marTop w:val="0"/>
      <w:marBottom w:val="0"/>
      <w:divBdr>
        <w:top w:val="none" w:sz="0" w:space="0" w:color="auto"/>
        <w:left w:val="none" w:sz="0" w:space="0" w:color="auto"/>
        <w:bottom w:val="none" w:sz="0" w:space="0" w:color="auto"/>
        <w:right w:val="none" w:sz="0" w:space="0" w:color="auto"/>
      </w:divBdr>
    </w:div>
    <w:div w:id="1992252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1420</TotalTime>
  <Pages>7</Pages>
  <Words>2640</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Elyasaq Hashim (2120975)</dc:creator>
  <cp:keywords/>
  <dc:description/>
  <cp:lastModifiedBy>Mohamed Elyasaq Hashim</cp:lastModifiedBy>
  <cp:revision>12</cp:revision>
  <dcterms:created xsi:type="dcterms:W3CDTF">2023-03-02T00:18:00Z</dcterms:created>
  <dcterms:modified xsi:type="dcterms:W3CDTF">2023-03-10T21:44:00Z</dcterms:modified>
</cp:coreProperties>
</file>