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1F95" w:rsidRDefault="00001F95">
      <w:pPr>
        <w:rPr>
          <w:b/>
          <w:u w:val="single"/>
          <w:lang w:val="en-GB"/>
        </w:rPr>
      </w:pPr>
      <w:r>
        <w:rPr>
          <w:b/>
          <w:u w:val="single"/>
          <w:lang w:val="en-GB"/>
        </w:rPr>
        <w:t>Reflection</w:t>
      </w:r>
    </w:p>
    <w:p w:rsidR="00001F95" w:rsidRDefault="00001F95">
      <w:pPr>
        <w:rPr>
          <w:b/>
          <w:u w:val="single"/>
          <w:lang w:val="en-GB"/>
        </w:rPr>
      </w:pPr>
      <w:bookmarkStart w:id="0" w:name="_GoBack"/>
      <w:bookmarkEnd w:id="0"/>
    </w:p>
    <w:p w:rsidR="009D6A53" w:rsidRPr="00001F95" w:rsidRDefault="00E2353E">
      <w:pPr>
        <w:rPr>
          <w:b/>
          <w:u w:val="single"/>
          <w:lang w:val="en-GB"/>
        </w:rPr>
      </w:pPr>
      <w:r w:rsidRPr="00001F95">
        <w:rPr>
          <w:b/>
          <w:u w:val="single"/>
          <w:lang w:val="en-GB"/>
        </w:rPr>
        <w:t>Part 2</w:t>
      </w:r>
    </w:p>
    <w:p w:rsidR="009D6A53" w:rsidRDefault="00E2353E">
      <w:r>
        <w:rPr>
          <w:rFonts w:hint="eastAsia"/>
        </w:rPr>
        <w:t xml:space="preserve">Sustainability, in its broadest sense, refers to meeting the needs of the present without compromising the ability of future generations to meet their own needs (WCED, 1987). This </w:t>
      </w:r>
      <w:r>
        <w:rPr>
          <w:rFonts w:hint="eastAsia"/>
        </w:rPr>
        <w:t>foundational concept, introduced in Our Common Future</w:t>
      </w:r>
      <w:r w:rsidR="00C8244A">
        <w:rPr>
          <w:rFonts w:hint="eastAsia"/>
        </w:rPr>
        <w:t>,</w:t>
      </w:r>
      <w:r w:rsidR="00C8244A">
        <w:t xml:space="preserve"> </w:t>
      </w:r>
      <w:r>
        <w:rPr>
          <w:rFonts w:hint="eastAsia"/>
        </w:rPr>
        <w:t>the Brundtland Report</w:t>
      </w:r>
      <w:r w:rsidR="00C8244A">
        <w:rPr>
          <w:rFonts w:hint="eastAsia"/>
        </w:rPr>
        <w:t>,</w:t>
      </w:r>
      <w:r w:rsidR="00C8244A">
        <w:t xml:space="preserve"> </w:t>
      </w:r>
      <w:proofErr w:type="spellStart"/>
      <w:r>
        <w:rPr>
          <w:rFonts w:hint="eastAsia"/>
        </w:rPr>
        <w:t>emphasises</w:t>
      </w:r>
      <w:proofErr w:type="spellEnd"/>
      <w:r>
        <w:rPr>
          <w:rFonts w:hint="eastAsia"/>
        </w:rPr>
        <w:t xml:space="preserve"> the interconnectedness of environmental integrity, economic viability, and social equity</w:t>
      </w:r>
      <w:r w:rsidR="000779F4">
        <w:t xml:space="preserve"> (United Nations, </w:t>
      </w:r>
      <w:proofErr w:type="spellStart"/>
      <w:r w:rsidR="000779F4">
        <w:t>n.d</w:t>
      </w:r>
      <w:proofErr w:type="spellEnd"/>
      <w:r w:rsidR="000779F4">
        <w:t>)</w:t>
      </w:r>
      <w:r>
        <w:rPr>
          <w:rFonts w:hint="eastAsia"/>
        </w:rPr>
        <w:t xml:space="preserve">. Since then, global initiatives such as the Earth Summit (Rio de Janeiro, 1992) </w:t>
      </w:r>
      <w:r>
        <w:rPr>
          <w:rFonts w:hint="eastAsia"/>
        </w:rPr>
        <w:t>have furthered international commitments to sustainable development, laying the groundwork for frameworks such as the United Nations Sustainable Development Goals (SDGs).</w:t>
      </w:r>
      <w:r w:rsidR="00986D4E">
        <w:t xml:space="preserve"> </w:t>
      </w:r>
      <w:r>
        <w:rPr>
          <w:rFonts w:hint="eastAsia"/>
        </w:rPr>
        <w:t>In Wales, sustainability has been embedded into national policy through pioneering l</w:t>
      </w:r>
      <w:r>
        <w:rPr>
          <w:rFonts w:hint="eastAsia"/>
        </w:rPr>
        <w:t xml:space="preserve">egislation such as the Well-being of Future Generations (Wales) Act 2015. This act is unique in that it mandates public bodies to consider the long-term impact of their decisions on future generations, promoting a holistic model of well-being encompassing </w:t>
      </w:r>
      <w:r>
        <w:rPr>
          <w:rFonts w:hint="eastAsia"/>
        </w:rPr>
        <w:t>social, environmental, cultural, and economic dimensions</w:t>
      </w:r>
      <w:r w:rsidR="00A20EC3">
        <w:t xml:space="preserve"> (Jenkins, 2018)</w:t>
      </w:r>
      <w:r>
        <w:rPr>
          <w:rFonts w:hint="eastAsia"/>
        </w:rPr>
        <w:t>. These values align closely with the principles of Education for Sustainable Development (ESD), and in the Welsh context, Education for Sustainable Development and Global Citizenship (ESDGC), which a</w:t>
      </w:r>
      <w:r>
        <w:rPr>
          <w:rFonts w:hint="eastAsia"/>
        </w:rPr>
        <w:t>ims to develop informed, active, and responsible citizens.</w:t>
      </w:r>
    </w:p>
    <w:p w:rsidR="009D6A53" w:rsidRDefault="00E2353E">
      <w:r>
        <w:rPr>
          <w:rFonts w:hint="eastAsia"/>
        </w:rPr>
        <w:t xml:space="preserve">While sustainability is often considered a topic for older learners, its relevance in the early years is both critical and increasingly </w:t>
      </w:r>
      <w:proofErr w:type="spellStart"/>
      <w:r>
        <w:rPr>
          <w:rFonts w:hint="eastAsia"/>
        </w:rPr>
        <w:t>rec</w:t>
      </w:r>
      <w:r>
        <w:rPr>
          <w:rFonts w:hint="eastAsia"/>
        </w:rPr>
        <w:t>ognised</w:t>
      </w:r>
      <w:proofErr w:type="spellEnd"/>
      <w:r>
        <w:rPr>
          <w:rFonts w:hint="eastAsia"/>
        </w:rPr>
        <w:t xml:space="preserve">. The early years are a foundational period in human development, when attitudes, values, and </w:t>
      </w:r>
      <w:proofErr w:type="spellStart"/>
      <w:r>
        <w:rPr>
          <w:rFonts w:hint="eastAsia"/>
        </w:rPr>
        <w:t>behaviours</w:t>
      </w:r>
      <w:proofErr w:type="spellEnd"/>
      <w:r>
        <w:rPr>
          <w:rFonts w:hint="eastAsia"/>
        </w:rPr>
        <w:t xml:space="preserve"> are formed</w:t>
      </w:r>
      <w:r w:rsidR="00A20EC3">
        <w:t xml:space="preserve"> (</w:t>
      </w:r>
      <w:proofErr w:type="spellStart"/>
      <w:r w:rsidR="00A20EC3">
        <w:t>Guler</w:t>
      </w:r>
      <w:proofErr w:type="spellEnd"/>
      <w:r w:rsidR="00A20EC3">
        <w:t xml:space="preserve"> </w:t>
      </w:r>
      <w:proofErr w:type="spellStart"/>
      <w:r w:rsidR="00A20EC3">
        <w:t>Yildiz</w:t>
      </w:r>
      <w:proofErr w:type="spellEnd"/>
      <w:r w:rsidR="00A20EC3">
        <w:t xml:space="preserve"> </w:t>
      </w:r>
      <w:r w:rsidR="00A20EC3" w:rsidRPr="00A20EC3">
        <w:rPr>
          <w:i/>
        </w:rPr>
        <w:t>et al.,</w:t>
      </w:r>
      <w:r w:rsidR="00A20EC3">
        <w:t xml:space="preserve"> 2021)</w:t>
      </w:r>
      <w:r>
        <w:rPr>
          <w:rFonts w:hint="eastAsia"/>
        </w:rPr>
        <w:t>. Embedding sustainability in early childhood education</w:t>
      </w:r>
      <w:r>
        <w:rPr>
          <w:rFonts w:hint="eastAsia"/>
        </w:rPr>
        <w:t xml:space="preserve"> provides children with the grounding to become reflective, empathetic, a</w:t>
      </w:r>
      <w:r>
        <w:rPr>
          <w:rFonts w:hint="eastAsia"/>
        </w:rPr>
        <w:t>nd environmentally conscious individuals.</w:t>
      </w:r>
      <w:r w:rsidR="00986D4E">
        <w:t xml:space="preserve"> </w:t>
      </w:r>
      <w:r>
        <w:rPr>
          <w:rFonts w:hint="eastAsia"/>
        </w:rPr>
        <w:t>Education for Sustainable Development in the early years involves far more than teaching environmental facts</w:t>
      </w:r>
      <w:r w:rsidR="00C8244A">
        <w:rPr>
          <w:rFonts w:hint="eastAsia"/>
        </w:rPr>
        <w:t>,</w:t>
      </w:r>
      <w:r w:rsidR="00C8244A">
        <w:t xml:space="preserve"> </w:t>
      </w:r>
      <w:r>
        <w:rPr>
          <w:rFonts w:hint="eastAsia"/>
        </w:rPr>
        <w:t>it is about nurturing a sense of connectedness to the world, fostering respect for others and the enviro</w:t>
      </w:r>
      <w:r>
        <w:rPr>
          <w:rFonts w:hint="eastAsia"/>
        </w:rPr>
        <w:t>nment, and encouraging agency and responsibility</w:t>
      </w:r>
      <w:r w:rsidR="00A20EC3">
        <w:t xml:space="preserve"> (Siraj-Blatchford </w:t>
      </w:r>
      <w:r w:rsidR="00A20EC3" w:rsidRPr="00A20EC3">
        <w:rPr>
          <w:i/>
        </w:rPr>
        <w:t>et al.,</w:t>
      </w:r>
      <w:r w:rsidR="00A20EC3">
        <w:t xml:space="preserve"> 2010)</w:t>
      </w:r>
      <w:r>
        <w:rPr>
          <w:rFonts w:hint="eastAsia"/>
        </w:rPr>
        <w:t>. It links to the U</w:t>
      </w:r>
      <w:r w:rsidR="00C8244A">
        <w:t xml:space="preserve">nited Nations </w:t>
      </w:r>
      <w:r>
        <w:rPr>
          <w:rFonts w:hint="eastAsia"/>
        </w:rPr>
        <w:t>Convention on the Rights of the Child (UNCRC), particularly Article 29, which advocates for education that develops the child</w:t>
      </w:r>
      <w:r w:rsidR="00C8244A">
        <w:t>’</w:t>
      </w:r>
      <w:r>
        <w:rPr>
          <w:rFonts w:hint="eastAsia"/>
        </w:rPr>
        <w:t xml:space="preserve">s personality, talents, and mental and physical abilities to </w:t>
      </w:r>
      <w:r>
        <w:rPr>
          <w:rFonts w:hint="eastAsia"/>
        </w:rPr>
        <w:t>their fullest potential, while preparing them for a responsible life in a free society</w:t>
      </w:r>
      <w:r w:rsidR="00A20EC3">
        <w:t xml:space="preserve"> (UNICEF, 1989)</w:t>
      </w:r>
      <w:r>
        <w:rPr>
          <w:rFonts w:hint="eastAsia"/>
        </w:rPr>
        <w:t>.</w:t>
      </w:r>
    </w:p>
    <w:p w:rsidR="009D6A53" w:rsidRDefault="00E2353E">
      <w:r>
        <w:rPr>
          <w:rFonts w:hint="eastAsia"/>
        </w:rPr>
        <w:t>In Wales, the Curriculum for Wales and its extension into the Curriculum for Non-Maintained Nursery Settings (2022) pr</w:t>
      </w:r>
      <w:r>
        <w:rPr>
          <w:rFonts w:hint="eastAsia"/>
        </w:rPr>
        <w:t xml:space="preserve">ovides a framework that inherently supports ESD principles. One of its four purposes is to develop </w:t>
      </w:r>
      <w:r w:rsidR="00C8244A">
        <w:t>“</w:t>
      </w:r>
      <w:r>
        <w:rPr>
          <w:rFonts w:hint="eastAsia"/>
        </w:rPr>
        <w:t>ethical, informed citizens who are ready to be citizens of Wales and the world</w:t>
      </w:r>
      <w:r w:rsidR="00A20EC3">
        <w:t xml:space="preserve">” (Welsh Government, 2012). </w:t>
      </w:r>
      <w:r>
        <w:rPr>
          <w:rFonts w:hint="eastAsia"/>
        </w:rPr>
        <w:t>This directly aligns with the principles of sustainability, particularly th</w:t>
      </w:r>
      <w:r>
        <w:rPr>
          <w:rFonts w:hint="eastAsia"/>
        </w:rPr>
        <w:t>ose relating to global citizenship, human rights, and environmental stewardship.</w:t>
      </w:r>
      <w:r w:rsidR="00986D4E">
        <w:t xml:space="preserve"> </w:t>
      </w:r>
      <w:r>
        <w:rPr>
          <w:rFonts w:hint="eastAsia"/>
        </w:rPr>
        <w:t>The ESDGC framework in Wales</w:t>
      </w:r>
      <w:r w:rsidR="00C8244A">
        <w:t xml:space="preserve">, </w:t>
      </w:r>
      <w:r>
        <w:rPr>
          <w:rFonts w:hint="eastAsia"/>
        </w:rPr>
        <w:t>though now embedded within the Curriculum for Wales</w:t>
      </w:r>
      <w:r w:rsidR="00C8244A">
        <w:t xml:space="preserve">, </w:t>
      </w:r>
      <w:r>
        <w:rPr>
          <w:rFonts w:hint="eastAsia"/>
        </w:rPr>
        <w:t>encourages practitioners to develop learners who are aware of their rights and responsibili</w:t>
      </w:r>
      <w:r>
        <w:rPr>
          <w:rFonts w:hint="eastAsia"/>
        </w:rPr>
        <w:t xml:space="preserve">ties, </w:t>
      </w:r>
      <w:r>
        <w:rPr>
          <w:rFonts w:hint="eastAsia"/>
        </w:rPr>
        <w:lastRenderedPageBreak/>
        <w:t>understand the interdependence of people and the environment, and can critically engage with global issues</w:t>
      </w:r>
      <w:r w:rsidR="00224DBF">
        <w:t xml:space="preserve"> (</w:t>
      </w:r>
      <w:proofErr w:type="spellStart"/>
      <w:r w:rsidR="00224DBF">
        <w:t>Tinney</w:t>
      </w:r>
      <w:proofErr w:type="spellEnd"/>
      <w:r w:rsidR="00224DBF">
        <w:t xml:space="preserve"> and Hirst, 2017)</w:t>
      </w:r>
      <w:r>
        <w:rPr>
          <w:rFonts w:hint="eastAsia"/>
        </w:rPr>
        <w:t>. In early years, this means creating learning environments that allow children to explore sustainability through hands-on, experiential learnin</w:t>
      </w:r>
      <w:r>
        <w:rPr>
          <w:rFonts w:hint="eastAsia"/>
        </w:rPr>
        <w:t xml:space="preserve">g that is child-led and situated in the </w:t>
      </w:r>
      <w:r w:rsidR="00C8244A">
        <w:t>“</w:t>
      </w:r>
      <w:r>
        <w:rPr>
          <w:rFonts w:hint="eastAsia"/>
        </w:rPr>
        <w:t>rea</w:t>
      </w:r>
      <w:r w:rsidR="00C8244A">
        <w:t>l”</w:t>
      </w:r>
      <w:r>
        <w:rPr>
          <w:rFonts w:hint="eastAsia"/>
        </w:rPr>
        <w:t xml:space="preserve"> world.</w:t>
      </w:r>
    </w:p>
    <w:p w:rsidR="00224DBF" w:rsidRDefault="00E2353E">
      <w:r>
        <w:rPr>
          <w:rFonts w:hint="eastAsia"/>
        </w:rPr>
        <w:t>A key feature of early years education is its reliance on active, experiential learning</w:t>
      </w:r>
      <w:r w:rsidR="00C8244A">
        <w:rPr>
          <w:rFonts w:hint="eastAsia"/>
        </w:rPr>
        <w:t>,</w:t>
      </w:r>
      <w:r w:rsidR="00C8244A">
        <w:t xml:space="preserve"> </w:t>
      </w:r>
      <w:r>
        <w:rPr>
          <w:rFonts w:hint="eastAsia"/>
        </w:rPr>
        <w:t>often through play and exploration. This pedagogy do</w:t>
      </w:r>
      <w:r>
        <w:rPr>
          <w:rFonts w:hint="eastAsia"/>
        </w:rPr>
        <w:t>vetails naturally with ESD principles. Children learn through doing, through curiosity-driven inquiry, and through authentic engagement with their surroundings</w:t>
      </w:r>
      <w:r w:rsidR="00224DBF">
        <w:t xml:space="preserve"> (Macintyre, 2016)</w:t>
      </w:r>
      <w:r>
        <w:rPr>
          <w:rFonts w:hint="eastAsia"/>
        </w:rPr>
        <w:t xml:space="preserve">. Activities such as growing food, composting, recycling, exploring local wildlife, and engaging </w:t>
      </w:r>
      <w:r>
        <w:rPr>
          <w:rFonts w:hint="eastAsia"/>
        </w:rPr>
        <w:t>in community projects help children make meaningful connections between their actions and the wider world</w:t>
      </w:r>
      <w:r w:rsidR="00224DBF">
        <w:t xml:space="preserve"> (Edwards </w:t>
      </w:r>
      <w:r w:rsidR="00224DBF" w:rsidRPr="00224DBF">
        <w:rPr>
          <w:i/>
        </w:rPr>
        <w:t>et al.,</w:t>
      </w:r>
      <w:r w:rsidR="00224DBF">
        <w:t xml:space="preserve"> 2015)</w:t>
      </w:r>
      <w:r>
        <w:rPr>
          <w:rFonts w:hint="eastAsia"/>
        </w:rPr>
        <w:t>.</w:t>
      </w:r>
      <w:r w:rsidR="00986D4E">
        <w:t xml:space="preserve"> </w:t>
      </w:r>
      <w:r>
        <w:rPr>
          <w:rFonts w:hint="eastAsia"/>
        </w:rPr>
        <w:t xml:space="preserve">Such approaches are developmentally appropriate and align with Froebelian principles, as well as Reggio Emilia-inspired practice, both of which </w:t>
      </w:r>
      <w:proofErr w:type="spellStart"/>
      <w:r>
        <w:rPr>
          <w:rFonts w:hint="eastAsia"/>
        </w:rPr>
        <w:t>emph</w:t>
      </w:r>
      <w:r>
        <w:rPr>
          <w:rFonts w:hint="eastAsia"/>
        </w:rPr>
        <w:t>asise</w:t>
      </w:r>
      <w:proofErr w:type="spellEnd"/>
      <w:r>
        <w:rPr>
          <w:rFonts w:hint="eastAsia"/>
        </w:rPr>
        <w:t xml:space="preserve"> the child as a capable, curious, and connected learner. ESD in early years settings, therefore, is not an add-on but an embedded, integrated part of quality early childhood provision</w:t>
      </w:r>
      <w:r w:rsidR="00224DBF">
        <w:t xml:space="preserve"> (McNair and Powell, 2020)</w:t>
      </w:r>
      <w:r>
        <w:rPr>
          <w:rFonts w:hint="eastAsia"/>
        </w:rPr>
        <w:t>.</w:t>
      </w:r>
      <w:r w:rsidR="00986D4E">
        <w:t xml:space="preserve"> </w:t>
      </w:r>
      <w:r>
        <w:rPr>
          <w:rFonts w:hint="eastAsia"/>
        </w:rPr>
        <w:t>Furthermore, sustainable development in early years settings also</w:t>
      </w:r>
      <w:r>
        <w:rPr>
          <w:rFonts w:hint="eastAsia"/>
        </w:rPr>
        <w:t xml:space="preserve"> extends to the environment itself</w:t>
      </w:r>
      <w:r w:rsidR="00C8244A">
        <w:t xml:space="preserve">, </w:t>
      </w:r>
      <w:r>
        <w:rPr>
          <w:rFonts w:hint="eastAsia"/>
        </w:rPr>
        <w:t xml:space="preserve">using natural materials, encouraging energy conservation, promoting outdoor learning, and fostering inclusive, diverse communities. Practitioners play a critical role in modelling sustainable </w:t>
      </w:r>
      <w:proofErr w:type="spellStart"/>
      <w:r>
        <w:rPr>
          <w:rFonts w:hint="eastAsia"/>
        </w:rPr>
        <w:t>behaviours</w:t>
      </w:r>
      <w:proofErr w:type="spellEnd"/>
      <w:r>
        <w:rPr>
          <w:rFonts w:hint="eastAsia"/>
        </w:rPr>
        <w:t xml:space="preserve"> and attitudes, sh</w:t>
      </w:r>
      <w:r>
        <w:rPr>
          <w:rFonts w:hint="eastAsia"/>
        </w:rPr>
        <w:t>aping the hidden curriculum through their language, routines, and values</w:t>
      </w:r>
      <w:r w:rsidR="00224DBF">
        <w:t xml:space="preserve"> (</w:t>
      </w:r>
      <w:proofErr w:type="spellStart"/>
      <w:r w:rsidR="00224DBF">
        <w:t>Daelmans</w:t>
      </w:r>
      <w:proofErr w:type="spellEnd"/>
      <w:r w:rsidR="00224DBF">
        <w:t xml:space="preserve"> </w:t>
      </w:r>
      <w:r w:rsidR="00224DBF" w:rsidRPr="00224DBF">
        <w:rPr>
          <w:i/>
        </w:rPr>
        <w:t>et al.,</w:t>
      </w:r>
      <w:r w:rsidR="00224DBF">
        <w:t xml:space="preserve"> 2017).</w:t>
      </w:r>
    </w:p>
    <w:p w:rsidR="009D6A53" w:rsidRDefault="00E2353E">
      <w:r>
        <w:rPr>
          <w:rFonts w:hint="eastAsia"/>
        </w:rPr>
        <w:t xml:space="preserve">Despite its promise, embedding sustainability in early years education is not without challenge. There can be ambiguity around what </w:t>
      </w:r>
      <w:r>
        <w:rPr>
          <w:rFonts w:hint="eastAsia"/>
        </w:rPr>
        <w:t>sustainability means in practice for very young children, and a lack of practitioner confidence or training in ESD</w:t>
      </w:r>
      <w:r w:rsidR="00224DBF">
        <w:t xml:space="preserve"> (Evans </w:t>
      </w:r>
      <w:r w:rsidR="00224DBF" w:rsidRPr="00224DBF">
        <w:rPr>
          <w:i/>
        </w:rPr>
        <w:t>et al.,</w:t>
      </w:r>
      <w:r w:rsidR="00224DBF">
        <w:t xml:space="preserve"> 2017)</w:t>
      </w:r>
      <w:r>
        <w:rPr>
          <w:rFonts w:hint="eastAsia"/>
        </w:rPr>
        <w:t>. Moreover, policy intentions do not always translate into practice, particularly in under-resourced settings. There is a risk that sustainabi</w:t>
      </w:r>
      <w:r>
        <w:rPr>
          <w:rFonts w:hint="eastAsia"/>
        </w:rPr>
        <w:t>lity becomes tokenistic</w:t>
      </w:r>
      <w:r w:rsidR="00C8244A">
        <w:rPr>
          <w:rFonts w:hint="eastAsia"/>
        </w:rPr>
        <w:t>,</w:t>
      </w:r>
      <w:r w:rsidR="00C8244A">
        <w:t xml:space="preserve"> </w:t>
      </w:r>
      <w:r>
        <w:rPr>
          <w:rFonts w:hint="eastAsia"/>
        </w:rPr>
        <w:t>a thematic week or isolated activity</w:t>
      </w:r>
      <w:r w:rsidR="00C8244A">
        <w:rPr>
          <w:rFonts w:hint="eastAsia"/>
        </w:rPr>
        <w:t>,</w:t>
      </w:r>
      <w:r w:rsidR="00C8244A">
        <w:t xml:space="preserve"> </w:t>
      </w:r>
      <w:r>
        <w:rPr>
          <w:rFonts w:hint="eastAsia"/>
        </w:rPr>
        <w:t>rather than a lived, ongoing ethos</w:t>
      </w:r>
      <w:r w:rsidR="00224DBF">
        <w:t xml:space="preserve"> (Davis, 2021)</w:t>
      </w:r>
      <w:r>
        <w:rPr>
          <w:rFonts w:hint="eastAsia"/>
        </w:rPr>
        <w:t>.</w:t>
      </w:r>
      <w:r w:rsidR="00986D4E">
        <w:t xml:space="preserve"> </w:t>
      </w:r>
      <w:r>
        <w:rPr>
          <w:rFonts w:hint="eastAsia"/>
        </w:rPr>
        <w:t xml:space="preserve">To overcome this, professional learning is vital. Practitioners must be supported to see ESD not as a burden, but as integral to high-quality, holistic early </w:t>
      </w:r>
      <w:r>
        <w:rPr>
          <w:rFonts w:hint="eastAsia"/>
        </w:rPr>
        <w:t>years education. Sustainability must be woven through daily interactions, continuous provision, and reflective practice.</w:t>
      </w:r>
    </w:p>
    <w:p w:rsidR="00986D4E" w:rsidRDefault="00986D4E" w:rsidP="00986D4E">
      <w:r>
        <w:rPr>
          <w:rFonts w:hint="eastAsia"/>
        </w:rPr>
        <w:t>Education for Sustainable Development (ESD) has become a central element of global education policy and practice, underpinned by influential frameworks such as the United Nations Sustainable Development Goals, the Brundtland Commission</w:t>
      </w:r>
      <w:r w:rsidR="00C8244A">
        <w:t>’</w:t>
      </w:r>
      <w:r>
        <w:rPr>
          <w:rFonts w:hint="eastAsia"/>
        </w:rPr>
        <w:t>s Our Common Future (1987), and national legislation such as the Well-being of Future Generations (Wales) Act 2015. ESD seeks to empower learners of all ages with the knowledge, skills, values, and dispositions needed to contribute to a more sustainable world. In early years education, ESD intersects with long-established developmental theories and pedagogies that value experiential, play-based learning, and child agency</w:t>
      </w:r>
      <w:r w:rsidR="00136D29">
        <w:t xml:space="preserve"> (</w:t>
      </w:r>
      <w:proofErr w:type="spellStart"/>
      <w:r w:rsidR="00136D29">
        <w:t>Boeve</w:t>
      </w:r>
      <w:proofErr w:type="spellEnd"/>
      <w:r w:rsidR="00136D29">
        <w:t xml:space="preserve">-de </w:t>
      </w:r>
      <w:proofErr w:type="spellStart"/>
      <w:r w:rsidR="00136D29">
        <w:t>Pauw</w:t>
      </w:r>
      <w:proofErr w:type="spellEnd"/>
      <w:r w:rsidR="00136D29">
        <w:t xml:space="preserve"> </w:t>
      </w:r>
      <w:r w:rsidR="00136D29" w:rsidRPr="00136D29">
        <w:rPr>
          <w:i/>
        </w:rPr>
        <w:t>et al.,</w:t>
      </w:r>
      <w:r w:rsidR="00136D29">
        <w:t xml:space="preserve"> 2015)</w:t>
      </w:r>
      <w:r>
        <w:rPr>
          <w:rFonts w:hint="eastAsia"/>
        </w:rPr>
        <w:t>.</w:t>
      </w:r>
    </w:p>
    <w:p w:rsidR="00986D4E" w:rsidRDefault="00986D4E" w:rsidP="00986D4E">
      <w:r>
        <w:rPr>
          <w:rFonts w:hint="eastAsia"/>
        </w:rPr>
        <w:t xml:space="preserve">The John Muir Award, a nationally </w:t>
      </w:r>
      <w:proofErr w:type="spellStart"/>
      <w:r>
        <w:rPr>
          <w:rFonts w:hint="eastAsia"/>
        </w:rPr>
        <w:t>recognised</w:t>
      </w:r>
      <w:proofErr w:type="spellEnd"/>
      <w:r>
        <w:rPr>
          <w:rFonts w:hint="eastAsia"/>
        </w:rPr>
        <w:t xml:space="preserve"> environmental award, promotes engagement with </w:t>
      </w:r>
      <w:r>
        <w:rPr>
          <w:rFonts w:hint="eastAsia"/>
        </w:rPr>
        <w:lastRenderedPageBreak/>
        <w:t>wild places through its four key challenges</w:t>
      </w:r>
      <w:r w:rsidR="000779F4">
        <w:t xml:space="preserve">, </w:t>
      </w:r>
      <w:r>
        <w:rPr>
          <w:rFonts w:hint="eastAsia"/>
        </w:rPr>
        <w:t>discover, explore, conserve, and share</w:t>
      </w:r>
      <w:r w:rsidR="00136D29">
        <w:t xml:space="preserve"> (New Forest National Park Authority, 2025).</w:t>
      </w:r>
      <w:r>
        <w:rPr>
          <w:rFonts w:hint="eastAsia"/>
        </w:rPr>
        <w:t xml:space="preserve"> While originally not designed for early years learners, the principles underpinning the award resonate strongly with early childhood pedagogies. One of the fundamental goals of ESD is to foster a meaningful and lasting connection with the natural environment. Early childhood is </w:t>
      </w:r>
      <w:proofErr w:type="spellStart"/>
      <w:r>
        <w:rPr>
          <w:rFonts w:hint="eastAsia"/>
        </w:rPr>
        <w:t>recognised</w:t>
      </w:r>
      <w:proofErr w:type="spellEnd"/>
      <w:r>
        <w:rPr>
          <w:rFonts w:hint="eastAsia"/>
        </w:rPr>
        <w:t xml:space="preserve"> as a critical period for developing this connection</w:t>
      </w:r>
      <w:r w:rsidR="00136D29">
        <w:t xml:space="preserve"> (</w:t>
      </w:r>
      <w:proofErr w:type="spellStart"/>
      <w:r w:rsidR="00136D29">
        <w:t>Pramling</w:t>
      </w:r>
      <w:proofErr w:type="spellEnd"/>
      <w:r w:rsidR="00136D29">
        <w:t xml:space="preserve"> Samuelsson, 2011)</w:t>
      </w:r>
      <w:r>
        <w:rPr>
          <w:rFonts w:hint="eastAsia"/>
        </w:rPr>
        <w:t>. Nature-based experiences, such as those encouraged by the John Muir Award, allow children to engage directly with their surroundings through exploration, observation, and sensory immersion. The emphasis on practical, real-world learning through outdoor activity aligns closely with the thinking of Friedrich Froebel, who viewed nature as essential to the moral, physical, and spiritual development of the child</w:t>
      </w:r>
      <w:r w:rsidR="004F5C8C">
        <w:t xml:space="preserve"> (</w:t>
      </w:r>
      <w:proofErr w:type="spellStart"/>
      <w:r w:rsidR="004F5C8C">
        <w:t>Hedefalk</w:t>
      </w:r>
      <w:proofErr w:type="spellEnd"/>
      <w:r w:rsidR="004F5C8C">
        <w:t xml:space="preserve"> </w:t>
      </w:r>
      <w:r w:rsidR="004F5C8C" w:rsidRPr="004F5C8C">
        <w:rPr>
          <w:i/>
        </w:rPr>
        <w:t>et al.,</w:t>
      </w:r>
      <w:r w:rsidR="004F5C8C">
        <w:t xml:space="preserve"> 2014)</w:t>
      </w:r>
      <w:r>
        <w:rPr>
          <w:rFonts w:hint="eastAsia"/>
        </w:rPr>
        <w:t>. Froebel argued that children are part of nature and that understanding and caring for the natural world is fundamental to their growth</w:t>
      </w:r>
      <w:r w:rsidR="004F5C8C">
        <w:t xml:space="preserve"> (Tovey, 2016).</w:t>
      </w:r>
      <w:r>
        <w:t xml:space="preserve"> </w:t>
      </w:r>
      <w:r>
        <w:rPr>
          <w:rFonts w:hint="eastAsia"/>
        </w:rPr>
        <w:t xml:space="preserve">Similarly, the Reggio Emilia philosophy, articulated by Loris Malaguzzi, views the environment as the </w:t>
      </w:r>
      <w:r w:rsidR="004F5C8C">
        <w:t>“</w:t>
      </w:r>
      <w:r>
        <w:rPr>
          <w:rFonts w:hint="eastAsia"/>
        </w:rPr>
        <w:t>third teacher,</w:t>
      </w:r>
      <w:r w:rsidR="004F5C8C">
        <w:t>”</w:t>
      </w:r>
      <w:r>
        <w:rPr>
          <w:rFonts w:hint="eastAsia"/>
        </w:rPr>
        <w:t xml:space="preserve"> </w:t>
      </w:r>
      <w:proofErr w:type="spellStart"/>
      <w:r>
        <w:rPr>
          <w:rFonts w:hint="eastAsia"/>
        </w:rPr>
        <w:t>recognising</w:t>
      </w:r>
      <w:proofErr w:type="spellEnd"/>
      <w:r>
        <w:rPr>
          <w:rFonts w:hint="eastAsia"/>
        </w:rPr>
        <w:t xml:space="preserve"> the outdoors as a space that invites inquiry, co-construction of knowledge, and meaningful encounters</w:t>
      </w:r>
      <w:r w:rsidR="004F5C8C">
        <w:t xml:space="preserve"> (Robson, 2017)</w:t>
      </w:r>
      <w:r>
        <w:rPr>
          <w:rFonts w:hint="eastAsia"/>
        </w:rPr>
        <w:t>. Experiences such as observing wildlife, creating art from natural materials, or constructing dens exemplify the type of learning that the John Muir Award promotes and are also reflective of these pedagogical perspectives.</w:t>
      </w:r>
    </w:p>
    <w:p w:rsidR="00986D4E" w:rsidRDefault="00986D4E" w:rsidP="00986D4E">
      <w:r>
        <w:rPr>
          <w:rFonts w:hint="eastAsia"/>
        </w:rPr>
        <w:t>Practical engagement with nature supports not only environmental awareness but also physical well-being, socio-emotional development, and cognitive growth. Research has demonstrated that outdoor experiences enhance children</w:t>
      </w:r>
      <w:r w:rsidR="000779F4">
        <w:t>’</w:t>
      </w:r>
      <w:r>
        <w:rPr>
          <w:rFonts w:hint="eastAsia"/>
        </w:rPr>
        <w:t>s executive function, concentration, and resilience</w:t>
      </w:r>
      <w:r w:rsidR="004F5C8C">
        <w:t xml:space="preserve"> (Scott </w:t>
      </w:r>
      <w:r w:rsidR="004F5C8C" w:rsidRPr="004F5C8C">
        <w:rPr>
          <w:i/>
        </w:rPr>
        <w:t>et al.,</w:t>
      </w:r>
      <w:r w:rsidR="004F5C8C">
        <w:t xml:space="preserve"> 2018)</w:t>
      </w:r>
      <w:r>
        <w:rPr>
          <w:rFonts w:hint="eastAsia"/>
        </w:rPr>
        <w:t xml:space="preserve">. The Curriculum for Wales and the Curriculum for Non-Maintained Nursery Settings both </w:t>
      </w:r>
      <w:proofErr w:type="spellStart"/>
      <w:r>
        <w:rPr>
          <w:rFonts w:hint="eastAsia"/>
        </w:rPr>
        <w:t>emphasise</w:t>
      </w:r>
      <w:proofErr w:type="spellEnd"/>
      <w:r>
        <w:rPr>
          <w:rFonts w:hint="eastAsia"/>
        </w:rPr>
        <w:t xml:space="preserve"> well-being and experiential learning, positioning such engagement as central to the aims of early years education in Wales</w:t>
      </w:r>
      <w:r w:rsidR="004F5C8C">
        <w:t xml:space="preserve"> (Stewart </w:t>
      </w:r>
      <w:r w:rsidR="004F5C8C" w:rsidRPr="004F5C8C">
        <w:rPr>
          <w:i/>
        </w:rPr>
        <w:t>et al.,</w:t>
      </w:r>
      <w:r w:rsidR="004F5C8C">
        <w:t xml:space="preserve"> 2024)</w:t>
      </w:r>
      <w:r>
        <w:rPr>
          <w:rFonts w:hint="eastAsia"/>
        </w:rPr>
        <w:t>.</w:t>
      </w:r>
      <w:r>
        <w:t xml:space="preserve"> </w:t>
      </w:r>
      <w:r>
        <w:rPr>
          <w:rFonts w:hint="eastAsia"/>
        </w:rPr>
        <w:t>However, significant challenges to this model of learning remain. Not all children have equal access to natural spaces, and early years settings in urban or under-resourced areas may struggle to implement consistent and meaningful outdoor provision</w:t>
      </w:r>
      <w:r w:rsidR="004F5C8C">
        <w:t xml:space="preserve"> (</w:t>
      </w:r>
      <w:proofErr w:type="spellStart"/>
      <w:r w:rsidR="004F5C8C">
        <w:t>Tinney</w:t>
      </w:r>
      <w:proofErr w:type="spellEnd"/>
      <w:r w:rsidR="004F5C8C">
        <w:t>, 2023)</w:t>
      </w:r>
      <w:r>
        <w:rPr>
          <w:rFonts w:hint="eastAsia"/>
        </w:rPr>
        <w:t>. Additionally, practitioners may lack confidence, training, or time to fully integrate nature-based learning into their practice</w:t>
      </w:r>
      <w:r w:rsidR="00D9544B">
        <w:t xml:space="preserve"> (John, 2023)</w:t>
      </w:r>
      <w:r>
        <w:rPr>
          <w:rFonts w:hint="eastAsia"/>
        </w:rPr>
        <w:t>. As such, while the John Muir Award has the potential to deepen young children</w:t>
      </w:r>
      <w:r w:rsidR="000779F4">
        <w:t>’</w:t>
      </w:r>
      <w:r>
        <w:rPr>
          <w:rFonts w:hint="eastAsia"/>
        </w:rPr>
        <w:t>s engagement with the natural world, its impact is contingent upon systemic support and practitioner capacity.</w:t>
      </w:r>
    </w:p>
    <w:p w:rsidR="00986D4E" w:rsidRDefault="00986D4E" w:rsidP="00986D4E">
      <w:r>
        <w:rPr>
          <w:rFonts w:hint="eastAsia"/>
        </w:rPr>
        <w:t xml:space="preserve">Beyond exploration, the John Muir Award requires participants to </w:t>
      </w:r>
      <w:r w:rsidR="000779F4">
        <w:t>act</w:t>
      </w:r>
      <w:r>
        <w:rPr>
          <w:rFonts w:hint="eastAsia"/>
        </w:rPr>
        <w:t xml:space="preserve"> through conservation activities. This emphasis on doing, rather than simply observing, aligns with ESD</w:t>
      </w:r>
      <w:r w:rsidR="000779F4">
        <w:t>’</w:t>
      </w:r>
      <w:r>
        <w:rPr>
          <w:rFonts w:hint="eastAsia"/>
        </w:rPr>
        <w:t>s commitment to active citizenship. In early years education, such actions</w:t>
      </w:r>
      <w:r w:rsidR="000779F4">
        <w:rPr>
          <w:rFonts w:hint="eastAsia"/>
        </w:rPr>
        <w:t>,</w:t>
      </w:r>
      <w:r w:rsidR="000779F4">
        <w:t xml:space="preserve"> </w:t>
      </w:r>
      <w:r>
        <w:rPr>
          <w:rFonts w:hint="eastAsia"/>
        </w:rPr>
        <w:t>planting wildflowers, participating in clean-up efforts, or caring for school gardens</w:t>
      </w:r>
      <w:r w:rsidR="000779F4">
        <w:rPr>
          <w:rFonts w:hint="eastAsia"/>
        </w:rPr>
        <w:t xml:space="preserve"> </w:t>
      </w:r>
      <w:r>
        <w:rPr>
          <w:rFonts w:hint="eastAsia"/>
        </w:rPr>
        <w:t>can offer children tangible opportunities to engage with sustainability on a personal and local level</w:t>
      </w:r>
      <w:r w:rsidR="00D9544B">
        <w:t xml:space="preserve"> (Christopher, 2019)</w:t>
      </w:r>
      <w:r>
        <w:rPr>
          <w:rFonts w:hint="eastAsia"/>
        </w:rPr>
        <w:t>.</w:t>
      </w:r>
      <w:r>
        <w:t xml:space="preserve"> </w:t>
      </w:r>
      <w:r>
        <w:rPr>
          <w:rFonts w:hint="eastAsia"/>
        </w:rPr>
        <w:t>The act of taking responsibility for the environment supports the development of agency, a core principle of both ESD and early years pedagogy. Maria Montessori</w:t>
      </w:r>
      <w:r>
        <w:t>’</w:t>
      </w:r>
      <w:r>
        <w:rPr>
          <w:rFonts w:hint="eastAsia"/>
        </w:rPr>
        <w:t>s concept of the child as an active participant in their learning aligns well with this approach</w:t>
      </w:r>
      <w:r w:rsidR="00D9544B">
        <w:t xml:space="preserve"> (Frierson, 2021)</w:t>
      </w:r>
      <w:r>
        <w:rPr>
          <w:rFonts w:hint="eastAsia"/>
        </w:rPr>
        <w:t>, as does Froebel</w:t>
      </w:r>
      <w:r>
        <w:t>’</w:t>
      </w:r>
      <w:r>
        <w:rPr>
          <w:rFonts w:hint="eastAsia"/>
        </w:rPr>
        <w:t>s belief in purposeful, community-oriented activity. More recently, researchers such as Julie Davis</w:t>
      </w:r>
      <w:r w:rsidR="00D9544B">
        <w:t xml:space="preserve"> (2011)</w:t>
      </w:r>
      <w:r>
        <w:rPr>
          <w:rFonts w:hint="eastAsia"/>
        </w:rPr>
        <w:t xml:space="preserve"> </w:t>
      </w:r>
      <w:r>
        <w:rPr>
          <w:rFonts w:hint="eastAsia"/>
        </w:rPr>
        <w:lastRenderedPageBreak/>
        <w:t>have argued that young children are not merely passive recipients of adult knowledge but are citizens of today, capable of contributing meaningfully to sustainability efforts. This is further reinforced by the United Nations Convention on the Rights of the Child (UNCRC), particularly Article 12, which affirms children</w:t>
      </w:r>
      <w:r w:rsidR="000779F4">
        <w:t>’</w:t>
      </w:r>
      <w:r>
        <w:rPr>
          <w:rFonts w:hint="eastAsia"/>
        </w:rPr>
        <w:t>s rights to express their views on matters that affect them.</w:t>
      </w:r>
      <w:r>
        <w:t xml:space="preserve"> </w:t>
      </w:r>
      <w:r>
        <w:rPr>
          <w:rFonts w:hint="eastAsia"/>
        </w:rPr>
        <w:t>Engaging children in conservation activities fosters self-efficacy, reinforcing the belief that their actions can make a difference. Such experiences also contribute to the development of empathy, responsibility, and social awareness</w:t>
      </w:r>
      <w:r w:rsidR="00D9544B">
        <w:t xml:space="preserve"> (Bradwell, 2019)</w:t>
      </w:r>
      <w:r>
        <w:rPr>
          <w:rFonts w:hint="eastAsia"/>
        </w:rPr>
        <w:t>. The participatory ethos of the John Muir Award aligns with the principles of ESD as it supports ethical citizenship and the development of values-based learning.</w:t>
      </w:r>
      <w:r>
        <w:t xml:space="preserve"> </w:t>
      </w:r>
      <w:r>
        <w:rPr>
          <w:rFonts w:hint="eastAsia"/>
        </w:rPr>
        <w:t>Nevertheless, these opportunities are not without limitations. If activities are overly adult-directed, they may become tokenistic and reduce opportunities for genuine child agency. Additionally, while the John Muir Award focuses on environmental conservation, it may underrepresent the social and economic dimensions of sustainability, such as equity, cultural identity, and global justice. There is a risk that a narrow environmental focus may eclipse the broader aims of ESD, unless practitioners intentionally expand the framework to incorporate global citizenship, community partnerships, and intercultural learning.</w:t>
      </w:r>
    </w:p>
    <w:p w:rsidR="00986D4E" w:rsidRDefault="00986D4E" w:rsidP="00986D4E">
      <w:r>
        <w:rPr>
          <w:rFonts w:hint="eastAsia"/>
        </w:rPr>
        <w:t>A further key element of ESD is the development of futures thinking</w:t>
      </w:r>
      <w:r w:rsidR="000779F4">
        <w:rPr>
          <w:rFonts w:hint="eastAsia"/>
        </w:rPr>
        <w:t>,</w:t>
      </w:r>
      <w:r w:rsidR="000779F4">
        <w:t xml:space="preserve"> </w:t>
      </w:r>
      <w:r>
        <w:rPr>
          <w:rFonts w:hint="eastAsia"/>
        </w:rPr>
        <w:t>the ability to envision alternative futures and act with long-term responsibility. For young children, futures thinking may initially seem abstract, but can be meaningfully introduced through storytelling, imaginative play, and creative expression</w:t>
      </w:r>
      <w:r w:rsidR="00455949">
        <w:t xml:space="preserve"> (Holfelder, 2019)</w:t>
      </w:r>
      <w:r>
        <w:rPr>
          <w:rFonts w:hint="eastAsia"/>
        </w:rPr>
        <w:t xml:space="preserve">. Within the John Muir Award, the </w:t>
      </w:r>
      <w:r w:rsidR="000779F4">
        <w:t>“</w:t>
      </w:r>
      <w:r>
        <w:rPr>
          <w:rFonts w:hint="eastAsia"/>
        </w:rPr>
        <w:t>share</w:t>
      </w:r>
      <w:r w:rsidR="000779F4">
        <w:t>”</w:t>
      </w:r>
      <w:r>
        <w:rPr>
          <w:rFonts w:hint="eastAsia"/>
        </w:rPr>
        <w:t xml:space="preserve"> element can offer children opportunities to communicate their experiences, imagine how landscapes might change, or envision a better future for their local environment.</w:t>
      </w:r>
      <w:r>
        <w:t xml:space="preserve"> </w:t>
      </w:r>
      <w:r>
        <w:rPr>
          <w:rFonts w:hint="eastAsia"/>
        </w:rPr>
        <w:t xml:space="preserve">Futures thinking is essential not only for developing critical awareness but also for nurturing hope and resilience in the face of environmental challenges. Sterling (2001) and Hicks (2012) argue that education must help learners become </w:t>
      </w:r>
      <w:r w:rsidR="000779F4">
        <w:t>“</w:t>
      </w:r>
      <w:r>
        <w:rPr>
          <w:rFonts w:hint="eastAsia"/>
        </w:rPr>
        <w:t>active hope-builders,</w:t>
      </w:r>
      <w:r w:rsidR="000779F4">
        <w:t>”</w:t>
      </w:r>
      <w:r>
        <w:rPr>
          <w:rFonts w:hint="eastAsia"/>
        </w:rPr>
        <w:t xml:space="preserve"> capable of imagining and creating more sustainable pathways. In early years settings, this means creating learning environments where children are encouraged to think critically, express ideas, and engage with complexity through age-appropriate means.</w:t>
      </w:r>
      <w:r>
        <w:t xml:space="preserve"> </w:t>
      </w:r>
      <w:r>
        <w:rPr>
          <w:rFonts w:hint="eastAsia"/>
        </w:rPr>
        <w:t>Yet futures thinking remains underexplored in early childhood education. Practitioners may feel uncertain about introducing topics such as climate change or biodiversity loss, fearing that these may be too difficult or distressing for young children. While care must be taken to ensure that learning is developmentally appropriate, excluding such issues altogether may deny children the opportunity to develop the tools they need to understand and respond to the world around them. The John Muir Award does not explicitly incorporate futures thinking within its core framework, meaning that its inclusion depends heavily on how practitioners design and interpret the experience.</w:t>
      </w:r>
    </w:p>
    <w:p w:rsidR="00986D4E" w:rsidRDefault="00986D4E" w:rsidP="00986D4E">
      <w:r>
        <w:rPr>
          <w:rFonts w:hint="eastAsia"/>
        </w:rPr>
        <w:t xml:space="preserve">The John Muir Award holds significant potential to support the goals of Education for Sustainable Development in the early years. It promotes practical engagement with nature, encourages children to take purposeful action, and can support imaginative and reflective thinking about the future. These themes align with the philosophies of Froebel, Montessori, and Malaguzzi, as well </w:t>
      </w:r>
      <w:r>
        <w:rPr>
          <w:rFonts w:hint="eastAsia"/>
        </w:rPr>
        <w:lastRenderedPageBreak/>
        <w:t xml:space="preserve">as with contemporary policy frameworks such as the Well-being of Future Generations (Wales) Act and the Curriculum for Wales, which </w:t>
      </w:r>
      <w:proofErr w:type="spellStart"/>
      <w:r>
        <w:rPr>
          <w:rFonts w:hint="eastAsia"/>
        </w:rPr>
        <w:t>emphasise</w:t>
      </w:r>
      <w:proofErr w:type="spellEnd"/>
      <w:r>
        <w:rPr>
          <w:rFonts w:hint="eastAsia"/>
        </w:rPr>
        <w:t xml:space="preserve"> ethical citizenship, well-being, and learning through real experiences.</w:t>
      </w:r>
      <w:r>
        <w:t xml:space="preserve"> </w:t>
      </w:r>
      <w:r>
        <w:rPr>
          <w:rFonts w:hint="eastAsia"/>
        </w:rPr>
        <w:t xml:space="preserve">However, the extent to which the John Muir Award can contribute to holistic ESD depends on its implementation. If used narrowly, it risks reinforcing a limited, ecological interpretation of sustainability and may fail to address the broader social, economic, and political dimensions that ESD encompasses. Equally, without adequate training, resources, and institutional support, early years practitioners may struggle to </w:t>
      </w:r>
      <w:proofErr w:type="spellStart"/>
      <w:r>
        <w:rPr>
          <w:rFonts w:hint="eastAsia"/>
        </w:rPr>
        <w:t>realise</w:t>
      </w:r>
      <w:proofErr w:type="spellEnd"/>
      <w:r>
        <w:rPr>
          <w:rFonts w:hint="eastAsia"/>
        </w:rPr>
        <w:t xml:space="preserve"> its full potential.</w:t>
      </w:r>
      <w:r>
        <w:t xml:space="preserve"> </w:t>
      </w:r>
      <w:r>
        <w:rPr>
          <w:rFonts w:hint="eastAsia"/>
        </w:rPr>
        <w:t xml:space="preserve">For the John Muir Award to be an effective tool for sustainable development in early childhood, it must be integrated thoughtfully into a rights-respecting, values-based curriculum. It must be adaptable, inclusive, and co-constructed with children in ways that </w:t>
      </w:r>
      <w:proofErr w:type="spellStart"/>
      <w:r>
        <w:rPr>
          <w:rFonts w:hint="eastAsia"/>
        </w:rPr>
        <w:t>honour</w:t>
      </w:r>
      <w:proofErr w:type="spellEnd"/>
      <w:r>
        <w:rPr>
          <w:rFonts w:hint="eastAsia"/>
        </w:rPr>
        <w:t xml:space="preserve"> their voices and capacities. Most importantly, it must serve as a starting point for wider engagement with the interconnected, complex, and urgent issues that define sustainability education in the 21st century.</w:t>
      </w:r>
    </w:p>
    <w:p w:rsidR="00001F95" w:rsidRPr="00001F95" w:rsidRDefault="00986D4E">
      <w:pPr>
        <w:rPr>
          <w:b/>
          <w:u w:val="single"/>
        </w:rPr>
      </w:pPr>
      <w:r w:rsidRPr="00986D4E">
        <w:rPr>
          <w:b/>
          <w:u w:val="single"/>
        </w:rPr>
        <w:t>Reference List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proofErr w:type="spellStart"/>
      <w:r w:rsidRPr="00001F95">
        <w:rPr>
          <w:rFonts w:eastAsia="Times New Roman" w:cstheme="minorHAnsi"/>
          <w:kern w:val="0"/>
          <w:sz w:val="22"/>
          <w:szCs w:val="22"/>
          <w:lang w:val="en-GB" w:eastAsia="en-GB"/>
        </w:rPr>
        <w:t>Boeve</w:t>
      </w:r>
      <w:proofErr w:type="spellEnd"/>
      <w:r w:rsidRPr="00001F95">
        <w:rPr>
          <w:rFonts w:eastAsia="Times New Roman" w:cstheme="minorHAnsi"/>
          <w:kern w:val="0"/>
          <w:sz w:val="22"/>
          <w:szCs w:val="22"/>
          <w:lang w:val="en-GB" w:eastAsia="en-GB"/>
        </w:rPr>
        <w:t xml:space="preserve">-de </w:t>
      </w:r>
      <w:proofErr w:type="spellStart"/>
      <w:r w:rsidRPr="00001F95">
        <w:rPr>
          <w:rFonts w:eastAsia="Times New Roman" w:cstheme="minorHAnsi"/>
          <w:kern w:val="0"/>
          <w:sz w:val="22"/>
          <w:szCs w:val="22"/>
          <w:lang w:val="en-GB" w:eastAsia="en-GB"/>
        </w:rPr>
        <w:t>Pauw</w:t>
      </w:r>
      <w:proofErr w:type="spellEnd"/>
      <w:r w:rsidRPr="00001F95">
        <w:rPr>
          <w:rFonts w:eastAsia="Times New Roman" w:cstheme="minorHAnsi"/>
          <w:kern w:val="0"/>
          <w:sz w:val="22"/>
          <w:szCs w:val="22"/>
          <w:lang w:val="en-GB" w:eastAsia="en-GB"/>
        </w:rPr>
        <w:t xml:space="preserve">, J., Gericke, N., Olsson, D. and Berglund, T. (2015). The Effectiveness of Education for Sustainable Development. </w:t>
      </w:r>
      <w:r w:rsidRPr="00001F95">
        <w:rPr>
          <w:rFonts w:eastAsia="Times New Roman" w:cstheme="minorHAnsi"/>
          <w:i/>
          <w:iCs/>
          <w:kern w:val="0"/>
          <w:sz w:val="22"/>
          <w:szCs w:val="22"/>
          <w:lang w:val="en-GB" w:eastAsia="en-GB"/>
        </w:rPr>
        <w:t>Sustainability</w:t>
      </w:r>
      <w:r w:rsidRPr="00001F95">
        <w:rPr>
          <w:rFonts w:eastAsia="Times New Roman" w:cstheme="minorHAnsi"/>
          <w:kern w:val="0"/>
          <w:sz w:val="22"/>
          <w:szCs w:val="22"/>
          <w:lang w:val="en-GB" w:eastAsia="en-GB"/>
        </w:rPr>
        <w:t xml:space="preserve">, [online] 7(11), pp.15693–15717.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://doi.org/10.3390/su71115693</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Bradwell, M. (2019). Voice, views and the UNCRC Articles 12 and 13. </w:t>
      </w:r>
      <w:r w:rsidRPr="00001F95">
        <w:rPr>
          <w:rFonts w:eastAsia="Times New Roman" w:cstheme="minorHAnsi"/>
          <w:i/>
          <w:iCs/>
          <w:kern w:val="0"/>
          <w:sz w:val="22"/>
          <w:szCs w:val="22"/>
          <w:lang w:val="en-GB" w:eastAsia="en-GB"/>
        </w:rPr>
        <w:t>Journal of Early Childhood Research</w:t>
      </w:r>
      <w:r w:rsidRPr="00001F95">
        <w:rPr>
          <w:rFonts w:eastAsia="Times New Roman" w:cstheme="minorHAnsi"/>
          <w:kern w:val="0"/>
          <w:sz w:val="22"/>
          <w:szCs w:val="22"/>
          <w:lang w:val="en-GB" w:eastAsia="en-GB"/>
        </w:rPr>
        <w:t xml:space="preserve">, 17(4), pp.423–433.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://doi.org/10.1177/1476718x19875780</w:t>
      </w:r>
      <w:proofErr w:type="gramEnd"/>
      <w:r w:rsidRPr="00001F95">
        <w:rPr>
          <w:rFonts w:eastAsia="Times New Roman" w:cstheme="minorHAnsi"/>
          <w:kern w:val="0"/>
          <w:sz w:val="22"/>
          <w:szCs w:val="22"/>
          <w:lang w:val="en-GB" w:eastAsia="en-GB"/>
        </w:rPr>
        <w:t>.</w:t>
      </w:r>
    </w:p>
    <w:p w:rsidR="00001F95" w:rsidRPr="00001F95" w:rsidRDefault="00001F95" w:rsidP="00C8244A">
      <w:pPr>
        <w:rPr>
          <w:rFonts w:cstheme="minorHAnsi"/>
          <w:sz w:val="22"/>
          <w:szCs w:val="22"/>
        </w:rPr>
      </w:pPr>
      <w:r w:rsidRPr="00001F95">
        <w:rPr>
          <w:rFonts w:cstheme="minorHAnsi"/>
          <w:sz w:val="22"/>
          <w:szCs w:val="22"/>
        </w:rPr>
        <w:t>Brundtland Commission, 1987. Our common future. Oxford: Oxford University Press.</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Christopher (2019). </w:t>
      </w:r>
      <w:r w:rsidRPr="00001F95">
        <w:rPr>
          <w:rFonts w:eastAsia="Times New Roman" w:cstheme="minorHAnsi"/>
          <w:i/>
          <w:iCs/>
          <w:kern w:val="0"/>
          <w:sz w:val="22"/>
          <w:szCs w:val="22"/>
          <w:lang w:val="en-GB" w:eastAsia="en-GB"/>
        </w:rPr>
        <w:t>The School Garden Curriculum</w:t>
      </w:r>
      <w:r w:rsidRPr="00001F95">
        <w:rPr>
          <w:rFonts w:eastAsia="Times New Roman" w:cstheme="minorHAnsi"/>
          <w:kern w:val="0"/>
          <w:sz w:val="22"/>
          <w:szCs w:val="22"/>
          <w:lang w:val="en-GB" w:eastAsia="en-GB"/>
        </w:rPr>
        <w:t>. [online] Google Books. Available at: https://books.google.co.uk/books?hl=en&amp;lr=&amp;id=BVBwDwAAQBAJ&amp;oi=fnd&amp;pg=PP1&amp;dq=In+early+years+education [Accessed 8 Jul. 2025].</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proofErr w:type="spellStart"/>
      <w:r w:rsidRPr="00001F95">
        <w:rPr>
          <w:rFonts w:eastAsia="Times New Roman" w:cstheme="minorHAnsi"/>
          <w:kern w:val="0"/>
          <w:sz w:val="22"/>
          <w:szCs w:val="22"/>
          <w:lang w:val="en-GB" w:eastAsia="en-GB"/>
        </w:rPr>
        <w:t>Daelmans</w:t>
      </w:r>
      <w:proofErr w:type="spellEnd"/>
      <w:r w:rsidRPr="00001F95">
        <w:rPr>
          <w:rFonts w:eastAsia="Times New Roman" w:cstheme="minorHAnsi"/>
          <w:kern w:val="0"/>
          <w:sz w:val="22"/>
          <w:szCs w:val="22"/>
          <w:lang w:val="en-GB" w:eastAsia="en-GB"/>
        </w:rPr>
        <w:t xml:space="preserve">, B., Darmstadt, G.L., Lombardi, J., Black, M.M., Britto, P.R., Lye, S., </w:t>
      </w:r>
      <w:proofErr w:type="spellStart"/>
      <w:r w:rsidRPr="00001F95">
        <w:rPr>
          <w:rFonts w:eastAsia="Times New Roman" w:cstheme="minorHAnsi"/>
          <w:kern w:val="0"/>
          <w:sz w:val="22"/>
          <w:szCs w:val="22"/>
          <w:lang w:val="en-GB" w:eastAsia="en-GB"/>
        </w:rPr>
        <w:t>Dua</w:t>
      </w:r>
      <w:proofErr w:type="spellEnd"/>
      <w:r w:rsidRPr="00001F95">
        <w:rPr>
          <w:rFonts w:eastAsia="Times New Roman" w:cstheme="minorHAnsi"/>
          <w:kern w:val="0"/>
          <w:sz w:val="22"/>
          <w:szCs w:val="22"/>
          <w:lang w:val="en-GB" w:eastAsia="en-GB"/>
        </w:rPr>
        <w:t xml:space="preserve">, T., </w:t>
      </w:r>
      <w:proofErr w:type="spellStart"/>
      <w:r w:rsidRPr="00001F95">
        <w:rPr>
          <w:rFonts w:eastAsia="Times New Roman" w:cstheme="minorHAnsi"/>
          <w:kern w:val="0"/>
          <w:sz w:val="22"/>
          <w:szCs w:val="22"/>
          <w:lang w:val="en-GB" w:eastAsia="en-GB"/>
        </w:rPr>
        <w:t>Bhutta</w:t>
      </w:r>
      <w:proofErr w:type="spellEnd"/>
      <w:r w:rsidRPr="00001F95">
        <w:rPr>
          <w:rFonts w:eastAsia="Times New Roman" w:cstheme="minorHAnsi"/>
          <w:kern w:val="0"/>
          <w:sz w:val="22"/>
          <w:szCs w:val="22"/>
          <w:lang w:val="en-GB" w:eastAsia="en-GB"/>
        </w:rPr>
        <w:t xml:space="preserve">, Z.A. and Richter, L.M. (2017). Early childhood development: the foundation of sustainable development. </w:t>
      </w:r>
      <w:r w:rsidRPr="00001F95">
        <w:rPr>
          <w:rFonts w:eastAsia="Times New Roman" w:cstheme="minorHAnsi"/>
          <w:i/>
          <w:iCs/>
          <w:kern w:val="0"/>
          <w:sz w:val="22"/>
          <w:szCs w:val="22"/>
          <w:lang w:val="en-GB" w:eastAsia="en-GB"/>
        </w:rPr>
        <w:t>The Lancet</w:t>
      </w:r>
      <w:r w:rsidRPr="00001F95">
        <w:rPr>
          <w:rFonts w:eastAsia="Times New Roman" w:cstheme="minorHAnsi"/>
          <w:kern w:val="0"/>
          <w:sz w:val="22"/>
          <w:szCs w:val="22"/>
          <w:lang w:val="en-GB" w:eastAsia="en-GB"/>
        </w:rPr>
        <w:t xml:space="preserve">, [online] 389(10064), pp.9–11.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://doi.org/10.1016/s0140-6736(16)31659-2</w:t>
      </w:r>
      <w:proofErr w:type="gramEnd"/>
      <w:r w:rsidRPr="00001F95">
        <w:rPr>
          <w:rFonts w:eastAsia="Times New Roman" w:cstheme="minorHAnsi"/>
          <w:kern w:val="0"/>
          <w:sz w:val="22"/>
          <w:szCs w:val="22"/>
          <w:lang w:val="en-GB" w:eastAsia="en-GB"/>
        </w:rPr>
        <w:t>.</w:t>
      </w:r>
      <w:r>
        <w:rPr>
          <w:rFonts w:eastAsia="Times New Roman" w:cstheme="minorHAnsi"/>
          <w:kern w:val="0"/>
          <w:sz w:val="22"/>
          <w:szCs w:val="22"/>
          <w:lang w:val="en-GB" w:eastAsia="en-GB"/>
        </w:rPr>
        <w:t xml:space="preserve"> </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Davis, J. and Davis, J. (2021). Probing the gap between policy and practice in initial early childhood teacher education in </w:t>
      </w:r>
      <w:proofErr w:type="spellStart"/>
      <w:r w:rsidRPr="00001F95">
        <w:rPr>
          <w:rFonts w:eastAsia="Times New Roman" w:cstheme="minorHAnsi"/>
          <w:kern w:val="0"/>
          <w:sz w:val="22"/>
          <w:szCs w:val="22"/>
          <w:lang w:val="en-GB" w:eastAsia="en-GB"/>
        </w:rPr>
        <w:t>australia</w:t>
      </w:r>
      <w:proofErr w:type="spellEnd"/>
      <w:r w:rsidRPr="00001F95">
        <w:rPr>
          <w:rFonts w:eastAsia="Times New Roman" w:cstheme="minorHAnsi"/>
          <w:kern w:val="0"/>
          <w:sz w:val="22"/>
          <w:szCs w:val="22"/>
          <w:lang w:val="en-GB" w:eastAsia="en-GB"/>
        </w:rPr>
        <w:t xml:space="preserve"> in relation to education for sustainability. </w:t>
      </w:r>
      <w:r w:rsidRPr="00001F95">
        <w:rPr>
          <w:rFonts w:eastAsia="Times New Roman" w:cstheme="minorHAnsi"/>
          <w:i/>
          <w:iCs/>
          <w:kern w:val="0"/>
          <w:sz w:val="22"/>
          <w:szCs w:val="22"/>
          <w:lang w:val="en-GB" w:eastAsia="en-GB"/>
        </w:rPr>
        <w:lastRenderedPageBreak/>
        <w:t>Asia-Pacific Journal of Teacher Education</w:t>
      </w:r>
      <w:r w:rsidRPr="00001F95">
        <w:rPr>
          <w:rFonts w:eastAsia="Times New Roman" w:cstheme="minorHAnsi"/>
          <w:kern w:val="0"/>
          <w:sz w:val="22"/>
          <w:szCs w:val="22"/>
          <w:lang w:val="en-GB" w:eastAsia="en-GB"/>
        </w:rPr>
        <w:t xml:space="preserve">, 49(5), pp.1–16.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://doi.org/10.1080/1359866x.2021.1880545</w:t>
      </w:r>
      <w:proofErr w:type="gramEnd"/>
      <w:r w:rsidRPr="00001F95">
        <w:rPr>
          <w:rFonts w:eastAsia="Times New Roman" w:cstheme="minorHAnsi"/>
          <w:kern w:val="0"/>
          <w:sz w:val="22"/>
          <w:szCs w:val="22"/>
          <w:lang w:val="en-GB" w:eastAsia="en-GB"/>
        </w:rPr>
        <w:t>.</w:t>
      </w:r>
    </w:p>
    <w:p w:rsidR="00001F95" w:rsidRPr="00001F95" w:rsidRDefault="00001F95" w:rsidP="00C8244A">
      <w:pPr>
        <w:rPr>
          <w:rFonts w:cstheme="minorHAnsi"/>
          <w:sz w:val="22"/>
          <w:szCs w:val="22"/>
        </w:rPr>
      </w:pPr>
      <w:r w:rsidRPr="00001F95">
        <w:rPr>
          <w:rFonts w:cstheme="minorHAnsi"/>
          <w:sz w:val="22"/>
          <w:szCs w:val="22"/>
        </w:rPr>
        <w:t>Davis, J., 2010. Young children and the environment: Early education for sustainability. Cambridge: Cambridge University Press.</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Edwards, S., </w:t>
      </w:r>
      <w:proofErr w:type="spellStart"/>
      <w:r w:rsidRPr="00001F95">
        <w:rPr>
          <w:rFonts w:eastAsia="Times New Roman" w:cstheme="minorHAnsi"/>
          <w:kern w:val="0"/>
          <w:sz w:val="22"/>
          <w:szCs w:val="22"/>
          <w:lang w:val="en-GB" w:eastAsia="en-GB"/>
        </w:rPr>
        <w:t>Skouteris</w:t>
      </w:r>
      <w:proofErr w:type="spellEnd"/>
      <w:r w:rsidRPr="00001F95">
        <w:rPr>
          <w:rFonts w:eastAsia="Times New Roman" w:cstheme="minorHAnsi"/>
          <w:kern w:val="0"/>
          <w:sz w:val="22"/>
          <w:szCs w:val="22"/>
          <w:lang w:val="en-GB" w:eastAsia="en-GB"/>
        </w:rPr>
        <w:t xml:space="preserve">, H., Cutter-Mackenzie, A., Rutherford, L., O’Conner, M., Mantilla, A., Morris, H. and Elliot, S. (2015). Young children learning about well-being and environmental education in the early years: a funds of knowledge approach. </w:t>
      </w:r>
      <w:r w:rsidRPr="00001F95">
        <w:rPr>
          <w:rFonts w:eastAsia="Times New Roman" w:cstheme="minorHAnsi"/>
          <w:i/>
          <w:iCs/>
          <w:kern w:val="0"/>
          <w:sz w:val="22"/>
          <w:szCs w:val="22"/>
          <w:lang w:val="en-GB" w:eastAsia="en-GB"/>
        </w:rPr>
        <w:t>Early Years</w:t>
      </w:r>
      <w:r w:rsidRPr="00001F95">
        <w:rPr>
          <w:rFonts w:eastAsia="Times New Roman" w:cstheme="minorHAnsi"/>
          <w:kern w:val="0"/>
          <w:sz w:val="22"/>
          <w:szCs w:val="22"/>
          <w:lang w:val="en-GB" w:eastAsia="en-GB"/>
        </w:rPr>
        <w:t xml:space="preserve">, 36(1), pp.33–50.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://doi.org/10.1080/09575146.2015.1064099</w:t>
      </w:r>
      <w:proofErr w:type="gramEnd"/>
      <w:r w:rsidRPr="00001F95">
        <w:rPr>
          <w:rFonts w:eastAsia="Times New Roman" w:cstheme="minorHAnsi"/>
          <w:kern w:val="0"/>
          <w:sz w:val="22"/>
          <w:szCs w:val="22"/>
          <w:lang w:val="en-GB" w:eastAsia="en-GB"/>
        </w:rPr>
        <w:t>.</w:t>
      </w:r>
    </w:p>
    <w:p w:rsidR="00001F95" w:rsidRPr="00001F95" w:rsidRDefault="00001F95" w:rsidP="00C8244A">
      <w:pPr>
        <w:rPr>
          <w:rFonts w:cstheme="minorHAnsi"/>
          <w:sz w:val="22"/>
          <w:szCs w:val="22"/>
        </w:rPr>
      </w:pPr>
      <w:r w:rsidRPr="00001F95">
        <w:rPr>
          <w:rFonts w:cstheme="minorHAnsi"/>
          <w:sz w:val="22"/>
          <w:szCs w:val="22"/>
        </w:rPr>
        <w:t>Elliott, S. and Davis, J., 2009. Exploring the resistance: An Australian perspective on educating for sustainability in early childhood. International Journal of Early Childhood, 41(2), pp.65–77.</w:t>
      </w:r>
    </w:p>
    <w:p w:rsidR="00001F95" w:rsidRPr="00001F95" w:rsidRDefault="00001F95" w:rsidP="00C8244A">
      <w:pPr>
        <w:rPr>
          <w:rFonts w:cstheme="minorHAnsi"/>
          <w:sz w:val="22"/>
          <w:szCs w:val="22"/>
        </w:rPr>
      </w:pPr>
      <w:proofErr w:type="spellStart"/>
      <w:r w:rsidRPr="00001F95">
        <w:rPr>
          <w:rFonts w:cstheme="minorHAnsi"/>
          <w:sz w:val="22"/>
          <w:szCs w:val="22"/>
        </w:rPr>
        <w:t>Estyn</w:t>
      </w:r>
      <w:proofErr w:type="spellEnd"/>
      <w:r w:rsidRPr="00001F95">
        <w:rPr>
          <w:rFonts w:cstheme="minorHAnsi"/>
          <w:sz w:val="22"/>
          <w:szCs w:val="22"/>
        </w:rPr>
        <w:t xml:space="preserve">, 2014. ESDGC: Progress in education for sustainable development and global citizenship in schools. Cardiff: </w:t>
      </w:r>
      <w:proofErr w:type="spellStart"/>
      <w:r w:rsidRPr="00001F95">
        <w:rPr>
          <w:rFonts w:cstheme="minorHAnsi"/>
          <w:sz w:val="22"/>
          <w:szCs w:val="22"/>
        </w:rPr>
        <w:t>Estyn</w:t>
      </w:r>
      <w:proofErr w:type="spellEnd"/>
      <w:r w:rsidRPr="00001F95">
        <w:rPr>
          <w:rFonts w:cstheme="minorHAnsi"/>
          <w:sz w:val="22"/>
          <w:szCs w:val="22"/>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Evans, N., Stevenson, R.B., </w:t>
      </w:r>
      <w:proofErr w:type="spellStart"/>
      <w:r w:rsidRPr="00001F95">
        <w:rPr>
          <w:rFonts w:eastAsia="Times New Roman" w:cstheme="minorHAnsi"/>
          <w:kern w:val="0"/>
          <w:sz w:val="22"/>
          <w:szCs w:val="22"/>
          <w:lang w:val="en-GB" w:eastAsia="en-GB"/>
        </w:rPr>
        <w:t>Lasen</w:t>
      </w:r>
      <w:proofErr w:type="spellEnd"/>
      <w:r w:rsidRPr="00001F95">
        <w:rPr>
          <w:rFonts w:eastAsia="Times New Roman" w:cstheme="minorHAnsi"/>
          <w:kern w:val="0"/>
          <w:sz w:val="22"/>
          <w:szCs w:val="22"/>
          <w:lang w:val="en-GB" w:eastAsia="en-GB"/>
        </w:rPr>
        <w:t xml:space="preserve">, M., Ferreira, J.-A. and Davis, J. (2017). Approaches to embedding sustainability in teacher education: A synthesis of the literature. </w:t>
      </w:r>
      <w:r w:rsidRPr="00001F95">
        <w:rPr>
          <w:rFonts w:eastAsia="Times New Roman" w:cstheme="minorHAnsi"/>
          <w:i/>
          <w:iCs/>
          <w:kern w:val="0"/>
          <w:sz w:val="22"/>
          <w:szCs w:val="22"/>
          <w:lang w:val="en-GB" w:eastAsia="en-GB"/>
        </w:rPr>
        <w:t>Teaching and Teacher Education</w:t>
      </w:r>
      <w:r w:rsidRPr="00001F95">
        <w:rPr>
          <w:rFonts w:eastAsia="Times New Roman" w:cstheme="minorHAnsi"/>
          <w:kern w:val="0"/>
          <w:sz w:val="22"/>
          <w:szCs w:val="22"/>
          <w:lang w:val="en-GB" w:eastAsia="en-GB"/>
        </w:rPr>
        <w:t xml:space="preserve">, [online] 63, pp.405–417.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://doi.org/10.1016/j.tate.2017.01.013</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FRIERSON, P. (2021). The Moral Philosophy of Maria Montessori. </w:t>
      </w:r>
      <w:r w:rsidRPr="00001F95">
        <w:rPr>
          <w:rFonts w:eastAsia="Times New Roman" w:cstheme="minorHAnsi"/>
          <w:i/>
          <w:iCs/>
          <w:kern w:val="0"/>
          <w:sz w:val="22"/>
          <w:szCs w:val="22"/>
          <w:lang w:val="en-GB" w:eastAsia="en-GB"/>
        </w:rPr>
        <w:t>Journal of the American Philosophical Association</w:t>
      </w:r>
      <w:r w:rsidRPr="00001F95">
        <w:rPr>
          <w:rFonts w:eastAsia="Times New Roman" w:cstheme="minorHAnsi"/>
          <w:kern w:val="0"/>
          <w:sz w:val="22"/>
          <w:szCs w:val="22"/>
          <w:lang w:val="en-GB" w:eastAsia="en-GB"/>
        </w:rPr>
        <w:t xml:space="preserve">, 7(2), pp.1–22.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://doi.org/10.1017/apa.2019.41</w:t>
      </w:r>
      <w:proofErr w:type="gramEnd"/>
      <w:r w:rsidRPr="00001F95">
        <w:rPr>
          <w:rFonts w:eastAsia="Times New Roman" w:cstheme="minorHAnsi"/>
          <w:kern w:val="0"/>
          <w:sz w:val="22"/>
          <w:szCs w:val="22"/>
          <w:lang w:val="en-GB" w:eastAsia="en-GB"/>
        </w:rPr>
        <w:t>.</w:t>
      </w:r>
    </w:p>
    <w:p w:rsidR="00001F95" w:rsidRPr="00001F95" w:rsidRDefault="00001F95" w:rsidP="00C8244A">
      <w:pPr>
        <w:rPr>
          <w:rFonts w:cstheme="minorHAnsi"/>
          <w:sz w:val="22"/>
          <w:szCs w:val="22"/>
        </w:rPr>
      </w:pPr>
      <w:r w:rsidRPr="00001F95">
        <w:rPr>
          <w:rFonts w:cstheme="minorHAnsi"/>
          <w:sz w:val="22"/>
          <w:szCs w:val="22"/>
        </w:rPr>
        <w:t>Froebel, F., 1887. The education of man. New York: D. Appleton and Company.</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proofErr w:type="spellStart"/>
      <w:r w:rsidRPr="00001F95">
        <w:rPr>
          <w:rFonts w:eastAsia="Times New Roman" w:cstheme="minorHAnsi"/>
          <w:kern w:val="0"/>
          <w:sz w:val="22"/>
          <w:szCs w:val="22"/>
          <w:lang w:val="en-GB" w:eastAsia="en-GB"/>
        </w:rPr>
        <w:t>Güler</w:t>
      </w:r>
      <w:proofErr w:type="spellEnd"/>
      <w:r w:rsidRPr="00001F95">
        <w:rPr>
          <w:rFonts w:eastAsia="Times New Roman" w:cstheme="minorHAnsi"/>
          <w:kern w:val="0"/>
          <w:sz w:val="22"/>
          <w:szCs w:val="22"/>
          <w:lang w:val="en-GB" w:eastAsia="en-GB"/>
        </w:rPr>
        <w:t xml:space="preserve"> </w:t>
      </w:r>
      <w:proofErr w:type="spellStart"/>
      <w:r w:rsidRPr="00001F95">
        <w:rPr>
          <w:rFonts w:eastAsia="Times New Roman" w:cstheme="minorHAnsi"/>
          <w:kern w:val="0"/>
          <w:sz w:val="22"/>
          <w:szCs w:val="22"/>
          <w:lang w:val="en-GB" w:eastAsia="en-GB"/>
        </w:rPr>
        <w:t>Yıldız</w:t>
      </w:r>
      <w:proofErr w:type="spellEnd"/>
      <w:r w:rsidRPr="00001F95">
        <w:rPr>
          <w:rFonts w:eastAsia="Times New Roman" w:cstheme="minorHAnsi"/>
          <w:kern w:val="0"/>
          <w:sz w:val="22"/>
          <w:szCs w:val="22"/>
          <w:lang w:val="en-GB" w:eastAsia="en-GB"/>
        </w:rPr>
        <w:t xml:space="preserve">, T., </w:t>
      </w:r>
      <w:proofErr w:type="spellStart"/>
      <w:r w:rsidRPr="00001F95">
        <w:rPr>
          <w:rFonts w:eastAsia="Times New Roman" w:cstheme="minorHAnsi"/>
          <w:kern w:val="0"/>
          <w:sz w:val="22"/>
          <w:szCs w:val="22"/>
          <w:lang w:val="en-GB" w:eastAsia="en-GB"/>
        </w:rPr>
        <w:t>Öztürk</w:t>
      </w:r>
      <w:proofErr w:type="spellEnd"/>
      <w:r w:rsidRPr="00001F95">
        <w:rPr>
          <w:rFonts w:eastAsia="Times New Roman" w:cstheme="minorHAnsi"/>
          <w:kern w:val="0"/>
          <w:sz w:val="22"/>
          <w:szCs w:val="22"/>
          <w:lang w:val="en-GB" w:eastAsia="en-GB"/>
        </w:rPr>
        <w:t xml:space="preserve">, N., </w:t>
      </w:r>
      <w:proofErr w:type="spellStart"/>
      <w:r w:rsidRPr="00001F95">
        <w:rPr>
          <w:rFonts w:eastAsia="Times New Roman" w:cstheme="minorHAnsi"/>
          <w:kern w:val="0"/>
          <w:sz w:val="22"/>
          <w:szCs w:val="22"/>
          <w:lang w:val="en-GB" w:eastAsia="en-GB"/>
        </w:rPr>
        <w:t>İlhan</w:t>
      </w:r>
      <w:proofErr w:type="spellEnd"/>
      <w:r w:rsidRPr="00001F95">
        <w:rPr>
          <w:rFonts w:eastAsia="Times New Roman" w:cstheme="minorHAnsi"/>
          <w:kern w:val="0"/>
          <w:sz w:val="22"/>
          <w:szCs w:val="22"/>
          <w:lang w:val="en-GB" w:eastAsia="en-GB"/>
        </w:rPr>
        <w:t xml:space="preserve"> </w:t>
      </w:r>
      <w:proofErr w:type="spellStart"/>
      <w:r w:rsidRPr="00001F95">
        <w:rPr>
          <w:rFonts w:eastAsia="Times New Roman" w:cstheme="minorHAnsi"/>
          <w:kern w:val="0"/>
          <w:sz w:val="22"/>
          <w:szCs w:val="22"/>
          <w:lang w:val="en-GB" w:eastAsia="en-GB"/>
        </w:rPr>
        <w:t>İyi</w:t>
      </w:r>
      <w:proofErr w:type="spellEnd"/>
      <w:r w:rsidRPr="00001F95">
        <w:rPr>
          <w:rFonts w:eastAsia="Times New Roman" w:cstheme="minorHAnsi"/>
          <w:kern w:val="0"/>
          <w:sz w:val="22"/>
          <w:szCs w:val="22"/>
          <w:lang w:val="en-GB" w:eastAsia="en-GB"/>
        </w:rPr>
        <w:t xml:space="preserve">, T., </w:t>
      </w:r>
      <w:proofErr w:type="spellStart"/>
      <w:r w:rsidRPr="00001F95">
        <w:rPr>
          <w:rFonts w:eastAsia="Times New Roman" w:cstheme="minorHAnsi"/>
          <w:kern w:val="0"/>
          <w:sz w:val="22"/>
          <w:szCs w:val="22"/>
          <w:lang w:val="en-GB" w:eastAsia="en-GB"/>
        </w:rPr>
        <w:t>Aşkar</w:t>
      </w:r>
      <w:proofErr w:type="spellEnd"/>
      <w:r w:rsidRPr="00001F95">
        <w:rPr>
          <w:rFonts w:eastAsia="Times New Roman" w:cstheme="minorHAnsi"/>
          <w:kern w:val="0"/>
          <w:sz w:val="22"/>
          <w:szCs w:val="22"/>
          <w:lang w:val="en-GB" w:eastAsia="en-GB"/>
        </w:rPr>
        <w:t xml:space="preserve">, N., </w:t>
      </w:r>
      <w:proofErr w:type="spellStart"/>
      <w:r w:rsidRPr="00001F95">
        <w:rPr>
          <w:rFonts w:eastAsia="Times New Roman" w:cstheme="minorHAnsi"/>
          <w:kern w:val="0"/>
          <w:sz w:val="22"/>
          <w:szCs w:val="22"/>
          <w:lang w:val="en-GB" w:eastAsia="en-GB"/>
        </w:rPr>
        <w:t>Banko</w:t>
      </w:r>
      <w:proofErr w:type="spellEnd"/>
      <w:r w:rsidRPr="00001F95">
        <w:rPr>
          <w:rFonts w:eastAsia="Times New Roman" w:cstheme="minorHAnsi"/>
          <w:kern w:val="0"/>
          <w:sz w:val="22"/>
          <w:szCs w:val="22"/>
          <w:lang w:val="en-GB" w:eastAsia="en-GB"/>
        </w:rPr>
        <w:t xml:space="preserve"> Bal, Ç., </w:t>
      </w:r>
      <w:proofErr w:type="spellStart"/>
      <w:r w:rsidRPr="00001F95">
        <w:rPr>
          <w:rFonts w:eastAsia="Times New Roman" w:cstheme="minorHAnsi"/>
          <w:kern w:val="0"/>
          <w:sz w:val="22"/>
          <w:szCs w:val="22"/>
          <w:lang w:val="en-GB" w:eastAsia="en-GB"/>
        </w:rPr>
        <w:t>Karabekmez</w:t>
      </w:r>
      <w:proofErr w:type="spellEnd"/>
      <w:r w:rsidRPr="00001F95">
        <w:rPr>
          <w:rFonts w:eastAsia="Times New Roman" w:cstheme="minorHAnsi"/>
          <w:kern w:val="0"/>
          <w:sz w:val="22"/>
          <w:szCs w:val="22"/>
          <w:lang w:val="en-GB" w:eastAsia="en-GB"/>
        </w:rPr>
        <w:t xml:space="preserve">, S. and </w:t>
      </w:r>
      <w:proofErr w:type="spellStart"/>
      <w:r w:rsidRPr="00001F95">
        <w:rPr>
          <w:rFonts w:eastAsia="Times New Roman" w:cstheme="minorHAnsi"/>
          <w:kern w:val="0"/>
          <w:sz w:val="22"/>
          <w:szCs w:val="22"/>
          <w:lang w:val="en-GB" w:eastAsia="en-GB"/>
        </w:rPr>
        <w:t>Höl</w:t>
      </w:r>
      <w:proofErr w:type="spellEnd"/>
      <w:r w:rsidRPr="00001F95">
        <w:rPr>
          <w:rFonts w:eastAsia="Times New Roman" w:cstheme="minorHAnsi"/>
          <w:kern w:val="0"/>
          <w:sz w:val="22"/>
          <w:szCs w:val="22"/>
          <w:lang w:val="en-GB" w:eastAsia="en-GB"/>
        </w:rPr>
        <w:t xml:space="preserve">, Ş. (2021). Education for sustainability in early childhood education: a systematic review. </w:t>
      </w:r>
      <w:r w:rsidRPr="00001F95">
        <w:rPr>
          <w:rFonts w:eastAsia="Times New Roman" w:cstheme="minorHAnsi"/>
          <w:i/>
          <w:iCs/>
          <w:kern w:val="0"/>
          <w:sz w:val="22"/>
          <w:szCs w:val="22"/>
          <w:lang w:val="en-GB" w:eastAsia="en-GB"/>
        </w:rPr>
        <w:t>Environmental Education Research</w:t>
      </w:r>
      <w:r w:rsidRPr="00001F95">
        <w:rPr>
          <w:rFonts w:eastAsia="Times New Roman" w:cstheme="minorHAnsi"/>
          <w:kern w:val="0"/>
          <w:sz w:val="22"/>
          <w:szCs w:val="22"/>
          <w:lang w:val="en-GB" w:eastAsia="en-GB"/>
        </w:rPr>
        <w:t xml:space="preserve">, 27(6), pp.1–23.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://doi.org/10.1080/13504622.2021.1896680</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proofErr w:type="spellStart"/>
      <w:r w:rsidRPr="00001F95">
        <w:rPr>
          <w:rFonts w:eastAsia="Times New Roman" w:cstheme="minorHAnsi"/>
          <w:kern w:val="0"/>
          <w:sz w:val="22"/>
          <w:szCs w:val="22"/>
          <w:lang w:val="en-GB" w:eastAsia="en-GB"/>
        </w:rPr>
        <w:t>Hedefalk</w:t>
      </w:r>
      <w:proofErr w:type="spellEnd"/>
      <w:r w:rsidRPr="00001F95">
        <w:rPr>
          <w:rFonts w:eastAsia="Times New Roman" w:cstheme="minorHAnsi"/>
          <w:kern w:val="0"/>
          <w:sz w:val="22"/>
          <w:szCs w:val="22"/>
          <w:lang w:val="en-GB" w:eastAsia="en-GB"/>
        </w:rPr>
        <w:t xml:space="preserve">, M., Almqvist, J. and </w:t>
      </w:r>
      <w:proofErr w:type="spellStart"/>
      <w:r w:rsidRPr="00001F95">
        <w:rPr>
          <w:rFonts w:eastAsia="Times New Roman" w:cstheme="minorHAnsi"/>
          <w:kern w:val="0"/>
          <w:sz w:val="22"/>
          <w:szCs w:val="22"/>
          <w:lang w:val="en-GB" w:eastAsia="en-GB"/>
        </w:rPr>
        <w:t>Östman</w:t>
      </w:r>
      <w:proofErr w:type="spellEnd"/>
      <w:r w:rsidRPr="00001F95">
        <w:rPr>
          <w:rFonts w:eastAsia="Times New Roman" w:cstheme="minorHAnsi"/>
          <w:kern w:val="0"/>
          <w:sz w:val="22"/>
          <w:szCs w:val="22"/>
          <w:lang w:val="en-GB" w:eastAsia="en-GB"/>
        </w:rPr>
        <w:t xml:space="preserve">, L. (2014). Education for sustainable development in early childhood education: a review of the research literature. </w:t>
      </w:r>
      <w:r w:rsidRPr="00001F95">
        <w:rPr>
          <w:rFonts w:eastAsia="Times New Roman" w:cstheme="minorHAnsi"/>
          <w:i/>
          <w:iCs/>
          <w:kern w:val="0"/>
          <w:sz w:val="22"/>
          <w:szCs w:val="22"/>
          <w:lang w:val="en-GB" w:eastAsia="en-GB"/>
        </w:rPr>
        <w:t>Environmental Education Research</w:t>
      </w:r>
      <w:r w:rsidRPr="00001F95">
        <w:rPr>
          <w:rFonts w:eastAsia="Times New Roman" w:cstheme="minorHAnsi"/>
          <w:kern w:val="0"/>
          <w:sz w:val="22"/>
          <w:szCs w:val="22"/>
          <w:lang w:val="en-GB" w:eastAsia="en-GB"/>
        </w:rPr>
        <w:t xml:space="preserve">, 21(7), pp.975–990.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://doi.org/10.1080/13504622.2014.971716</w:t>
      </w:r>
      <w:proofErr w:type="gramEnd"/>
      <w:r w:rsidRPr="00001F95">
        <w:rPr>
          <w:rFonts w:eastAsia="Times New Roman" w:cstheme="minorHAnsi"/>
          <w:kern w:val="0"/>
          <w:sz w:val="22"/>
          <w:szCs w:val="22"/>
          <w:lang w:val="en-GB" w:eastAsia="en-GB"/>
        </w:rPr>
        <w:t>.</w:t>
      </w:r>
    </w:p>
    <w:p w:rsidR="00001F95" w:rsidRPr="00001F95" w:rsidRDefault="00001F95" w:rsidP="00C8244A">
      <w:pPr>
        <w:rPr>
          <w:rFonts w:cstheme="minorHAnsi"/>
          <w:sz w:val="22"/>
          <w:szCs w:val="22"/>
        </w:rPr>
      </w:pPr>
      <w:proofErr w:type="spellStart"/>
      <w:r w:rsidRPr="00001F95">
        <w:rPr>
          <w:rFonts w:cstheme="minorHAnsi"/>
          <w:sz w:val="22"/>
          <w:szCs w:val="22"/>
        </w:rPr>
        <w:lastRenderedPageBreak/>
        <w:t>Hedefalk</w:t>
      </w:r>
      <w:proofErr w:type="spellEnd"/>
      <w:r w:rsidRPr="00001F95">
        <w:rPr>
          <w:rFonts w:cstheme="minorHAnsi"/>
          <w:sz w:val="22"/>
          <w:szCs w:val="22"/>
        </w:rPr>
        <w:t xml:space="preserve">, M., Almqvist, J. and </w:t>
      </w:r>
      <w:proofErr w:type="spellStart"/>
      <w:r w:rsidRPr="00001F95">
        <w:rPr>
          <w:rFonts w:cstheme="minorHAnsi"/>
          <w:sz w:val="22"/>
          <w:szCs w:val="22"/>
        </w:rPr>
        <w:t>Östman</w:t>
      </w:r>
      <w:proofErr w:type="spellEnd"/>
      <w:r w:rsidRPr="00001F95">
        <w:rPr>
          <w:rFonts w:cstheme="minorHAnsi"/>
          <w:sz w:val="22"/>
          <w:szCs w:val="22"/>
        </w:rPr>
        <w:t>, L., 2015. Education for sustainable development in early childhood education: A review of the research literature. Environmental Education Research, 21(7), pp.975–990.</w:t>
      </w:r>
    </w:p>
    <w:p w:rsidR="00001F95" w:rsidRPr="00001F95" w:rsidRDefault="00001F95" w:rsidP="00C8244A">
      <w:pPr>
        <w:rPr>
          <w:rFonts w:cstheme="minorHAnsi"/>
          <w:sz w:val="22"/>
          <w:szCs w:val="22"/>
        </w:rPr>
      </w:pPr>
      <w:r w:rsidRPr="00001F95">
        <w:rPr>
          <w:rFonts w:cstheme="minorHAnsi"/>
          <w:sz w:val="22"/>
          <w:szCs w:val="22"/>
        </w:rPr>
        <w:t xml:space="preserve">Hicks, D., 2012. The future only arrives when things look dangerous: Exploring the role of future scenarios in ESD. </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Holfelder, A.-K. (2019). Towards a Sustainable Future with education? </w:t>
      </w:r>
      <w:r w:rsidRPr="00001F95">
        <w:rPr>
          <w:rFonts w:eastAsia="Times New Roman" w:cstheme="minorHAnsi"/>
          <w:i/>
          <w:iCs/>
          <w:kern w:val="0"/>
          <w:sz w:val="22"/>
          <w:szCs w:val="22"/>
          <w:lang w:val="en-GB" w:eastAsia="en-GB"/>
        </w:rPr>
        <w:t>Sustainability Science</w:t>
      </w:r>
      <w:r w:rsidRPr="00001F95">
        <w:rPr>
          <w:rFonts w:eastAsia="Times New Roman" w:cstheme="minorHAnsi"/>
          <w:kern w:val="0"/>
          <w:sz w:val="22"/>
          <w:szCs w:val="22"/>
          <w:lang w:val="en-GB" w:eastAsia="en-GB"/>
        </w:rPr>
        <w:t xml:space="preserve">, [online] 14(4), pp.943–952.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://doi.org/10.1007/s11625-019-00682-z</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Jenkins, V. (2018). Sustainable Management of Natural Resources: Lessons from Wales. </w:t>
      </w:r>
      <w:r w:rsidRPr="00001F95">
        <w:rPr>
          <w:rFonts w:eastAsia="Times New Roman" w:cstheme="minorHAnsi"/>
          <w:i/>
          <w:iCs/>
          <w:kern w:val="0"/>
          <w:sz w:val="22"/>
          <w:szCs w:val="22"/>
          <w:lang w:val="en-GB" w:eastAsia="en-GB"/>
        </w:rPr>
        <w:t>Journal of Environmental Law</w:t>
      </w:r>
      <w:r w:rsidRPr="00001F95">
        <w:rPr>
          <w:rFonts w:eastAsia="Times New Roman" w:cstheme="minorHAnsi"/>
          <w:kern w:val="0"/>
          <w:sz w:val="22"/>
          <w:szCs w:val="22"/>
          <w:lang w:val="en-GB" w:eastAsia="en-GB"/>
        </w:rPr>
        <w:t xml:space="preserve">, [online] 30(3), pp.399–423.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://doi.org/10.1093/</w:t>
      </w:r>
      <w:proofErr w:type="spellStart"/>
      <w:r w:rsidRPr="00001F95">
        <w:rPr>
          <w:rFonts w:eastAsia="Times New Roman" w:cstheme="minorHAnsi"/>
          <w:kern w:val="0"/>
          <w:sz w:val="22"/>
          <w:szCs w:val="22"/>
          <w:lang w:val="en-GB" w:eastAsia="en-GB"/>
        </w:rPr>
        <w:t>jel</w:t>
      </w:r>
      <w:proofErr w:type="spellEnd"/>
      <w:r w:rsidRPr="00001F95">
        <w:rPr>
          <w:rFonts w:eastAsia="Times New Roman" w:cstheme="minorHAnsi"/>
          <w:kern w:val="0"/>
          <w:sz w:val="22"/>
          <w:szCs w:val="22"/>
          <w:lang w:val="en-GB" w:eastAsia="en-GB"/>
        </w:rPr>
        <w:t>/eqy012</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Jones, N. (2023). </w:t>
      </w:r>
      <w:r w:rsidRPr="00001F95">
        <w:rPr>
          <w:rFonts w:eastAsia="Times New Roman" w:cstheme="minorHAnsi"/>
          <w:i/>
          <w:iCs/>
          <w:kern w:val="0"/>
          <w:sz w:val="22"/>
          <w:szCs w:val="22"/>
          <w:lang w:val="en-GB" w:eastAsia="en-GB"/>
        </w:rPr>
        <w:t>Progressive early-years approaches and the disadvantaged learner – the case of the Welsh Foundation Phase</w:t>
      </w:r>
      <w:r w:rsidRPr="00001F95">
        <w:rPr>
          <w:rFonts w:eastAsia="Times New Roman" w:cstheme="minorHAnsi"/>
          <w:kern w:val="0"/>
          <w:sz w:val="22"/>
          <w:szCs w:val="22"/>
          <w:lang w:val="en-GB" w:eastAsia="en-GB"/>
        </w:rPr>
        <w:t xml:space="preserve">. [online] orca.cardiff.ac.uk. Available at: </w:t>
      </w:r>
      <w:hyperlink r:id="rId7" w:history="1">
        <w:r w:rsidRPr="00706A87">
          <w:rPr>
            <w:rStyle w:val="Hyperlink"/>
            <w:rFonts w:eastAsia="Times New Roman" w:cstheme="minorHAnsi"/>
            <w:kern w:val="0"/>
            <w:sz w:val="22"/>
            <w:szCs w:val="22"/>
            <w:lang w:val="en-GB" w:eastAsia="en-GB"/>
          </w:rPr>
          <w:t>https://orca.cardiff.ac.uk/id/eprint/166427/</w:t>
        </w:r>
      </w:hyperlink>
      <w:r w:rsidRPr="00001F95">
        <w:rPr>
          <w:rFonts w:eastAsia="Times New Roman" w:cstheme="minorHAnsi"/>
          <w:kern w:val="0"/>
          <w:sz w:val="22"/>
          <w:szCs w:val="22"/>
          <w:lang w:val="en-GB" w:eastAsia="en-GB"/>
        </w:rPr>
        <w:t>.</w:t>
      </w:r>
      <w:r>
        <w:rPr>
          <w:rFonts w:eastAsia="Times New Roman" w:cstheme="minorHAnsi"/>
          <w:kern w:val="0"/>
          <w:sz w:val="22"/>
          <w:szCs w:val="22"/>
          <w:lang w:val="en-GB" w:eastAsia="en-GB"/>
        </w:rPr>
        <w:t xml:space="preserve"> </w:t>
      </w:r>
    </w:p>
    <w:p w:rsidR="00001F95" w:rsidRPr="00001F95" w:rsidRDefault="00001F95" w:rsidP="00C8244A">
      <w:pPr>
        <w:rPr>
          <w:rFonts w:cstheme="minorHAnsi"/>
          <w:sz w:val="22"/>
          <w:szCs w:val="22"/>
        </w:rPr>
      </w:pPr>
      <w:r w:rsidRPr="00001F95">
        <w:rPr>
          <w:rFonts w:cstheme="minorHAnsi"/>
          <w:sz w:val="22"/>
          <w:szCs w:val="22"/>
        </w:rPr>
        <w:t>Knight, S., 2013. Forest school and outdoor learning in the early years. 2nd ed. London: Sage.</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Macintyre, C. (2016). </w:t>
      </w:r>
      <w:r w:rsidRPr="00001F95">
        <w:rPr>
          <w:rFonts w:eastAsia="Times New Roman" w:cstheme="minorHAnsi"/>
          <w:i/>
          <w:iCs/>
          <w:kern w:val="0"/>
          <w:sz w:val="22"/>
          <w:szCs w:val="22"/>
          <w:lang w:val="en-GB" w:eastAsia="en-GB"/>
        </w:rPr>
        <w:t>Enhancing Learning through Play</w:t>
      </w:r>
      <w:r w:rsidRPr="00001F95">
        <w:rPr>
          <w:rFonts w:eastAsia="Times New Roman" w:cstheme="minorHAnsi"/>
          <w:kern w:val="0"/>
          <w:sz w:val="22"/>
          <w:szCs w:val="22"/>
          <w:lang w:val="en-GB" w:eastAsia="en-GB"/>
        </w:rPr>
        <w:t xml:space="preserve">. [online] 3rd Edition. | New </w:t>
      </w:r>
      <w:proofErr w:type="gramStart"/>
      <w:r w:rsidRPr="00001F95">
        <w:rPr>
          <w:rFonts w:eastAsia="Times New Roman" w:cstheme="minorHAnsi"/>
          <w:kern w:val="0"/>
          <w:sz w:val="22"/>
          <w:szCs w:val="22"/>
          <w:lang w:val="en-GB" w:eastAsia="en-GB"/>
        </w:rPr>
        <w:t>York :</w:t>
      </w:r>
      <w:proofErr w:type="gramEnd"/>
      <w:r w:rsidRPr="00001F95">
        <w:rPr>
          <w:rFonts w:eastAsia="Times New Roman" w:cstheme="minorHAnsi"/>
          <w:kern w:val="0"/>
          <w:sz w:val="22"/>
          <w:szCs w:val="22"/>
          <w:lang w:val="en-GB" w:eastAsia="en-GB"/>
        </w:rPr>
        <w:t xml:space="preserve"> Routledge, 2017.: Routledge.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://doi.org/10.4324/9781315617107</w:t>
      </w:r>
      <w:proofErr w:type="gramEnd"/>
      <w:r w:rsidRPr="00001F95">
        <w:rPr>
          <w:rFonts w:eastAsia="Times New Roman" w:cstheme="minorHAnsi"/>
          <w:kern w:val="0"/>
          <w:sz w:val="22"/>
          <w:szCs w:val="22"/>
          <w:lang w:val="en-GB" w:eastAsia="en-GB"/>
        </w:rPr>
        <w:t>.</w:t>
      </w:r>
    </w:p>
    <w:p w:rsidR="00001F95" w:rsidRPr="00001F95" w:rsidRDefault="00001F95" w:rsidP="00C8244A">
      <w:pPr>
        <w:rPr>
          <w:rFonts w:cstheme="minorHAnsi"/>
          <w:sz w:val="22"/>
          <w:szCs w:val="22"/>
        </w:rPr>
      </w:pPr>
      <w:r w:rsidRPr="00001F95">
        <w:rPr>
          <w:rFonts w:cstheme="minorHAnsi"/>
          <w:sz w:val="22"/>
          <w:szCs w:val="22"/>
        </w:rPr>
        <w:t xml:space="preserve">Malaguzzi, L., 1996. The hundred languages of children. In: C. Edwards, L. Gandini and G. Forman, eds. The hundred languages of children: The Reggio Emilia approach to early childhood education. Norwood, NJ: </w:t>
      </w:r>
      <w:proofErr w:type="spellStart"/>
      <w:r w:rsidRPr="00001F95">
        <w:rPr>
          <w:rFonts w:cstheme="minorHAnsi"/>
          <w:sz w:val="22"/>
          <w:szCs w:val="22"/>
        </w:rPr>
        <w:t>Ablex</w:t>
      </w:r>
      <w:proofErr w:type="spellEnd"/>
      <w:r w:rsidRPr="00001F95">
        <w:rPr>
          <w:rFonts w:cstheme="minorHAnsi"/>
          <w:sz w:val="22"/>
          <w:szCs w:val="22"/>
        </w:rPr>
        <w:t>, pp.</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McNair, L.J. and Powell, S. (2020). Friedrich Froebel: a path least trodden. </w:t>
      </w:r>
      <w:r w:rsidRPr="00001F95">
        <w:rPr>
          <w:rFonts w:eastAsia="Times New Roman" w:cstheme="minorHAnsi"/>
          <w:i/>
          <w:iCs/>
          <w:kern w:val="0"/>
          <w:sz w:val="22"/>
          <w:szCs w:val="22"/>
          <w:lang w:val="en-GB" w:eastAsia="en-GB"/>
        </w:rPr>
        <w:t>Early Child Development and Care</w:t>
      </w:r>
      <w:r w:rsidRPr="00001F95">
        <w:rPr>
          <w:rFonts w:eastAsia="Times New Roman" w:cstheme="minorHAnsi"/>
          <w:kern w:val="0"/>
          <w:sz w:val="22"/>
          <w:szCs w:val="22"/>
          <w:lang w:val="en-GB" w:eastAsia="en-GB"/>
        </w:rPr>
        <w:t xml:space="preserve">, 191(7-8), pp.1–11.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://doi.org/10.1080/03004430.2020.1803299</w:t>
      </w:r>
      <w:proofErr w:type="gramEnd"/>
      <w:r w:rsidRPr="00001F95">
        <w:rPr>
          <w:rFonts w:eastAsia="Times New Roman" w:cstheme="minorHAnsi"/>
          <w:kern w:val="0"/>
          <w:sz w:val="22"/>
          <w:szCs w:val="22"/>
          <w:lang w:val="en-GB" w:eastAsia="en-GB"/>
        </w:rPr>
        <w:t>.</w:t>
      </w:r>
    </w:p>
    <w:p w:rsidR="00001F95" w:rsidRPr="00001F95" w:rsidRDefault="00001F95" w:rsidP="00C8244A">
      <w:pPr>
        <w:rPr>
          <w:rFonts w:cstheme="minorHAnsi"/>
          <w:sz w:val="22"/>
          <w:szCs w:val="22"/>
        </w:rPr>
      </w:pPr>
      <w:r w:rsidRPr="00001F95">
        <w:rPr>
          <w:rFonts w:cstheme="minorHAnsi"/>
          <w:sz w:val="22"/>
          <w:szCs w:val="22"/>
        </w:rPr>
        <w:t>Montessori, M., 1967. The absorbent mind. New York: Holt, Rinehart and Winston.</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New Forest National Park Authority (2024). </w:t>
      </w:r>
      <w:r w:rsidRPr="00001F95">
        <w:rPr>
          <w:rFonts w:eastAsia="Times New Roman" w:cstheme="minorHAnsi"/>
          <w:i/>
          <w:iCs/>
          <w:kern w:val="0"/>
          <w:sz w:val="22"/>
          <w:szCs w:val="22"/>
          <w:lang w:val="en-GB" w:eastAsia="en-GB"/>
        </w:rPr>
        <w:t>John Muir Award - New Forest National Park Authority</w:t>
      </w:r>
      <w:r w:rsidRPr="00001F95">
        <w:rPr>
          <w:rFonts w:eastAsia="Times New Roman" w:cstheme="minorHAnsi"/>
          <w:kern w:val="0"/>
          <w:sz w:val="22"/>
          <w:szCs w:val="22"/>
          <w:lang w:val="en-GB" w:eastAsia="en-GB"/>
        </w:rPr>
        <w:t xml:space="preserve">. [online] New Forest National Park Authority. Available at: </w:t>
      </w:r>
      <w:hyperlink r:id="rId8" w:history="1">
        <w:r w:rsidRPr="00706A87">
          <w:rPr>
            <w:rStyle w:val="Hyperlink"/>
            <w:rFonts w:eastAsia="Times New Roman" w:cstheme="minorHAnsi"/>
            <w:kern w:val="0"/>
            <w:sz w:val="22"/>
            <w:szCs w:val="22"/>
            <w:lang w:val="en-GB" w:eastAsia="en-GB"/>
          </w:rPr>
          <w:t>https://www.newforestnpa.gov.uk/communities/young-people/youth-schemes/john-muir</w:t>
        </w:r>
      </w:hyperlink>
      <w:r>
        <w:rPr>
          <w:rFonts w:eastAsia="Times New Roman" w:cstheme="minorHAnsi"/>
          <w:kern w:val="0"/>
          <w:sz w:val="22"/>
          <w:szCs w:val="22"/>
          <w:lang w:val="en-GB" w:eastAsia="en-GB"/>
        </w:rPr>
        <w:t xml:space="preserve"> </w:t>
      </w:r>
      <w:r w:rsidRPr="00001F95">
        <w:rPr>
          <w:rFonts w:eastAsia="Times New Roman" w:cstheme="minorHAnsi"/>
          <w:kern w:val="0"/>
          <w:sz w:val="22"/>
          <w:szCs w:val="22"/>
          <w:lang w:val="en-GB" w:eastAsia="en-GB"/>
        </w:rPr>
        <w:t xml:space="preserve"> [Accessed 8 Jul. 2025].</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proofErr w:type="spellStart"/>
      <w:r w:rsidRPr="00001F95">
        <w:rPr>
          <w:rFonts w:eastAsia="Times New Roman" w:cstheme="minorHAnsi"/>
          <w:kern w:val="0"/>
          <w:sz w:val="22"/>
          <w:szCs w:val="22"/>
          <w:lang w:val="en-GB" w:eastAsia="en-GB"/>
        </w:rPr>
        <w:lastRenderedPageBreak/>
        <w:t>Pramling</w:t>
      </w:r>
      <w:proofErr w:type="spellEnd"/>
      <w:r w:rsidRPr="00001F95">
        <w:rPr>
          <w:rFonts w:eastAsia="Times New Roman" w:cstheme="minorHAnsi"/>
          <w:kern w:val="0"/>
          <w:sz w:val="22"/>
          <w:szCs w:val="22"/>
          <w:lang w:val="en-GB" w:eastAsia="en-GB"/>
        </w:rPr>
        <w:t xml:space="preserve"> Samuelsson, I. (2011). Why We Should Begin Early with ESD: The Role of Early Childhood Education. </w:t>
      </w:r>
      <w:r w:rsidRPr="00001F95">
        <w:rPr>
          <w:rFonts w:eastAsia="Times New Roman" w:cstheme="minorHAnsi"/>
          <w:i/>
          <w:iCs/>
          <w:kern w:val="0"/>
          <w:sz w:val="22"/>
          <w:szCs w:val="22"/>
          <w:lang w:val="en-GB" w:eastAsia="en-GB"/>
        </w:rPr>
        <w:t>International Journal of Early Childhood</w:t>
      </w:r>
      <w:r w:rsidRPr="00001F95">
        <w:rPr>
          <w:rFonts w:eastAsia="Times New Roman" w:cstheme="minorHAnsi"/>
          <w:kern w:val="0"/>
          <w:sz w:val="22"/>
          <w:szCs w:val="22"/>
          <w:lang w:val="en-GB" w:eastAsia="en-GB"/>
        </w:rPr>
        <w:t xml:space="preserve">, 43(2), pp.103–118.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://doi.org/10.1007/s13158-011-0034-x</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Robson, K. (2017). Review of the Literature on the Reggio Emilia Approach to Education with a Focus on the Principle of the Environment as the Third Teacher. </w:t>
      </w:r>
      <w:r w:rsidRPr="00001F95">
        <w:rPr>
          <w:rFonts w:eastAsia="Times New Roman" w:cstheme="minorHAnsi"/>
          <w:i/>
          <w:iCs/>
          <w:kern w:val="0"/>
          <w:sz w:val="22"/>
          <w:szCs w:val="22"/>
          <w:lang w:val="en-GB" w:eastAsia="en-GB"/>
        </w:rPr>
        <w:t>The International Journal of Holistic Early Learning and Development</w:t>
      </w:r>
      <w:r w:rsidRPr="00001F95">
        <w:rPr>
          <w:rFonts w:eastAsia="Times New Roman" w:cstheme="minorHAnsi"/>
          <w:kern w:val="0"/>
          <w:sz w:val="22"/>
          <w:szCs w:val="22"/>
          <w:lang w:val="en-GB" w:eastAsia="en-GB"/>
        </w:rPr>
        <w:t xml:space="preserve">, [online] 4(0), pp.35–44. Available at: </w:t>
      </w:r>
      <w:hyperlink r:id="rId9" w:history="1">
        <w:r w:rsidRPr="00706A87">
          <w:rPr>
            <w:rStyle w:val="Hyperlink"/>
            <w:rFonts w:eastAsia="Times New Roman" w:cstheme="minorHAnsi"/>
            <w:kern w:val="0"/>
            <w:sz w:val="22"/>
            <w:szCs w:val="22"/>
            <w:lang w:val="en-GB" w:eastAsia="en-GB"/>
          </w:rPr>
          <w:t>https://ijheld.lakeheadu.ca/article/view/1536</w:t>
        </w:r>
      </w:hyperlink>
      <w:r w:rsidRPr="00001F95">
        <w:rPr>
          <w:rFonts w:eastAsia="Times New Roman" w:cstheme="minorHAnsi"/>
          <w:kern w:val="0"/>
          <w:sz w:val="22"/>
          <w:szCs w:val="22"/>
          <w:lang w:val="en-GB" w:eastAsia="en-GB"/>
        </w:rPr>
        <w:t>.</w:t>
      </w:r>
      <w:r>
        <w:rPr>
          <w:rFonts w:eastAsia="Times New Roman" w:cstheme="minorHAnsi"/>
          <w:kern w:val="0"/>
          <w:sz w:val="22"/>
          <w:szCs w:val="22"/>
          <w:lang w:val="en-GB" w:eastAsia="en-GB"/>
        </w:rPr>
        <w:t xml:space="preserve"> </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Scott, J.T., Kilmer, R.P., Wang, C., Cook, J.R. and Haber, M.G. (2018). Natural Environments Near Schools: Potential Benefits for Socio-Emotional and </w:t>
      </w:r>
      <w:proofErr w:type="spellStart"/>
      <w:r w:rsidRPr="00001F95">
        <w:rPr>
          <w:rFonts w:eastAsia="Times New Roman" w:cstheme="minorHAnsi"/>
          <w:kern w:val="0"/>
          <w:sz w:val="22"/>
          <w:szCs w:val="22"/>
          <w:lang w:val="en-GB" w:eastAsia="en-GB"/>
        </w:rPr>
        <w:t>Behavioral</w:t>
      </w:r>
      <w:proofErr w:type="spellEnd"/>
      <w:r w:rsidRPr="00001F95">
        <w:rPr>
          <w:rFonts w:eastAsia="Times New Roman" w:cstheme="minorHAnsi"/>
          <w:kern w:val="0"/>
          <w:sz w:val="22"/>
          <w:szCs w:val="22"/>
          <w:lang w:val="en-GB" w:eastAsia="en-GB"/>
        </w:rPr>
        <w:t xml:space="preserve"> Development in Early Childhood. </w:t>
      </w:r>
      <w:r w:rsidRPr="00001F95">
        <w:rPr>
          <w:rFonts w:eastAsia="Times New Roman" w:cstheme="minorHAnsi"/>
          <w:i/>
          <w:iCs/>
          <w:kern w:val="0"/>
          <w:sz w:val="22"/>
          <w:szCs w:val="22"/>
          <w:lang w:val="en-GB" w:eastAsia="en-GB"/>
        </w:rPr>
        <w:t>American Journal of Community Psychology</w:t>
      </w:r>
      <w:r w:rsidRPr="00001F95">
        <w:rPr>
          <w:rFonts w:eastAsia="Times New Roman" w:cstheme="minorHAnsi"/>
          <w:kern w:val="0"/>
          <w:sz w:val="22"/>
          <w:szCs w:val="22"/>
          <w:lang w:val="en-GB" w:eastAsia="en-GB"/>
        </w:rPr>
        <w:t xml:space="preserve">, [online] 62(3-4), pp.419–432.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://doi.org/10.1002/ajcp.12272</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Siraj-Blatchford, J., Smith, K.C. and Samuelsson, I.P. (2010). </w:t>
      </w:r>
      <w:r w:rsidRPr="00001F95">
        <w:rPr>
          <w:rFonts w:eastAsia="Times New Roman" w:cstheme="minorHAnsi"/>
          <w:i/>
          <w:iCs/>
          <w:kern w:val="0"/>
          <w:sz w:val="22"/>
          <w:szCs w:val="22"/>
          <w:lang w:val="en-GB" w:eastAsia="en-GB"/>
        </w:rPr>
        <w:t>Education for Sustainable Development in the Early Years</w:t>
      </w:r>
      <w:r w:rsidRPr="00001F95">
        <w:rPr>
          <w:rFonts w:eastAsia="Times New Roman" w:cstheme="minorHAnsi"/>
          <w:kern w:val="0"/>
          <w:sz w:val="22"/>
          <w:szCs w:val="22"/>
          <w:lang w:val="en-GB" w:eastAsia="en-GB"/>
        </w:rPr>
        <w:t xml:space="preserve">. [online] Available at: </w:t>
      </w:r>
      <w:hyperlink r:id="rId10" w:history="1">
        <w:r w:rsidRPr="00706A87">
          <w:rPr>
            <w:rStyle w:val="Hyperlink"/>
            <w:rFonts w:eastAsia="Times New Roman" w:cstheme="minorHAnsi"/>
            <w:kern w:val="0"/>
            <w:sz w:val="22"/>
            <w:szCs w:val="22"/>
            <w:lang w:val="en-GB" w:eastAsia="en-GB"/>
          </w:rPr>
          <w:t>https://www.researchgate.net/publication/283152538_Education_for_Sustainable_Development_in_the_Early_Years</w:t>
        </w:r>
      </w:hyperlink>
      <w:r w:rsidRPr="00001F95">
        <w:rPr>
          <w:rFonts w:eastAsia="Times New Roman" w:cstheme="minorHAnsi"/>
          <w:kern w:val="0"/>
          <w:sz w:val="22"/>
          <w:szCs w:val="22"/>
          <w:lang w:val="en-GB" w:eastAsia="en-GB"/>
        </w:rPr>
        <w:t>.</w:t>
      </w:r>
      <w:r>
        <w:rPr>
          <w:rFonts w:eastAsia="Times New Roman" w:cstheme="minorHAnsi"/>
          <w:kern w:val="0"/>
          <w:sz w:val="22"/>
          <w:szCs w:val="22"/>
          <w:lang w:val="en-GB" w:eastAsia="en-GB"/>
        </w:rPr>
        <w:t xml:space="preserve"> </w:t>
      </w:r>
    </w:p>
    <w:p w:rsidR="00001F95" w:rsidRPr="00001F95" w:rsidRDefault="00001F95" w:rsidP="00C8244A">
      <w:pPr>
        <w:rPr>
          <w:rFonts w:cstheme="minorHAnsi"/>
          <w:sz w:val="22"/>
          <w:szCs w:val="22"/>
        </w:rPr>
      </w:pPr>
      <w:r w:rsidRPr="00001F95">
        <w:rPr>
          <w:rFonts w:cstheme="minorHAnsi"/>
          <w:sz w:val="22"/>
          <w:szCs w:val="22"/>
        </w:rPr>
        <w:t xml:space="preserve">Sterling, S., 2001. Sustainable education: Re-visioning learning and change. </w:t>
      </w:r>
      <w:proofErr w:type="spellStart"/>
      <w:r w:rsidRPr="00001F95">
        <w:rPr>
          <w:rFonts w:cstheme="minorHAnsi"/>
          <w:sz w:val="22"/>
          <w:szCs w:val="22"/>
        </w:rPr>
        <w:t>Totnes</w:t>
      </w:r>
      <w:proofErr w:type="spellEnd"/>
      <w:r w:rsidRPr="00001F95">
        <w:rPr>
          <w:rFonts w:cstheme="minorHAnsi"/>
          <w:sz w:val="22"/>
          <w:szCs w:val="22"/>
        </w:rPr>
        <w:t>: Green Books.</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Stewart, S., MacDonald, N. and Waters-Davies, J. (2024). The Open University. </w:t>
      </w:r>
      <w:r w:rsidRPr="00001F95">
        <w:rPr>
          <w:rFonts w:eastAsia="Times New Roman" w:cstheme="minorHAnsi"/>
          <w:i/>
          <w:iCs/>
          <w:kern w:val="0"/>
          <w:sz w:val="22"/>
          <w:szCs w:val="22"/>
          <w:lang w:val="en-GB" w:eastAsia="en-GB"/>
        </w:rPr>
        <w:t>Open.ac.uk</w:t>
      </w:r>
      <w:r w:rsidRPr="00001F95">
        <w:rPr>
          <w:rFonts w:eastAsia="Times New Roman" w:cstheme="minorHAnsi"/>
          <w:kern w:val="0"/>
          <w:sz w:val="22"/>
          <w:szCs w:val="22"/>
          <w:lang w:val="en-GB" w:eastAsia="en-GB"/>
        </w:rPr>
        <w:t xml:space="preserve">. [online]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://oro.open.ac.uk/101664/1/101664.pdf</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proofErr w:type="spellStart"/>
      <w:r w:rsidRPr="00001F95">
        <w:rPr>
          <w:rFonts w:eastAsia="Times New Roman" w:cstheme="minorHAnsi"/>
          <w:kern w:val="0"/>
          <w:sz w:val="22"/>
          <w:szCs w:val="22"/>
          <w:lang w:val="en-GB" w:eastAsia="en-GB"/>
        </w:rPr>
        <w:t>Tinney</w:t>
      </w:r>
      <w:proofErr w:type="spellEnd"/>
      <w:r w:rsidRPr="00001F95">
        <w:rPr>
          <w:rFonts w:eastAsia="Times New Roman" w:cstheme="minorHAnsi"/>
          <w:kern w:val="0"/>
          <w:sz w:val="22"/>
          <w:szCs w:val="22"/>
          <w:lang w:val="en-GB" w:eastAsia="en-GB"/>
        </w:rPr>
        <w:t xml:space="preserve">, G. (2023). Big Changes! The Great Outdoors and the Curriculum for Wales. </w:t>
      </w:r>
      <w:r w:rsidRPr="00001F95">
        <w:rPr>
          <w:rFonts w:eastAsia="Times New Roman" w:cstheme="minorHAnsi"/>
          <w:i/>
          <w:iCs/>
          <w:kern w:val="0"/>
          <w:sz w:val="22"/>
          <w:szCs w:val="22"/>
          <w:lang w:val="en-GB" w:eastAsia="en-GB"/>
        </w:rPr>
        <w:t>Forum for promoting 3-19 comprehensive education</w:t>
      </w:r>
      <w:r w:rsidRPr="00001F95">
        <w:rPr>
          <w:rFonts w:eastAsia="Times New Roman" w:cstheme="minorHAnsi"/>
          <w:kern w:val="0"/>
          <w:sz w:val="22"/>
          <w:szCs w:val="22"/>
          <w:lang w:val="en-GB" w:eastAsia="en-GB"/>
        </w:rPr>
        <w:t xml:space="preserve">, 65(1), pp.63–75.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://doi.org/10.3898/forum.2023.65.1.09</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proofErr w:type="spellStart"/>
      <w:r w:rsidRPr="00001F95">
        <w:rPr>
          <w:rFonts w:eastAsia="Times New Roman" w:cstheme="minorHAnsi"/>
          <w:kern w:val="0"/>
          <w:sz w:val="22"/>
          <w:szCs w:val="22"/>
          <w:lang w:val="en-GB" w:eastAsia="en-GB"/>
        </w:rPr>
        <w:t>Tinney</w:t>
      </w:r>
      <w:proofErr w:type="spellEnd"/>
      <w:r w:rsidRPr="00001F95">
        <w:rPr>
          <w:rFonts w:eastAsia="Times New Roman" w:cstheme="minorHAnsi"/>
          <w:kern w:val="0"/>
          <w:sz w:val="22"/>
          <w:szCs w:val="22"/>
          <w:lang w:val="en-GB" w:eastAsia="en-GB"/>
        </w:rPr>
        <w:t xml:space="preserve">, G. and Hirst, N. (2017). Early childhood education for sustainability within Wales. pp.116–150.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://doi.org/10.4324/9781315642505-9</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lastRenderedPageBreak/>
        <w:t xml:space="preserve">Tovey, H. (2016). </w:t>
      </w:r>
      <w:r w:rsidRPr="00001F95">
        <w:rPr>
          <w:rFonts w:eastAsia="Times New Roman" w:cstheme="minorHAnsi"/>
          <w:i/>
          <w:iCs/>
          <w:kern w:val="0"/>
          <w:sz w:val="22"/>
          <w:szCs w:val="22"/>
          <w:lang w:val="en-GB" w:eastAsia="en-GB"/>
        </w:rPr>
        <w:t>Bringing the Froebel Approach to your Early Years Practice</w:t>
      </w:r>
      <w:r w:rsidRPr="00001F95">
        <w:rPr>
          <w:rFonts w:eastAsia="Times New Roman" w:cstheme="minorHAnsi"/>
          <w:kern w:val="0"/>
          <w:sz w:val="22"/>
          <w:szCs w:val="22"/>
          <w:lang w:val="en-GB" w:eastAsia="en-GB"/>
        </w:rPr>
        <w:t xml:space="preserve">. Routledge. </w:t>
      </w:r>
      <w:proofErr w:type="spellStart"/>
      <w:proofErr w:type="gramStart"/>
      <w:r w:rsidRPr="00001F95">
        <w:rPr>
          <w:rFonts w:eastAsia="Times New Roman" w:cstheme="minorHAnsi"/>
          <w:kern w:val="0"/>
          <w:sz w:val="22"/>
          <w:szCs w:val="22"/>
          <w:lang w:val="en-GB" w:eastAsia="en-GB"/>
        </w:rPr>
        <w:t>doi:https</w:t>
      </w:r>
      <w:proofErr w:type="spellEnd"/>
      <w:r w:rsidRPr="00001F95">
        <w:rPr>
          <w:rFonts w:eastAsia="Times New Roman" w:cstheme="minorHAnsi"/>
          <w:kern w:val="0"/>
          <w:sz w:val="22"/>
          <w:szCs w:val="22"/>
          <w:lang w:val="en-GB" w:eastAsia="en-GB"/>
        </w:rPr>
        <w:t>://doi.org/10.4324/9781315617190</w:t>
      </w:r>
      <w:proofErr w:type="gramEnd"/>
      <w:r w:rsidRPr="00001F95">
        <w:rPr>
          <w:rFonts w:eastAsia="Times New Roman" w:cstheme="minorHAnsi"/>
          <w:kern w:val="0"/>
          <w:sz w:val="22"/>
          <w:szCs w:val="22"/>
          <w:lang w:val="en-GB" w:eastAsia="en-GB"/>
        </w:rPr>
        <w: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UNICEF (1989). </w:t>
      </w:r>
      <w:r w:rsidRPr="00001F95">
        <w:rPr>
          <w:rFonts w:eastAsia="Times New Roman" w:cstheme="minorHAnsi"/>
          <w:i/>
          <w:iCs/>
          <w:kern w:val="0"/>
          <w:sz w:val="22"/>
          <w:szCs w:val="22"/>
          <w:lang w:val="en-GB" w:eastAsia="en-GB"/>
        </w:rPr>
        <w:t>UN Convention on the Rights of the Child (UNCRC)</w:t>
      </w:r>
      <w:r w:rsidRPr="00001F95">
        <w:rPr>
          <w:rFonts w:eastAsia="Times New Roman" w:cstheme="minorHAnsi"/>
          <w:kern w:val="0"/>
          <w:sz w:val="22"/>
          <w:szCs w:val="22"/>
          <w:lang w:val="en-GB" w:eastAsia="en-GB"/>
        </w:rPr>
        <w:t>. [online] UNICEF. Available at: https://www.unicef.org.uk/what-we-do/un-convention-child-rights/.</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United Nations (n.d.). Sustainability. </w:t>
      </w:r>
      <w:r w:rsidRPr="00001F95">
        <w:rPr>
          <w:rFonts w:eastAsia="Times New Roman" w:cstheme="minorHAnsi"/>
          <w:i/>
          <w:iCs/>
          <w:kern w:val="0"/>
          <w:sz w:val="22"/>
          <w:szCs w:val="22"/>
          <w:lang w:val="en-GB" w:eastAsia="en-GB"/>
        </w:rPr>
        <w:t>United Nations</w:t>
      </w:r>
      <w:r w:rsidRPr="00001F95">
        <w:rPr>
          <w:rFonts w:eastAsia="Times New Roman" w:cstheme="minorHAnsi"/>
          <w:kern w:val="0"/>
          <w:sz w:val="22"/>
          <w:szCs w:val="22"/>
          <w:lang w:val="en-GB" w:eastAsia="en-GB"/>
        </w:rPr>
        <w:t xml:space="preserve">. [online] Available at: </w:t>
      </w:r>
      <w:hyperlink r:id="rId11" w:history="1">
        <w:r w:rsidRPr="00706A87">
          <w:rPr>
            <w:rStyle w:val="Hyperlink"/>
            <w:rFonts w:eastAsia="Times New Roman" w:cstheme="minorHAnsi"/>
            <w:kern w:val="0"/>
            <w:sz w:val="22"/>
            <w:szCs w:val="22"/>
            <w:lang w:val="en-GB" w:eastAsia="en-GB"/>
          </w:rPr>
          <w:t>https://www.un.org/en/academic-impact/sustainability</w:t>
        </w:r>
      </w:hyperlink>
      <w:r w:rsidRPr="00001F95">
        <w:rPr>
          <w:rFonts w:eastAsia="Times New Roman" w:cstheme="minorHAnsi"/>
          <w:kern w:val="0"/>
          <w:sz w:val="22"/>
          <w:szCs w:val="22"/>
          <w:lang w:val="en-GB" w:eastAsia="en-GB"/>
        </w:rPr>
        <w:t>.</w:t>
      </w:r>
      <w:r>
        <w:rPr>
          <w:rFonts w:eastAsia="Times New Roman" w:cstheme="minorHAnsi"/>
          <w:kern w:val="0"/>
          <w:sz w:val="22"/>
          <w:szCs w:val="22"/>
          <w:lang w:val="en-GB" w:eastAsia="en-GB"/>
        </w:rPr>
        <w:t xml:space="preserve"> </w:t>
      </w:r>
    </w:p>
    <w:p w:rsidR="00001F95" w:rsidRPr="00001F95" w:rsidRDefault="00001F95" w:rsidP="00C8244A">
      <w:pPr>
        <w:rPr>
          <w:rFonts w:cstheme="minorHAnsi"/>
          <w:sz w:val="22"/>
          <w:szCs w:val="22"/>
        </w:rPr>
      </w:pPr>
      <w:r w:rsidRPr="00001F95">
        <w:rPr>
          <w:rFonts w:cstheme="minorHAnsi"/>
          <w:sz w:val="22"/>
          <w:szCs w:val="22"/>
        </w:rPr>
        <w:t xml:space="preserve">United Nations, 1989. United Nations Convention on the Rights of the Child. Available at: </w:t>
      </w:r>
      <w:hyperlink r:id="rId12" w:history="1">
        <w:r w:rsidRPr="00706A87">
          <w:rPr>
            <w:rStyle w:val="Hyperlink"/>
            <w:rFonts w:cstheme="minorHAnsi" w:hint="eastAsia"/>
            <w:sz w:val="22"/>
            <w:szCs w:val="22"/>
          </w:rPr>
          <w:t>https://www.ohchr.org/en/instruments-mechanisms/instruments/convention-rights-child</w:t>
        </w:r>
      </w:hyperlink>
      <w:r>
        <w:rPr>
          <w:rFonts w:cstheme="minorHAnsi"/>
          <w:sz w:val="22"/>
          <w:szCs w:val="22"/>
        </w:rPr>
        <w:t xml:space="preserve"> </w:t>
      </w:r>
      <w:r w:rsidRPr="00001F95">
        <w:rPr>
          <w:rFonts w:cstheme="minorHAnsi"/>
          <w:sz w:val="22"/>
          <w:szCs w:val="22"/>
        </w:rPr>
        <w:t xml:space="preserve"> [Accessed 8 July 2025].</w:t>
      </w:r>
    </w:p>
    <w:p w:rsidR="00001F95" w:rsidRPr="00001F95" w:rsidRDefault="00001F95" w:rsidP="00C8244A">
      <w:pPr>
        <w:rPr>
          <w:rFonts w:cstheme="minorHAnsi"/>
          <w:sz w:val="22"/>
          <w:szCs w:val="22"/>
        </w:rPr>
      </w:pPr>
      <w:r w:rsidRPr="00001F95">
        <w:rPr>
          <w:rFonts w:cstheme="minorHAnsi"/>
          <w:sz w:val="22"/>
          <w:szCs w:val="22"/>
        </w:rPr>
        <w:t>Welsh Assembly Government, 2008. Education for Sustainable Development and Global Citizenship: A Strategy for Action. Cardiff: Welsh Assembly Government.</w:t>
      </w:r>
    </w:p>
    <w:p w:rsidR="00001F95" w:rsidRPr="00001F95" w:rsidRDefault="00001F95" w:rsidP="00001F95">
      <w:pPr>
        <w:widowControl/>
        <w:spacing w:after="240" w:line="360" w:lineRule="auto"/>
        <w:jc w:val="left"/>
        <w:rPr>
          <w:rFonts w:eastAsia="Times New Roman" w:cstheme="minorHAnsi"/>
          <w:kern w:val="0"/>
          <w:sz w:val="22"/>
          <w:szCs w:val="22"/>
          <w:lang w:val="en-GB" w:eastAsia="en-GB"/>
        </w:rPr>
      </w:pPr>
      <w:r w:rsidRPr="00001F95">
        <w:rPr>
          <w:rFonts w:eastAsia="Times New Roman" w:cstheme="minorHAnsi"/>
          <w:kern w:val="0"/>
          <w:sz w:val="22"/>
          <w:szCs w:val="22"/>
          <w:lang w:val="en-GB" w:eastAsia="en-GB"/>
        </w:rPr>
        <w:t xml:space="preserve">Welsh Government (2012). </w:t>
      </w:r>
      <w:r w:rsidRPr="00001F95">
        <w:rPr>
          <w:rFonts w:eastAsia="Times New Roman" w:cstheme="minorHAnsi"/>
          <w:i/>
          <w:iCs/>
          <w:kern w:val="0"/>
          <w:sz w:val="22"/>
          <w:szCs w:val="22"/>
          <w:lang w:val="en-GB" w:eastAsia="en-GB"/>
        </w:rPr>
        <w:t>Education for Sustainable Development and Global Citizenship A common understanding for the adult and community learning sector Information</w:t>
      </w:r>
      <w:r w:rsidRPr="00001F95">
        <w:rPr>
          <w:rFonts w:eastAsia="Times New Roman" w:cstheme="minorHAnsi"/>
          <w:kern w:val="0"/>
          <w:sz w:val="22"/>
          <w:szCs w:val="22"/>
          <w:lang w:val="en-GB" w:eastAsia="en-GB"/>
        </w:rPr>
        <w:t xml:space="preserve">. [online] Available at: </w:t>
      </w:r>
      <w:hyperlink r:id="rId13" w:history="1">
        <w:r w:rsidRPr="00706A87">
          <w:rPr>
            <w:rStyle w:val="Hyperlink"/>
            <w:rFonts w:eastAsia="Times New Roman" w:cstheme="minorHAnsi"/>
            <w:kern w:val="0"/>
            <w:sz w:val="22"/>
            <w:szCs w:val="22"/>
            <w:lang w:val="en-GB" w:eastAsia="en-GB"/>
          </w:rPr>
          <w:t>https://www.gov.wales/sites/default/files/publications/2018-02/education-for-sustainable-development-and-global-citizenship-a-common-understanding-for-the-adult-and-community-learning-sector.pdf</w:t>
        </w:r>
      </w:hyperlink>
      <w:r w:rsidRPr="00001F95">
        <w:rPr>
          <w:rFonts w:eastAsia="Times New Roman" w:cstheme="minorHAnsi"/>
          <w:kern w:val="0"/>
          <w:sz w:val="22"/>
          <w:szCs w:val="22"/>
          <w:lang w:val="en-GB" w:eastAsia="en-GB"/>
        </w:rPr>
        <w:t>.</w:t>
      </w:r>
      <w:r>
        <w:rPr>
          <w:rFonts w:eastAsia="Times New Roman" w:cstheme="minorHAnsi"/>
          <w:kern w:val="0"/>
          <w:sz w:val="22"/>
          <w:szCs w:val="22"/>
          <w:lang w:val="en-GB" w:eastAsia="en-GB"/>
        </w:rPr>
        <w:t xml:space="preserve"> </w:t>
      </w:r>
    </w:p>
    <w:p w:rsidR="00001F95" w:rsidRPr="00001F95" w:rsidRDefault="00001F95" w:rsidP="00C8244A">
      <w:pPr>
        <w:rPr>
          <w:rFonts w:cstheme="minorHAnsi"/>
          <w:sz w:val="22"/>
          <w:szCs w:val="22"/>
        </w:rPr>
      </w:pPr>
      <w:r w:rsidRPr="00001F95">
        <w:rPr>
          <w:rFonts w:cstheme="minorHAnsi"/>
          <w:sz w:val="22"/>
          <w:szCs w:val="22"/>
        </w:rPr>
        <w:t>Welsh Government, 2015. Well-being of Future Generations (Wales) Act 2015. Cardiff: Welsh Government.</w:t>
      </w:r>
    </w:p>
    <w:p w:rsidR="00001F95" w:rsidRPr="00001F95" w:rsidRDefault="00001F95" w:rsidP="00C8244A">
      <w:pPr>
        <w:rPr>
          <w:rFonts w:cstheme="minorHAnsi"/>
          <w:sz w:val="22"/>
          <w:szCs w:val="22"/>
        </w:rPr>
      </w:pPr>
      <w:r w:rsidRPr="00001F95">
        <w:rPr>
          <w:rFonts w:cstheme="minorHAnsi"/>
          <w:sz w:val="22"/>
          <w:szCs w:val="22"/>
        </w:rPr>
        <w:t>Welsh Government, 2022. Curriculum for Non-Maintained Nursery Settings. Cardiff: Welsh Government.</w:t>
      </w:r>
    </w:p>
    <w:p w:rsidR="00001F95" w:rsidRPr="00001F95" w:rsidRDefault="00001F95" w:rsidP="00C8244A">
      <w:pPr>
        <w:rPr>
          <w:rFonts w:cstheme="minorHAnsi"/>
          <w:sz w:val="22"/>
          <w:szCs w:val="22"/>
        </w:rPr>
      </w:pPr>
      <w:r w:rsidRPr="00001F95">
        <w:rPr>
          <w:rFonts w:cstheme="minorHAnsi"/>
          <w:sz w:val="22"/>
          <w:szCs w:val="22"/>
        </w:rPr>
        <w:t>World Commission on Environment and Development (WCED), 1987. Our common future (The Brundtland Report). Oxford: Oxford University Press.</w:t>
      </w:r>
    </w:p>
    <w:p w:rsidR="00986D4E" w:rsidRPr="00001F95" w:rsidRDefault="00986D4E">
      <w:pPr>
        <w:rPr>
          <w:rFonts w:cstheme="minorHAnsi"/>
          <w:b/>
          <w:sz w:val="22"/>
          <w:szCs w:val="22"/>
          <w:u w:val="single"/>
        </w:rPr>
      </w:pPr>
    </w:p>
    <w:sectPr w:rsidR="00986D4E" w:rsidRPr="00001F95">
      <w:headerReference w:type="default" r:id="rId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353E" w:rsidRDefault="00E2353E" w:rsidP="00001F95">
      <w:pPr>
        <w:spacing w:after="0" w:line="240" w:lineRule="auto"/>
      </w:pPr>
      <w:r>
        <w:separator/>
      </w:r>
    </w:p>
  </w:endnote>
  <w:endnote w:type="continuationSeparator" w:id="0">
    <w:p w:rsidR="00E2353E" w:rsidRDefault="00E2353E" w:rsidP="00001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353E" w:rsidRDefault="00E2353E" w:rsidP="00001F95">
      <w:pPr>
        <w:spacing w:after="0" w:line="240" w:lineRule="auto"/>
      </w:pPr>
      <w:r>
        <w:separator/>
      </w:r>
    </w:p>
  </w:footnote>
  <w:footnote w:type="continuationSeparator" w:id="0">
    <w:p w:rsidR="00E2353E" w:rsidRDefault="00E2353E" w:rsidP="00001F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1F95" w:rsidRDefault="00001F95">
    <w:pPr>
      <w:pStyle w:val="Header"/>
    </w:pPr>
    <w:r>
      <w:t xml:space="preserve">Cassie Lane </w:t>
    </w:r>
  </w:p>
  <w:p w:rsidR="00001F95" w:rsidRDefault="00001F95">
    <w:pPr>
      <w:pStyle w:val="Header"/>
    </w:pPr>
    <w:r>
      <w:t>2306976</w:t>
    </w:r>
  </w:p>
  <w:p w:rsidR="00001F95" w:rsidRDefault="00001F95">
    <w:pPr>
      <w:pStyle w:val="Header"/>
    </w:pPr>
    <w:r>
      <w:t>ECEY6005</w:t>
    </w:r>
  </w:p>
  <w:p w:rsidR="00001F95" w:rsidRDefault="00001F95">
    <w:pPr>
      <w:pStyle w:val="Header"/>
    </w:pPr>
    <w:r>
      <w:t xml:space="preserve">Word count: </w:t>
    </w:r>
  </w:p>
  <w:p w:rsidR="00001F95" w:rsidRDefault="00001F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A53"/>
    <w:rsid w:val="00001F95"/>
    <w:rsid w:val="000779F4"/>
    <w:rsid w:val="00136D29"/>
    <w:rsid w:val="00224DBF"/>
    <w:rsid w:val="00455949"/>
    <w:rsid w:val="004F5C8C"/>
    <w:rsid w:val="00986D4E"/>
    <w:rsid w:val="009D6A53"/>
    <w:rsid w:val="00A20EC3"/>
    <w:rsid w:val="00C8244A"/>
    <w:rsid w:val="00D9544B"/>
    <w:rsid w:val="00E235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6A8878"/>
  <w15:docId w15:val="{D98B821A-7621-4132-9AF9-B5E8B08F2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5">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link w:val="Heading1Char"/>
    <w:uiPriority w:val="9"/>
    <w:qFormat/>
    <w:rsid w:val="00001F95"/>
    <w:pPr>
      <w:widowControl/>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001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F95"/>
    <w:rPr>
      <w:rFonts w:asciiTheme="minorHAnsi" w:eastAsiaTheme="minorEastAsia" w:hAnsiTheme="minorHAnsi" w:cstheme="minorBidi"/>
      <w:kern w:val="2"/>
      <w:sz w:val="21"/>
      <w:szCs w:val="24"/>
      <w:lang w:val="en-US" w:eastAsia="zh-CN"/>
    </w:rPr>
  </w:style>
  <w:style w:type="paragraph" w:styleId="Footer">
    <w:name w:val="footer"/>
    <w:basedOn w:val="Normal"/>
    <w:link w:val="FooterChar"/>
    <w:rsid w:val="00001F95"/>
    <w:pPr>
      <w:tabs>
        <w:tab w:val="center" w:pos="4513"/>
        <w:tab w:val="right" w:pos="9026"/>
      </w:tabs>
      <w:spacing w:after="0" w:line="240" w:lineRule="auto"/>
    </w:pPr>
  </w:style>
  <w:style w:type="character" w:customStyle="1" w:styleId="FooterChar">
    <w:name w:val="Footer Char"/>
    <w:basedOn w:val="DefaultParagraphFont"/>
    <w:link w:val="Footer"/>
    <w:rsid w:val="00001F95"/>
    <w:rPr>
      <w:rFonts w:asciiTheme="minorHAnsi" w:eastAsiaTheme="minorEastAsia" w:hAnsiTheme="minorHAnsi" w:cstheme="minorBidi"/>
      <w:kern w:val="2"/>
      <w:sz w:val="21"/>
      <w:szCs w:val="24"/>
      <w:lang w:val="en-US" w:eastAsia="zh-CN"/>
    </w:rPr>
  </w:style>
  <w:style w:type="character" w:customStyle="1" w:styleId="Heading1Char">
    <w:name w:val="Heading 1 Char"/>
    <w:basedOn w:val="DefaultParagraphFont"/>
    <w:link w:val="Heading1"/>
    <w:uiPriority w:val="9"/>
    <w:rsid w:val="00001F95"/>
    <w:rPr>
      <w:rFonts w:eastAsia="Times New Roman"/>
      <w:b/>
      <w:bCs/>
      <w:kern w:val="36"/>
      <w:sz w:val="48"/>
      <w:szCs w:val="48"/>
    </w:rPr>
  </w:style>
  <w:style w:type="paragraph" w:styleId="NormalWeb">
    <w:name w:val="Normal (Web)"/>
    <w:basedOn w:val="Normal"/>
    <w:uiPriority w:val="99"/>
    <w:unhideWhenUsed/>
    <w:rsid w:val="00001F95"/>
    <w:pPr>
      <w:widowControl/>
      <w:spacing w:before="100" w:beforeAutospacing="1" w:after="100" w:afterAutospacing="1" w:line="240" w:lineRule="auto"/>
      <w:jc w:val="left"/>
    </w:pPr>
    <w:rPr>
      <w:rFonts w:ascii="Times New Roman" w:eastAsia="Times New Roman" w:hAnsi="Times New Roman" w:cs="Times New Roman"/>
      <w:kern w:val="0"/>
      <w:sz w:val="24"/>
      <w:lang w:val="en-GB" w:eastAsia="en-GB"/>
    </w:rPr>
  </w:style>
  <w:style w:type="character" w:styleId="Hyperlink">
    <w:name w:val="Hyperlink"/>
    <w:basedOn w:val="DefaultParagraphFont"/>
    <w:rsid w:val="00001F95"/>
    <w:rPr>
      <w:color w:val="0563C1" w:themeColor="hyperlink"/>
      <w:u w:val="single"/>
    </w:rPr>
  </w:style>
  <w:style w:type="character" w:styleId="UnresolvedMention">
    <w:name w:val="Unresolved Mention"/>
    <w:basedOn w:val="DefaultParagraphFont"/>
    <w:uiPriority w:val="99"/>
    <w:semiHidden/>
    <w:unhideWhenUsed/>
    <w:rsid w:val="00001F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4010855">
      <w:bodyDiv w:val="1"/>
      <w:marLeft w:val="0"/>
      <w:marRight w:val="0"/>
      <w:marTop w:val="0"/>
      <w:marBottom w:val="0"/>
      <w:divBdr>
        <w:top w:val="none" w:sz="0" w:space="0" w:color="auto"/>
        <w:left w:val="none" w:sz="0" w:space="0" w:color="auto"/>
        <w:bottom w:val="none" w:sz="0" w:space="0" w:color="auto"/>
        <w:right w:val="none" w:sz="0" w:space="0" w:color="auto"/>
      </w:divBdr>
      <w:divsChild>
        <w:div w:id="86791285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ewforestnpa.gov.uk/communities/young-people/youth-schemes/john-muir" TargetMode="External"/><Relationship Id="rId13"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3" Type="http://schemas.openxmlformats.org/officeDocument/2006/relationships/settings" Target="settings.xml"/><Relationship Id="rId7" Type="http://schemas.openxmlformats.org/officeDocument/2006/relationships/hyperlink" Target="https://orca.cardiff.ac.uk/id/eprint/166427/" TargetMode="External"/><Relationship Id="rId12" Type="http://schemas.openxmlformats.org/officeDocument/2006/relationships/hyperlink" Target="https://www.ohchr.org/en/instruments-mechanisms/instruments/convention-rights-chil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n.org/en/academic-impact/sustainabilit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283152538_Education_for_Sustainable_Development_in_the_Early_Years" TargetMode="External"/><Relationship Id="rId4" Type="http://schemas.openxmlformats.org/officeDocument/2006/relationships/webSettings" Target="webSettings.xml"/><Relationship Id="rId9" Type="http://schemas.openxmlformats.org/officeDocument/2006/relationships/hyperlink" Target="https://ijheld.lakeheadu.ca/article/view/1536" TargetMode="External"/><Relationship Id="rId14"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3498</Words>
  <Characters>19943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Mountain Ash Library7</cp:lastModifiedBy>
  <cp:revision>2</cp:revision>
  <dcterms:created xsi:type="dcterms:W3CDTF">2025-07-08T09:50:00Z</dcterms:created>
  <dcterms:modified xsi:type="dcterms:W3CDTF">2025-07-08T09:50:00Z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3081-11.34.13</vt:lpwstr>
  </property>
  <property fmtid="{D5CDD505-2E9C-101B-9397-08002B2CF9AE}" pid="3" name="ICV">
    <vt:lpwstr>6912A3FBC575C3B9E4756B686D5BCD1F_31</vt:lpwstr>
  </property>
</Properties>
</file>