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B980C8" w14:textId="77777777" w:rsidR="000832C9" w:rsidRPr="000832C9" w:rsidRDefault="000832C9" w:rsidP="000832C9">
      <w:pPr>
        <w:spacing w:line="360" w:lineRule="auto"/>
        <w:rPr>
          <w:rFonts w:ascii="Times New Roman" w:hAnsi="Times New Roman" w:cs="Times New Roman"/>
          <w:b/>
          <w:bCs/>
          <w:sz w:val="28"/>
          <w:szCs w:val="28"/>
        </w:rPr>
      </w:pPr>
      <w:r w:rsidRPr="000832C9">
        <w:rPr>
          <w:rFonts w:ascii="Times New Roman" w:hAnsi="Times New Roman" w:cs="Times New Roman"/>
          <w:b/>
          <w:bCs/>
          <w:sz w:val="28"/>
          <w:szCs w:val="28"/>
        </w:rPr>
        <w:t xml:space="preserve">BMIH6007 </w:t>
      </w:r>
    </w:p>
    <w:p w14:paraId="07B32D7B" w14:textId="3550694D" w:rsidR="00B151A8" w:rsidRDefault="000832C9" w:rsidP="000832C9">
      <w:pPr>
        <w:spacing w:line="360" w:lineRule="auto"/>
        <w:rPr>
          <w:rFonts w:ascii="Times New Roman" w:hAnsi="Times New Roman" w:cs="Times New Roman"/>
          <w:b/>
          <w:bCs/>
          <w:sz w:val="28"/>
          <w:szCs w:val="28"/>
        </w:rPr>
      </w:pPr>
      <w:r w:rsidRPr="000832C9">
        <w:rPr>
          <w:rFonts w:ascii="Times New Roman" w:hAnsi="Times New Roman" w:cs="Times New Roman"/>
          <w:b/>
          <w:bCs/>
          <w:sz w:val="28"/>
          <w:szCs w:val="28"/>
        </w:rPr>
        <w:t xml:space="preserve">International Meetings </w:t>
      </w:r>
      <w:r w:rsidRPr="000832C9">
        <w:rPr>
          <w:rFonts w:ascii="Times New Roman" w:hAnsi="Times New Roman" w:cs="Times New Roman"/>
          <w:b/>
          <w:bCs/>
          <w:sz w:val="28"/>
          <w:szCs w:val="28"/>
        </w:rPr>
        <w:t>Management for</w:t>
      </w:r>
      <w:r w:rsidRPr="000832C9">
        <w:rPr>
          <w:rFonts w:ascii="Times New Roman" w:hAnsi="Times New Roman" w:cs="Times New Roman"/>
          <w:b/>
          <w:bCs/>
          <w:sz w:val="28"/>
          <w:szCs w:val="28"/>
        </w:rPr>
        <w:t xml:space="preserve"> </w:t>
      </w:r>
      <w:r w:rsidR="004D77CC" w:rsidRPr="000832C9">
        <w:rPr>
          <w:rFonts w:ascii="Times New Roman" w:hAnsi="Times New Roman" w:cs="Times New Roman"/>
          <w:b/>
          <w:bCs/>
          <w:sz w:val="28"/>
          <w:szCs w:val="28"/>
        </w:rPr>
        <w:t>the Hotel</w:t>
      </w:r>
      <w:r w:rsidRPr="000832C9">
        <w:rPr>
          <w:rFonts w:ascii="Times New Roman" w:hAnsi="Times New Roman" w:cs="Times New Roman"/>
          <w:b/>
          <w:bCs/>
          <w:sz w:val="28"/>
          <w:szCs w:val="28"/>
        </w:rPr>
        <w:t xml:space="preserve"> Industry  </w:t>
      </w:r>
    </w:p>
    <w:p w14:paraId="5AC5F344" w14:textId="77777777" w:rsidR="000832C9" w:rsidRDefault="000832C9" w:rsidP="000832C9">
      <w:pPr>
        <w:spacing w:line="360" w:lineRule="auto"/>
        <w:rPr>
          <w:rFonts w:ascii="Times New Roman" w:hAnsi="Times New Roman" w:cs="Times New Roman"/>
          <w:b/>
          <w:bCs/>
          <w:sz w:val="28"/>
          <w:szCs w:val="28"/>
        </w:rPr>
      </w:pPr>
      <w:r w:rsidRPr="000832C9">
        <w:rPr>
          <w:rFonts w:ascii="Times New Roman" w:hAnsi="Times New Roman" w:cs="Times New Roman"/>
          <w:b/>
          <w:bCs/>
          <w:sz w:val="28"/>
          <w:szCs w:val="28"/>
        </w:rPr>
        <w:t>Equality, Diversity and Inclusion within Industry</w:t>
      </w:r>
    </w:p>
    <w:p w14:paraId="0DCC623B" w14:textId="58E16AAA" w:rsidR="000832C9" w:rsidRDefault="000832C9" w:rsidP="000832C9">
      <w:pPr>
        <w:spacing w:line="360" w:lineRule="auto"/>
        <w:rPr>
          <w:rFonts w:ascii="Times New Roman" w:hAnsi="Times New Roman" w:cs="Times New Roman"/>
          <w:b/>
          <w:bCs/>
          <w:sz w:val="28"/>
          <w:szCs w:val="28"/>
        </w:rPr>
      </w:pPr>
      <w:r>
        <w:rPr>
          <w:rFonts w:ascii="Times New Roman" w:hAnsi="Times New Roman" w:cs="Times New Roman"/>
          <w:b/>
          <w:bCs/>
          <w:sz w:val="28"/>
          <w:szCs w:val="28"/>
        </w:rPr>
        <w:t xml:space="preserve">Report </w:t>
      </w:r>
    </w:p>
    <w:p w14:paraId="20405663" w14:textId="77777777" w:rsidR="000832C9" w:rsidRDefault="000832C9" w:rsidP="000832C9">
      <w:pPr>
        <w:spacing w:line="360" w:lineRule="auto"/>
        <w:rPr>
          <w:rFonts w:ascii="Times New Roman" w:hAnsi="Times New Roman" w:cs="Times New Roman"/>
          <w:b/>
          <w:bCs/>
          <w:sz w:val="28"/>
          <w:szCs w:val="28"/>
        </w:rPr>
      </w:pPr>
    </w:p>
    <w:p w14:paraId="087E5451" w14:textId="77777777" w:rsidR="000832C9" w:rsidRDefault="000832C9" w:rsidP="000832C9">
      <w:pPr>
        <w:spacing w:line="360" w:lineRule="auto"/>
        <w:rPr>
          <w:rFonts w:ascii="Times New Roman" w:hAnsi="Times New Roman" w:cs="Times New Roman"/>
          <w:b/>
          <w:bCs/>
          <w:sz w:val="28"/>
          <w:szCs w:val="28"/>
        </w:rPr>
      </w:pPr>
    </w:p>
    <w:p w14:paraId="414F1D82" w14:textId="77777777" w:rsidR="000832C9" w:rsidRDefault="000832C9" w:rsidP="000832C9">
      <w:pPr>
        <w:spacing w:line="360" w:lineRule="auto"/>
        <w:rPr>
          <w:rFonts w:ascii="Times New Roman" w:hAnsi="Times New Roman" w:cs="Times New Roman"/>
          <w:b/>
          <w:bCs/>
          <w:sz w:val="28"/>
          <w:szCs w:val="28"/>
        </w:rPr>
      </w:pPr>
    </w:p>
    <w:p w14:paraId="150FC28F" w14:textId="64CDFD76" w:rsidR="000832C9" w:rsidRDefault="000832C9" w:rsidP="000832C9">
      <w:pPr>
        <w:spacing w:line="360" w:lineRule="auto"/>
        <w:rPr>
          <w:rFonts w:ascii="Times New Roman" w:hAnsi="Times New Roman" w:cs="Times New Roman"/>
          <w:b/>
          <w:bCs/>
          <w:sz w:val="28"/>
          <w:szCs w:val="28"/>
        </w:rPr>
      </w:pPr>
      <w:r>
        <w:rPr>
          <w:rFonts w:ascii="Times New Roman" w:hAnsi="Times New Roman" w:cs="Times New Roman"/>
          <w:b/>
          <w:bCs/>
          <w:sz w:val="28"/>
          <w:szCs w:val="28"/>
        </w:rPr>
        <w:t>Student name: Roxana- Mihaela Panainte</w:t>
      </w:r>
    </w:p>
    <w:p w14:paraId="7B051223" w14:textId="2B19079D" w:rsidR="000832C9" w:rsidRDefault="000832C9" w:rsidP="000832C9">
      <w:pPr>
        <w:spacing w:line="360" w:lineRule="auto"/>
        <w:rPr>
          <w:rFonts w:ascii="Times New Roman" w:hAnsi="Times New Roman" w:cs="Times New Roman"/>
          <w:b/>
          <w:bCs/>
          <w:sz w:val="28"/>
          <w:szCs w:val="28"/>
        </w:rPr>
      </w:pPr>
      <w:r>
        <w:rPr>
          <w:rFonts w:ascii="Times New Roman" w:hAnsi="Times New Roman" w:cs="Times New Roman"/>
          <w:b/>
          <w:bCs/>
          <w:sz w:val="28"/>
          <w:szCs w:val="28"/>
        </w:rPr>
        <w:t>Student id: 2219073</w:t>
      </w:r>
    </w:p>
    <w:p w14:paraId="62D0B796" w14:textId="39484E62" w:rsidR="000832C9" w:rsidRDefault="000832C9" w:rsidP="000832C9">
      <w:pPr>
        <w:spacing w:line="360" w:lineRule="auto"/>
        <w:rPr>
          <w:rFonts w:ascii="Times New Roman" w:hAnsi="Times New Roman" w:cs="Times New Roman"/>
          <w:b/>
          <w:bCs/>
          <w:sz w:val="28"/>
          <w:szCs w:val="28"/>
        </w:rPr>
      </w:pPr>
      <w:r>
        <w:rPr>
          <w:rFonts w:ascii="Times New Roman" w:hAnsi="Times New Roman" w:cs="Times New Roman"/>
          <w:b/>
          <w:bCs/>
          <w:sz w:val="28"/>
          <w:szCs w:val="28"/>
        </w:rPr>
        <w:t xml:space="preserve">Lecturer: </w:t>
      </w:r>
      <w:r w:rsidRPr="000832C9">
        <w:rPr>
          <w:rFonts w:ascii="Times New Roman" w:hAnsi="Times New Roman" w:cs="Times New Roman"/>
          <w:b/>
          <w:bCs/>
          <w:sz w:val="28"/>
          <w:szCs w:val="28"/>
        </w:rPr>
        <w:t>Jaliya De-Silva</w:t>
      </w:r>
    </w:p>
    <w:p w14:paraId="18625D21" w14:textId="77777777" w:rsidR="000832C9" w:rsidRDefault="000832C9" w:rsidP="000832C9">
      <w:pPr>
        <w:spacing w:line="360" w:lineRule="auto"/>
        <w:rPr>
          <w:rFonts w:ascii="Times New Roman" w:hAnsi="Times New Roman" w:cs="Times New Roman"/>
          <w:b/>
          <w:bCs/>
          <w:sz w:val="28"/>
          <w:szCs w:val="28"/>
        </w:rPr>
      </w:pPr>
    </w:p>
    <w:p w14:paraId="38D7DB26" w14:textId="77777777" w:rsidR="000832C9" w:rsidRDefault="000832C9" w:rsidP="000832C9">
      <w:pPr>
        <w:spacing w:line="360" w:lineRule="auto"/>
        <w:rPr>
          <w:rFonts w:ascii="Times New Roman" w:hAnsi="Times New Roman" w:cs="Times New Roman"/>
          <w:b/>
          <w:bCs/>
          <w:sz w:val="28"/>
          <w:szCs w:val="28"/>
        </w:rPr>
      </w:pPr>
    </w:p>
    <w:p w14:paraId="146620D9" w14:textId="77777777" w:rsidR="000832C9" w:rsidRDefault="000832C9" w:rsidP="000832C9">
      <w:pPr>
        <w:spacing w:line="360" w:lineRule="auto"/>
        <w:rPr>
          <w:rFonts w:ascii="Times New Roman" w:hAnsi="Times New Roman" w:cs="Times New Roman"/>
          <w:b/>
          <w:bCs/>
          <w:sz w:val="28"/>
          <w:szCs w:val="28"/>
        </w:rPr>
      </w:pPr>
    </w:p>
    <w:p w14:paraId="7E84D3C0" w14:textId="77777777" w:rsidR="000832C9" w:rsidRDefault="000832C9" w:rsidP="000832C9">
      <w:pPr>
        <w:spacing w:line="360" w:lineRule="auto"/>
        <w:rPr>
          <w:rFonts w:ascii="Times New Roman" w:hAnsi="Times New Roman" w:cs="Times New Roman"/>
          <w:b/>
          <w:bCs/>
          <w:sz w:val="28"/>
          <w:szCs w:val="28"/>
        </w:rPr>
      </w:pPr>
    </w:p>
    <w:p w14:paraId="7F42433E" w14:textId="77777777" w:rsidR="000832C9" w:rsidRDefault="000832C9" w:rsidP="000832C9">
      <w:pPr>
        <w:spacing w:line="360" w:lineRule="auto"/>
        <w:rPr>
          <w:rFonts w:ascii="Times New Roman" w:hAnsi="Times New Roman" w:cs="Times New Roman"/>
          <w:b/>
          <w:bCs/>
          <w:sz w:val="28"/>
          <w:szCs w:val="28"/>
        </w:rPr>
      </w:pPr>
    </w:p>
    <w:p w14:paraId="169B38CC" w14:textId="77777777" w:rsidR="000832C9" w:rsidRDefault="000832C9" w:rsidP="000832C9">
      <w:pPr>
        <w:spacing w:line="360" w:lineRule="auto"/>
        <w:rPr>
          <w:rFonts w:ascii="Times New Roman" w:hAnsi="Times New Roman" w:cs="Times New Roman"/>
          <w:b/>
          <w:bCs/>
          <w:sz w:val="28"/>
          <w:szCs w:val="28"/>
        </w:rPr>
      </w:pPr>
    </w:p>
    <w:p w14:paraId="08AED9E1" w14:textId="77777777" w:rsidR="000832C9" w:rsidRDefault="000832C9" w:rsidP="000832C9">
      <w:pPr>
        <w:spacing w:line="360" w:lineRule="auto"/>
        <w:rPr>
          <w:rFonts w:ascii="Times New Roman" w:hAnsi="Times New Roman" w:cs="Times New Roman"/>
          <w:b/>
          <w:bCs/>
          <w:sz w:val="28"/>
          <w:szCs w:val="28"/>
        </w:rPr>
      </w:pPr>
    </w:p>
    <w:p w14:paraId="2F2B9A51" w14:textId="77777777" w:rsidR="000832C9" w:rsidRDefault="000832C9" w:rsidP="000832C9">
      <w:pPr>
        <w:spacing w:line="360" w:lineRule="auto"/>
        <w:rPr>
          <w:rFonts w:ascii="Times New Roman" w:hAnsi="Times New Roman" w:cs="Times New Roman"/>
          <w:b/>
          <w:bCs/>
          <w:sz w:val="28"/>
          <w:szCs w:val="28"/>
        </w:rPr>
      </w:pPr>
    </w:p>
    <w:p w14:paraId="446B2622" w14:textId="77777777" w:rsidR="000832C9" w:rsidRDefault="000832C9" w:rsidP="000832C9">
      <w:pPr>
        <w:spacing w:line="360" w:lineRule="auto"/>
        <w:rPr>
          <w:rFonts w:ascii="Times New Roman" w:hAnsi="Times New Roman" w:cs="Times New Roman"/>
          <w:b/>
          <w:bCs/>
          <w:sz w:val="28"/>
          <w:szCs w:val="28"/>
        </w:rPr>
      </w:pPr>
    </w:p>
    <w:p w14:paraId="44BFEB7C" w14:textId="77777777" w:rsidR="000832C9" w:rsidRDefault="000832C9" w:rsidP="000832C9">
      <w:pPr>
        <w:spacing w:line="360" w:lineRule="auto"/>
        <w:rPr>
          <w:rFonts w:ascii="Times New Roman" w:hAnsi="Times New Roman" w:cs="Times New Roman"/>
          <w:b/>
          <w:bCs/>
          <w:sz w:val="28"/>
          <w:szCs w:val="28"/>
        </w:rPr>
      </w:pPr>
    </w:p>
    <w:p w14:paraId="217DDF3B" w14:textId="77777777" w:rsidR="000832C9" w:rsidRDefault="000832C9" w:rsidP="000832C9">
      <w:pPr>
        <w:spacing w:line="360" w:lineRule="auto"/>
        <w:rPr>
          <w:rFonts w:ascii="Times New Roman" w:hAnsi="Times New Roman" w:cs="Times New Roman"/>
          <w:b/>
          <w:bCs/>
          <w:sz w:val="28"/>
          <w:szCs w:val="28"/>
        </w:rPr>
      </w:pPr>
    </w:p>
    <w:p w14:paraId="436B21F9" w14:textId="77777777" w:rsidR="000832C9" w:rsidRDefault="000832C9" w:rsidP="000832C9">
      <w:pPr>
        <w:spacing w:line="360" w:lineRule="auto"/>
        <w:rPr>
          <w:rFonts w:ascii="Times New Roman" w:hAnsi="Times New Roman" w:cs="Times New Roman"/>
          <w:b/>
          <w:bCs/>
          <w:sz w:val="28"/>
          <w:szCs w:val="28"/>
        </w:rPr>
      </w:pPr>
    </w:p>
    <w:sdt>
      <w:sdtPr>
        <w:id w:val="1422611270"/>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1A1E6A1B" w14:textId="4E36E117" w:rsidR="0042546A" w:rsidRDefault="0042546A">
          <w:pPr>
            <w:pStyle w:val="TOCHeading"/>
          </w:pPr>
          <w:r>
            <w:t>Table of Contents</w:t>
          </w:r>
        </w:p>
        <w:p w14:paraId="35943A82" w14:textId="0C7F61B5" w:rsidR="0042546A" w:rsidRDefault="0042546A">
          <w:pPr>
            <w:pStyle w:val="TOC1"/>
            <w:tabs>
              <w:tab w:val="right" w:leader="dot" w:pos="9016"/>
            </w:tabs>
            <w:rPr>
              <w:noProof/>
            </w:rPr>
          </w:pPr>
          <w:r>
            <w:fldChar w:fldCharType="begin"/>
          </w:r>
          <w:r>
            <w:instrText xml:space="preserve"> TOC \o "1-3" \h \z \u </w:instrText>
          </w:r>
          <w:r>
            <w:fldChar w:fldCharType="separate"/>
          </w:r>
          <w:hyperlink w:anchor="_Toc191678550" w:history="1">
            <w:r w:rsidRPr="00D1310C">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_Toc191678550 \h </w:instrText>
            </w:r>
            <w:r>
              <w:rPr>
                <w:noProof/>
                <w:webHidden/>
              </w:rPr>
            </w:r>
            <w:r>
              <w:rPr>
                <w:noProof/>
                <w:webHidden/>
              </w:rPr>
              <w:fldChar w:fldCharType="separate"/>
            </w:r>
            <w:r w:rsidR="004D77CC">
              <w:rPr>
                <w:noProof/>
                <w:webHidden/>
              </w:rPr>
              <w:t>3</w:t>
            </w:r>
            <w:r>
              <w:rPr>
                <w:noProof/>
                <w:webHidden/>
              </w:rPr>
              <w:fldChar w:fldCharType="end"/>
            </w:r>
          </w:hyperlink>
        </w:p>
        <w:p w14:paraId="12956007" w14:textId="1A93C3B6" w:rsidR="0042546A" w:rsidRDefault="0042546A">
          <w:pPr>
            <w:pStyle w:val="TOC1"/>
            <w:tabs>
              <w:tab w:val="right" w:leader="dot" w:pos="9016"/>
            </w:tabs>
            <w:rPr>
              <w:noProof/>
            </w:rPr>
          </w:pPr>
          <w:hyperlink w:anchor="_Toc191678551" w:history="1">
            <w:r w:rsidRPr="00D1310C">
              <w:rPr>
                <w:rStyle w:val="Hyperlink"/>
                <w:rFonts w:ascii="Times New Roman" w:hAnsi="Times New Roman" w:cs="Times New Roman"/>
                <w:noProof/>
              </w:rPr>
              <w:t>The Event Cycle</w:t>
            </w:r>
            <w:r>
              <w:rPr>
                <w:noProof/>
                <w:webHidden/>
              </w:rPr>
              <w:tab/>
            </w:r>
            <w:r>
              <w:rPr>
                <w:noProof/>
                <w:webHidden/>
              </w:rPr>
              <w:fldChar w:fldCharType="begin"/>
            </w:r>
            <w:r>
              <w:rPr>
                <w:noProof/>
                <w:webHidden/>
              </w:rPr>
              <w:instrText xml:space="preserve"> PAGEREF _Toc191678551 \h </w:instrText>
            </w:r>
            <w:r>
              <w:rPr>
                <w:noProof/>
                <w:webHidden/>
              </w:rPr>
            </w:r>
            <w:r>
              <w:rPr>
                <w:noProof/>
                <w:webHidden/>
              </w:rPr>
              <w:fldChar w:fldCharType="separate"/>
            </w:r>
            <w:r w:rsidR="004D77CC">
              <w:rPr>
                <w:noProof/>
                <w:webHidden/>
              </w:rPr>
              <w:t>3</w:t>
            </w:r>
            <w:r>
              <w:rPr>
                <w:noProof/>
                <w:webHidden/>
              </w:rPr>
              <w:fldChar w:fldCharType="end"/>
            </w:r>
          </w:hyperlink>
        </w:p>
        <w:p w14:paraId="07919502" w14:textId="5E2EF420" w:rsidR="0042546A" w:rsidRDefault="0042546A">
          <w:pPr>
            <w:pStyle w:val="TOC1"/>
            <w:tabs>
              <w:tab w:val="right" w:leader="dot" w:pos="9016"/>
            </w:tabs>
            <w:rPr>
              <w:noProof/>
            </w:rPr>
          </w:pPr>
          <w:hyperlink w:anchor="_Toc191678552" w:history="1">
            <w:r w:rsidRPr="00D1310C">
              <w:rPr>
                <w:rStyle w:val="Hyperlink"/>
                <w:rFonts w:ascii="Times New Roman" w:hAnsi="Times New Roman" w:cs="Times New Roman"/>
                <w:noProof/>
              </w:rPr>
              <w:t>Event Concept</w:t>
            </w:r>
            <w:r>
              <w:rPr>
                <w:noProof/>
                <w:webHidden/>
              </w:rPr>
              <w:tab/>
            </w:r>
            <w:r>
              <w:rPr>
                <w:noProof/>
                <w:webHidden/>
              </w:rPr>
              <w:fldChar w:fldCharType="begin"/>
            </w:r>
            <w:r>
              <w:rPr>
                <w:noProof/>
                <w:webHidden/>
              </w:rPr>
              <w:instrText xml:space="preserve"> PAGEREF _Toc191678552 \h </w:instrText>
            </w:r>
            <w:r>
              <w:rPr>
                <w:noProof/>
                <w:webHidden/>
              </w:rPr>
            </w:r>
            <w:r>
              <w:rPr>
                <w:noProof/>
                <w:webHidden/>
              </w:rPr>
              <w:fldChar w:fldCharType="separate"/>
            </w:r>
            <w:r w:rsidR="004D77CC">
              <w:rPr>
                <w:noProof/>
                <w:webHidden/>
              </w:rPr>
              <w:t>4</w:t>
            </w:r>
            <w:r>
              <w:rPr>
                <w:noProof/>
                <w:webHidden/>
              </w:rPr>
              <w:fldChar w:fldCharType="end"/>
            </w:r>
          </w:hyperlink>
        </w:p>
        <w:p w14:paraId="770E247F" w14:textId="38F2E14C" w:rsidR="0042546A" w:rsidRDefault="0042546A">
          <w:pPr>
            <w:pStyle w:val="TOC1"/>
            <w:tabs>
              <w:tab w:val="right" w:leader="dot" w:pos="9016"/>
            </w:tabs>
            <w:rPr>
              <w:noProof/>
            </w:rPr>
          </w:pPr>
          <w:hyperlink w:anchor="_Toc191678553" w:history="1">
            <w:r w:rsidRPr="00D1310C">
              <w:rPr>
                <w:rStyle w:val="Hyperlink"/>
                <w:rFonts w:ascii="Times New Roman" w:hAnsi="Times New Roman" w:cs="Times New Roman"/>
                <w:noProof/>
              </w:rPr>
              <w:t>Aim and objectives</w:t>
            </w:r>
            <w:r>
              <w:rPr>
                <w:noProof/>
                <w:webHidden/>
              </w:rPr>
              <w:tab/>
            </w:r>
            <w:r>
              <w:rPr>
                <w:noProof/>
                <w:webHidden/>
              </w:rPr>
              <w:fldChar w:fldCharType="begin"/>
            </w:r>
            <w:r>
              <w:rPr>
                <w:noProof/>
                <w:webHidden/>
              </w:rPr>
              <w:instrText xml:space="preserve"> PAGEREF _Toc191678553 \h </w:instrText>
            </w:r>
            <w:r>
              <w:rPr>
                <w:noProof/>
                <w:webHidden/>
              </w:rPr>
            </w:r>
            <w:r>
              <w:rPr>
                <w:noProof/>
                <w:webHidden/>
              </w:rPr>
              <w:fldChar w:fldCharType="separate"/>
            </w:r>
            <w:r w:rsidR="004D77CC">
              <w:rPr>
                <w:noProof/>
                <w:webHidden/>
              </w:rPr>
              <w:t>6</w:t>
            </w:r>
            <w:r>
              <w:rPr>
                <w:noProof/>
                <w:webHidden/>
              </w:rPr>
              <w:fldChar w:fldCharType="end"/>
            </w:r>
          </w:hyperlink>
        </w:p>
        <w:p w14:paraId="749B13DF" w14:textId="72D2538C" w:rsidR="0042546A" w:rsidRDefault="0042546A">
          <w:pPr>
            <w:pStyle w:val="TOC1"/>
            <w:tabs>
              <w:tab w:val="right" w:leader="dot" w:pos="9016"/>
            </w:tabs>
            <w:rPr>
              <w:noProof/>
            </w:rPr>
          </w:pPr>
          <w:hyperlink w:anchor="_Toc191678554" w:history="1">
            <w:r w:rsidRPr="00D1310C">
              <w:rPr>
                <w:rStyle w:val="Hyperlink"/>
                <w:rFonts w:ascii="Times New Roman" w:hAnsi="Times New Roman" w:cs="Times New Roman"/>
                <w:noProof/>
              </w:rPr>
              <w:t>Event management</w:t>
            </w:r>
            <w:r>
              <w:rPr>
                <w:noProof/>
                <w:webHidden/>
              </w:rPr>
              <w:tab/>
            </w:r>
            <w:r>
              <w:rPr>
                <w:noProof/>
                <w:webHidden/>
              </w:rPr>
              <w:fldChar w:fldCharType="begin"/>
            </w:r>
            <w:r>
              <w:rPr>
                <w:noProof/>
                <w:webHidden/>
              </w:rPr>
              <w:instrText xml:space="preserve"> PAGEREF _Toc191678554 \h </w:instrText>
            </w:r>
            <w:r>
              <w:rPr>
                <w:noProof/>
                <w:webHidden/>
              </w:rPr>
            </w:r>
            <w:r>
              <w:rPr>
                <w:noProof/>
                <w:webHidden/>
              </w:rPr>
              <w:fldChar w:fldCharType="separate"/>
            </w:r>
            <w:r w:rsidR="004D77CC">
              <w:rPr>
                <w:noProof/>
                <w:webHidden/>
              </w:rPr>
              <w:t>7</w:t>
            </w:r>
            <w:r>
              <w:rPr>
                <w:noProof/>
                <w:webHidden/>
              </w:rPr>
              <w:fldChar w:fldCharType="end"/>
            </w:r>
          </w:hyperlink>
        </w:p>
        <w:p w14:paraId="7C56360A" w14:textId="5DAECA93" w:rsidR="0042546A" w:rsidRDefault="0042546A">
          <w:pPr>
            <w:pStyle w:val="TOC1"/>
            <w:tabs>
              <w:tab w:val="right" w:leader="dot" w:pos="9016"/>
            </w:tabs>
            <w:rPr>
              <w:noProof/>
            </w:rPr>
          </w:pPr>
          <w:hyperlink w:anchor="_Toc191678555" w:history="1">
            <w:r w:rsidRPr="00D1310C">
              <w:rPr>
                <w:rStyle w:val="Hyperlink"/>
                <w:rFonts w:ascii="Times New Roman" w:hAnsi="Times New Roman" w:cs="Times New Roman"/>
                <w:noProof/>
              </w:rPr>
              <w:t>Event Budget</w:t>
            </w:r>
            <w:r>
              <w:rPr>
                <w:noProof/>
                <w:webHidden/>
              </w:rPr>
              <w:tab/>
            </w:r>
            <w:r>
              <w:rPr>
                <w:noProof/>
                <w:webHidden/>
              </w:rPr>
              <w:fldChar w:fldCharType="begin"/>
            </w:r>
            <w:r>
              <w:rPr>
                <w:noProof/>
                <w:webHidden/>
              </w:rPr>
              <w:instrText xml:space="preserve"> PAGEREF _Toc191678555 \h </w:instrText>
            </w:r>
            <w:r>
              <w:rPr>
                <w:noProof/>
                <w:webHidden/>
              </w:rPr>
            </w:r>
            <w:r>
              <w:rPr>
                <w:noProof/>
                <w:webHidden/>
              </w:rPr>
              <w:fldChar w:fldCharType="separate"/>
            </w:r>
            <w:r w:rsidR="004D77CC">
              <w:rPr>
                <w:noProof/>
                <w:webHidden/>
              </w:rPr>
              <w:t>8</w:t>
            </w:r>
            <w:r>
              <w:rPr>
                <w:noProof/>
                <w:webHidden/>
              </w:rPr>
              <w:fldChar w:fldCharType="end"/>
            </w:r>
          </w:hyperlink>
        </w:p>
        <w:p w14:paraId="12640A5B" w14:textId="75A5BAC0" w:rsidR="0042546A" w:rsidRDefault="0042546A">
          <w:pPr>
            <w:pStyle w:val="TOC1"/>
            <w:tabs>
              <w:tab w:val="right" w:leader="dot" w:pos="9016"/>
            </w:tabs>
            <w:rPr>
              <w:noProof/>
            </w:rPr>
          </w:pPr>
          <w:hyperlink w:anchor="_Toc191678556" w:history="1">
            <w:r w:rsidRPr="00D1310C">
              <w:rPr>
                <w:rStyle w:val="Hyperlink"/>
                <w:rFonts w:ascii="Times New Roman" w:hAnsi="Times New Roman" w:cs="Times New Roman"/>
                <w:noProof/>
              </w:rPr>
              <w:t>Industry Trends</w:t>
            </w:r>
            <w:r>
              <w:rPr>
                <w:noProof/>
                <w:webHidden/>
              </w:rPr>
              <w:tab/>
            </w:r>
            <w:r>
              <w:rPr>
                <w:noProof/>
                <w:webHidden/>
              </w:rPr>
              <w:fldChar w:fldCharType="begin"/>
            </w:r>
            <w:r>
              <w:rPr>
                <w:noProof/>
                <w:webHidden/>
              </w:rPr>
              <w:instrText xml:space="preserve"> PAGEREF _Toc191678556 \h </w:instrText>
            </w:r>
            <w:r>
              <w:rPr>
                <w:noProof/>
                <w:webHidden/>
              </w:rPr>
            </w:r>
            <w:r>
              <w:rPr>
                <w:noProof/>
                <w:webHidden/>
              </w:rPr>
              <w:fldChar w:fldCharType="separate"/>
            </w:r>
            <w:r w:rsidR="004D77CC">
              <w:rPr>
                <w:noProof/>
                <w:webHidden/>
              </w:rPr>
              <w:t>9</w:t>
            </w:r>
            <w:r>
              <w:rPr>
                <w:noProof/>
                <w:webHidden/>
              </w:rPr>
              <w:fldChar w:fldCharType="end"/>
            </w:r>
          </w:hyperlink>
        </w:p>
        <w:p w14:paraId="22EE0E1E" w14:textId="2A3E3249" w:rsidR="0042546A" w:rsidRDefault="0042546A">
          <w:pPr>
            <w:pStyle w:val="TOC1"/>
            <w:tabs>
              <w:tab w:val="right" w:leader="dot" w:pos="9016"/>
            </w:tabs>
            <w:rPr>
              <w:noProof/>
            </w:rPr>
          </w:pPr>
          <w:hyperlink w:anchor="_Toc191678557" w:history="1">
            <w:r w:rsidRPr="00D1310C">
              <w:rPr>
                <w:rStyle w:val="Hyperlink"/>
                <w:rFonts w:ascii="Times New Roman" w:hAnsi="Times New Roman" w:cs="Times New Roman"/>
                <w:noProof/>
              </w:rPr>
              <w:t>Situational and Cultural Considerations</w:t>
            </w:r>
            <w:r>
              <w:rPr>
                <w:noProof/>
                <w:webHidden/>
              </w:rPr>
              <w:tab/>
            </w:r>
            <w:r>
              <w:rPr>
                <w:noProof/>
                <w:webHidden/>
              </w:rPr>
              <w:fldChar w:fldCharType="begin"/>
            </w:r>
            <w:r>
              <w:rPr>
                <w:noProof/>
                <w:webHidden/>
              </w:rPr>
              <w:instrText xml:space="preserve"> PAGEREF _Toc191678557 \h </w:instrText>
            </w:r>
            <w:r>
              <w:rPr>
                <w:noProof/>
                <w:webHidden/>
              </w:rPr>
            </w:r>
            <w:r>
              <w:rPr>
                <w:noProof/>
                <w:webHidden/>
              </w:rPr>
              <w:fldChar w:fldCharType="separate"/>
            </w:r>
            <w:r w:rsidR="004D77CC">
              <w:rPr>
                <w:noProof/>
                <w:webHidden/>
              </w:rPr>
              <w:t>10</w:t>
            </w:r>
            <w:r>
              <w:rPr>
                <w:noProof/>
                <w:webHidden/>
              </w:rPr>
              <w:fldChar w:fldCharType="end"/>
            </w:r>
          </w:hyperlink>
        </w:p>
        <w:p w14:paraId="21A04C33" w14:textId="5C74D65F" w:rsidR="0042546A" w:rsidRDefault="0042546A">
          <w:pPr>
            <w:pStyle w:val="TOC1"/>
            <w:tabs>
              <w:tab w:val="right" w:leader="dot" w:pos="9016"/>
            </w:tabs>
            <w:rPr>
              <w:noProof/>
            </w:rPr>
          </w:pPr>
          <w:hyperlink w:anchor="_Toc191678558" w:history="1">
            <w:r w:rsidRPr="00D1310C">
              <w:rPr>
                <w:rStyle w:val="Hyperlink"/>
                <w:rFonts w:ascii="Times New Roman" w:hAnsi="Times New Roman" w:cs="Times New Roman"/>
                <w:noProof/>
              </w:rPr>
              <w:t>Conclusion</w:t>
            </w:r>
            <w:r>
              <w:rPr>
                <w:noProof/>
                <w:webHidden/>
              </w:rPr>
              <w:tab/>
            </w:r>
            <w:r>
              <w:rPr>
                <w:noProof/>
                <w:webHidden/>
              </w:rPr>
              <w:fldChar w:fldCharType="begin"/>
            </w:r>
            <w:r>
              <w:rPr>
                <w:noProof/>
                <w:webHidden/>
              </w:rPr>
              <w:instrText xml:space="preserve"> PAGEREF _Toc191678558 \h </w:instrText>
            </w:r>
            <w:r>
              <w:rPr>
                <w:noProof/>
                <w:webHidden/>
              </w:rPr>
            </w:r>
            <w:r>
              <w:rPr>
                <w:noProof/>
                <w:webHidden/>
              </w:rPr>
              <w:fldChar w:fldCharType="separate"/>
            </w:r>
            <w:r w:rsidR="004D77CC">
              <w:rPr>
                <w:noProof/>
                <w:webHidden/>
              </w:rPr>
              <w:t>10</w:t>
            </w:r>
            <w:r>
              <w:rPr>
                <w:noProof/>
                <w:webHidden/>
              </w:rPr>
              <w:fldChar w:fldCharType="end"/>
            </w:r>
          </w:hyperlink>
        </w:p>
        <w:p w14:paraId="1D97F5F4" w14:textId="7ECC7CE5" w:rsidR="0042546A" w:rsidRDefault="0042546A">
          <w:pPr>
            <w:pStyle w:val="TOC1"/>
            <w:tabs>
              <w:tab w:val="right" w:leader="dot" w:pos="9016"/>
            </w:tabs>
            <w:rPr>
              <w:noProof/>
            </w:rPr>
          </w:pPr>
          <w:hyperlink w:anchor="_Toc191678559" w:history="1">
            <w:r w:rsidRPr="00D1310C">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_Toc191678559 \h </w:instrText>
            </w:r>
            <w:r>
              <w:rPr>
                <w:noProof/>
                <w:webHidden/>
              </w:rPr>
            </w:r>
            <w:r>
              <w:rPr>
                <w:noProof/>
                <w:webHidden/>
              </w:rPr>
              <w:fldChar w:fldCharType="separate"/>
            </w:r>
            <w:r w:rsidR="004D77CC">
              <w:rPr>
                <w:noProof/>
                <w:webHidden/>
              </w:rPr>
              <w:t>12</w:t>
            </w:r>
            <w:r>
              <w:rPr>
                <w:noProof/>
                <w:webHidden/>
              </w:rPr>
              <w:fldChar w:fldCharType="end"/>
            </w:r>
          </w:hyperlink>
        </w:p>
        <w:p w14:paraId="1BD94BED" w14:textId="70B7975E" w:rsidR="0042546A" w:rsidRDefault="0042546A">
          <w:r>
            <w:rPr>
              <w:b/>
              <w:bCs/>
              <w:noProof/>
            </w:rPr>
            <w:fldChar w:fldCharType="end"/>
          </w:r>
        </w:p>
      </w:sdtContent>
    </w:sdt>
    <w:p w14:paraId="16014986" w14:textId="77777777" w:rsidR="000832C9" w:rsidRDefault="000832C9" w:rsidP="000832C9">
      <w:pPr>
        <w:spacing w:line="360" w:lineRule="auto"/>
        <w:rPr>
          <w:rFonts w:ascii="Times New Roman" w:hAnsi="Times New Roman" w:cs="Times New Roman"/>
          <w:b/>
          <w:bCs/>
          <w:sz w:val="28"/>
          <w:szCs w:val="28"/>
        </w:rPr>
      </w:pPr>
    </w:p>
    <w:p w14:paraId="050B9199" w14:textId="77777777" w:rsidR="000832C9" w:rsidRDefault="000832C9" w:rsidP="000832C9">
      <w:pPr>
        <w:spacing w:line="360" w:lineRule="auto"/>
        <w:rPr>
          <w:rFonts w:ascii="Times New Roman" w:hAnsi="Times New Roman" w:cs="Times New Roman"/>
          <w:b/>
          <w:bCs/>
          <w:sz w:val="28"/>
          <w:szCs w:val="28"/>
        </w:rPr>
      </w:pPr>
    </w:p>
    <w:p w14:paraId="72D9E6A8" w14:textId="77777777" w:rsidR="000832C9" w:rsidRDefault="000832C9" w:rsidP="000832C9">
      <w:pPr>
        <w:spacing w:line="360" w:lineRule="auto"/>
        <w:rPr>
          <w:rFonts w:ascii="Times New Roman" w:hAnsi="Times New Roman" w:cs="Times New Roman"/>
          <w:b/>
          <w:bCs/>
          <w:sz w:val="28"/>
          <w:szCs w:val="28"/>
        </w:rPr>
      </w:pPr>
    </w:p>
    <w:p w14:paraId="48AB1CCA" w14:textId="77777777" w:rsidR="000832C9" w:rsidRDefault="000832C9" w:rsidP="000832C9">
      <w:pPr>
        <w:spacing w:line="360" w:lineRule="auto"/>
        <w:rPr>
          <w:rFonts w:ascii="Times New Roman" w:hAnsi="Times New Roman" w:cs="Times New Roman"/>
          <w:b/>
          <w:bCs/>
          <w:sz w:val="28"/>
          <w:szCs w:val="28"/>
        </w:rPr>
      </w:pPr>
    </w:p>
    <w:p w14:paraId="2405D669" w14:textId="77777777" w:rsidR="000832C9" w:rsidRDefault="000832C9" w:rsidP="000832C9">
      <w:pPr>
        <w:spacing w:line="360" w:lineRule="auto"/>
        <w:rPr>
          <w:rFonts w:ascii="Times New Roman" w:hAnsi="Times New Roman" w:cs="Times New Roman"/>
          <w:b/>
          <w:bCs/>
          <w:sz w:val="28"/>
          <w:szCs w:val="28"/>
        </w:rPr>
      </w:pPr>
    </w:p>
    <w:p w14:paraId="710CC155" w14:textId="77777777" w:rsidR="000832C9" w:rsidRDefault="000832C9" w:rsidP="000832C9">
      <w:pPr>
        <w:spacing w:line="360" w:lineRule="auto"/>
        <w:rPr>
          <w:rFonts w:ascii="Times New Roman" w:hAnsi="Times New Roman" w:cs="Times New Roman"/>
          <w:b/>
          <w:bCs/>
          <w:sz w:val="28"/>
          <w:szCs w:val="28"/>
        </w:rPr>
      </w:pPr>
    </w:p>
    <w:p w14:paraId="70ECD57A" w14:textId="77777777" w:rsidR="000832C9" w:rsidRDefault="000832C9" w:rsidP="000832C9">
      <w:pPr>
        <w:spacing w:line="360" w:lineRule="auto"/>
        <w:rPr>
          <w:rFonts w:ascii="Times New Roman" w:hAnsi="Times New Roman" w:cs="Times New Roman"/>
          <w:b/>
          <w:bCs/>
          <w:sz w:val="28"/>
          <w:szCs w:val="28"/>
        </w:rPr>
      </w:pPr>
    </w:p>
    <w:p w14:paraId="04999717" w14:textId="77777777" w:rsidR="000832C9" w:rsidRDefault="000832C9" w:rsidP="000832C9">
      <w:pPr>
        <w:spacing w:line="360" w:lineRule="auto"/>
        <w:rPr>
          <w:rFonts w:ascii="Times New Roman" w:hAnsi="Times New Roman" w:cs="Times New Roman"/>
          <w:b/>
          <w:bCs/>
          <w:sz w:val="28"/>
          <w:szCs w:val="28"/>
        </w:rPr>
      </w:pPr>
    </w:p>
    <w:p w14:paraId="7D087AAA" w14:textId="77777777" w:rsidR="000832C9" w:rsidRDefault="000832C9" w:rsidP="000832C9">
      <w:pPr>
        <w:spacing w:line="360" w:lineRule="auto"/>
        <w:rPr>
          <w:rFonts w:ascii="Times New Roman" w:hAnsi="Times New Roman" w:cs="Times New Roman"/>
          <w:b/>
          <w:bCs/>
          <w:sz w:val="28"/>
          <w:szCs w:val="28"/>
        </w:rPr>
      </w:pPr>
    </w:p>
    <w:p w14:paraId="1F7CE954" w14:textId="77777777" w:rsidR="000832C9" w:rsidRDefault="000832C9" w:rsidP="000832C9">
      <w:pPr>
        <w:spacing w:line="360" w:lineRule="auto"/>
        <w:rPr>
          <w:rFonts w:ascii="Times New Roman" w:hAnsi="Times New Roman" w:cs="Times New Roman"/>
          <w:b/>
          <w:bCs/>
          <w:sz w:val="28"/>
          <w:szCs w:val="28"/>
        </w:rPr>
      </w:pPr>
    </w:p>
    <w:p w14:paraId="00134CA0" w14:textId="77777777" w:rsidR="000832C9" w:rsidRDefault="000832C9" w:rsidP="000832C9">
      <w:pPr>
        <w:spacing w:line="360" w:lineRule="auto"/>
        <w:rPr>
          <w:rFonts w:ascii="Times New Roman" w:hAnsi="Times New Roman" w:cs="Times New Roman"/>
          <w:b/>
          <w:bCs/>
          <w:sz w:val="28"/>
          <w:szCs w:val="28"/>
        </w:rPr>
      </w:pPr>
    </w:p>
    <w:p w14:paraId="6B6A4A7D" w14:textId="77777777" w:rsidR="000832C9" w:rsidRDefault="000832C9" w:rsidP="000832C9">
      <w:pPr>
        <w:spacing w:line="360" w:lineRule="auto"/>
        <w:rPr>
          <w:rFonts w:ascii="Times New Roman" w:hAnsi="Times New Roman" w:cs="Times New Roman"/>
          <w:b/>
          <w:bCs/>
          <w:sz w:val="28"/>
          <w:szCs w:val="28"/>
        </w:rPr>
      </w:pPr>
    </w:p>
    <w:p w14:paraId="2C225438" w14:textId="77777777" w:rsidR="000832C9" w:rsidRDefault="000832C9" w:rsidP="000832C9">
      <w:pPr>
        <w:spacing w:line="360" w:lineRule="auto"/>
        <w:rPr>
          <w:rFonts w:ascii="Times New Roman" w:hAnsi="Times New Roman" w:cs="Times New Roman"/>
          <w:b/>
          <w:bCs/>
          <w:sz w:val="28"/>
          <w:szCs w:val="28"/>
        </w:rPr>
      </w:pPr>
    </w:p>
    <w:p w14:paraId="2976E75E" w14:textId="77777777" w:rsidR="000832C9" w:rsidRDefault="000832C9" w:rsidP="000832C9">
      <w:pPr>
        <w:spacing w:line="360" w:lineRule="auto"/>
        <w:rPr>
          <w:rFonts w:ascii="Times New Roman" w:hAnsi="Times New Roman" w:cs="Times New Roman"/>
          <w:b/>
          <w:bCs/>
          <w:sz w:val="28"/>
          <w:szCs w:val="28"/>
        </w:rPr>
      </w:pPr>
    </w:p>
    <w:p w14:paraId="786718A8" w14:textId="6CF5AC0D" w:rsidR="000832C9" w:rsidRPr="004D77CC" w:rsidRDefault="000832C9" w:rsidP="004D77CC">
      <w:pPr>
        <w:pStyle w:val="EU"/>
        <w:spacing w:line="360" w:lineRule="auto"/>
        <w:rPr>
          <w:rFonts w:ascii="Times New Roman" w:hAnsi="Times New Roman" w:cs="Times New Roman"/>
          <w:color w:val="auto"/>
        </w:rPr>
      </w:pPr>
      <w:bookmarkStart w:id="0" w:name="_Toc191678550"/>
      <w:r w:rsidRPr="004D77CC">
        <w:rPr>
          <w:rFonts w:ascii="Times New Roman" w:hAnsi="Times New Roman" w:cs="Times New Roman"/>
          <w:color w:val="auto"/>
        </w:rPr>
        <w:t>Introduction</w:t>
      </w:r>
      <w:bookmarkEnd w:id="0"/>
      <w:r w:rsidRPr="004D77CC">
        <w:rPr>
          <w:rFonts w:ascii="Times New Roman" w:hAnsi="Times New Roman" w:cs="Times New Roman"/>
          <w:color w:val="auto"/>
        </w:rPr>
        <w:t xml:space="preserve"> </w:t>
      </w:r>
    </w:p>
    <w:p w14:paraId="1FE98E89" w14:textId="600B59C1" w:rsidR="000832C9" w:rsidRPr="004D77CC" w:rsidRDefault="000832C9" w:rsidP="004D77CC">
      <w:pPr>
        <w:spacing w:line="360" w:lineRule="auto"/>
        <w:jc w:val="both"/>
        <w:rPr>
          <w:rFonts w:ascii="Times New Roman" w:hAnsi="Times New Roman" w:cs="Times New Roman"/>
          <w:sz w:val="24"/>
          <w:szCs w:val="24"/>
        </w:rPr>
      </w:pPr>
      <w:r w:rsidRPr="004D77CC">
        <w:rPr>
          <w:rFonts w:ascii="Times New Roman" w:hAnsi="Times New Roman" w:cs="Times New Roman"/>
          <w:sz w:val="24"/>
          <w:szCs w:val="24"/>
        </w:rPr>
        <w:t>O'Toole (2011) states that in today's globally competitive meetings and events sector, strategic planning, comprehensive feasibility evaluations, and thoughtful consideration of sociocultural aspects are essential. The planned event for this project is an international conference on "Equality, Diversity, and Inclusion within Industry," which aims to bring together academics, professionals, and business executives to discuss how to create more welcoming and equal work environments for all employees. A greater understanding of societal challenges and the beneficial effects of diversity and inclusion on organisations has contributed to this theme's rise to prominence (Smith, 2012).</w:t>
      </w:r>
      <w:r w:rsidRPr="004D77CC">
        <w:rPr>
          <w:rFonts w:ascii="Times New Roman" w:hAnsi="Times New Roman" w:cs="Times New Roman"/>
          <w:sz w:val="24"/>
          <w:szCs w:val="24"/>
        </w:rPr>
        <w:t xml:space="preserve"> </w:t>
      </w:r>
      <w:r w:rsidRPr="004D77CC">
        <w:rPr>
          <w:rFonts w:ascii="Times New Roman" w:hAnsi="Times New Roman" w:cs="Times New Roman"/>
          <w:sz w:val="24"/>
          <w:szCs w:val="24"/>
        </w:rPr>
        <w:t>The Tokyo International Forum in Japan has been chosen as the site for this event because of its reputation as a contemporary facility with versatile space and strong support services for international gatherings (Rogers and Wynn-Moylan, 2022). The goal of reaching a worldwide audience is well-suited to this venue, thanks to Tokyo's status as a financial centre and its easily accessible international transit network. Hosting the event in Tokyo aligns with the city's commitment to promoting innovation and cultural interchange, providing an ideal setting for conversations about diversity and equality (Smith, 2012).</w:t>
      </w:r>
      <w:r w:rsidRPr="004D77CC">
        <w:rPr>
          <w:rFonts w:ascii="Times New Roman" w:hAnsi="Times New Roman" w:cs="Times New Roman"/>
          <w:sz w:val="24"/>
          <w:szCs w:val="24"/>
        </w:rPr>
        <w:t xml:space="preserve"> </w:t>
      </w:r>
      <w:r w:rsidRPr="004D77CC">
        <w:rPr>
          <w:rFonts w:ascii="Times New Roman" w:hAnsi="Times New Roman" w:cs="Times New Roman"/>
          <w:sz w:val="24"/>
          <w:szCs w:val="24"/>
        </w:rPr>
        <w:t>In the parts that follow, this report will lay out the conference's strategic concerns by using basic theories and practices of event management. During the meeting, we will go over the Event Cycle and its relevance to the planned meeting, outline the event's concept and daily schedule, and set SMART-based goals and objectives. Report highlights situational and cultural considerations relevant to executing such a conference in an international environment, investigates industry trends and issues, defines an initial event budget, and examines event management methods (Fox et al., 2014). To show that the event planning process is comprehensive and based on research, reputable academic and business sources will be cited to back up each part.</w:t>
      </w:r>
    </w:p>
    <w:p w14:paraId="616A0412" w14:textId="509FFC5E" w:rsidR="000832C9" w:rsidRPr="004D77CC" w:rsidRDefault="000832C9" w:rsidP="004D77CC">
      <w:pPr>
        <w:pStyle w:val="EU"/>
        <w:spacing w:line="360" w:lineRule="auto"/>
        <w:rPr>
          <w:rFonts w:ascii="Times New Roman" w:hAnsi="Times New Roman" w:cs="Times New Roman"/>
          <w:color w:val="auto"/>
        </w:rPr>
      </w:pPr>
      <w:bookmarkStart w:id="1" w:name="_Toc191678551"/>
      <w:r w:rsidRPr="004D77CC">
        <w:rPr>
          <w:rFonts w:ascii="Times New Roman" w:hAnsi="Times New Roman" w:cs="Times New Roman"/>
          <w:color w:val="auto"/>
        </w:rPr>
        <w:t>The Event Cycle</w:t>
      </w:r>
      <w:bookmarkEnd w:id="1"/>
    </w:p>
    <w:p w14:paraId="7F5F67BF" w14:textId="596FBA73" w:rsidR="000832C9" w:rsidRPr="004D77CC" w:rsidRDefault="000832C9" w:rsidP="004D77CC">
      <w:pPr>
        <w:spacing w:line="360" w:lineRule="auto"/>
        <w:jc w:val="both"/>
        <w:rPr>
          <w:rFonts w:ascii="Times New Roman" w:hAnsi="Times New Roman" w:cs="Times New Roman"/>
          <w:sz w:val="24"/>
          <w:szCs w:val="24"/>
          <w:lang w:eastAsia="en-GB"/>
        </w:rPr>
      </w:pPr>
      <w:r w:rsidRPr="004D77CC">
        <w:rPr>
          <w:rFonts w:ascii="Times New Roman" w:hAnsi="Times New Roman" w:cs="Times New Roman"/>
          <w:sz w:val="24"/>
          <w:szCs w:val="24"/>
          <w:lang w:eastAsia="en-GB"/>
        </w:rPr>
        <w:t>From planning to execution to debriefing, the Event Cycle lays out the whole lifecycle of an event (Getz and Page, 2019). There are a number of different models out there, but the common thread is that they all include some combination of research and conceptualisation, planning, execution, delivery, and assessment. To accomplish the event's overarching goals, it is necessary to allocate resources wisely, make sound decisions, and include all relevant stakeholders at each stage (Bladen et al., 2022).</w:t>
      </w:r>
      <w:r w:rsidRPr="004D77CC">
        <w:rPr>
          <w:rFonts w:ascii="Times New Roman" w:hAnsi="Times New Roman" w:cs="Times New Roman"/>
          <w:sz w:val="24"/>
          <w:szCs w:val="24"/>
          <w:lang w:eastAsia="en-GB"/>
        </w:rPr>
        <w:t xml:space="preserve"> </w:t>
      </w:r>
      <w:r w:rsidRPr="004D77CC">
        <w:rPr>
          <w:rFonts w:ascii="Times New Roman" w:hAnsi="Times New Roman" w:cs="Times New Roman"/>
          <w:sz w:val="24"/>
          <w:szCs w:val="24"/>
          <w:lang w:eastAsia="en-GB"/>
        </w:rPr>
        <w:t>The research and conceptualisation phase for the proposed "Equality, Diversity, and Inclusion within Industry" conference included analysing the present market demands, looking at the socio-political factors that influence inclusion initiatives, and determining if it would be feasible to organise an international event in Tokyo (Rogers and Wynn-Moylan, 2022). In this first step, we analysed our competitors to find out what makes our conference topic different and how it stacks up against other events. Researching the event's feasibility, venue availability, and possible turnout was also part of the process.</w:t>
      </w:r>
      <w:r w:rsidRPr="004D77CC">
        <w:rPr>
          <w:rFonts w:ascii="Times New Roman" w:hAnsi="Times New Roman" w:cs="Times New Roman"/>
          <w:sz w:val="24"/>
          <w:szCs w:val="24"/>
          <w:lang w:eastAsia="en-GB"/>
        </w:rPr>
        <w:t xml:space="preserve"> </w:t>
      </w:r>
      <w:r w:rsidRPr="004D77CC">
        <w:rPr>
          <w:rFonts w:ascii="Times New Roman" w:hAnsi="Times New Roman" w:cs="Times New Roman"/>
          <w:sz w:val="24"/>
          <w:szCs w:val="24"/>
          <w:lang w:eastAsia="en-GB"/>
        </w:rPr>
        <w:t>Thorough timetables, financial plans, advertising campaigns, and risk evaluations are the main points of discussion during the planning stage. Because of the international nature of the conference's attendees, great care is taken to accommodate their linguistic and cultural demands (Fox et al., 2014). The establishment of partnerships, the advertising of the event, and the outreach to prospective sponsors are all aspects of strategic planning.</w:t>
      </w:r>
      <w:r w:rsidRPr="004D77CC">
        <w:rPr>
          <w:rFonts w:ascii="Times New Roman" w:hAnsi="Times New Roman" w:cs="Times New Roman"/>
          <w:sz w:val="24"/>
          <w:szCs w:val="24"/>
          <w:lang w:eastAsia="en-GB"/>
        </w:rPr>
        <w:t xml:space="preserve"> </w:t>
      </w:r>
      <w:r w:rsidRPr="004D77CC">
        <w:rPr>
          <w:rFonts w:ascii="Times New Roman" w:hAnsi="Times New Roman" w:cs="Times New Roman"/>
          <w:sz w:val="24"/>
          <w:szCs w:val="24"/>
          <w:lang w:eastAsia="en-GB"/>
        </w:rPr>
        <w:t>From conceptualisation to execution, it is what the implementation phase is all about. According to O'Toole (2011), this is the time when things like training for volunteers or staff, speaker confirmations, contract discussions, and vendor coordination take place. Technology platform logistics are also taken care of by the event management team. This is particularly important for components that are to be live-streamed or hybrid in order to reach the widest possible audience.</w:t>
      </w:r>
      <w:r w:rsidRPr="004D77CC">
        <w:rPr>
          <w:rFonts w:ascii="Times New Roman" w:hAnsi="Times New Roman" w:cs="Times New Roman"/>
          <w:sz w:val="24"/>
          <w:szCs w:val="24"/>
          <w:lang w:eastAsia="en-GB"/>
        </w:rPr>
        <w:t xml:space="preserve"> </w:t>
      </w:r>
      <w:r w:rsidRPr="004D77CC">
        <w:rPr>
          <w:rFonts w:ascii="Times New Roman" w:hAnsi="Times New Roman" w:cs="Times New Roman"/>
          <w:sz w:val="24"/>
          <w:szCs w:val="24"/>
          <w:lang w:eastAsia="en-GB"/>
        </w:rPr>
        <w:t>Managing a crisis and coordinating on-site activities are essential after the event has begun, which includes setup, registration, and sessions. As soon as the sessions wrap up, the next step in the assessment process is to reconcile finances and collect comments from sponsors, participants, and stakeholders. At this point, we look at quantitative and qualitative metrics including income generated, delegate satisfaction, and the possibility of future iterations to see whether the event was successful (Getz and Page, 2019).</w:t>
      </w:r>
    </w:p>
    <w:p w14:paraId="1F2E5F92" w14:textId="2E8782B3" w:rsidR="000832C9" w:rsidRPr="004D77CC" w:rsidRDefault="000832C9" w:rsidP="004D77CC">
      <w:pPr>
        <w:pStyle w:val="EU"/>
        <w:spacing w:line="360" w:lineRule="auto"/>
        <w:rPr>
          <w:rFonts w:ascii="Times New Roman" w:hAnsi="Times New Roman" w:cs="Times New Roman"/>
          <w:color w:val="auto"/>
        </w:rPr>
      </w:pPr>
      <w:bookmarkStart w:id="2" w:name="_Toc191678552"/>
      <w:r w:rsidRPr="004D77CC">
        <w:rPr>
          <w:rFonts w:ascii="Times New Roman" w:hAnsi="Times New Roman" w:cs="Times New Roman"/>
          <w:color w:val="auto"/>
        </w:rPr>
        <w:t>Event Concept</w:t>
      </w:r>
      <w:bookmarkEnd w:id="2"/>
    </w:p>
    <w:p w14:paraId="6B0920A4" w14:textId="7C7B8589" w:rsidR="000832C9" w:rsidRPr="004D77CC" w:rsidRDefault="000832C9" w:rsidP="004D77CC">
      <w:pPr>
        <w:spacing w:line="360" w:lineRule="auto"/>
        <w:jc w:val="both"/>
        <w:rPr>
          <w:rFonts w:ascii="Times New Roman" w:hAnsi="Times New Roman" w:cs="Times New Roman"/>
          <w:sz w:val="24"/>
          <w:szCs w:val="24"/>
          <w:lang w:eastAsia="en-GB"/>
        </w:rPr>
      </w:pPr>
      <w:r w:rsidRPr="004D77CC">
        <w:rPr>
          <w:rFonts w:ascii="Times New Roman" w:hAnsi="Times New Roman" w:cs="Times New Roman"/>
          <w:sz w:val="24"/>
          <w:szCs w:val="24"/>
          <w:lang w:eastAsia="en-GB"/>
        </w:rPr>
        <w:t>A one-day event, the "Equality, Diversity, and Inclusion within Industry" conference is intended to immerse attendees in modern diversity and inclusion practices via a combination of educational sessions and networking activities. Keynote speeches, panels, interactive sessions, and workshops are all part of the program, with an emphasis on data-driven tactics for creating more fair work environments (Rogers and Wynn-Moylan, 2022). The conference hopes to draw in attendees from all over the world and showcase Japan's dedication to ethnic cooperation by holding the event at the Tokyo International Forum. We aim to give professionals from all industries an integrated experience that combines research-based insights, practical frameworks, and real-world implementations. This will be accomplished by having renowned speakers provide keynote addresses on important topics including intersectional inclusion and workplace recruiting practices (Getz and Page, 2019). In this roundtable conversation, moderated by C-suite executives from global companies, we will look at real-world examples of inclusion in action and share our best practices and lessons learnt. Facilitators also lead small groups through scenario-based activities and brainstorming exercises during breakout sessions to encourage discussion of new problems as they arise, furthering the goal of hands-on learning. To guarantee that participants depart with practical skills to evaluate and enhance inclusion programs, afternoon sessions emphasise the importance of quantitative indicators and organisational audits (Dredge et al., 2013). These insights are reinforced throughout the concluding plenary comments and organised networking times, when attendees may share ideas, form long-term relationships, and explore new solutions to diversity. The goal of this event is to provide participants with a practical plan for making their diverse workplaces more inclusive and productive by combining academic knowledge with real-world examples (Smith, 2012).</w:t>
      </w:r>
    </w:p>
    <w:tbl>
      <w:tblPr>
        <w:tblStyle w:val="TableGrid"/>
        <w:tblW w:w="0" w:type="auto"/>
        <w:tblLook w:val="04A0" w:firstRow="1" w:lastRow="0" w:firstColumn="1" w:lastColumn="0" w:noHBand="0" w:noVBand="1"/>
      </w:tblPr>
      <w:tblGrid>
        <w:gridCol w:w="3005"/>
        <w:gridCol w:w="3005"/>
        <w:gridCol w:w="3006"/>
      </w:tblGrid>
      <w:tr w:rsidR="004D77CC" w:rsidRPr="004D77CC" w14:paraId="17E3E6FF" w14:textId="77777777" w:rsidTr="000832C9">
        <w:tc>
          <w:tcPr>
            <w:tcW w:w="3005" w:type="dxa"/>
          </w:tcPr>
          <w:p w14:paraId="160233DE" w14:textId="56FF7877" w:rsidR="000832C9" w:rsidRPr="004D77CC" w:rsidRDefault="000832C9" w:rsidP="004D77CC">
            <w:pPr>
              <w:spacing w:line="360" w:lineRule="auto"/>
              <w:jc w:val="both"/>
              <w:rPr>
                <w:rFonts w:ascii="Times New Roman" w:hAnsi="Times New Roman" w:cs="Times New Roman"/>
                <w:sz w:val="24"/>
                <w:szCs w:val="24"/>
                <w:lang w:eastAsia="en-GB"/>
              </w:rPr>
            </w:pPr>
            <w:r w:rsidRPr="004D77CC">
              <w:rPr>
                <w:rFonts w:ascii="Times New Roman" w:hAnsi="Times New Roman" w:cs="Times New Roman"/>
                <w:sz w:val="24"/>
                <w:szCs w:val="24"/>
              </w:rPr>
              <w:t>Time</w:t>
            </w:r>
          </w:p>
        </w:tc>
        <w:tc>
          <w:tcPr>
            <w:tcW w:w="3005" w:type="dxa"/>
          </w:tcPr>
          <w:p w14:paraId="6D8C76F4" w14:textId="21BD4952" w:rsidR="000832C9" w:rsidRPr="004D77CC" w:rsidRDefault="000832C9" w:rsidP="004D77CC">
            <w:pPr>
              <w:spacing w:line="360" w:lineRule="auto"/>
              <w:jc w:val="both"/>
              <w:rPr>
                <w:rFonts w:ascii="Times New Roman" w:hAnsi="Times New Roman" w:cs="Times New Roman"/>
                <w:sz w:val="24"/>
                <w:szCs w:val="24"/>
                <w:lang w:eastAsia="en-GB"/>
              </w:rPr>
            </w:pPr>
            <w:r w:rsidRPr="004D77CC">
              <w:rPr>
                <w:rFonts w:ascii="Times New Roman" w:hAnsi="Times New Roman" w:cs="Times New Roman"/>
                <w:sz w:val="24"/>
                <w:szCs w:val="24"/>
              </w:rPr>
              <w:t>Session</w:t>
            </w:r>
          </w:p>
        </w:tc>
        <w:tc>
          <w:tcPr>
            <w:tcW w:w="3006" w:type="dxa"/>
          </w:tcPr>
          <w:p w14:paraId="40BC6E65" w14:textId="75B28B54" w:rsidR="000832C9" w:rsidRPr="004D77CC" w:rsidRDefault="000832C9" w:rsidP="004D77CC">
            <w:pPr>
              <w:spacing w:line="360" w:lineRule="auto"/>
              <w:jc w:val="both"/>
              <w:rPr>
                <w:rFonts w:ascii="Times New Roman" w:hAnsi="Times New Roman" w:cs="Times New Roman"/>
                <w:sz w:val="24"/>
                <w:szCs w:val="24"/>
                <w:lang w:eastAsia="en-GB"/>
              </w:rPr>
            </w:pPr>
            <w:r w:rsidRPr="004D77CC">
              <w:rPr>
                <w:rFonts w:ascii="Times New Roman" w:hAnsi="Times New Roman" w:cs="Times New Roman"/>
                <w:sz w:val="24"/>
                <w:szCs w:val="24"/>
              </w:rPr>
              <w:t>Description</w:t>
            </w:r>
          </w:p>
        </w:tc>
      </w:tr>
      <w:tr w:rsidR="004D77CC" w:rsidRPr="004D77CC" w14:paraId="304078E8" w14:textId="77777777" w:rsidTr="000832C9">
        <w:tc>
          <w:tcPr>
            <w:tcW w:w="3005" w:type="dxa"/>
          </w:tcPr>
          <w:p w14:paraId="1D2170FF" w14:textId="5D980CBA" w:rsidR="000832C9" w:rsidRPr="004D77CC" w:rsidRDefault="000832C9" w:rsidP="004D77CC">
            <w:pPr>
              <w:spacing w:line="360" w:lineRule="auto"/>
              <w:jc w:val="both"/>
              <w:rPr>
                <w:rFonts w:ascii="Times New Roman" w:hAnsi="Times New Roman" w:cs="Times New Roman"/>
                <w:sz w:val="24"/>
                <w:szCs w:val="24"/>
                <w:lang w:eastAsia="en-GB"/>
              </w:rPr>
            </w:pPr>
            <w:r w:rsidRPr="004D77CC">
              <w:rPr>
                <w:rFonts w:ascii="Times New Roman" w:hAnsi="Times New Roman" w:cs="Times New Roman"/>
                <w:sz w:val="24"/>
                <w:szCs w:val="24"/>
              </w:rPr>
              <w:t>08:00 – 09:00</w:t>
            </w:r>
          </w:p>
        </w:tc>
        <w:tc>
          <w:tcPr>
            <w:tcW w:w="3005" w:type="dxa"/>
          </w:tcPr>
          <w:p w14:paraId="26F8AE7F" w14:textId="2D2D151C" w:rsidR="000832C9" w:rsidRPr="004D77CC" w:rsidRDefault="000832C9" w:rsidP="004D77CC">
            <w:pPr>
              <w:spacing w:line="360" w:lineRule="auto"/>
              <w:jc w:val="both"/>
              <w:rPr>
                <w:rFonts w:ascii="Times New Roman" w:hAnsi="Times New Roman" w:cs="Times New Roman"/>
                <w:sz w:val="24"/>
                <w:szCs w:val="24"/>
                <w:lang w:eastAsia="en-GB"/>
              </w:rPr>
            </w:pPr>
            <w:r w:rsidRPr="004D77CC">
              <w:rPr>
                <w:rFonts w:ascii="Times New Roman" w:hAnsi="Times New Roman" w:cs="Times New Roman"/>
                <w:sz w:val="24"/>
                <w:szCs w:val="24"/>
              </w:rPr>
              <w:t>Registration &amp; Welcome</w:t>
            </w:r>
          </w:p>
        </w:tc>
        <w:tc>
          <w:tcPr>
            <w:tcW w:w="3006" w:type="dxa"/>
          </w:tcPr>
          <w:p w14:paraId="2D4AF908" w14:textId="358FAF56" w:rsidR="000832C9" w:rsidRPr="004D77CC" w:rsidRDefault="000832C9" w:rsidP="004D77CC">
            <w:pPr>
              <w:spacing w:line="360" w:lineRule="auto"/>
              <w:jc w:val="both"/>
              <w:rPr>
                <w:rFonts w:ascii="Times New Roman" w:hAnsi="Times New Roman" w:cs="Times New Roman"/>
                <w:sz w:val="24"/>
                <w:szCs w:val="24"/>
                <w:lang w:eastAsia="en-GB"/>
              </w:rPr>
            </w:pPr>
            <w:r w:rsidRPr="004D77CC">
              <w:rPr>
                <w:rFonts w:ascii="Times New Roman" w:hAnsi="Times New Roman" w:cs="Times New Roman"/>
                <w:sz w:val="24"/>
                <w:szCs w:val="24"/>
              </w:rPr>
              <w:t>Delegates arrive, collect materials, and enjoy a light breakfast while initiating networking activities.</w:t>
            </w:r>
          </w:p>
        </w:tc>
      </w:tr>
      <w:tr w:rsidR="004D77CC" w:rsidRPr="004D77CC" w14:paraId="6A6ECF16" w14:textId="77777777" w:rsidTr="000832C9">
        <w:tc>
          <w:tcPr>
            <w:tcW w:w="3005" w:type="dxa"/>
          </w:tcPr>
          <w:p w14:paraId="346B1D52" w14:textId="644639C0" w:rsidR="000832C9" w:rsidRPr="004D77CC" w:rsidRDefault="000832C9" w:rsidP="004D77CC">
            <w:pPr>
              <w:spacing w:line="360" w:lineRule="auto"/>
              <w:jc w:val="both"/>
              <w:rPr>
                <w:rFonts w:ascii="Times New Roman" w:hAnsi="Times New Roman" w:cs="Times New Roman"/>
                <w:sz w:val="24"/>
                <w:szCs w:val="24"/>
                <w:lang w:eastAsia="en-GB"/>
              </w:rPr>
            </w:pPr>
            <w:r w:rsidRPr="004D77CC">
              <w:rPr>
                <w:rFonts w:ascii="Times New Roman" w:hAnsi="Times New Roman" w:cs="Times New Roman"/>
                <w:sz w:val="24"/>
                <w:szCs w:val="24"/>
              </w:rPr>
              <w:t>09:00 – 10:00</w:t>
            </w:r>
          </w:p>
        </w:tc>
        <w:tc>
          <w:tcPr>
            <w:tcW w:w="3005" w:type="dxa"/>
          </w:tcPr>
          <w:p w14:paraId="0C509FBE" w14:textId="75226DD6" w:rsidR="000832C9" w:rsidRPr="004D77CC" w:rsidRDefault="000832C9" w:rsidP="004D77CC">
            <w:pPr>
              <w:spacing w:line="360" w:lineRule="auto"/>
              <w:jc w:val="both"/>
              <w:rPr>
                <w:rFonts w:ascii="Times New Roman" w:hAnsi="Times New Roman" w:cs="Times New Roman"/>
                <w:sz w:val="24"/>
                <w:szCs w:val="24"/>
                <w:lang w:eastAsia="en-GB"/>
              </w:rPr>
            </w:pPr>
            <w:r w:rsidRPr="004D77CC">
              <w:rPr>
                <w:rFonts w:ascii="Times New Roman" w:hAnsi="Times New Roman" w:cs="Times New Roman"/>
                <w:sz w:val="24"/>
                <w:szCs w:val="24"/>
              </w:rPr>
              <w:t>Opening Keynote</w:t>
            </w:r>
          </w:p>
        </w:tc>
        <w:tc>
          <w:tcPr>
            <w:tcW w:w="3006" w:type="dxa"/>
          </w:tcPr>
          <w:p w14:paraId="0C0D0468" w14:textId="44DCAAF2" w:rsidR="000832C9" w:rsidRPr="004D77CC" w:rsidRDefault="000832C9" w:rsidP="004D77CC">
            <w:pPr>
              <w:spacing w:line="360" w:lineRule="auto"/>
              <w:jc w:val="both"/>
              <w:rPr>
                <w:rFonts w:ascii="Times New Roman" w:hAnsi="Times New Roman" w:cs="Times New Roman"/>
                <w:sz w:val="24"/>
                <w:szCs w:val="24"/>
                <w:lang w:eastAsia="en-GB"/>
              </w:rPr>
            </w:pPr>
            <w:r w:rsidRPr="004D77CC">
              <w:rPr>
                <w:rFonts w:ascii="Times New Roman" w:hAnsi="Times New Roman" w:cs="Times New Roman"/>
                <w:sz w:val="24"/>
                <w:szCs w:val="24"/>
              </w:rPr>
              <w:t>Influential leader introduces global inclusion trends, highlighting the business case for diversity and the urgency of inclusive policies.</w:t>
            </w:r>
          </w:p>
        </w:tc>
      </w:tr>
      <w:tr w:rsidR="004D77CC" w:rsidRPr="004D77CC" w14:paraId="35AA9967" w14:textId="77777777" w:rsidTr="000832C9">
        <w:tc>
          <w:tcPr>
            <w:tcW w:w="3005" w:type="dxa"/>
          </w:tcPr>
          <w:p w14:paraId="380B7FDF" w14:textId="6096D7A9" w:rsidR="000832C9" w:rsidRPr="004D77CC" w:rsidRDefault="000832C9" w:rsidP="004D77CC">
            <w:pPr>
              <w:spacing w:line="360" w:lineRule="auto"/>
              <w:jc w:val="both"/>
              <w:rPr>
                <w:rFonts w:ascii="Times New Roman" w:hAnsi="Times New Roman" w:cs="Times New Roman"/>
                <w:sz w:val="24"/>
                <w:szCs w:val="24"/>
                <w:lang w:eastAsia="en-GB"/>
              </w:rPr>
            </w:pPr>
            <w:r w:rsidRPr="004D77CC">
              <w:rPr>
                <w:rFonts w:ascii="Times New Roman" w:hAnsi="Times New Roman" w:cs="Times New Roman"/>
                <w:sz w:val="24"/>
                <w:szCs w:val="24"/>
              </w:rPr>
              <w:t>10:15 – 11:15</w:t>
            </w:r>
          </w:p>
        </w:tc>
        <w:tc>
          <w:tcPr>
            <w:tcW w:w="3005" w:type="dxa"/>
          </w:tcPr>
          <w:p w14:paraId="2C3551AC" w14:textId="15DC4EC1" w:rsidR="000832C9" w:rsidRPr="004D77CC" w:rsidRDefault="000832C9" w:rsidP="004D77CC">
            <w:pPr>
              <w:spacing w:line="360" w:lineRule="auto"/>
              <w:jc w:val="both"/>
              <w:rPr>
                <w:rFonts w:ascii="Times New Roman" w:hAnsi="Times New Roman" w:cs="Times New Roman"/>
                <w:sz w:val="24"/>
                <w:szCs w:val="24"/>
                <w:lang w:eastAsia="en-GB"/>
              </w:rPr>
            </w:pPr>
            <w:r w:rsidRPr="004D77CC">
              <w:rPr>
                <w:rFonts w:ascii="Times New Roman" w:hAnsi="Times New Roman" w:cs="Times New Roman"/>
                <w:sz w:val="24"/>
                <w:szCs w:val="24"/>
              </w:rPr>
              <w:t>Panel Discussion</w:t>
            </w:r>
          </w:p>
        </w:tc>
        <w:tc>
          <w:tcPr>
            <w:tcW w:w="3006" w:type="dxa"/>
          </w:tcPr>
          <w:p w14:paraId="148B0E27" w14:textId="3FC60C38" w:rsidR="000832C9" w:rsidRPr="004D77CC" w:rsidRDefault="000832C9" w:rsidP="004D77CC">
            <w:pPr>
              <w:spacing w:line="360" w:lineRule="auto"/>
              <w:jc w:val="both"/>
              <w:rPr>
                <w:rFonts w:ascii="Times New Roman" w:hAnsi="Times New Roman" w:cs="Times New Roman"/>
                <w:sz w:val="24"/>
                <w:szCs w:val="24"/>
                <w:lang w:eastAsia="en-GB"/>
              </w:rPr>
            </w:pPr>
            <w:r w:rsidRPr="004D77CC">
              <w:rPr>
                <w:rFonts w:ascii="Times New Roman" w:hAnsi="Times New Roman" w:cs="Times New Roman"/>
                <w:sz w:val="24"/>
                <w:szCs w:val="24"/>
              </w:rPr>
              <w:t>Senior executives from multinational firms share practical approaches to recruitment, mentorship, and intersectional inclusivity.</w:t>
            </w:r>
          </w:p>
        </w:tc>
      </w:tr>
      <w:tr w:rsidR="004D77CC" w:rsidRPr="004D77CC" w14:paraId="3DB1FEB0" w14:textId="77777777" w:rsidTr="000832C9">
        <w:tc>
          <w:tcPr>
            <w:tcW w:w="3005" w:type="dxa"/>
          </w:tcPr>
          <w:p w14:paraId="6CCBD6D6" w14:textId="2BCF8C79" w:rsidR="000832C9" w:rsidRPr="004D77CC" w:rsidRDefault="000832C9" w:rsidP="004D77CC">
            <w:pPr>
              <w:spacing w:line="360" w:lineRule="auto"/>
              <w:jc w:val="both"/>
              <w:rPr>
                <w:rFonts w:ascii="Times New Roman" w:hAnsi="Times New Roman" w:cs="Times New Roman"/>
                <w:sz w:val="24"/>
                <w:szCs w:val="24"/>
                <w:lang w:eastAsia="en-GB"/>
              </w:rPr>
            </w:pPr>
            <w:r w:rsidRPr="004D77CC">
              <w:rPr>
                <w:rFonts w:ascii="Times New Roman" w:hAnsi="Times New Roman" w:cs="Times New Roman"/>
                <w:sz w:val="24"/>
                <w:szCs w:val="24"/>
              </w:rPr>
              <w:t>11:30 – 12:30</w:t>
            </w:r>
          </w:p>
        </w:tc>
        <w:tc>
          <w:tcPr>
            <w:tcW w:w="3005" w:type="dxa"/>
          </w:tcPr>
          <w:p w14:paraId="62FDC873" w14:textId="544CC669" w:rsidR="000832C9" w:rsidRPr="004D77CC" w:rsidRDefault="000832C9" w:rsidP="004D77CC">
            <w:pPr>
              <w:spacing w:line="360" w:lineRule="auto"/>
              <w:jc w:val="both"/>
              <w:rPr>
                <w:rFonts w:ascii="Times New Roman" w:hAnsi="Times New Roman" w:cs="Times New Roman"/>
                <w:sz w:val="24"/>
                <w:szCs w:val="24"/>
                <w:lang w:eastAsia="en-GB"/>
              </w:rPr>
            </w:pPr>
            <w:r w:rsidRPr="004D77CC">
              <w:rPr>
                <w:rFonts w:ascii="Times New Roman" w:hAnsi="Times New Roman" w:cs="Times New Roman"/>
                <w:sz w:val="24"/>
                <w:szCs w:val="24"/>
              </w:rPr>
              <w:t>Breakout Sessions</w:t>
            </w:r>
          </w:p>
        </w:tc>
        <w:tc>
          <w:tcPr>
            <w:tcW w:w="3006" w:type="dxa"/>
          </w:tcPr>
          <w:p w14:paraId="3CFFD598" w14:textId="20649CC9" w:rsidR="000832C9" w:rsidRPr="004D77CC" w:rsidRDefault="000832C9" w:rsidP="004D77CC">
            <w:pPr>
              <w:spacing w:line="360" w:lineRule="auto"/>
              <w:jc w:val="both"/>
              <w:rPr>
                <w:rFonts w:ascii="Times New Roman" w:hAnsi="Times New Roman" w:cs="Times New Roman"/>
                <w:sz w:val="24"/>
                <w:szCs w:val="24"/>
                <w:lang w:eastAsia="en-GB"/>
              </w:rPr>
            </w:pPr>
            <w:r w:rsidRPr="004D77CC">
              <w:rPr>
                <w:rFonts w:ascii="Times New Roman" w:hAnsi="Times New Roman" w:cs="Times New Roman"/>
                <w:sz w:val="24"/>
                <w:szCs w:val="24"/>
              </w:rPr>
              <w:t>Facilitators lead discussions on subtopics such as gender leadership, neurodiversity, and generational collaboration, allowing participants to delve deeper.</w:t>
            </w:r>
          </w:p>
        </w:tc>
      </w:tr>
      <w:tr w:rsidR="004D77CC" w:rsidRPr="004D77CC" w14:paraId="24962A57" w14:textId="77777777" w:rsidTr="000832C9">
        <w:tc>
          <w:tcPr>
            <w:tcW w:w="3005" w:type="dxa"/>
          </w:tcPr>
          <w:p w14:paraId="708470F0" w14:textId="4EDFA169" w:rsidR="000832C9" w:rsidRPr="004D77CC" w:rsidRDefault="000832C9" w:rsidP="004D77CC">
            <w:pPr>
              <w:spacing w:line="360" w:lineRule="auto"/>
              <w:jc w:val="both"/>
              <w:rPr>
                <w:rFonts w:ascii="Times New Roman" w:hAnsi="Times New Roman" w:cs="Times New Roman"/>
                <w:sz w:val="24"/>
                <w:szCs w:val="24"/>
                <w:lang w:eastAsia="en-GB"/>
              </w:rPr>
            </w:pPr>
            <w:r w:rsidRPr="004D77CC">
              <w:rPr>
                <w:rFonts w:ascii="Times New Roman" w:hAnsi="Times New Roman" w:cs="Times New Roman"/>
                <w:sz w:val="24"/>
                <w:szCs w:val="24"/>
              </w:rPr>
              <w:t>12:30 – 13:30</w:t>
            </w:r>
          </w:p>
        </w:tc>
        <w:tc>
          <w:tcPr>
            <w:tcW w:w="3005" w:type="dxa"/>
          </w:tcPr>
          <w:p w14:paraId="23EDA093" w14:textId="7440238A" w:rsidR="000832C9" w:rsidRPr="004D77CC" w:rsidRDefault="000832C9" w:rsidP="004D77CC">
            <w:pPr>
              <w:spacing w:line="360" w:lineRule="auto"/>
              <w:jc w:val="both"/>
              <w:rPr>
                <w:rFonts w:ascii="Times New Roman" w:hAnsi="Times New Roman" w:cs="Times New Roman"/>
                <w:sz w:val="24"/>
                <w:szCs w:val="24"/>
                <w:lang w:eastAsia="en-GB"/>
              </w:rPr>
            </w:pPr>
            <w:r w:rsidRPr="004D77CC">
              <w:rPr>
                <w:rFonts w:ascii="Times New Roman" w:hAnsi="Times New Roman" w:cs="Times New Roman"/>
                <w:sz w:val="24"/>
                <w:szCs w:val="24"/>
              </w:rPr>
              <w:t>Networking Lunch</w:t>
            </w:r>
          </w:p>
        </w:tc>
        <w:tc>
          <w:tcPr>
            <w:tcW w:w="3006" w:type="dxa"/>
          </w:tcPr>
          <w:p w14:paraId="6E35E4C4" w14:textId="5BA062A3" w:rsidR="000832C9" w:rsidRPr="004D77CC" w:rsidRDefault="000832C9" w:rsidP="004D77CC">
            <w:pPr>
              <w:spacing w:line="360" w:lineRule="auto"/>
              <w:jc w:val="both"/>
              <w:rPr>
                <w:rFonts w:ascii="Times New Roman" w:hAnsi="Times New Roman" w:cs="Times New Roman"/>
                <w:sz w:val="24"/>
                <w:szCs w:val="24"/>
                <w:lang w:eastAsia="en-GB"/>
              </w:rPr>
            </w:pPr>
            <w:r w:rsidRPr="004D77CC">
              <w:rPr>
                <w:rFonts w:ascii="Times New Roman" w:hAnsi="Times New Roman" w:cs="Times New Roman"/>
                <w:sz w:val="24"/>
                <w:szCs w:val="24"/>
              </w:rPr>
              <w:t xml:space="preserve">Attendees connect with </w:t>
            </w:r>
            <w:proofErr w:type="spellStart"/>
            <w:r w:rsidRPr="004D77CC">
              <w:rPr>
                <w:rFonts w:ascii="Times New Roman" w:hAnsi="Times New Roman" w:cs="Times New Roman"/>
                <w:sz w:val="24"/>
                <w:szCs w:val="24"/>
              </w:rPr>
              <w:t>panelists</w:t>
            </w:r>
            <w:proofErr w:type="spellEnd"/>
            <w:r w:rsidRPr="004D77CC">
              <w:rPr>
                <w:rFonts w:ascii="Times New Roman" w:hAnsi="Times New Roman" w:cs="Times New Roman"/>
                <w:sz w:val="24"/>
                <w:szCs w:val="24"/>
              </w:rPr>
              <w:t xml:space="preserve"> and peers in an informal setting to forge professional relationships and explore shared interests.</w:t>
            </w:r>
          </w:p>
        </w:tc>
      </w:tr>
      <w:tr w:rsidR="004D77CC" w:rsidRPr="004D77CC" w14:paraId="3335F35D" w14:textId="77777777" w:rsidTr="000832C9">
        <w:tc>
          <w:tcPr>
            <w:tcW w:w="3005" w:type="dxa"/>
          </w:tcPr>
          <w:p w14:paraId="2FE31E41" w14:textId="32F4EAA5" w:rsidR="000832C9" w:rsidRPr="004D77CC" w:rsidRDefault="000832C9" w:rsidP="004D77CC">
            <w:pPr>
              <w:spacing w:line="360" w:lineRule="auto"/>
              <w:jc w:val="both"/>
              <w:rPr>
                <w:rFonts w:ascii="Times New Roman" w:hAnsi="Times New Roman" w:cs="Times New Roman"/>
                <w:sz w:val="24"/>
                <w:szCs w:val="24"/>
                <w:lang w:eastAsia="en-GB"/>
              </w:rPr>
            </w:pPr>
            <w:r w:rsidRPr="004D77CC">
              <w:rPr>
                <w:rFonts w:ascii="Times New Roman" w:hAnsi="Times New Roman" w:cs="Times New Roman"/>
                <w:sz w:val="24"/>
                <w:szCs w:val="24"/>
              </w:rPr>
              <w:t>13:30 – 15:00</w:t>
            </w:r>
          </w:p>
        </w:tc>
        <w:tc>
          <w:tcPr>
            <w:tcW w:w="3005" w:type="dxa"/>
          </w:tcPr>
          <w:p w14:paraId="370C6481" w14:textId="78DA9733" w:rsidR="000832C9" w:rsidRPr="004D77CC" w:rsidRDefault="000832C9" w:rsidP="004D77CC">
            <w:pPr>
              <w:spacing w:line="360" w:lineRule="auto"/>
              <w:jc w:val="both"/>
              <w:rPr>
                <w:rFonts w:ascii="Times New Roman" w:hAnsi="Times New Roman" w:cs="Times New Roman"/>
                <w:sz w:val="24"/>
                <w:szCs w:val="24"/>
                <w:lang w:eastAsia="en-GB"/>
              </w:rPr>
            </w:pPr>
            <w:r w:rsidRPr="004D77CC">
              <w:rPr>
                <w:rFonts w:ascii="Times New Roman" w:hAnsi="Times New Roman" w:cs="Times New Roman"/>
                <w:sz w:val="24"/>
                <w:szCs w:val="24"/>
              </w:rPr>
              <w:t>Afternoon Workshops</w:t>
            </w:r>
          </w:p>
        </w:tc>
        <w:tc>
          <w:tcPr>
            <w:tcW w:w="3006" w:type="dxa"/>
          </w:tcPr>
          <w:p w14:paraId="717867E0" w14:textId="74E788DE" w:rsidR="000832C9" w:rsidRPr="004D77CC" w:rsidRDefault="000832C9" w:rsidP="004D77CC">
            <w:pPr>
              <w:spacing w:line="360" w:lineRule="auto"/>
              <w:jc w:val="both"/>
              <w:rPr>
                <w:rFonts w:ascii="Times New Roman" w:hAnsi="Times New Roman" w:cs="Times New Roman"/>
                <w:sz w:val="24"/>
                <w:szCs w:val="24"/>
                <w:lang w:eastAsia="en-GB"/>
              </w:rPr>
            </w:pPr>
            <w:r w:rsidRPr="004D77CC">
              <w:rPr>
                <w:rFonts w:ascii="Times New Roman" w:hAnsi="Times New Roman" w:cs="Times New Roman"/>
                <w:sz w:val="24"/>
                <w:szCs w:val="24"/>
              </w:rPr>
              <w:t>Subject-matter experts provide hands-on training in measuring inclusivity metrics, launching cultural initiatives, and attracting diverse talent.</w:t>
            </w:r>
          </w:p>
        </w:tc>
      </w:tr>
      <w:tr w:rsidR="004D77CC" w:rsidRPr="004D77CC" w14:paraId="353F9524" w14:textId="77777777" w:rsidTr="000832C9">
        <w:tc>
          <w:tcPr>
            <w:tcW w:w="3005" w:type="dxa"/>
          </w:tcPr>
          <w:p w14:paraId="37C5FB58" w14:textId="717AAAE6" w:rsidR="000832C9" w:rsidRPr="004D77CC" w:rsidRDefault="000832C9" w:rsidP="004D77CC">
            <w:pPr>
              <w:spacing w:line="360" w:lineRule="auto"/>
              <w:jc w:val="both"/>
              <w:rPr>
                <w:rFonts w:ascii="Times New Roman" w:hAnsi="Times New Roman" w:cs="Times New Roman"/>
                <w:sz w:val="24"/>
                <w:szCs w:val="24"/>
                <w:lang w:eastAsia="en-GB"/>
              </w:rPr>
            </w:pPr>
            <w:r w:rsidRPr="004D77CC">
              <w:rPr>
                <w:rFonts w:ascii="Times New Roman" w:hAnsi="Times New Roman" w:cs="Times New Roman"/>
                <w:sz w:val="24"/>
                <w:szCs w:val="24"/>
              </w:rPr>
              <w:t>15:15 – 16:15</w:t>
            </w:r>
          </w:p>
        </w:tc>
        <w:tc>
          <w:tcPr>
            <w:tcW w:w="3005" w:type="dxa"/>
          </w:tcPr>
          <w:p w14:paraId="41484087" w14:textId="09FB3C4F" w:rsidR="000832C9" w:rsidRPr="004D77CC" w:rsidRDefault="000832C9" w:rsidP="004D77CC">
            <w:pPr>
              <w:spacing w:line="360" w:lineRule="auto"/>
              <w:jc w:val="both"/>
              <w:rPr>
                <w:rFonts w:ascii="Times New Roman" w:hAnsi="Times New Roman" w:cs="Times New Roman"/>
                <w:sz w:val="24"/>
                <w:szCs w:val="24"/>
                <w:lang w:eastAsia="en-GB"/>
              </w:rPr>
            </w:pPr>
            <w:r w:rsidRPr="004D77CC">
              <w:rPr>
                <w:rFonts w:ascii="Times New Roman" w:hAnsi="Times New Roman" w:cs="Times New Roman"/>
                <w:sz w:val="24"/>
                <w:szCs w:val="24"/>
              </w:rPr>
              <w:t>Closing Plenary</w:t>
            </w:r>
          </w:p>
        </w:tc>
        <w:tc>
          <w:tcPr>
            <w:tcW w:w="3006" w:type="dxa"/>
          </w:tcPr>
          <w:p w14:paraId="0BE0418E" w14:textId="064554D5" w:rsidR="000832C9" w:rsidRPr="004D77CC" w:rsidRDefault="000832C9" w:rsidP="004D77CC">
            <w:pPr>
              <w:spacing w:line="360" w:lineRule="auto"/>
              <w:jc w:val="both"/>
              <w:rPr>
                <w:rFonts w:ascii="Times New Roman" w:hAnsi="Times New Roman" w:cs="Times New Roman"/>
                <w:sz w:val="24"/>
                <w:szCs w:val="24"/>
                <w:lang w:eastAsia="en-GB"/>
              </w:rPr>
            </w:pPr>
            <w:r w:rsidRPr="004D77CC">
              <w:rPr>
                <w:rFonts w:ascii="Times New Roman" w:hAnsi="Times New Roman" w:cs="Times New Roman"/>
                <w:sz w:val="24"/>
                <w:szCs w:val="24"/>
              </w:rPr>
              <w:t>A notable speaker summarizes key learnings, emphasizing the importance of immediate implementation and sustainable action.</w:t>
            </w:r>
          </w:p>
        </w:tc>
      </w:tr>
      <w:tr w:rsidR="004D77CC" w:rsidRPr="004D77CC" w14:paraId="1EA8EDF3" w14:textId="77777777" w:rsidTr="000832C9">
        <w:tc>
          <w:tcPr>
            <w:tcW w:w="3005" w:type="dxa"/>
          </w:tcPr>
          <w:p w14:paraId="0ABC9BCA" w14:textId="2CD41059" w:rsidR="000832C9" w:rsidRPr="004D77CC" w:rsidRDefault="000832C9" w:rsidP="004D77CC">
            <w:pPr>
              <w:spacing w:line="360" w:lineRule="auto"/>
              <w:jc w:val="both"/>
              <w:rPr>
                <w:rFonts w:ascii="Times New Roman" w:hAnsi="Times New Roman" w:cs="Times New Roman"/>
                <w:sz w:val="24"/>
                <w:szCs w:val="24"/>
                <w:lang w:eastAsia="en-GB"/>
              </w:rPr>
            </w:pPr>
            <w:r w:rsidRPr="004D77CC">
              <w:rPr>
                <w:rFonts w:ascii="Times New Roman" w:hAnsi="Times New Roman" w:cs="Times New Roman"/>
                <w:sz w:val="24"/>
                <w:szCs w:val="24"/>
              </w:rPr>
              <w:t>16:30 – 17:30</w:t>
            </w:r>
          </w:p>
        </w:tc>
        <w:tc>
          <w:tcPr>
            <w:tcW w:w="3005" w:type="dxa"/>
          </w:tcPr>
          <w:p w14:paraId="00B13EB9" w14:textId="5E83FD2C" w:rsidR="000832C9" w:rsidRPr="004D77CC" w:rsidRDefault="000832C9" w:rsidP="004D77CC">
            <w:pPr>
              <w:spacing w:line="360" w:lineRule="auto"/>
              <w:jc w:val="both"/>
              <w:rPr>
                <w:rFonts w:ascii="Times New Roman" w:hAnsi="Times New Roman" w:cs="Times New Roman"/>
                <w:sz w:val="24"/>
                <w:szCs w:val="24"/>
                <w:lang w:eastAsia="en-GB"/>
              </w:rPr>
            </w:pPr>
            <w:r w:rsidRPr="004D77CC">
              <w:rPr>
                <w:rFonts w:ascii="Times New Roman" w:hAnsi="Times New Roman" w:cs="Times New Roman"/>
                <w:sz w:val="24"/>
                <w:szCs w:val="24"/>
              </w:rPr>
              <w:t>Networking &amp; Exhibition</w:t>
            </w:r>
          </w:p>
        </w:tc>
        <w:tc>
          <w:tcPr>
            <w:tcW w:w="3006" w:type="dxa"/>
          </w:tcPr>
          <w:p w14:paraId="2ABFE460" w14:textId="08946ED5" w:rsidR="000832C9" w:rsidRPr="004D77CC" w:rsidRDefault="000832C9" w:rsidP="004D77CC">
            <w:pPr>
              <w:spacing w:line="360" w:lineRule="auto"/>
              <w:jc w:val="both"/>
              <w:rPr>
                <w:rFonts w:ascii="Times New Roman" w:hAnsi="Times New Roman" w:cs="Times New Roman"/>
                <w:sz w:val="24"/>
                <w:szCs w:val="24"/>
                <w:lang w:eastAsia="en-GB"/>
              </w:rPr>
            </w:pPr>
            <w:r w:rsidRPr="004D77CC">
              <w:rPr>
                <w:rFonts w:ascii="Times New Roman" w:hAnsi="Times New Roman" w:cs="Times New Roman"/>
                <w:sz w:val="24"/>
                <w:szCs w:val="24"/>
              </w:rPr>
              <w:t>Delegates visit exhibitor booths to discover inclusive solutions, converse with sponsors, and extend networking beyond the formal sessions.</w:t>
            </w:r>
          </w:p>
        </w:tc>
      </w:tr>
    </w:tbl>
    <w:p w14:paraId="0F735D06" w14:textId="77777777" w:rsidR="000832C9" w:rsidRPr="004D77CC" w:rsidRDefault="000832C9" w:rsidP="004D77CC">
      <w:pPr>
        <w:spacing w:line="360" w:lineRule="auto"/>
        <w:jc w:val="both"/>
        <w:rPr>
          <w:rFonts w:ascii="Times New Roman" w:hAnsi="Times New Roman" w:cs="Times New Roman"/>
          <w:sz w:val="24"/>
          <w:szCs w:val="24"/>
          <w:lang w:eastAsia="en-GB"/>
        </w:rPr>
      </w:pPr>
    </w:p>
    <w:p w14:paraId="2E839E0D" w14:textId="774342FC" w:rsidR="000832C9" w:rsidRPr="004D77CC" w:rsidRDefault="000832C9" w:rsidP="004D77CC">
      <w:pPr>
        <w:pStyle w:val="EU"/>
        <w:spacing w:line="360" w:lineRule="auto"/>
        <w:rPr>
          <w:rFonts w:ascii="Times New Roman" w:hAnsi="Times New Roman" w:cs="Times New Roman"/>
          <w:color w:val="auto"/>
        </w:rPr>
      </w:pPr>
      <w:bookmarkStart w:id="3" w:name="_Toc191678553"/>
      <w:r w:rsidRPr="004D77CC">
        <w:rPr>
          <w:rFonts w:ascii="Times New Roman" w:hAnsi="Times New Roman" w:cs="Times New Roman"/>
          <w:color w:val="auto"/>
        </w:rPr>
        <w:t>Aim and objectives</w:t>
      </w:r>
      <w:bookmarkEnd w:id="3"/>
      <w:r w:rsidRPr="004D77CC">
        <w:rPr>
          <w:rFonts w:ascii="Times New Roman" w:hAnsi="Times New Roman" w:cs="Times New Roman"/>
          <w:color w:val="auto"/>
        </w:rPr>
        <w:t xml:space="preserve"> </w:t>
      </w:r>
    </w:p>
    <w:p w14:paraId="62DB1605" w14:textId="570ECED2" w:rsidR="000832C9" w:rsidRPr="004D77CC" w:rsidRDefault="000832C9" w:rsidP="004D77CC">
      <w:pPr>
        <w:spacing w:line="360" w:lineRule="auto"/>
        <w:jc w:val="both"/>
        <w:rPr>
          <w:rFonts w:ascii="Times New Roman" w:hAnsi="Times New Roman" w:cs="Times New Roman"/>
          <w:sz w:val="24"/>
          <w:szCs w:val="24"/>
          <w:lang w:eastAsia="en-GB"/>
        </w:rPr>
      </w:pPr>
      <w:r w:rsidRPr="004D77CC">
        <w:rPr>
          <w:rFonts w:ascii="Times New Roman" w:hAnsi="Times New Roman" w:cs="Times New Roman"/>
          <w:sz w:val="24"/>
          <w:szCs w:val="24"/>
          <w:lang w:eastAsia="en-GB"/>
        </w:rPr>
        <w:t>Inspiring delegates to implement inclusive policies in their own organisations is the overarching goal of this conference, which aims to promote a better knowledge of EDI across different sectors. In order to do this, four separate but connected goals are set. To begin, we will showcase three recorded case studies to increase delegates' understanding of worldwide EDI practices. Our goal is to have 90% of participants state that they gained more knowledge in the post-event questionnaires (Fox et al., 2014). Additionally, two interactive workshops will be organised to increase skills. Each workshop will provide at least fifty participants with the knowledge and tools needed to monitor and promote workplace inclusion programs (Rogers and Wynn-Moylan, 2022). Finally, a structured networking session will be organised to promote cooperation across sectors. It is expected that 75% of participants will make important professional contacts, as measured by digital engagement metrics (Getz and Page, 2019). With the goal of 100 registrations within two weeks, the event will promote long-term effect by developing a follow-up online community that will foster discussions on inclusive practices (Smith, 2012). Taken as a whole, these goals highlight the idea that a good conference should do more than just provide academic understanding; it should also facilitate practical application for real, long-term results (O'Toole, 2011).</w:t>
      </w:r>
    </w:p>
    <w:p w14:paraId="1BA9973A" w14:textId="6DBD7FD3" w:rsidR="000832C9" w:rsidRPr="004D77CC" w:rsidRDefault="0042546A" w:rsidP="004D77CC">
      <w:pPr>
        <w:pStyle w:val="EU"/>
        <w:spacing w:line="360" w:lineRule="auto"/>
        <w:rPr>
          <w:rFonts w:ascii="Times New Roman" w:hAnsi="Times New Roman" w:cs="Times New Roman"/>
          <w:color w:val="auto"/>
        </w:rPr>
      </w:pPr>
      <w:bookmarkStart w:id="4" w:name="_Toc191678554"/>
      <w:r w:rsidRPr="004D77CC">
        <w:rPr>
          <w:rFonts w:ascii="Times New Roman" w:hAnsi="Times New Roman" w:cs="Times New Roman"/>
          <w:color w:val="auto"/>
        </w:rPr>
        <w:t>Event management</w:t>
      </w:r>
      <w:bookmarkEnd w:id="4"/>
      <w:r w:rsidRPr="004D77CC">
        <w:rPr>
          <w:rFonts w:ascii="Times New Roman" w:hAnsi="Times New Roman" w:cs="Times New Roman"/>
          <w:color w:val="auto"/>
        </w:rPr>
        <w:t xml:space="preserve"> </w:t>
      </w:r>
    </w:p>
    <w:p w14:paraId="12AD5C11" w14:textId="04A09258" w:rsidR="0042546A" w:rsidRPr="004D77CC" w:rsidRDefault="0042546A" w:rsidP="004D77CC">
      <w:pPr>
        <w:spacing w:line="360" w:lineRule="auto"/>
        <w:jc w:val="both"/>
        <w:rPr>
          <w:rFonts w:ascii="Times New Roman" w:hAnsi="Times New Roman" w:cs="Times New Roman"/>
          <w:sz w:val="24"/>
          <w:szCs w:val="24"/>
          <w:lang w:eastAsia="en-GB"/>
        </w:rPr>
      </w:pPr>
      <w:r w:rsidRPr="004D77CC">
        <w:rPr>
          <w:rFonts w:ascii="Times New Roman" w:hAnsi="Times New Roman" w:cs="Times New Roman"/>
          <w:sz w:val="24"/>
          <w:szCs w:val="24"/>
          <w:lang w:eastAsia="en-GB"/>
        </w:rPr>
        <w:t>Competencies in project management, marketing, cross-cultural communication, and virtual or hybrid technologies are essential for the effective delivery of international meetings (Rogers and Wynn-Moylan, 2022). Such intricacy necessitates a planning crew that can keep an eye on the budget, negotiate contracts, and position the brand, all while building strong relationships with stakeholders and showing they can solve problems on the fly when things go wrong on the big day, like technical difficulties or scheduling conflicts (Meredith, 2022). In order to allocate resources effectively, a well-structured staffing model is necessary. This model should include a project lead or event manager who is in charge of budgeting and strategic planning, as well as an operations coordinator who is in charge of venue logistics and provides on-site supervision (</w:t>
      </w:r>
      <w:r w:rsidR="004D77CC" w:rsidRPr="004D77CC">
        <w:rPr>
          <w:rFonts w:ascii="Times New Roman" w:hAnsi="Times New Roman" w:cs="Times New Roman"/>
          <w:sz w:val="24"/>
          <w:szCs w:val="24"/>
          <w:lang w:eastAsia="en-GB"/>
        </w:rPr>
        <w:t>Shone and Parry, 2019</w:t>
      </w:r>
      <w:r w:rsidRPr="004D77CC">
        <w:rPr>
          <w:rFonts w:ascii="Times New Roman" w:hAnsi="Times New Roman" w:cs="Times New Roman"/>
          <w:sz w:val="24"/>
          <w:szCs w:val="24"/>
          <w:lang w:eastAsia="en-GB"/>
        </w:rPr>
        <w:t>). A devoted speakers and content curation lead makes sure that the keynote speeches, panel discussions, and workshop sessions are in line with the equality, diversity, and inclusion (EDI) goals, while the marketing and communications team makes promotional materials and communicates with the media (Dredge et al., 2013). Registration, attendance advice, and problem solving are all areas that benefit from the extra hand of volunteers. According to research by Getz and Page (2019) and Rogers and Wynn-Moylan (2022), early marketing campaigns and partnerships with EDI-focused organisations help establish a clear brand message. As part of vendor management, services such as audiovisual, translation, and hospitality are often coordinated, taking cultural preferences for an international audience into account. To handle interruptions like travel limitations or technological difficulties, it is crucial to have risk management mechanisms in place, such as alternate speakers, remote presentation choices, and accommodating refund procedures (Bladen et al., 2022). O'Toole (2011) states that important milestones like as securing the venue, confirming speakers, and initiating ticket sales should be addressed in a meticulously organised calendar that begins six to nine months in advance. While the event is happening, the management team may make quick adjustments based on real-time data including registration numbers, workshop attendance, and participant comments. After the event, they can use the survey results to inform future changes (Getz and Page, 2019). Most importantly, this well-rounded method of operational accuracy and strategic EDI alignment boosts the event's legitimacy, which in turn guarantees both short-term gratification for delegates and longer-term effects on the industry (Smith, 2012).</w:t>
      </w:r>
    </w:p>
    <w:p w14:paraId="19207B2E" w14:textId="305239C9" w:rsidR="0042546A" w:rsidRPr="004D77CC" w:rsidRDefault="0042546A" w:rsidP="004D77CC">
      <w:pPr>
        <w:pStyle w:val="EU"/>
        <w:spacing w:line="360" w:lineRule="auto"/>
        <w:rPr>
          <w:rFonts w:ascii="Times New Roman" w:hAnsi="Times New Roman" w:cs="Times New Roman"/>
          <w:color w:val="auto"/>
        </w:rPr>
      </w:pPr>
      <w:bookmarkStart w:id="5" w:name="_Toc191678555"/>
      <w:r w:rsidRPr="004D77CC">
        <w:rPr>
          <w:rFonts w:ascii="Times New Roman" w:hAnsi="Times New Roman" w:cs="Times New Roman"/>
          <w:color w:val="auto"/>
        </w:rPr>
        <w:t>Event Budget</w:t>
      </w:r>
      <w:bookmarkEnd w:id="5"/>
    </w:p>
    <w:tbl>
      <w:tblPr>
        <w:tblStyle w:val="TableGrid"/>
        <w:tblW w:w="0" w:type="auto"/>
        <w:tblLook w:val="04A0" w:firstRow="1" w:lastRow="0" w:firstColumn="1" w:lastColumn="0" w:noHBand="0" w:noVBand="1"/>
      </w:tblPr>
      <w:tblGrid>
        <w:gridCol w:w="4508"/>
        <w:gridCol w:w="4508"/>
      </w:tblGrid>
      <w:tr w:rsidR="004D77CC" w:rsidRPr="004D77CC" w14:paraId="7BA28035" w14:textId="77777777" w:rsidTr="0042546A">
        <w:tc>
          <w:tcPr>
            <w:tcW w:w="4508" w:type="dxa"/>
          </w:tcPr>
          <w:p w14:paraId="08204542" w14:textId="2C66791C" w:rsidR="0042546A" w:rsidRPr="004D77CC" w:rsidRDefault="0042546A" w:rsidP="004D77CC">
            <w:pPr>
              <w:spacing w:line="360" w:lineRule="auto"/>
              <w:jc w:val="both"/>
              <w:rPr>
                <w:rFonts w:ascii="Times New Roman" w:hAnsi="Times New Roman" w:cs="Times New Roman"/>
                <w:sz w:val="24"/>
                <w:szCs w:val="24"/>
                <w:lang w:eastAsia="en-GB"/>
              </w:rPr>
            </w:pPr>
            <w:r w:rsidRPr="004D77CC">
              <w:rPr>
                <w:rFonts w:ascii="Times New Roman" w:hAnsi="Times New Roman" w:cs="Times New Roman"/>
                <w:sz w:val="24"/>
                <w:szCs w:val="24"/>
              </w:rPr>
              <w:t>Income</w:t>
            </w:r>
          </w:p>
        </w:tc>
        <w:tc>
          <w:tcPr>
            <w:tcW w:w="4508" w:type="dxa"/>
          </w:tcPr>
          <w:p w14:paraId="590DA5E7" w14:textId="7240FFCF" w:rsidR="0042546A" w:rsidRPr="004D77CC" w:rsidRDefault="0042546A" w:rsidP="004D77CC">
            <w:pPr>
              <w:spacing w:line="360" w:lineRule="auto"/>
              <w:jc w:val="both"/>
              <w:rPr>
                <w:rFonts w:ascii="Times New Roman" w:hAnsi="Times New Roman" w:cs="Times New Roman"/>
                <w:sz w:val="24"/>
                <w:szCs w:val="24"/>
                <w:lang w:eastAsia="en-GB"/>
              </w:rPr>
            </w:pPr>
            <w:r w:rsidRPr="004D77CC">
              <w:rPr>
                <w:rFonts w:ascii="Times New Roman" w:hAnsi="Times New Roman" w:cs="Times New Roman"/>
                <w:sz w:val="24"/>
                <w:szCs w:val="24"/>
              </w:rPr>
              <w:t>Estimated Amount</w:t>
            </w:r>
          </w:p>
        </w:tc>
      </w:tr>
      <w:tr w:rsidR="004D77CC" w:rsidRPr="004D77CC" w14:paraId="1A67C6BA" w14:textId="77777777" w:rsidTr="0042546A">
        <w:tc>
          <w:tcPr>
            <w:tcW w:w="4508" w:type="dxa"/>
          </w:tcPr>
          <w:p w14:paraId="241D63AC" w14:textId="42A2A3D5" w:rsidR="0042546A" w:rsidRPr="004D77CC" w:rsidRDefault="0042546A" w:rsidP="004D77CC">
            <w:pPr>
              <w:spacing w:line="360" w:lineRule="auto"/>
              <w:jc w:val="both"/>
              <w:rPr>
                <w:rFonts w:ascii="Times New Roman" w:hAnsi="Times New Roman" w:cs="Times New Roman"/>
                <w:sz w:val="24"/>
                <w:szCs w:val="24"/>
                <w:lang w:eastAsia="en-GB"/>
              </w:rPr>
            </w:pPr>
            <w:r w:rsidRPr="004D77CC">
              <w:rPr>
                <w:rFonts w:ascii="Times New Roman" w:hAnsi="Times New Roman" w:cs="Times New Roman"/>
                <w:sz w:val="24"/>
                <w:szCs w:val="24"/>
              </w:rPr>
              <w:t>Sponsorship Packages (Gold, Silver, Bronze)</w:t>
            </w:r>
          </w:p>
        </w:tc>
        <w:tc>
          <w:tcPr>
            <w:tcW w:w="4508" w:type="dxa"/>
          </w:tcPr>
          <w:p w14:paraId="16857F0D" w14:textId="7473F120" w:rsidR="0042546A" w:rsidRPr="004D77CC" w:rsidRDefault="0042546A" w:rsidP="004D77CC">
            <w:pPr>
              <w:spacing w:line="360" w:lineRule="auto"/>
              <w:jc w:val="both"/>
              <w:rPr>
                <w:rFonts w:ascii="Times New Roman" w:hAnsi="Times New Roman" w:cs="Times New Roman"/>
                <w:sz w:val="24"/>
                <w:szCs w:val="24"/>
                <w:lang w:eastAsia="en-GB"/>
              </w:rPr>
            </w:pPr>
            <w:r w:rsidRPr="004D77CC">
              <w:rPr>
                <w:rFonts w:ascii="Times New Roman" w:hAnsi="Times New Roman" w:cs="Times New Roman"/>
                <w:sz w:val="24"/>
                <w:szCs w:val="24"/>
              </w:rPr>
              <w:t>$50,000</w:t>
            </w:r>
          </w:p>
        </w:tc>
      </w:tr>
      <w:tr w:rsidR="004D77CC" w:rsidRPr="004D77CC" w14:paraId="3B96AAE8" w14:textId="77777777" w:rsidTr="0042546A">
        <w:tc>
          <w:tcPr>
            <w:tcW w:w="4508" w:type="dxa"/>
          </w:tcPr>
          <w:p w14:paraId="1A3F9F78" w14:textId="1EF65528" w:rsidR="0042546A" w:rsidRPr="004D77CC" w:rsidRDefault="0042546A" w:rsidP="004D77CC">
            <w:pPr>
              <w:spacing w:line="360" w:lineRule="auto"/>
              <w:jc w:val="both"/>
              <w:rPr>
                <w:rFonts w:ascii="Times New Roman" w:hAnsi="Times New Roman" w:cs="Times New Roman"/>
                <w:sz w:val="24"/>
                <w:szCs w:val="24"/>
                <w:lang w:eastAsia="en-GB"/>
              </w:rPr>
            </w:pPr>
            <w:r w:rsidRPr="004D77CC">
              <w:rPr>
                <w:rFonts w:ascii="Times New Roman" w:hAnsi="Times New Roman" w:cs="Times New Roman"/>
                <w:sz w:val="24"/>
                <w:szCs w:val="24"/>
              </w:rPr>
              <w:t>Registration Fees (300 attendees @ $150 each)</w:t>
            </w:r>
          </w:p>
        </w:tc>
        <w:tc>
          <w:tcPr>
            <w:tcW w:w="4508" w:type="dxa"/>
          </w:tcPr>
          <w:p w14:paraId="15D58687" w14:textId="6B2DB52C" w:rsidR="0042546A" w:rsidRPr="004D77CC" w:rsidRDefault="0042546A" w:rsidP="004D77CC">
            <w:pPr>
              <w:spacing w:line="360" w:lineRule="auto"/>
              <w:jc w:val="both"/>
              <w:rPr>
                <w:rFonts w:ascii="Times New Roman" w:hAnsi="Times New Roman" w:cs="Times New Roman"/>
                <w:sz w:val="24"/>
                <w:szCs w:val="24"/>
                <w:lang w:eastAsia="en-GB"/>
              </w:rPr>
            </w:pPr>
            <w:r w:rsidRPr="004D77CC">
              <w:rPr>
                <w:rFonts w:ascii="Times New Roman" w:hAnsi="Times New Roman" w:cs="Times New Roman"/>
                <w:sz w:val="24"/>
                <w:szCs w:val="24"/>
              </w:rPr>
              <w:t>$45,000</w:t>
            </w:r>
          </w:p>
        </w:tc>
      </w:tr>
      <w:tr w:rsidR="004D77CC" w:rsidRPr="004D77CC" w14:paraId="61415921" w14:textId="77777777" w:rsidTr="0042546A">
        <w:tc>
          <w:tcPr>
            <w:tcW w:w="4508" w:type="dxa"/>
          </w:tcPr>
          <w:p w14:paraId="1E275329" w14:textId="538C4A6D" w:rsidR="0042546A" w:rsidRPr="004D77CC" w:rsidRDefault="0042546A" w:rsidP="004D77CC">
            <w:pPr>
              <w:spacing w:line="360" w:lineRule="auto"/>
              <w:jc w:val="both"/>
              <w:rPr>
                <w:rFonts w:ascii="Times New Roman" w:hAnsi="Times New Roman" w:cs="Times New Roman"/>
                <w:sz w:val="24"/>
                <w:szCs w:val="24"/>
                <w:lang w:eastAsia="en-GB"/>
              </w:rPr>
            </w:pPr>
            <w:r w:rsidRPr="004D77CC">
              <w:rPr>
                <w:rFonts w:ascii="Times New Roman" w:hAnsi="Times New Roman" w:cs="Times New Roman"/>
                <w:sz w:val="24"/>
                <w:szCs w:val="24"/>
              </w:rPr>
              <w:t>Exhibitor Fees (10 exhibitors @ $2,000 each)</w:t>
            </w:r>
          </w:p>
        </w:tc>
        <w:tc>
          <w:tcPr>
            <w:tcW w:w="4508" w:type="dxa"/>
          </w:tcPr>
          <w:p w14:paraId="65AE0D4E" w14:textId="481011BC" w:rsidR="0042546A" w:rsidRPr="004D77CC" w:rsidRDefault="0042546A" w:rsidP="004D77CC">
            <w:pPr>
              <w:spacing w:line="360" w:lineRule="auto"/>
              <w:jc w:val="both"/>
              <w:rPr>
                <w:rFonts w:ascii="Times New Roman" w:hAnsi="Times New Roman" w:cs="Times New Roman"/>
                <w:sz w:val="24"/>
                <w:szCs w:val="24"/>
                <w:lang w:eastAsia="en-GB"/>
              </w:rPr>
            </w:pPr>
            <w:r w:rsidRPr="004D77CC">
              <w:rPr>
                <w:rFonts w:ascii="Times New Roman" w:hAnsi="Times New Roman" w:cs="Times New Roman"/>
                <w:sz w:val="24"/>
                <w:szCs w:val="24"/>
              </w:rPr>
              <w:t>$20,000</w:t>
            </w:r>
          </w:p>
        </w:tc>
      </w:tr>
      <w:tr w:rsidR="004D77CC" w:rsidRPr="004D77CC" w14:paraId="795D7EE3" w14:textId="77777777" w:rsidTr="0042546A">
        <w:tc>
          <w:tcPr>
            <w:tcW w:w="4508" w:type="dxa"/>
          </w:tcPr>
          <w:p w14:paraId="23052121" w14:textId="2B8546D8" w:rsidR="0042546A" w:rsidRPr="004D77CC" w:rsidRDefault="0042546A" w:rsidP="004D77CC">
            <w:pPr>
              <w:spacing w:line="360" w:lineRule="auto"/>
              <w:jc w:val="both"/>
              <w:rPr>
                <w:rFonts w:ascii="Times New Roman" w:hAnsi="Times New Roman" w:cs="Times New Roman"/>
                <w:sz w:val="24"/>
                <w:szCs w:val="24"/>
                <w:lang w:eastAsia="en-GB"/>
              </w:rPr>
            </w:pPr>
            <w:r w:rsidRPr="004D77CC">
              <w:rPr>
                <w:rFonts w:ascii="Times New Roman" w:hAnsi="Times New Roman" w:cs="Times New Roman"/>
                <w:sz w:val="24"/>
                <w:szCs w:val="24"/>
              </w:rPr>
              <w:t>Grant Funding (Diversity-Focused Foundations)</w:t>
            </w:r>
          </w:p>
        </w:tc>
        <w:tc>
          <w:tcPr>
            <w:tcW w:w="4508" w:type="dxa"/>
          </w:tcPr>
          <w:p w14:paraId="16D4B62C" w14:textId="32FB9560" w:rsidR="0042546A" w:rsidRPr="004D77CC" w:rsidRDefault="0042546A" w:rsidP="004D77CC">
            <w:pPr>
              <w:spacing w:line="360" w:lineRule="auto"/>
              <w:jc w:val="both"/>
              <w:rPr>
                <w:rFonts w:ascii="Times New Roman" w:hAnsi="Times New Roman" w:cs="Times New Roman"/>
                <w:sz w:val="24"/>
                <w:szCs w:val="24"/>
                <w:lang w:eastAsia="en-GB"/>
              </w:rPr>
            </w:pPr>
            <w:r w:rsidRPr="004D77CC">
              <w:rPr>
                <w:rFonts w:ascii="Times New Roman" w:hAnsi="Times New Roman" w:cs="Times New Roman"/>
                <w:sz w:val="24"/>
                <w:szCs w:val="24"/>
              </w:rPr>
              <w:t>$15,000</w:t>
            </w:r>
          </w:p>
        </w:tc>
      </w:tr>
      <w:tr w:rsidR="004D77CC" w:rsidRPr="004D77CC" w14:paraId="52E814E5" w14:textId="77777777" w:rsidTr="0042546A">
        <w:tc>
          <w:tcPr>
            <w:tcW w:w="4508" w:type="dxa"/>
          </w:tcPr>
          <w:p w14:paraId="12D9C08E" w14:textId="789E5398" w:rsidR="0042546A" w:rsidRPr="004D77CC" w:rsidRDefault="0042546A" w:rsidP="004D77CC">
            <w:pPr>
              <w:spacing w:line="360" w:lineRule="auto"/>
              <w:jc w:val="both"/>
              <w:rPr>
                <w:rFonts w:ascii="Times New Roman" w:hAnsi="Times New Roman" w:cs="Times New Roman"/>
                <w:sz w:val="24"/>
                <w:szCs w:val="24"/>
                <w:lang w:eastAsia="en-GB"/>
              </w:rPr>
            </w:pPr>
            <w:r w:rsidRPr="004D77CC">
              <w:rPr>
                <w:rFonts w:ascii="Times New Roman" w:hAnsi="Times New Roman" w:cs="Times New Roman"/>
                <w:sz w:val="24"/>
                <w:szCs w:val="24"/>
              </w:rPr>
              <w:t>Total Income</w:t>
            </w:r>
          </w:p>
        </w:tc>
        <w:tc>
          <w:tcPr>
            <w:tcW w:w="4508" w:type="dxa"/>
          </w:tcPr>
          <w:p w14:paraId="46BCC540" w14:textId="6CF9F89C" w:rsidR="0042546A" w:rsidRPr="004D77CC" w:rsidRDefault="0042546A" w:rsidP="004D77CC">
            <w:pPr>
              <w:spacing w:line="360" w:lineRule="auto"/>
              <w:jc w:val="both"/>
              <w:rPr>
                <w:rFonts w:ascii="Times New Roman" w:hAnsi="Times New Roman" w:cs="Times New Roman"/>
                <w:sz w:val="24"/>
                <w:szCs w:val="24"/>
                <w:lang w:eastAsia="en-GB"/>
              </w:rPr>
            </w:pPr>
            <w:r w:rsidRPr="004D77CC">
              <w:rPr>
                <w:rFonts w:ascii="Times New Roman" w:hAnsi="Times New Roman" w:cs="Times New Roman"/>
                <w:sz w:val="24"/>
                <w:szCs w:val="24"/>
              </w:rPr>
              <w:t>$130,000</w:t>
            </w:r>
          </w:p>
        </w:tc>
      </w:tr>
      <w:tr w:rsidR="004D77CC" w:rsidRPr="004D77CC" w14:paraId="3F1EE0F2" w14:textId="77777777" w:rsidTr="0042546A">
        <w:tc>
          <w:tcPr>
            <w:tcW w:w="4508" w:type="dxa"/>
          </w:tcPr>
          <w:p w14:paraId="2C767D91" w14:textId="4CC36564" w:rsidR="0042546A" w:rsidRPr="004D77CC" w:rsidRDefault="0042546A" w:rsidP="004D77CC">
            <w:pPr>
              <w:spacing w:line="360" w:lineRule="auto"/>
              <w:jc w:val="both"/>
              <w:rPr>
                <w:rFonts w:ascii="Times New Roman" w:hAnsi="Times New Roman" w:cs="Times New Roman"/>
                <w:sz w:val="24"/>
                <w:szCs w:val="24"/>
                <w:lang w:eastAsia="en-GB"/>
              </w:rPr>
            </w:pPr>
            <w:r w:rsidRPr="004D77CC">
              <w:rPr>
                <w:rFonts w:ascii="Times New Roman" w:hAnsi="Times New Roman" w:cs="Times New Roman"/>
                <w:sz w:val="24"/>
                <w:szCs w:val="24"/>
              </w:rPr>
              <w:t>Expenditure</w:t>
            </w:r>
          </w:p>
        </w:tc>
        <w:tc>
          <w:tcPr>
            <w:tcW w:w="4508" w:type="dxa"/>
          </w:tcPr>
          <w:p w14:paraId="58BBFE7D" w14:textId="7F159CBE" w:rsidR="0042546A" w:rsidRPr="004D77CC" w:rsidRDefault="0042546A" w:rsidP="004D77CC">
            <w:pPr>
              <w:spacing w:line="360" w:lineRule="auto"/>
              <w:jc w:val="both"/>
              <w:rPr>
                <w:rFonts w:ascii="Times New Roman" w:hAnsi="Times New Roman" w:cs="Times New Roman"/>
                <w:sz w:val="24"/>
                <w:szCs w:val="24"/>
                <w:lang w:eastAsia="en-GB"/>
              </w:rPr>
            </w:pPr>
            <w:r w:rsidRPr="004D77CC">
              <w:rPr>
                <w:rFonts w:ascii="Times New Roman" w:hAnsi="Times New Roman" w:cs="Times New Roman"/>
                <w:sz w:val="24"/>
                <w:szCs w:val="24"/>
              </w:rPr>
              <w:t>Estimated Cost</w:t>
            </w:r>
          </w:p>
        </w:tc>
      </w:tr>
      <w:tr w:rsidR="004D77CC" w:rsidRPr="004D77CC" w14:paraId="5D795342" w14:textId="77777777" w:rsidTr="0042546A">
        <w:tc>
          <w:tcPr>
            <w:tcW w:w="4508" w:type="dxa"/>
          </w:tcPr>
          <w:p w14:paraId="1EA86E18" w14:textId="7B2B290B" w:rsidR="0042546A" w:rsidRPr="004D77CC" w:rsidRDefault="0042546A" w:rsidP="004D77CC">
            <w:pPr>
              <w:spacing w:line="360" w:lineRule="auto"/>
              <w:jc w:val="both"/>
              <w:rPr>
                <w:rFonts w:ascii="Times New Roman" w:hAnsi="Times New Roman" w:cs="Times New Roman"/>
                <w:sz w:val="24"/>
                <w:szCs w:val="24"/>
                <w:lang w:eastAsia="en-GB"/>
              </w:rPr>
            </w:pPr>
            <w:r w:rsidRPr="004D77CC">
              <w:rPr>
                <w:rFonts w:ascii="Times New Roman" w:hAnsi="Times New Roman" w:cs="Times New Roman"/>
                <w:sz w:val="24"/>
                <w:szCs w:val="24"/>
              </w:rPr>
              <w:t>Venue Rental (Tokyo International Forum)</w:t>
            </w:r>
          </w:p>
        </w:tc>
        <w:tc>
          <w:tcPr>
            <w:tcW w:w="4508" w:type="dxa"/>
          </w:tcPr>
          <w:p w14:paraId="3E9461D1" w14:textId="41D28D4C" w:rsidR="0042546A" w:rsidRPr="004D77CC" w:rsidRDefault="0042546A" w:rsidP="004D77CC">
            <w:pPr>
              <w:spacing w:line="360" w:lineRule="auto"/>
              <w:jc w:val="both"/>
              <w:rPr>
                <w:rFonts w:ascii="Times New Roman" w:hAnsi="Times New Roman" w:cs="Times New Roman"/>
                <w:sz w:val="24"/>
                <w:szCs w:val="24"/>
                <w:lang w:eastAsia="en-GB"/>
              </w:rPr>
            </w:pPr>
            <w:r w:rsidRPr="004D77CC">
              <w:rPr>
                <w:rFonts w:ascii="Times New Roman" w:hAnsi="Times New Roman" w:cs="Times New Roman"/>
                <w:sz w:val="24"/>
                <w:szCs w:val="24"/>
              </w:rPr>
              <w:t>$20,000</w:t>
            </w:r>
          </w:p>
        </w:tc>
      </w:tr>
      <w:tr w:rsidR="0042546A" w:rsidRPr="004D77CC" w14:paraId="43C98F48" w14:textId="77777777" w:rsidTr="0042546A">
        <w:tc>
          <w:tcPr>
            <w:tcW w:w="4508" w:type="dxa"/>
          </w:tcPr>
          <w:p w14:paraId="58315647" w14:textId="458371A7" w:rsidR="0042546A" w:rsidRPr="004D77CC" w:rsidRDefault="0042546A" w:rsidP="004D77CC">
            <w:pPr>
              <w:spacing w:line="360" w:lineRule="auto"/>
              <w:jc w:val="both"/>
              <w:rPr>
                <w:rFonts w:ascii="Times New Roman" w:hAnsi="Times New Roman" w:cs="Times New Roman"/>
                <w:sz w:val="24"/>
                <w:szCs w:val="24"/>
                <w:lang w:eastAsia="en-GB"/>
              </w:rPr>
            </w:pPr>
            <w:r w:rsidRPr="004D77CC">
              <w:rPr>
                <w:rFonts w:ascii="Times New Roman" w:hAnsi="Times New Roman" w:cs="Times New Roman"/>
                <w:sz w:val="24"/>
                <w:szCs w:val="24"/>
              </w:rPr>
              <w:t>Equipment/AV &amp; Technical Services</w:t>
            </w:r>
          </w:p>
        </w:tc>
        <w:tc>
          <w:tcPr>
            <w:tcW w:w="4508" w:type="dxa"/>
          </w:tcPr>
          <w:p w14:paraId="77C7B722" w14:textId="5EABF3B9" w:rsidR="0042546A" w:rsidRPr="004D77CC" w:rsidRDefault="0042546A" w:rsidP="004D77CC">
            <w:pPr>
              <w:spacing w:line="360" w:lineRule="auto"/>
              <w:jc w:val="both"/>
              <w:rPr>
                <w:rFonts w:ascii="Times New Roman" w:hAnsi="Times New Roman" w:cs="Times New Roman"/>
                <w:sz w:val="24"/>
                <w:szCs w:val="24"/>
                <w:lang w:eastAsia="en-GB"/>
              </w:rPr>
            </w:pPr>
            <w:r w:rsidRPr="004D77CC">
              <w:rPr>
                <w:rFonts w:ascii="Times New Roman" w:hAnsi="Times New Roman" w:cs="Times New Roman"/>
                <w:sz w:val="24"/>
                <w:szCs w:val="24"/>
              </w:rPr>
              <w:t>$12,000</w:t>
            </w:r>
          </w:p>
        </w:tc>
      </w:tr>
      <w:tr w:rsidR="0042546A" w:rsidRPr="004D77CC" w14:paraId="2AB341BC" w14:textId="77777777" w:rsidTr="0042546A">
        <w:tc>
          <w:tcPr>
            <w:tcW w:w="4508" w:type="dxa"/>
          </w:tcPr>
          <w:p w14:paraId="62007258" w14:textId="05B1FB2B" w:rsidR="0042546A" w:rsidRPr="004D77CC" w:rsidRDefault="0042546A" w:rsidP="004D77CC">
            <w:pPr>
              <w:spacing w:line="360" w:lineRule="auto"/>
              <w:jc w:val="both"/>
              <w:rPr>
                <w:rFonts w:ascii="Times New Roman" w:hAnsi="Times New Roman" w:cs="Times New Roman"/>
                <w:sz w:val="24"/>
                <w:szCs w:val="24"/>
                <w:lang w:eastAsia="en-GB"/>
              </w:rPr>
            </w:pPr>
            <w:r w:rsidRPr="004D77CC">
              <w:rPr>
                <w:rFonts w:ascii="Times New Roman" w:hAnsi="Times New Roman" w:cs="Times New Roman"/>
                <w:sz w:val="24"/>
                <w:szCs w:val="24"/>
              </w:rPr>
              <w:t>Marketing &amp; Promotion</w:t>
            </w:r>
          </w:p>
        </w:tc>
        <w:tc>
          <w:tcPr>
            <w:tcW w:w="4508" w:type="dxa"/>
          </w:tcPr>
          <w:p w14:paraId="462F96A6" w14:textId="17FD56DF" w:rsidR="0042546A" w:rsidRPr="004D77CC" w:rsidRDefault="0042546A" w:rsidP="004D77CC">
            <w:pPr>
              <w:spacing w:line="360" w:lineRule="auto"/>
              <w:jc w:val="both"/>
              <w:rPr>
                <w:rFonts w:ascii="Times New Roman" w:hAnsi="Times New Roman" w:cs="Times New Roman"/>
                <w:sz w:val="24"/>
                <w:szCs w:val="24"/>
                <w:lang w:eastAsia="en-GB"/>
              </w:rPr>
            </w:pPr>
            <w:r w:rsidRPr="004D77CC">
              <w:rPr>
                <w:rFonts w:ascii="Times New Roman" w:hAnsi="Times New Roman" w:cs="Times New Roman"/>
                <w:sz w:val="24"/>
                <w:szCs w:val="24"/>
              </w:rPr>
              <w:t>$8,000</w:t>
            </w:r>
          </w:p>
        </w:tc>
      </w:tr>
      <w:tr w:rsidR="0042546A" w:rsidRPr="004D77CC" w14:paraId="14B42FA6" w14:textId="77777777" w:rsidTr="0042546A">
        <w:tc>
          <w:tcPr>
            <w:tcW w:w="4508" w:type="dxa"/>
          </w:tcPr>
          <w:p w14:paraId="08DF2983" w14:textId="6CFA6FF7" w:rsidR="0042546A" w:rsidRPr="004D77CC" w:rsidRDefault="0042546A" w:rsidP="004D77CC">
            <w:pPr>
              <w:spacing w:line="360" w:lineRule="auto"/>
              <w:jc w:val="both"/>
              <w:rPr>
                <w:rFonts w:ascii="Times New Roman" w:hAnsi="Times New Roman" w:cs="Times New Roman"/>
                <w:sz w:val="24"/>
                <w:szCs w:val="24"/>
                <w:lang w:eastAsia="en-GB"/>
              </w:rPr>
            </w:pPr>
            <w:r w:rsidRPr="004D77CC">
              <w:rPr>
                <w:rFonts w:ascii="Times New Roman" w:hAnsi="Times New Roman" w:cs="Times New Roman"/>
                <w:sz w:val="24"/>
                <w:szCs w:val="24"/>
              </w:rPr>
              <w:t>Speaker Fees &amp; Travel</w:t>
            </w:r>
          </w:p>
        </w:tc>
        <w:tc>
          <w:tcPr>
            <w:tcW w:w="4508" w:type="dxa"/>
          </w:tcPr>
          <w:p w14:paraId="74484CB8" w14:textId="5EA65775" w:rsidR="0042546A" w:rsidRPr="004D77CC" w:rsidRDefault="0042546A" w:rsidP="004D77CC">
            <w:pPr>
              <w:spacing w:line="360" w:lineRule="auto"/>
              <w:jc w:val="both"/>
              <w:rPr>
                <w:rFonts w:ascii="Times New Roman" w:hAnsi="Times New Roman" w:cs="Times New Roman"/>
                <w:sz w:val="24"/>
                <w:szCs w:val="24"/>
                <w:lang w:eastAsia="en-GB"/>
              </w:rPr>
            </w:pPr>
            <w:r w:rsidRPr="004D77CC">
              <w:rPr>
                <w:rFonts w:ascii="Times New Roman" w:hAnsi="Times New Roman" w:cs="Times New Roman"/>
                <w:sz w:val="24"/>
                <w:szCs w:val="24"/>
              </w:rPr>
              <w:t>$15,000</w:t>
            </w:r>
          </w:p>
        </w:tc>
      </w:tr>
      <w:tr w:rsidR="0042546A" w:rsidRPr="004D77CC" w14:paraId="12074542" w14:textId="77777777" w:rsidTr="0042546A">
        <w:tc>
          <w:tcPr>
            <w:tcW w:w="4508" w:type="dxa"/>
          </w:tcPr>
          <w:p w14:paraId="1A13983E" w14:textId="2E75FFBE" w:rsidR="0042546A" w:rsidRPr="004D77CC" w:rsidRDefault="0042546A" w:rsidP="004D77CC">
            <w:pPr>
              <w:spacing w:line="360" w:lineRule="auto"/>
              <w:jc w:val="both"/>
              <w:rPr>
                <w:rFonts w:ascii="Times New Roman" w:hAnsi="Times New Roman" w:cs="Times New Roman"/>
                <w:sz w:val="24"/>
                <w:szCs w:val="24"/>
                <w:lang w:eastAsia="en-GB"/>
              </w:rPr>
            </w:pPr>
            <w:r w:rsidRPr="004D77CC">
              <w:rPr>
                <w:rFonts w:ascii="Times New Roman" w:hAnsi="Times New Roman" w:cs="Times New Roman"/>
                <w:sz w:val="24"/>
                <w:szCs w:val="24"/>
              </w:rPr>
              <w:t>Catering (Meals &amp; Refreshments)</w:t>
            </w:r>
          </w:p>
        </w:tc>
        <w:tc>
          <w:tcPr>
            <w:tcW w:w="4508" w:type="dxa"/>
          </w:tcPr>
          <w:p w14:paraId="7CC44E93" w14:textId="7FE0E680" w:rsidR="0042546A" w:rsidRPr="004D77CC" w:rsidRDefault="0042546A" w:rsidP="004D77CC">
            <w:pPr>
              <w:spacing w:line="360" w:lineRule="auto"/>
              <w:jc w:val="both"/>
              <w:rPr>
                <w:rFonts w:ascii="Times New Roman" w:hAnsi="Times New Roman" w:cs="Times New Roman"/>
                <w:sz w:val="24"/>
                <w:szCs w:val="24"/>
                <w:lang w:eastAsia="en-GB"/>
              </w:rPr>
            </w:pPr>
            <w:r w:rsidRPr="004D77CC">
              <w:rPr>
                <w:rFonts w:ascii="Times New Roman" w:hAnsi="Times New Roman" w:cs="Times New Roman"/>
                <w:sz w:val="24"/>
                <w:szCs w:val="24"/>
              </w:rPr>
              <w:t>$10,000</w:t>
            </w:r>
          </w:p>
        </w:tc>
      </w:tr>
      <w:tr w:rsidR="0042546A" w:rsidRPr="004D77CC" w14:paraId="2BC242DE" w14:textId="77777777" w:rsidTr="0042546A">
        <w:tc>
          <w:tcPr>
            <w:tcW w:w="4508" w:type="dxa"/>
          </w:tcPr>
          <w:p w14:paraId="217BDE15" w14:textId="71F7AB77" w:rsidR="0042546A" w:rsidRPr="004D77CC" w:rsidRDefault="0042546A" w:rsidP="004D77CC">
            <w:pPr>
              <w:spacing w:line="360" w:lineRule="auto"/>
              <w:jc w:val="both"/>
              <w:rPr>
                <w:rFonts w:ascii="Times New Roman" w:hAnsi="Times New Roman" w:cs="Times New Roman"/>
                <w:sz w:val="24"/>
                <w:szCs w:val="24"/>
                <w:lang w:eastAsia="en-GB"/>
              </w:rPr>
            </w:pPr>
            <w:r w:rsidRPr="004D77CC">
              <w:rPr>
                <w:rFonts w:ascii="Times New Roman" w:hAnsi="Times New Roman" w:cs="Times New Roman"/>
                <w:sz w:val="24"/>
                <w:szCs w:val="24"/>
              </w:rPr>
              <w:t>Staffing &amp; Logistics (temporary staff, security)</w:t>
            </w:r>
          </w:p>
        </w:tc>
        <w:tc>
          <w:tcPr>
            <w:tcW w:w="4508" w:type="dxa"/>
          </w:tcPr>
          <w:p w14:paraId="28039044" w14:textId="4579F4E2" w:rsidR="0042546A" w:rsidRPr="004D77CC" w:rsidRDefault="0042546A" w:rsidP="004D77CC">
            <w:pPr>
              <w:spacing w:line="360" w:lineRule="auto"/>
              <w:jc w:val="both"/>
              <w:rPr>
                <w:rFonts w:ascii="Times New Roman" w:hAnsi="Times New Roman" w:cs="Times New Roman"/>
                <w:sz w:val="24"/>
                <w:szCs w:val="24"/>
                <w:lang w:eastAsia="en-GB"/>
              </w:rPr>
            </w:pPr>
            <w:r w:rsidRPr="004D77CC">
              <w:rPr>
                <w:rFonts w:ascii="Times New Roman" w:hAnsi="Times New Roman" w:cs="Times New Roman"/>
                <w:sz w:val="24"/>
                <w:szCs w:val="24"/>
              </w:rPr>
              <w:t>$8,000</w:t>
            </w:r>
          </w:p>
        </w:tc>
      </w:tr>
      <w:tr w:rsidR="0042546A" w:rsidRPr="004D77CC" w14:paraId="37A9A4FA" w14:textId="77777777" w:rsidTr="0042546A">
        <w:tc>
          <w:tcPr>
            <w:tcW w:w="4508" w:type="dxa"/>
          </w:tcPr>
          <w:p w14:paraId="5305EFB2" w14:textId="72B4574B" w:rsidR="0042546A" w:rsidRPr="004D77CC" w:rsidRDefault="0042546A" w:rsidP="004D77CC">
            <w:pPr>
              <w:spacing w:line="360" w:lineRule="auto"/>
              <w:jc w:val="both"/>
              <w:rPr>
                <w:rFonts w:ascii="Times New Roman" w:hAnsi="Times New Roman" w:cs="Times New Roman"/>
                <w:sz w:val="24"/>
                <w:szCs w:val="24"/>
                <w:lang w:eastAsia="en-GB"/>
              </w:rPr>
            </w:pPr>
            <w:r w:rsidRPr="004D77CC">
              <w:rPr>
                <w:rFonts w:ascii="Times New Roman" w:hAnsi="Times New Roman" w:cs="Times New Roman"/>
                <w:sz w:val="24"/>
                <w:szCs w:val="24"/>
              </w:rPr>
              <w:t>Décor &amp; Signage</w:t>
            </w:r>
          </w:p>
        </w:tc>
        <w:tc>
          <w:tcPr>
            <w:tcW w:w="4508" w:type="dxa"/>
          </w:tcPr>
          <w:p w14:paraId="25C95409" w14:textId="0B85C63F" w:rsidR="0042546A" w:rsidRPr="004D77CC" w:rsidRDefault="0042546A" w:rsidP="004D77CC">
            <w:pPr>
              <w:spacing w:line="360" w:lineRule="auto"/>
              <w:jc w:val="both"/>
              <w:rPr>
                <w:rFonts w:ascii="Times New Roman" w:hAnsi="Times New Roman" w:cs="Times New Roman"/>
                <w:sz w:val="24"/>
                <w:szCs w:val="24"/>
                <w:lang w:eastAsia="en-GB"/>
              </w:rPr>
            </w:pPr>
            <w:r w:rsidRPr="004D77CC">
              <w:rPr>
                <w:rFonts w:ascii="Times New Roman" w:hAnsi="Times New Roman" w:cs="Times New Roman"/>
                <w:sz w:val="24"/>
                <w:szCs w:val="24"/>
              </w:rPr>
              <w:t>$5,000</w:t>
            </w:r>
          </w:p>
        </w:tc>
      </w:tr>
      <w:tr w:rsidR="0042546A" w:rsidRPr="004D77CC" w14:paraId="4F7B5CEC" w14:textId="77777777" w:rsidTr="0042546A">
        <w:tc>
          <w:tcPr>
            <w:tcW w:w="4508" w:type="dxa"/>
          </w:tcPr>
          <w:p w14:paraId="4FB0868A" w14:textId="261304E1" w:rsidR="0042546A" w:rsidRPr="004D77CC" w:rsidRDefault="0042546A" w:rsidP="004D77CC">
            <w:pPr>
              <w:spacing w:line="360" w:lineRule="auto"/>
              <w:jc w:val="both"/>
              <w:rPr>
                <w:rFonts w:ascii="Times New Roman" w:hAnsi="Times New Roman" w:cs="Times New Roman"/>
                <w:sz w:val="24"/>
                <w:szCs w:val="24"/>
                <w:lang w:eastAsia="en-GB"/>
              </w:rPr>
            </w:pPr>
            <w:r w:rsidRPr="004D77CC">
              <w:rPr>
                <w:rFonts w:ascii="Times New Roman" w:hAnsi="Times New Roman" w:cs="Times New Roman"/>
                <w:sz w:val="24"/>
                <w:szCs w:val="24"/>
              </w:rPr>
              <w:t>Miscellaneous/Contingency (10% buffer)</w:t>
            </w:r>
          </w:p>
        </w:tc>
        <w:tc>
          <w:tcPr>
            <w:tcW w:w="4508" w:type="dxa"/>
          </w:tcPr>
          <w:p w14:paraId="42263992" w14:textId="42AEE2BC" w:rsidR="0042546A" w:rsidRPr="004D77CC" w:rsidRDefault="0042546A" w:rsidP="004D77CC">
            <w:pPr>
              <w:spacing w:line="360" w:lineRule="auto"/>
              <w:jc w:val="both"/>
              <w:rPr>
                <w:rFonts w:ascii="Times New Roman" w:hAnsi="Times New Roman" w:cs="Times New Roman"/>
                <w:sz w:val="24"/>
                <w:szCs w:val="24"/>
                <w:lang w:eastAsia="en-GB"/>
              </w:rPr>
            </w:pPr>
            <w:r w:rsidRPr="004D77CC">
              <w:rPr>
                <w:rFonts w:ascii="Times New Roman" w:hAnsi="Times New Roman" w:cs="Times New Roman"/>
                <w:sz w:val="24"/>
                <w:szCs w:val="24"/>
              </w:rPr>
              <w:t>$5,000</w:t>
            </w:r>
          </w:p>
        </w:tc>
      </w:tr>
      <w:tr w:rsidR="004D77CC" w:rsidRPr="004D77CC" w14:paraId="1BA7648E" w14:textId="77777777" w:rsidTr="0042546A">
        <w:tc>
          <w:tcPr>
            <w:tcW w:w="4508" w:type="dxa"/>
          </w:tcPr>
          <w:p w14:paraId="5E44E04F" w14:textId="4A3D2C93" w:rsidR="0042546A" w:rsidRPr="004D77CC" w:rsidRDefault="0042546A" w:rsidP="004D77CC">
            <w:pPr>
              <w:spacing w:line="360" w:lineRule="auto"/>
              <w:jc w:val="both"/>
              <w:rPr>
                <w:rFonts w:ascii="Times New Roman" w:hAnsi="Times New Roman" w:cs="Times New Roman"/>
                <w:sz w:val="24"/>
                <w:szCs w:val="24"/>
                <w:lang w:eastAsia="en-GB"/>
              </w:rPr>
            </w:pPr>
            <w:r w:rsidRPr="004D77CC">
              <w:rPr>
                <w:rFonts w:ascii="Times New Roman" w:hAnsi="Times New Roman" w:cs="Times New Roman"/>
                <w:sz w:val="24"/>
                <w:szCs w:val="24"/>
              </w:rPr>
              <w:t>Total Expenditure</w:t>
            </w:r>
          </w:p>
        </w:tc>
        <w:tc>
          <w:tcPr>
            <w:tcW w:w="4508" w:type="dxa"/>
          </w:tcPr>
          <w:p w14:paraId="135E170F" w14:textId="27E3DAEC" w:rsidR="0042546A" w:rsidRPr="004D77CC" w:rsidRDefault="0042546A" w:rsidP="004D77CC">
            <w:pPr>
              <w:spacing w:line="360" w:lineRule="auto"/>
              <w:jc w:val="both"/>
              <w:rPr>
                <w:rFonts w:ascii="Times New Roman" w:hAnsi="Times New Roman" w:cs="Times New Roman"/>
                <w:sz w:val="24"/>
                <w:szCs w:val="24"/>
                <w:lang w:eastAsia="en-GB"/>
              </w:rPr>
            </w:pPr>
            <w:r w:rsidRPr="004D77CC">
              <w:rPr>
                <w:rFonts w:ascii="Times New Roman" w:hAnsi="Times New Roman" w:cs="Times New Roman"/>
                <w:sz w:val="24"/>
                <w:szCs w:val="24"/>
              </w:rPr>
              <w:t>$83,000</w:t>
            </w:r>
          </w:p>
        </w:tc>
      </w:tr>
    </w:tbl>
    <w:p w14:paraId="231F5518" w14:textId="77777777" w:rsidR="0042546A" w:rsidRPr="004D77CC" w:rsidRDefault="0042546A" w:rsidP="004D77CC">
      <w:pPr>
        <w:spacing w:line="360" w:lineRule="auto"/>
        <w:jc w:val="both"/>
        <w:rPr>
          <w:rFonts w:ascii="Times New Roman" w:hAnsi="Times New Roman" w:cs="Times New Roman"/>
          <w:sz w:val="24"/>
          <w:szCs w:val="24"/>
          <w:lang w:eastAsia="en-GB"/>
        </w:rPr>
      </w:pPr>
    </w:p>
    <w:p w14:paraId="51CB34AA" w14:textId="72DE9442" w:rsidR="0042546A" w:rsidRPr="004D77CC" w:rsidRDefault="0042546A" w:rsidP="004D77CC">
      <w:pPr>
        <w:spacing w:line="360" w:lineRule="auto"/>
        <w:jc w:val="both"/>
        <w:rPr>
          <w:rFonts w:ascii="Times New Roman" w:hAnsi="Times New Roman" w:cs="Times New Roman"/>
          <w:sz w:val="24"/>
          <w:szCs w:val="24"/>
          <w:lang w:eastAsia="en-GB"/>
        </w:rPr>
      </w:pPr>
      <w:r w:rsidRPr="0042546A">
        <w:rPr>
          <w:rFonts w:ascii="Times New Roman" w:hAnsi="Times New Roman" w:cs="Times New Roman"/>
          <w:sz w:val="24"/>
          <w:szCs w:val="24"/>
          <w:lang w:eastAsia="en-GB"/>
        </w:rPr>
        <w:t>If the event's sponsorship and ticket sales goals are satisfied, the projected budget should cover all expenses (Getz and Page, 2019). O'Toole (2011) estimates that 10% of overall expenditures go into a contingency fund that helps cover last-minute technical needs or speaker replacements.</w:t>
      </w:r>
      <w:r w:rsidRPr="004D77CC">
        <w:rPr>
          <w:rFonts w:ascii="Times New Roman" w:hAnsi="Times New Roman" w:cs="Times New Roman"/>
          <w:sz w:val="24"/>
          <w:szCs w:val="24"/>
          <w:lang w:eastAsia="en-GB"/>
        </w:rPr>
        <w:t xml:space="preserve"> </w:t>
      </w:r>
      <w:r w:rsidRPr="0042546A">
        <w:rPr>
          <w:rFonts w:ascii="Times New Roman" w:hAnsi="Times New Roman" w:cs="Times New Roman"/>
          <w:sz w:val="24"/>
          <w:szCs w:val="24"/>
          <w:lang w:eastAsia="en-GB"/>
        </w:rPr>
        <w:t>Rogers and Wynn-Moylan (2022) suggest that the organising committee create tiered sponsorship packages that cater to the CSR objectives of prospective sponsors. These packages could include opportunities for signage, workshop naming rights, and online branding, among other perks. Another smart move is to charge exhibitors to promote their EDI-related goods and services to the decision-makers who will be attending the event (Bladen et al., 2022).</w:t>
      </w:r>
      <w:r w:rsidRPr="004D77CC">
        <w:rPr>
          <w:rFonts w:ascii="Times New Roman" w:hAnsi="Times New Roman" w:cs="Times New Roman"/>
          <w:sz w:val="24"/>
          <w:szCs w:val="24"/>
          <w:lang w:eastAsia="en-GB"/>
        </w:rPr>
        <w:t xml:space="preserve"> </w:t>
      </w:r>
      <w:r w:rsidRPr="0042546A">
        <w:rPr>
          <w:rFonts w:ascii="Times New Roman" w:hAnsi="Times New Roman" w:cs="Times New Roman"/>
          <w:sz w:val="24"/>
          <w:szCs w:val="24"/>
          <w:lang w:eastAsia="en-GB"/>
        </w:rPr>
        <w:t>In order to ensure the conference's sustainability, the event management team must meticulously monitor spending throughout the planning phase, especially when vendor quotations might vary (Meredith, 2022).</w:t>
      </w:r>
    </w:p>
    <w:p w14:paraId="0E54F429" w14:textId="7253E33A" w:rsidR="0042546A" w:rsidRPr="004D77CC" w:rsidRDefault="0042546A" w:rsidP="004D77CC">
      <w:pPr>
        <w:pStyle w:val="EU"/>
        <w:spacing w:line="360" w:lineRule="auto"/>
        <w:rPr>
          <w:rFonts w:ascii="Times New Roman" w:hAnsi="Times New Roman" w:cs="Times New Roman"/>
          <w:color w:val="auto"/>
        </w:rPr>
      </w:pPr>
      <w:bookmarkStart w:id="6" w:name="_Toc191678556"/>
      <w:r w:rsidRPr="004D77CC">
        <w:rPr>
          <w:rFonts w:ascii="Times New Roman" w:hAnsi="Times New Roman" w:cs="Times New Roman"/>
          <w:color w:val="auto"/>
        </w:rPr>
        <w:t>Industry Trends</w:t>
      </w:r>
      <w:bookmarkEnd w:id="6"/>
    </w:p>
    <w:p w14:paraId="053125EF" w14:textId="3343665B" w:rsidR="0042546A" w:rsidRPr="004D77CC" w:rsidRDefault="0042546A" w:rsidP="004D77CC">
      <w:pPr>
        <w:spacing w:line="360" w:lineRule="auto"/>
        <w:jc w:val="both"/>
        <w:rPr>
          <w:rFonts w:ascii="Times New Roman" w:hAnsi="Times New Roman" w:cs="Times New Roman"/>
          <w:sz w:val="24"/>
          <w:szCs w:val="24"/>
          <w:lang w:eastAsia="en-GB"/>
        </w:rPr>
      </w:pPr>
      <w:r w:rsidRPr="004D77CC">
        <w:rPr>
          <w:rFonts w:ascii="Times New Roman" w:hAnsi="Times New Roman" w:cs="Times New Roman"/>
          <w:sz w:val="24"/>
          <w:szCs w:val="24"/>
          <w:lang w:eastAsia="en-GB"/>
        </w:rPr>
        <w:t>As a result of new technologies, changing expectations of attendees, and increasing demands to prove social effect, the worldwide meetings and events industry has changed dramatically (Getz and Page, 2019). Recently, there has been a rise in the popularity of hybrid event models that enable both virtual and in-person participation (Pakarinen and Hoods, 2018). To take advantage of this trend and further emphasise its theme of inclusion, the planned conference may broadcast important sessions, making them accessible to people all over the world (Rogers and Wynn-Moylan, 2022).</w:t>
      </w:r>
      <w:r w:rsidRPr="004D77CC">
        <w:rPr>
          <w:rFonts w:ascii="Times New Roman" w:hAnsi="Times New Roman" w:cs="Times New Roman"/>
          <w:sz w:val="24"/>
          <w:szCs w:val="24"/>
          <w:lang w:eastAsia="en-GB"/>
        </w:rPr>
        <w:t xml:space="preserve"> </w:t>
      </w:r>
      <w:r w:rsidRPr="004D77CC">
        <w:rPr>
          <w:rFonts w:ascii="Times New Roman" w:hAnsi="Times New Roman" w:cs="Times New Roman"/>
          <w:sz w:val="24"/>
          <w:szCs w:val="24"/>
          <w:lang w:eastAsia="en-GB"/>
        </w:rPr>
        <w:t>Sustainability and corporate social responsibility have recently come to the forefront of the meetings sector. This includes labour practices, carbon footprint concerns, and fair labour rules, among other things (Smith, 2012). There may be opportunities for collaboration with sponsors that place a premium on EDI programs by holding a conference with an emphasis on diversity and inclusion, which is in line with larger corporate ethics as more and more companies include environmental and ethical concerns into their strategy.</w:t>
      </w:r>
      <w:r w:rsidRPr="004D77CC">
        <w:rPr>
          <w:rFonts w:ascii="Times New Roman" w:hAnsi="Times New Roman" w:cs="Times New Roman"/>
          <w:sz w:val="24"/>
          <w:szCs w:val="24"/>
          <w:lang w:eastAsia="en-GB"/>
        </w:rPr>
        <w:t xml:space="preserve"> </w:t>
      </w:r>
      <w:r w:rsidRPr="004D77CC">
        <w:rPr>
          <w:rFonts w:ascii="Times New Roman" w:hAnsi="Times New Roman" w:cs="Times New Roman"/>
          <w:sz w:val="24"/>
          <w:szCs w:val="24"/>
          <w:lang w:eastAsia="en-GB"/>
        </w:rPr>
        <w:t>Changes in attendance engagement are also being driven by technological innovation. According to Dredge et al. (2013), networking applications, interactive Q&amp;A platforms, and real-time surveys all increase participant engagement, which in turn creates more relevant opportunity to explore EDI concerns. Potential attendees, particularly those from younger or more distant generations, may get disengaged if events do not make use of technology (Bladen et al., 2022).</w:t>
      </w:r>
      <w:r w:rsidRPr="004D77CC">
        <w:rPr>
          <w:rFonts w:ascii="Times New Roman" w:hAnsi="Times New Roman" w:cs="Times New Roman"/>
          <w:sz w:val="24"/>
          <w:szCs w:val="24"/>
          <w:lang w:eastAsia="en-GB"/>
        </w:rPr>
        <w:t xml:space="preserve"> </w:t>
      </w:r>
      <w:r w:rsidRPr="004D77CC">
        <w:rPr>
          <w:rFonts w:ascii="Times New Roman" w:hAnsi="Times New Roman" w:cs="Times New Roman"/>
          <w:sz w:val="24"/>
          <w:szCs w:val="24"/>
          <w:lang w:eastAsia="en-GB"/>
        </w:rPr>
        <w:t>The events business has also been shaped by social and political movements, such as the fight for gender parity in the workplace and other female-led initiatives. More and more conferences are focussing on diversity, equity, and inclusion as a means to combat organisational inequality (Smith, 2012).</w:t>
      </w:r>
      <w:r w:rsidRPr="004D77CC">
        <w:rPr>
          <w:rFonts w:ascii="Times New Roman" w:hAnsi="Times New Roman" w:cs="Times New Roman"/>
          <w:sz w:val="24"/>
          <w:szCs w:val="24"/>
          <w:lang w:eastAsia="en-GB"/>
        </w:rPr>
        <w:t xml:space="preserve"> </w:t>
      </w:r>
      <w:r w:rsidRPr="004D77CC">
        <w:rPr>
          <w:rFonts w:ascii="Times New Roman" w:hAnsi="Times New Roman" w:cs="Times New Roman"/>
          <w:sz w:val="24"/>
          <w:szCs w:val="24"/>
          <w:lang w:eastAsia="en-GB"/>
        </w:rPr>
        <w:t>On the other hand, geopolitical and economic uncertainty might put a damper on attendance and sponsorship promises (Getz and Page, 2019). When arranging an international event, organisers need to keep an eye on things like travel patterns, visa limitations, and currency changes throughout the world. However, conferences that strategically position themselves within market demands usually remain relevant due to the constant desire for information sharing and professional growth (</w:t>
      </w:r>
      <w:r w:rsidR="004D77CC" w:rsidRPr="004D77CC">
        <w:rPr>
          <w:rFonts w:ascii="Times New Roman" w:hAnsi="Times New Roman" w:cs="Times New Roman"/>
          <w:sz w:val="24"/>
          <w:szCs w:val="24"/>
          <w:lang w:eastAsia="en-GB"/>
        </w:rPr>
        <w:t>Bowdin et al.</w:t>
      </w:r>
      <w:r w:rsidRPr="004D77CC">
        <w:rPr>
          <w:rFonts w:ascii="Times New Roman" w:hAnsi="Times New Roman" w:cs="Times New Roman"/>
          <w:sz w:val="24"/>
          <w:szCs w:val="24"/>
          <w:lang w:eastAsia="en-GB"/>
        </w:rPr>
        <w:t>, 202</w:t>
      </w:r>
      <w:r w:rsidR="004D77CC" w:rsidRPr="004D77CC">
        <w:rPr>
          <w:rFonts w:ascii="Times New Roman" w:hAnsi="Times New Roman" w:cs="Times New Roman"/>
          <w:sz w:val="24"/>
          <w:szCs w:val="24"/>
          <w:lang w:eastAsia="en-GB"/>
        </w:rPr>
        <w:t>3</w:t>
      </w:r>
      <w:r w:rsidRPr="004D77CC">
        <w:rPr>
          <w:rFonts w:ascii="Times New Roman" w:hAnsi="Times New Roman" w:cs="Times New Roman"/>
          <w:sz w:val="24"/>
          <w:szCs w:val="24"/>
          <w:lang w:eastAsia="en-GB"/>
        </w:rPr>
        <w:t>).</w:t>
      </w:r>
    </w:p>
    <w:p w14:paraId="7ECEB698" w14:textId="5F2E0525" w:rsidR="0042546A" w:rsidRPr="004D77CC" w:rsidRDefault="0042546A" w:rsidP="004D77CC">
      <w:pPr>
        <w:pStyle w:val="EU"/>
        <w:spacing w:line="360" w:lineRule="auto"/>
        <w:rPr>
          <w:rFonts w:ascii="Times New Roman" w:hAnsi="Times New Roman" w:cs="Times New Roman"/>
          <w:color w:val="auto"/>
        </w:rPr>
      </w:pPr>
      <w:bookmarkStart w:id="7" w:name="_Toc191678557"/>
      <w:r w:rsidRPr="004D77CC">
        <w:rPr>
          <w:rFonts w:ascii="Times New Roman" w:hAnsi="Times New Roman" w:cs="Times New Roman"/>
          <w:color w:val="auto"/>
        </w:rPr>
        <w:t>Situational and Cultural Considerations</w:t>
      </w:r>
      <w:bookmarkEnd w:id="7"/>
    </w:p>
    <w:p w14:paraId="1FF70201" w14:textId="3034B15C" w:rsidR="0042546A" w:rsidRPr="004D77CC" w:rsidRDefault="0042546A" w:rsidP="004D77CC">
      <w:pPr>
        <w:spacing w:line="360" w:lineRule="auto"/>
        <w:jc w:val="both"/>
        <w:rPr>
          <w:rFonts w:ascii="Times New Roman" w:hAnsi="Times New Roman" w:cs="Times New Roman"/>
          <w:sz w:val="24"/>
          <w:szCs w:val="24"/>
          <w:lang w:eastAsia="en-GB"/>
        </w:rPr>
      </w:pPr>
      <w:r w:rsidRPr="004D77CC">
        <w:rPr>
          <w:rFonts w:ascii="Times New Roman" w:hAnsi="Times New Roman" w:cs="Times New Roman"/>
          <w:sz w:val="24"/>
          <w:szCs w:val="24"/>
          <w:lang w:eastAsia="en-GB"/>
        </w:rPr>
        <w:t>The cultural and environmental elements in Japan need a deliberate approach when planning an international conference on diversity, inclusion, and equality. This is especially true when considering the intersection of long-standing societal conventions and changing views on gender equality (Dredge et al., 2013). The event's results may be drastically affected by certain factors that a PESTEL study identifies. Governments may provide financial incentives for EDI projects, but delegates' attendance rates are susceptible to global political upheavals, so it's important to stay in touch with your local officials (O'Toole, 2011). A combination of tiered pricing and early-bird discounts is necessary to retain attendees in Tokyo's healthy market, which is nonetheless vulnerable to global recessions and currency changes (Meredith, 2022). Roundtable conversations and well planned networking events may help break down barriers to participation that may exist due to Japan's hierarchical work culture (Rogers and Wynn-Moylan, 2022). According to Pakarinen and Hoods (2018), the broad availability of high-speed internet has made hybrid forms possible, allowing for digital polls, real-time translation tools, and remote access for foreign delegates. The sustainability requirements of the Tokyo International Forum are based on environmental considerations, which provide a chance to highlight environmentally conscious event practices such electronic ticketing and the use of sustainable materials (Smith, 2012). O'Toole (2011) argues that complete documentation and backup plans are necessary to ensure legal compliance with local labour laws and immigration requirements. Being mindful of cultural norms, such as gift-giving traditions and linguistic subtleties, is equally important and may be achieved via staff training, interpreter services, and multilingual signs (Fox et al., 2014). The event may provide an inclusive experience that appeals to a diverse range of professionals by taking these cultural and environmental factors into account (Getz and Page, 2019).</w:t>
      </w:r>
    </w:p>
    <w:p w14:paraId="452AE47F" w14:textId="002ADD22" w:rsidR="0042546A" w:rsidRPr="004D77CC" w:rsidRDefault="0042546A" w:rsidP="004D77CC">
      <w:pPr>
        <w:pStyle w:val="EU"/>
        <w:spacing w:line="360" w:lineRule="auto"/>
        <w:rPr>
          <w:rFonts w:ascii="Times New Roman" w:hAnsi="Times New Roman" w:cs="Times New Roman"/>
          <w:color w:val="auto"/>
        </w:rPr>
      </w:pPr>
      <w:bookmarkStart w:id="8" w:name="_Toc191678558"/>
      <w:r w:rsidRPr="004D77CC">
        <w:rPr>
          <w:rFonts w:ascii="Times New Roman" w:hAnsi="Times New Roman" w:cs="Times New Roman"/>
          <w:color w:val="auto"/>
        </w:rPr>
        <w:t>Conclusion</w:t>
      </w:r>
      <w:bookmarkEnd w:id="8"/>
      <w:r w:rsidRPr="004D77CC">
        <w:rPr>
          <w:rFonts w:ascii="Times New Roman" w:hAnsi="Times New Roman" w:cs="Times New Roman"/>
          <w:color w:val="auto"/>
        </w:rPr>
        <w:t xml:space="preserve"> </w:t>
      </w:r>
    </w:p>
    <w:p w14:paraId="66FD9C7D" w14:textId="37223D2F" w:rsidR="0042546A" w:rsidRPr="004D77CC" w:rsidRDefault="0042546A" w:rsidP="004D77CC">
      <w:pPr>
        <w:spacing w:line="360" w:lineRule="auto"/>
        <w:jc w:val="both"/>
        <w:rPr>
          <w:rFonts w:ascii="Times New Roman" w:hAnsi="Times New Roman" w:cs="Times New Roman"/>
          <w:sz w:val="24"/>
          <w:szCs w:val="24"/>
          <w:lang w:eastAsia="en-GB"/>
        </w:rPr>
      </w:pPr>
      <w:r w:rsidRPr="004D77CC">
        <w:rPr>
          <w:rFonts w:ascii="Times New Roman" w:hAnsi="Times New Roman" w:cs="Times New Roman"/>
          <w:sz w:val="24"/>
          <w:szCs w:val="24"/>
          <w:lang w:eastAsia="en-GB"/>
        </w:rPr>
        <w:t>In conclusion, an</w:t>
      </w:r>
      <w:r w:rsidRPr="004D77CC">
        <w:rPr>
          <w:rFonts w:ascii="Times New Roman" w:hAnsi="Times New Roman" w:cs="Times New Roman"/>
          <w:sz w:val="24"/>
          <w:szCs w:val="24"/>
          <w:lang w:eastAsia="en-GB"/>
        </w:rPr>
        <w:t xml:space="preserve"> example of how events may spur real organisational change and mirror larger social demands for justice and representation is this planned worldwide conference on diversity, inclusion, and equality</w:t>
      </w:r>
      <w:r w:rsidRPr="004D77CC">
        <w:rPr>
          <w:rFonts w:ascii="Times New Roman" w:hAnsi="Times New Roman" w:cs="Times New Roman"/>
          <w:sz w:val="24"/>
          <w:szCs w:val="24"/>
          <w:lang w:eastAsia="en-GB"/>
        </w:rPr>
        <w:t xml:space="preserve">. </w:t>
      </w:r>
      <w:r w:rsidRPr="004D77CC">
        <w:rPr>
          <w:rFonts w:ascii="Times New Roman" w:hAnsi="Times New Roman" w:cs="Times New Roman"/>
          <w:sz w:val="24"/>
          <w:szCs w:val="24"/>
          <w:lang w:eastAsia="en-GB"/>
        </w:rPr>
        <w:t>Choosing Tokyo as the host city allows us to take advantage of its worldwide connectedness and cultural diversity, which provide the perfect environment for encouraging conversation across different sectors</w:t>
      </w:r>
      <w:r w:rsidRPr="004D77CC">
        <w:rPr>
          <w:rFonts w:ascii="Times New Roman" w:hAnsi="Times New Roman" w:cs="Times New Roman"/>
          <w:sz w:val="24"/>
          <w:szCs w:val="24"/>
          <w:lang w:eastAsia="en-GB"/>
        </w:rPr>
        <w:t xml:space="preserve">. </w:t>
      </w:r>
      <w:r w:rsidRPr="004D77CC">
        <w:rPr>
          <w:rFonts w:ascii="Times New Roman" w:hAnsi="Times New Roman" w:cs="Times New Roman"/>
          <w:sz w:val="24"/>
          <w:szCs w:val="24"/>
          <w:lang w:eastAsia="en-GB"/>
        </w:rPr>
        <w:t>The organising team can provide participants with access to actionable information and opportunities to connect with industry experts by using established frameworks for event management, such as thorough budgeting, risk assessments, and operational planning</w:t>
      </w:r>
      <w:r w:rsidRPr="004D77CC">
        <w:rPr>
          <w:rFonts w:ascii="Times New Roman" w:hAnsi="Times New Roman" w:cs="Times New Roman"/>
          <w:sz w:val="24"/>
          <w:szCs w:val="24"/>
          <w:lang w:eastAsia="en-GB"/>
        </w:rPr>
        <w:t xml:space="preserve">. </w:t>
      </w:r>
      <w:r w:rsidRPr="004D77CC">
        <w:rPr>
          <w:rFonts w:ascii="Times New Roman" w:hAnsi="Times New Roman" w:cs="Times New Roman"/>
          <w:sz w:val="24"/>
          <w:szCs w:val="24"/>
          <w:lang w:eastAsia="en-GB"/>
        </w:rPr>
        <w:t>The conference stays focused on practical, quantifiable achievements rather than abstract, theoretical talks thanks to its well defined goals and objectives. In the end, this event exemplifies the idea that productive meetings, supported by careful preparation and consideration of cultural norms, may hasten the worldwide advancement of EDI initiatives in business and society</w:t>
      </w:r>
      <w:r w:rsidRPr="004D77CC">
        <w:rPr>
          <w:rFonts w:ascii="Times New Roman" w:hAnsi="Times New Roman" w:cs="Times New Roman"/>
          <w:sz w:val="24"/>
          <w:szCs w:val="24"/>
          <w:lang w:eastAsia="en-GB"/>
        </w:rPr>
        <w:t xml:space="preserve">. </w:t>
      </w:r>
    </w:p>
    <w:p w14:paraId="61007F86" w14:textId="77777777" w:rsidR="0042546A" w:rsidRDefault="0042546A" w:rsidP="0042546A">
      <w:pPr>
        <w:spacing w:line="360" w:lineRule="auto"/>
        <w:jc w:val="both"/>
        <w:rPr>
          <w:rFonts w:ascii="Times New Roman" w:hAnsi="Times New Roman" w:cs="Times New Roman"/>
          <w:sz w:val="24"/>
          <w:szCs w:val="24"/>
          <w:lang w:eastAsia="en-GB"/>
        </w:rPr>
      </w:pPr>
    </w:p>
    <w:p w14:paraId="26EA2F6E" w14:textId="77777777" w:rsidR="0042546A" w:rsidRDefault="0042546A" w:rsidP="0042546A">
      <w:pPr>
        <w:spacing w:line="360" w:lineRule="auto"/>
        <w:jc w:val="both"/>
        <w:rPr>
          <w:rFonts w:ascii="Times New Roman" w:hAnsi="Times New Roman" w:cs="Times New Roman"/>
          <w:sz w:val="24"/>
          <w:szCs w:val="24"/>
          <w:lang w:eastAsia="en-GB"/>
        </w:rPr>
      </w:pPr>
    </w:p>
    <w:p w14:paraId="52345B75" w14:textId="77777777" w:rsidR="0042546A" w:rsidRDefault="0042546A" w:rsidP="0042546A">
      <w:pPr>
        <w:spacing w:line="360" w:lineRule="auto"/>
        <w:jc w:val="both"/>
        <w:rPr>
          <w:rFonts w:ascii="Times New Roman" w:hAnsi="Times New Roman" w:cs="Times New Roman"/>
          <w:sz w:val="24"/>
          <w:szCs w:val="24"/>
          <w:lang w:eastAsia="en-GB"/>
        </w:rPr>
      </w:pPr>
    </w:p>
    <w:p w14:paraId="0D61EC79" w14:textId="77777777" w:rsidR="0042546A" w:rsidRDefault="0042546A" w:rsidP="0042546A">
      <w:pPr>
        <w:spacing w:line="360" w:lineRule="auto"/>
        <w:jc w:val="both"/>
        <w:rPr>
          <w:rFonts w:ascii="Times New Roman" w:hAnsi="Times New Roman" w:cs="Times New Roman"/>
          <w:sz w:val="24"/>
          <w:szCs w:val="24"/>
          <w:lang w:eastAsia="en-GB"/>
        </w:rPr>
      </w:pPr>
    </w:p>
    <w:p w14:paraId="6A3DFECC" w14:textId="77777777" w:rsidR="0042546A" w:rsidRDefault="0042546A" w:rsidP="0042546A">
      <w:pPr>
        <w:spacing w:line="360" w:lineRule="auto"/>
        <w:jc w:val="both"/>
        <w:rPr>
          <w:rFonts w:ascii="Times New Roman" w:hAnsi="Times New Roman" w:cs="Times New Roman"/>
          <w:sz w:val="24"/>
          <w:szCs w:val="24"/>
          <w:lang w:eastAsia="en-GB"/>
        </w:rPr>
      </w:pPr>
    </w:p>
    <w:p w14:paraId="1DFA29AE" w14:textId="77777777" w:rsidR="0042546A" w:rsidRDefault="0042546A" w:rsidP="0042546A">
      <w:pPr>
        <w:spacing w:line="360" w:lineRule="auto"/>
        <w:jc w:val="both"/>
        <w:rPr>
          <w:rFonts w:ascii="Times New Roman" w:hAnsi="Times New Roman" w:cs="Times New Roman"/>
          <w:sz w:val="24"/>
          <w:szCs w:val="24"/>
          <w:lang w:eastAsia="en-GB"/>
        </w:rPr>
      </w:pPr>
    </w:p>
    <w:p w14:paraId="0F46D773" w14:textId="77777777" w:rsidR="0042546A" w:rsidRDefault="0042546A" w:rsidP="0042546A">
      <w:pPr>
        <w:spacing w:line="360" w:lineRule="auto"/>
        <w:jc w:val="both"/>
        <w:rPr>
          <w:rFonts w:ascii="Times New Roman" w:hAnsi="Times New Roman" w:cs="Times New Roman"/>
          <w:sz w:val="24"/>
          <w:szCs w:val="24"/>
          <w:lang w:eastAsia="en-GB"/>
        </w:rPr>
      </w:pPr>
    </w:p>
    <w:p w14:paraId="1DB58FAA" w14:textId="77777777" w:rsidR="0042546A" w:rsidRDefault="0042546A" w:rsidP="0042546A">
      <w:pPr>
        <w:spacing w:line="360" w:lineRule="auto"/>
        <w:jc w:val="both"/>
        <w:rPr>
          <w:rFonts w:ascii="Times New Roman" w:hAnsi="Times New Roman" w:cs="Times New Roman"/>
          <w:sz w:val="24"/>
          <w:szCs w:val="24"/>
          <w:lang w:eastAsia="en-GB"/>
        </w:rPr>
      </w:pPr>
    </w:p>
    <w:p w14:paraId="3218AB97" w14:textId="77777777" w:rsidR="0042546A" w:rsidRDefault="0042546A" w:rsidP="0042546A">
      <w:pPr>
        <w:spacing w:line="360" w:lineRule="auto"/>
        <w:jc w:val="both"/>
        <w:rPr>
          <w:rFonts w:ascii="Times New Roman" w:hAnsi="Times New Roman" w:cs="Times New Roman"/>
          <w:sz w:val="24"/>
          <w:szCs w:val="24"/>
          <w:lang w:eastAsia="en-GB"/>
        </w:rPr>
      </w:pPr>
    </w:p>
    <w:p w14:paraId="5A6B22DB" w14:textId="77777777" w:rsidR="0042546A" w:rsidRDefault="0042546A" w:rsidP="0042546A">
      <w:pPr>
        <w:spacing w:line="360" w:lineRule="auto"/>
        <w:jc w:val="both"/>
        <w:rPr>
          <w:rFonts w:ascii="Times New Roman" w:hAnsi="Times New Roman" w:cs="Times New Roman"/>
          <w:sz w:val="24"/>
          <w:szCs w:val="24"/>
          <w:lang w:eastAsia="en-GB"/>
        </w:rPr>
      </w:pPr>
    </w:p>
    <w:p w14:paraId="35A0737D" w14:textId="77777777" w:rsidR="0042546A" w:rsidRDefault="0042546A" w:rsidP="0042546A">
      <w:pPr>
        <w:spacing w:line="360" w:lineRule="auto"/>
        <w:jc w:val="both"/>
        <w:rPr>
          <w:rFonts w:ascii="Times New Roman" w:hAnsi="Times New Roman" w:cs="Times New Roman"/>
          <w:sz w:val="24"/>
          <w:szCs w:val="24"/>
          <w:lang w:eastAsia="en-GB"/>
        </w:rPr>
      </w:pPr>
    </w:p>
    <w:p w14:paraId="7F4D3A6C" w14:textId="77777777" w:rsidR="0042546A" w:rsidRDefault="0042546A" w:rsidP="0042546A">
      <w:pPr>
        <w:spacing w:line="360" w:lineRule="auto"/>
        <w:jc w:val="both"/>
        <w:rPr>
          <w:rFonts w:ascii="Times New Roman" w:hAnsi="Times New Roman" w:cs="Times New Roman"/>
          <w:sz w:val="24"/>
          <w:szCs w:val="24"/>
          <w:lang w:eastAsia="en-GB"/>
        </w:rPr>
      </w:pPr>
    </w:p>
    <w:p w14:paraId="07F52E20" w14:textId="77777777" w:rsidR="0042546A" w:rsidRDefault="0042546A" w:rsidP="0042546A">
      <w:pPr>
        <w:spacing w:line="360" w:lineRule="auto"/>
        <w:jc w:val="both"/>
        <w:rPr>
          <w:rFonts w:ascii="Times New Roman" w:hAnsi="Times New Roman" w:cs="Times New Roman"/>
          <w:sz w:val="24"/>
          <w:szCs w:val="24"/>
          <w:lang w:eastAsia="en-GB"/>
        </w:rPr>
      </w:pPr>
    </w:p>
    <w:p w14:paraId="203DFB48" w14:textId="77777777" w:rsidR="0042546A" w:rsidRDefault="0042546A" w:rsidP="0042546A">
      <w:pPr>
        <w:spacing w:line="360" w:lineRule="auto"/>
        <w:jc w:val="both"/>
        <w:rPr>
          <w:rFonts w:ascii="Times New Roman" w:hAnsi="Times New Roman" w:cs="Times New Roman"/>
          <w:sz w:val="24"/>
          <w:szCs w:val="24"/>
          <w:lang w:eastAsia="en-GB"/>
        </w:rPr>
      </w:pPr>
    </w:p>
    <w:p w14:paraId="47657253" w14:textId="77777777" w:rsidR="0042546A" w:rsidRDefault="0042546A" w:rsidP="0042546A">
      <w:pPr>
        <w:spacing w:line="360" w:lineRule="auto"/>
        <w:jc w:val="both"/>
        <w:rPr>
          <w:rFonts w:ascii="Times New Roman" w:hAnsi="Times New Roman" w:cs="Times New Roman"/>
          <w:sz w:val="24"/>
          <w:szCs w:val="24"/>
          <w:lang w:eastAsia="en-GB"/>
        </w:rPr>
      </w:pPr>
    </w:p>
    <w:p w14:paraId="36F77E36" w14:textId="77777777" w:rsidR="0042546A" w:rsidRDefault="0042546A" w:rsidP="0042546A">
      <w:pPr>
        <w:spacing w:line="360" w:lineRule="auto"/>
        <w:jc w:val="both"/>
        <w:rPr>
          <w:rFonts w:ascii="Times New Roman" w:hAnsi="Times New Roman" w:cs="Times New Roman"/>
          <w:sz w:val="24"/>
          <w:szCs w:val="24"/>
          <w:lang w:eastAsia="en-GB"/>
        </w:rPr>
      </w:pPr>
    </w:p>
    <w:p w14:paraId="70423063" w14:textId="77777777" w:rsidR="0042546A" w:rsidRDefault="0042546A" w:rsidP="0042546A">
      <w:pPr>
        <w:spacing w:line="360" w:lineRule="auto"/>
        <w:jc w:val="both"/>
        <w:rPr>
          <w:rFonts w:ascii="Times New Roman" w:hAnsi="Times New Roman" w:cs="Times New Roman"/>
          <w:sz w:val="24"/>
          <w:szCs w:val="24"/>
          <w:lang w:eastAsia="en-GB"/>
        </w:rPr>
      </w:pPr>
    </w:p>
    <w:p w14:paraId="676FD089" w14:textId="77777777" w:rsidR="0042546A" w:rsidRDefault="0042546A" w:rsidP="0042546A">
      <w:pPr>
        <w:spacing w:line="360" w:lineRule="auto"/>
        <w:jc w:val="both"/>
        <w:rPr>
          <w:rFonts w:ascii="Times New Roman" w:hAnsi="Times New Roman" w:cs="Times New Roman"/>
          <w:sz w:val="24"/>
          <w:szCs w:val="24"/>
          <w:lang w:eastAsia="en-GB"/>
        </w:rPr>
      </w:pPr>
    </w:p>
    <w:p w14:paraId="617737A4" w14:textId="77777777" w:rsidR="0042546A" w:rsidRDefault="0042546A" w:rsidP="0042546A">
      <w:pPr>
        <w:spacing w:line="360" w:lineRule="auto"/>
        <w:jc w:val="both"/>
        <w:rPr>
          <w:rFonts w:ascii="Times New Roman" w:hAnsi="Times New Roman" w:cs="Times New Roman"/>
          <w:sz w:val="24"/>
          <w:szCs w:val="24"/>
          <w:lang w:eastAsia="en-GB"/>
        </w:rPr>
      </w:pPr>
    </w:p>
    <w:p w14:paraId="192701E6" w14:textId="368FFE9D" w:rsidR="0042546A" w:rsidRPr="004D77CC" w:rsidRDefault="0042546A" w:rsidP="004D77CC">
      <w:pPr>
        <w:pStyle w:val="EU"/>
        <w:spacing w:line="360" w:lineRule="auto"/>
        <w:rPr>
          <w:rFonts w:ascii="Times New Roman" w:hAnsi="Times New Roman" w:cs="Times New Roman"/>
          <w:color w:val="auto"/>
        </w:rPr>
      </w:pPr>
      <w:bookmarkStart w:id="9" w:name="_Toc191678559"/>
      <w:r w:rsidRPr="004D77CC">
        <w:rPr>
          <w:rFonts w:ascii="Times New Roman" w:hAnsi="Times New Roman" w:cs="Times New Roman"/>
          <w:color w:val="auto"/>
        </w:rPr>
        <w:t>References</w:t>
      </w:r>
      <w:bookmarkEnd w:id="9"/>
      <w:r w:rsidRPr="004D77CC">
        <w:rPr>
          <w:rFonts w:ascii="Times New Roman" w:hAnsi="Times New Roman" w:cs="Times New Roman"/>
          <w:color w:val="auto"/>
        </w:rPr>
        <w:t xml:space="preserve"> </w:t>
      </w:r>
    </w:p>
    <w:p w14:paraId="5F6F5533" w14:textId="2A6953E8" w:rsidR="0042546A" w:rsidRPr="004D77CC" w:rsidRDefault="0042546A" w:rsidP="004D77CC">
      <w:pPr>
        <w:spacing w:line="360" w:lineRule="auto"/>
        <w:jc w:val="both"/>
        <w:rPr>
          <w:rFonts w:ascii="Times New Roman" w:hAnsi="Times New Roman" w:cs="Times New Roman"/>
          <w:sz w:val="24"/>
          <w:szCs w:val="24"/>
          <w:lang w:eastAsia="en-GB"/>
        </w:rPr>
      </w:pPr>
    </w:p>
    <w:p w14:paraId="37E70DBE" w14:textId="4556C445" w:rsidR="0042546A" w:rsidRPr="004D77CC" w:rsidRDefault="004D77CC" w:rsidP="004D77CC">
      <w:pPr>
        <w:spacing w:line="360" w:lineRule="auto"/>
        <w:jc w:val="both"/>
        <w:rPr>
          <w:rFonts w:ascii="Times New Roman" w:hAnsi="Times New Roman" w:cs="Times New Roman"/>
          <w:sz w:val="24"/>
          <w:szCs w:val="24"/>
          <w:lang w:eastAsia="en-GB"/>
        </w:rPr>
      </w:pPr>
      <w:r w:rsidRPr="004D77CC">
        <w:rPr>
          <w:rFonts w:ascii="Times New Roman" w:hAnsi="Times New Roman" w:cs="Times New Roman"/>
          <w:sz w:val="24"/>
          <w:szCs w:val="24"/>
          <w:lang w:eastAsia="en-GB"/>
        </w:rPr>
        <w:t>Bladen, C., Kennell, J., Abson, E. and Wilde, N., 2022. Events management: An introduction. Routledge.</w:t>
      </w:r>
    </w:p>
    <w:p w14:paraId="7BD76919" w14:textId="75A1E85C" w:rsidR="004D77CC" w:rsidRPr="004D77CC" w:rsidRDefault="004D77CC" w:rsidP="004D77CC">
      <w:pPr>
        <w:spacing w:line="360" w:lineRule="auto"/>
        <w:jc w:val="both"/>
        <w:rPr>
          <w:rFonts w:ascii="Times New Roman" w:hAnsi="Times New Roman" w:cs="Times New Roman"/>
          <w:sz w:val="24"/>
          <w:szCs w:val="24"/>
          <w:lang w:eastAsia="en-GB"/>
        </w:rPr>
      </w:pPr>
      <w:r w:rsidRPr="004D77CC">
        <w:rPr>
          <w:rFonts w:ascii="Times New Roman" w:hAnsi="Times New Roman" w:cs="Times New Roman"/>
          <w:sz w:val="24"/>
          <w:szCs w:val="24"/>
          <w:lang w:eastAsia="en-GB"/>
        </w:rPr>
        <w:t xml:space="preserve">Bowdin, G.A., Allen, J., Harris, R., Jago, L., </w:t>
      </w:r>
      <w:proofErr w:type="spellStart"/>
      <w:r w:rsidRPr="004D77CC">
        <w:rPr>
          <w:rFonts w:ascii="Times New Roman" w:hAnsi="Times New Roman" w:cs="Times New Roman"/>
          <w:sz w:val="24"/>
          <w:szCs w:val="24"/>
          <w:lang w:eastAsia="en-GB"/>
        </w:rPr>
        <w:t>O'toole</w:t>
      </w:r>
      <w:proofErr w:type="spellEnd"/>
      <w:r w:rsidRPr="004D77CC">
        <w:rPr>
          <w:rFonts w:ascii="Times New Roman" w:hAnsi="Times New Roman" w:cs="Times New Roman"/>
          <w:sz w:val="24"/>
          <w:szCs w:val="24"/>
          <w:lang w:eastAsia="en-GB"/>
        </w:rPr>
        <w:t>, W. and McDonnell, I., 2023. Events management. Routledge.</w:t>
      </w:r>
    </w:p>
    <w:p w14:paraId="3CB4E0D2" w14:textId="43FB56A5" w:rsidR="004D77CC" w:rsidRPr="004D77CC" w:rsidRDefault="004D77CC" w:rsidP="004D77CC">
      <w:pPr>
        <w:spacing w:line="360" w:lineRule="auto"/>
        <w:jc w:val="both"/>
        <w:rPr>
          <w:rFonts w:ascii="Times New Roman" w:hAnsi="Times New Roman" w:cs="Times New Roman"/>
          <w:sz w:val="24"/>
          <w:szCs w:val="24"/>
          <w:lang w:eastAsia="en-GB"/>
        </w:rPr>
      </w:pPr>
      <w:r w:rsidRPr="004D77CC">
        <w:rPr>
          <w:rFonts w:ascii="Times New Roman" w:hAnsi="Times New Roman" w:cs="Times New Roman"/>
          <w:sz w:val="24"/>
          <w:szCs w:val="24"/>
          <w:lang w:eastAsia="en-GB"/>
        </w:rPr>
        <w:t xml:space="preserve">Dredge, D., </w:t>
      </w:r>
      <w:proofErr w:type="spellStart"/>
      <w:r w:rsidRPr="004D77CC">
        <w:rPr>
          <w:rFonts w:ascii="Times New Roman" w:hAnsi="Times New Roman" w:cs="Times New Roman"/>
          <w:sz w:val="24"/>
          <w:szCs w:val="24"/>
          <w:lang w:eastAsia="en-GB"/>
        </w:rPr>
        <w:t>Benckendorff</w:t>
      </w:r>
      <w:proofErr w:type="spellEnd"/>
      <w:r w:rsidRPr="004D77CC">
        <w:rPr>
          <w:rFonts w:ascii="Times New Roman" w:hAnsi="Times New Roman" w:cs="Times New Roman"/>
          <w:sz w:val="24"/>
          <w:szCs w:val="24"/>
          <w:lang w:eastAsia="en-GB"/>
        </w:rPr>
        <w:t>, P., Day, M., Gross, M.J., Walo, M., Weeks, P. and Whitelaw, P.A., 2013. Drivers of change in tourism, hospitality, and event management education: An Australian perspective. Journal of Hospitality &amp; Tourism Education, 25(2), pp.89-102.</w:t>
      </w:r>
    </w:p>
    <w:p w14:paraId="48E5DD5E" w14:textId="138F7D78" w:rsidR="0042546A" w:rsidRPr="004D77CC" w:rsidRDefault="004D77CC" w:rsidP="004D77CC">
      <w:pPr>
        <w:spacing w:line="360" w:lineRule="auto"/>
        <w:jc w:val="both"/>
        <w:rPr>
          <w:rFonts w:ascii="Times New Roman" w:hAnsi="Times New Roman" w:cs="Times New Roman"/>
          <w:sz w:val="24"/>
          <w:szCs w:val="24"/>
          <w:lang w:eastAsia="en-GB"/>
        </w:rPr>
      </w:pPr>
      <w:r w:rsidRPr="004D77CC">
        <w:rPr>
          <w:rFonts w:ascii="Times New Roman" w:hAnsi="Times New Roman" w:cs="Times New Roman"/>
          <w:sz w:val="24"/>
          <w:szCs w:val="24"/>
          <w:lang w:eastAsia="en-GB"/>
        </w:rPr>
        <w:t>Fox, D. et al. (2014) Doing events research: from theory to practice. Routledge: Oxford</w:t>
      </w:r>
    </w:p>
    <w:p w14:paraId="11B0F5BF" w14:textId="684CAD11" w:rsidR="004D77CC" w:rsidRPr="004D77CC" w:rsidRDefault="004D77CC" w:rsidP="004D77CC">
      <w:pPr>
        <w:spacing w:after="29" w:line="360" w:lineRule="auto"/>
        <w:ind w:left="2" w:right="-24"/>
        <w:jc w:val="both"/>
        <w:rPr>
          <w:rFonts w:ascii="Times New Roman" w:eastAsia="Times New Roman" w:hAnsi="Times New Roman" w:cs="Times New Roman"/>
          <w:sz w:val="24"/>
          <w:szCs w:val="24"/>
          <w:lang w:eastAsia="en-GB"/>
          <w14:ligatures w14:val="none"/>
        </w:rPr>
      </w:pPr>
      <w:r w:rsidRPr="004D77CC">
        <w:rPr>
          <w:rFonts w:ascii="Times New Roman" w:eastAsia="Times New Roman" w:hAnsi="Times New Roman" w:cs="Times New Roman"/>
          <w:sz w:val="24"/>
          <w:szCs w:val="24"/>
          <w:lang w:eastAsia="en-GB"/>
          <w14:ligatures w14:val="none"/>
        </w:rPr>
        <w:t>Getz, D. and Page, S. (2019) Event studies: theory, research and policy for planned events. 3</w:t>
      </w:r>
      <w:r w:rsidRPr="004D77CC">
        <w:rPr>
          <w:rFonts w:ascii="Times New Roman" w:eastAsia="Times New Roman" w:hAnsi="Times New Roman" w:cs="Times New Roman"/>
          <w:sz w:val="24"/>
          <w:szCs w:val="24"/>
          <w:vertAlign w:val="superscript"/>
          <w:lang w:eastAsia="en-GB"/>
          <w14:ligatures w14:val="none"/>
        </w:rPr>
        <w:t>rd</w:t>
      </w:r>
      <w:r w:rsidRPr="004D77CC">
        <w:rPr>
          <w:rFonts w:ascii="Times New Roman" w:eastAsia="Times New Roman" w:hAnsi="Times New Roman" w:cs="Times New Roman"/>
          <w:sz w:val="24"/>
          <w:szCs w:val="24"/>
          <w:lang w:eastAsia="en-GB"/>
          <w14:ligatures w14:val="none"/>
        </w:rPr>
        <w:t xml:space="preserve"> Edition.</w:t>
      </w:r>
      <w:r w:rsidRPr="004D77CC">
        <w:rPr>
          <w:rFonts w:ascii="Times New Roman" w:eastAsia="Times New Roman" w:hAnsi="Times New Roman" w:cs="Times New Roman"/>
          <w:sz w:val="24"/>
          <w:szCs w:val="24"/>
          <w:lang w:eastAsia="en-GB"/>
          <w14:ligatures w14:val="none"/>
        </w:rPr>
        <w:t xml:space="preserve"> </w:t>
      </w:r>
      <w:r w:rsidRPr="004D77CC">
        <w:rPr>
          <w:rFonts w:ascii="Times New Roman" w:eastAsia="Times New Roman" w:hAnsi="Times New Roman" w:cs="Times New Roman"/>
          <w:sz w:val="24"/>
          <w:szCs w:val="24"/>
          <w:lang w:eastAsia="en-GB"/>
          <w14:ligatures w14:val="none"/>
        </w:rPr>
        <w:t>Routledge: Oxford</w:t>
      </w:r>
    </w:p>
    <w:p w14:paraId="70E5F60D" w14:textId="77777777" w:rsidR="004D77CC" w:rsidRPr="004D77CC" w:rsidRDefault="004D77CC" w:rsidP="004D77CC">
      <w:pPr>
        <w:spacing w:line="360" w:lineRule="auto"/>
        <w:jc w:val="both"/>
        <w:rPr>
          <w:rFonts w:ascii="Times New Roman" w:hAnsi="Times New Roman" w:cs="Times New Roman"/>
          <w:sz w:val="24"/>
          <w:szCs w:val="24"/>
          <w:lang w:eastAsia="en-GB"/>
        </w:rPr>
      </w:pPr>
      <w:r w:rsidRPr="004D77CC">
        <w:rPr>
          <w:rFonts w:ascii="Times New Roman" w:hAnsi="Times New Roman" w:cs="Times New Roman"/>
          <w:sz w:val="24"/>
          <w:szCs w:val="24"/>
          <w:lang w:eastAsia="en-GB"/>
        </w:rPr>
        <w:t xml:space="preserve">Meredith, J. (2022) Project management: a managerial approach </w:t>
      </w:r>
    </w:p>
    <w:p w14:paraId="791AC929" w14:textId="7F86C950" w:rsidR="004D77CC" w:rsidRPr="004D77CC" w:rsidRDefault="004D77CC" w:rsidP="004D77CC">
      <w:pPr>
        <w:spacing w:line="360" w:lineRule="auto"/>
        <w:jc w:val="both"/>
        <w:rPr>
          <w:rFonts w:ascii="Times New Roman" w:hAnsi="Times New Roman" w:cs="Times New Roman"/>
          <w:sz w:val="24"/>
          <w:szCs w:val="24"/>
          <w:lang w:eastAsia="en-GB"/>
        </w:rPr>
      </w:pPr>
      <w:r w:rsidRPr="004D77CC">
        <w:rPr>
          <w:rFonts w:ascii="Times New Roman" w:hAnsi="Times New Roman" w:cs="Times New Roman"/>
          <w:sz w:val="24"/>
          <w:szCs w:val="24"/>
          <w:lang w:eastAsia="en-GB"/>
        </w:rPr>
        <w:t xml:space="preserve">O’Toole, W. (2011) Events feasibility and development: </w:t>
      </w:r>
      <w:r w:rsidRPr="004D77CC">
        <w:rPr>
          <w:rFonts w:ascii="Times New Roman" w:hAnsi="Times New Roman" w:cs="Times New Roman"/>
          <w:sz w:val="24"/>
          <w:szCs w:val="24"/>
          <w:lang w:eastAsia="en-GB"/>
        </w:rPr>
        <w:t xml:space="preserve"> </w:t>
      </w:r>
      <w:r w:rsidRPr="004D77CC">
        <w:rPr>
          <w:rFonts w:ascii="Times New Roman" w:hAnsi="Times New Roman" w:cs="Times New Roman"/>
          <w:sz w:val="24"/>
          <w:szCs w:val="24"/>
          <w:lang w:eastAsia="en-GB"/>
        </w:rPr>
        <w:t>from strategy to operations. Elsevier: Oxford</w:t>
      </w:r>
    </w:p>
    <w:p w14:paraId="17FF1C2A" w14:textId="3F253C5C" w:rsidR="004D77CC" w:rsidRPr="004D77CC" w:rsidRDefault="004D77CC" w:rsidP="004D77CC">
      <w:pPr>
        <w:spacing w:line="360" w:lineRule="auto"/>
        <w:jc w:val="both"/>
        <w:rPr>
          <w:rFonts w:ascii="Times New Roman" w:hAnsi="Times New Roman" w:cs="Times New Roman"/>
          <w:sz w:val="24"/>
          <w:szCs w:val="24"/>
          <w:lang w:eastAsia="en-GB"/>
        </w:rPr>
      </w:pPr>
      <w:r w:rsidRPr="004D77CC">
        <w:rPr>
          <w:rFonts w:ascii="Times New Roman" w:hAnsi="Times New Roman" w:cs="Times New Roman"/>
          <w:sz w:val="24"/>
          <w:szCs w:val="24"/>
          <w:lang w:eastAsia="en-GB"/>
        </w:rPr>
        <w:t>Pakarinen, T. and Hoods, J., 2018. From hybrid events to the next generation-interactive virtual events: Viewed from three different stakeholders’ point of view.</w:t>
      </w:r>
    </w:p>
    <w:p w14:paraId="33E66A4D" w14:textId="1FA47220" w:rsidR="0042546A" w:rsidRPr="004D77CC" w:rsidRDefault="0042546A" w:rsidP="004D77CC">
      <w:pPr>
        <w:spacing w:line="360" w:lineRule="auto"/>
        <w:jc w:val="both"/>
        <w:rPr>
          <w:rFonts w:ascii="Times New Roman" w:hAnsi="Times New Roman" w:cs="Times New Roman"/>
          <w:sz w:val="24"/>
          <w:szCs w:val="24"/>
          <w:lang w:eastAsia="en-GB"/>
        </w:rPr>
      </w:pPr>
      <w:r w:rsidRPr="004D77CC">
        <w:rPr>
          <w:rFonts w:ascii="Times New Roman" w:hAnsi="Times New Roman" w:cs="Times New Roman"/>
          <w:sz w:val="24"/>
          <w:szCs w:val="24"/>
          <w:lang w:eastAsia="en-GB"/>
        </w:rPr>
        <w:t>Rogers, T. Wynn-Moylan, P (2022) Conferences and conventions: a global industry. 4th Edition. Routledge: Oxford</w:t>
      </w:r>
    </w:p>
    <w:p w14:paraId="65F76CE3" w14:textId="7EE678FC" w:rsidR="004D77CC" w:rsidRPr="004D77CC" w:rsidRDefault="004D77CC" w:rsidP="004D77CC">
      <w:pPr>
        <w:spacing w:line="360" w:lineRule="auto"/>
        <w:jc w:val="both"/>
        <w:rPr>
          <w:rFonts w:ascii="Times New Roman" w:hAnsi="Times New Roman" w:cs="Times New Roman"/>
          <w:sz w:val="24"/>
          <w:szCs w:val="24"/>
          <w:lang w:eastAsia="en-GB"/>
        </w:rPr>
      </w:pPr>
      <w:r w:rsidRPr="004D77CC">
        <w:rPr>
          <w:rFonts w:ascii="Times New Roman" w:hAnsi="Times New Roman" w:cs="Times New Roman"/>
          <w:sz w:val="24"/>
          <w:szCs w:val="24"/>
          <w:lang w:eastAsia="en-GB"/>
        </w:rPr>
        <w:t>Shone, A. and Parry, B., 2019. Successful event management: a practical handbook. Cengage learning.</w:t>
      </w:r>
    </w:p>
    <w:p w14:paraId="5BB20C65" w14:textId="4AC5B3CD" w:rsidR="0042546A" w:rsidRPr="004D77CC" w:rsidRDefault="0042546A" w:rsidP="004D77CC">
      <w:pPr>
        <w:spacing w:line="360" w:lineRule="auto"/>
        <w:jc w:val="both"/>
        <w:rPr>
          <w:rFonts w:ascii="Times New Roman" w:hAnsi="Times New Roman" w:cs="Times New Roman"/>
          <w:sz w:val="24"/>
          <w:szCs w:val="24"/>
          <w:lang w:eastAsia="en-GB"/>
        </w:rPr>
      </w:pPr>
      <w:r w:rsidRPr="004D77CC">
        <w:rPr>
          <w:rFonts w:ascii="Times New Roman" w:hAnsi="Times New Roman" w:cs="Times New Roman"/>
          <w:sz w:val="24"/>
          <w:szCs w:val="24"/>
          <w:lang w:eastAsia="en-GB"/>
        </w:rPr>
        <w:t>Smith, A. (2012) Events and urban regeneration: the strategic use of events to revitalise cities. Routledge: Oxford</w:t>
      </w:r>
    </w:p>
    <w:sectPr w:rsidR="0042546A" w:rsidRPr="004D77CC">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26E42B" w14:textId="77777777" w:rsidR="00A40A27" w:rsidRDefault="00A40A27" w:rsidP="000832C9">
      <w:pPr>
        <w:spacing w:after="0" w:line="240" w:lineRule="auto"/>
      </w:pPr>
      <w:r>
        <w:separator/>
      </w:r>
    </w:p>
  </w:endnote>
  <w:endnote w:type="continuationSeparator" w:id="0">
    <w:p w14:paraId="5930295D" w14:textId="77777777" w:rsidR="00A40A27" w:rsidRDefault="00A40A27" w:rsidP="000832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57419"/>
      <w:docPartObj>
        <w:docPartGallery w:val="Page Numbers (Bottom of Page)"/>
        <w:docPartUnique/>
      </w:docPartObj>
    </w:sdtPr>
    <w:sdtContent>
      <w:p w14:paraId="296C0DB3" w14:textId="569DD4B6" w:rsidR="000832C9" w:rsidRDefault="000832C9">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259D699A" w14:textId="77777777" w:rsidR="000832C9" w:rsidRDefault="000832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43B2D3" w14:textId="77777777" w:rsidR="00A40A27" w:rsidRDefault="00A40A27" w:rsidP="000832C9">
      <w:pPr>
        <w:spacing w:after="0" w:line="240" w:lineRule="auto"/>
      </w:pPr>
      <w:r>
        <w:separator/>
      </w:r>
    </w:p>
  </w:footnote>
  <w:footnote w:type="continuationSeparator" w:id="0">
    <w:p w14:paraId="54AB4456" w14:textId="77777777" w:rsidR="00A40A27" w:rsidRDefault="00A40A27" w:rsidP="000832C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32C9"/>
    <w:rsid w:val="000832C9"/>
    <w:rsid w:val="0042546A"/>
    <w:rsid w:val="004D77CC"/>
    <w:rsid w:val="00544146"/>
    <w:rsid w:val="007B0CC3"/>
    <w:rsid w:val="00A40A27"/>
    <w:rsid w:val="00B151A8"/>
    <w:rsid w:val="00C82D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5E8AF0"/>
  <w15:chartTrackingRefBased/>
  <w15:docId w15:val="{85A576A8-84A0-4BFB-B64D-F4112C09FC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B0CC3"/>
    <w:pPr>
      <w:keepNext/>
      <w:keepLines/>
      <w:spacing w:before="240" w:after="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semiHidden/>
    <w:unhideWhenUsed/>
    <w:qFormat/>
    <w:rsid w:val="000832C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832C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832C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832C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832C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832C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832C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832C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U">
    <w:name w:val="EU"/>
    <w:basedOn w:val="Heading1"/>
    <w:link w:val="EUChar"/>
    <w:qFormat/>
    <w:rsid w:val="007B0CC3"/>
    <w:pPr>
      <w:spacing w:line="256" w:lineRule="auto"/>
      <w:jc w:val="both"/>
    </w:pPr>
    <w:rPr>
      <w:rFonts w:ascii="Arial" w:hAnsi="Arial" w:cs="Arial"/>
      <w:b/>
      <w:kern w:val="0"/>
      <w:sz w:val="24"/>
      <w:szCs w:val="24"/>
      <w:lang w:eastAsia="en-GB"/>
      <w14:ligatures w14:val="none"/>
    </w:rPr>
  </w:style>
  <w:style w:type="character" w:customStyle="1" w:styleId="EUChar">
    <w:name w:val="EU Char"/>
    <w:basedOn w:val="Heading1Char"/>
    <w:link w:val="EU"/>
    <w:rsid w:val="007B0CC3"/>
    <w:rPr>
      <w:rFonts w:ascii="Arial" w:eastAsiaTheme="majorEastAsia" w:hAnsi="Arial" w:cs="Arial"/>
      <w:b/>
      <w:color w:val="0F4761" w:themeColor="accent1" w:themeShade="BF"/>
      <w:kern w:val="0"/>
      <w:sz w:val="24"/>
      <w:szCs w:val="24"/>
      <w:lang w:eastAsia="en-GB"/>
      <w14:ligatures w14:val="none"/>
    </w:rPr>
  </w:style>
  <w:style w:type="character" w:customStyle="1" w:styleId="Heading1Char">
    <w:name w:val="Heading 1 Char"/>
    <w:basedOn w:val="DefaultParagraphFont"/>
    <w:link w:val="Heading1"/>
    <w:uiPriority w:val="9"/>
    <w:rsid w:val="007B0CC3"/>
    <w:rPr>
      <w:rFonts w:asciiTheme="majorHAnsi" w:eastAsiaTheme="majorEastAsia" w:hAnsiTheme="majorHAnsi" w:cstheme="majorBidi"/>
      <w:color w:val="0F4761" w:themeColor="accent1" w:themeShade="BF"/>
      <w:sz w:val="32"/>
      <w:szCs w:val="32"/>
    </w:rPr>
  </w:style>
  <w:style w:type="character" w:customStyle="1" w:styleId="Heading2Char">
    <w:name w:val="Heading 2 Char"/>
    <w:basedOn w:val="DefaultParagraphFont"/>
    <w:link w:val="Heading2"/>
    <w:uiPriority w:val="9"/>
    <w:semiHidden/>
    <w:rsid w:val="000832C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832C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832C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832C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832C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832C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832C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832C9"/>
    <w:rPr>
      <w:rFonts w:eastAsiaTheme="majorEastAsia" w:cstheme="majorBidi"/>
      <w:color w:val="272727" w:themeColor="text1" w:themeTint="D8"/>
    </w:rPr>
  </w:style>
  <w:style w:type="paragraph" w:styleId="Title">
    <w:name w:val="Title"/>
    <w:basedOn w:val="Normal"/>
    <w:next w:val="Normal"/>
    <w:link w:val="TitleChar"/>
    <w:uiPriority w:val="10"/>
    <w:qFormat/>
    <w:rsid w:val="000832C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832C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832C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832C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832C9"/>
    <w:pPr>
      <w:spacing w:before="160"/>
      <w:jc w:val="center"/>
    </w:pPr>
    <w:rPr>
      <w:i/>
      <w:iCs/>
      <w:color w:val="404040" w:themeColor="text1" w:themeTint="BF"/>
    </w:rPr>
  </w:style>
  <w:style w:type="character" w:customStyle="1" w:styleId="QuoteChar">
    <w:name w:val="Quote Char"/>
    <w:basedOn w:val="DefaultParagraphFont"/>
    <w:link w:val="Quote"/>
    <w:uiPriority w:val="29"/>
    <w:rsid w:val="000832C9"/>
    <w:rPr>
      <w:i/>
      <w:iCs/>
      <w:color w:val="404040" w:themeColor="text1" w:themeTint="BF"/>
    </w:rPr>
  </w:style>
  <w:style w:type="paragraph" w:styleId="ListParagraph">
    <w:name w:val="List Paragraph"/>
    <w:basedOn w:val="Normal"/>
    <w:uiPriority w:val="34"/>
    <w:qFormat/>
    <w:rsid w:val="000832C9"/>
    <w:pPr>
      <w:ind w:left="720"/>
      <w:contextualSpacing/>
    </w:pPr>
  </w:style>
  <w:style w:type="character" w:styleId="IntenseEmphasis">
    <w:name w:val="Intense Emphasis"/>
    <w:basedOn w:val="DefaultParagraphFont"/>
    <w:uiPriority w:val="21"/>
    <w:qFormat/>
    <w:rsid w:val="000832C9"/>
    <w:rPr>
      <w:i/>
      <w:iCs/>
      <w:color w:val="0F4761" w:themeColor="accent1" w:themeShade="BF"/>
    </w:rPr>
  </w:style>
  <w:style w:type="paragraph" w:styleId="IntenseQuote">
    <w:name w:val="Intense Quote"/>
    <w:basedOn w:val="Normal"/>
    <w:next w:val="Normal"/>
    <w:link w:val="IntenseQuoteChar"/>
    <w:uiPriority w:val="30"/>
    <w:qFormat/>
    <w:rsid w:val="000832C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832C9"/>
    <w:rPr>
      <w:i/>
      <w:iCs/>
      <w:color w:val="0F4761" w:themeColor="accent1" w:themeShade="BF"/>
    </w:rPr>
  </w:style>
  <w:style w:type="character" w:styleId="IntenseReference">
    <w:name w:val="Intense Reference"/>
    <w:basedOn w:val="DefaultParagraphFont"/>
    <w:uiPriority w:val="32"/>
    <w:qFormat/>
    <w:rsid w:val="000832C9"/>
    <w:rPr>
      <w:b/>
      <w:bCs/>
      <w:smallCaps/>
      <w:color w:val="0F4761" w:themeColor="accent1" w:themeShade="BF"/>
      <w:spacing w:val="5"/>
    </w:rPr>
  </w:style>
  <w:style w:type="paragraph" w:styleId="Header">
    <w:name w:val="header"/>
    <w:basedOn w:val="Normal"/>
    <w:link w:val="HeaderChar"/>
    <w:uiPriority w:val="99"/>
    <w:unhideWhenUsed/>
    <w:rsid w:val="000832C9"/>
    <w:pPr>
      <w:tabs>
        <w:tab w:val="center" w:pos="4513"/>
        <w:tab w:val="right" w:pos="9026"/>
      </w:tabs>
      <w:spacing w:after="0" w:line="240" w:lineRule="auto"/>
    </w:pPr>
  </w:style>
  <w:style w:type="character" w:customStyle="1" w:styleId="HeaderChar">
    <w:name w:val="Header Char"/>
    <w:basedOn w:val="DefaultParagraphFont"/>
    <w:link w:val="Header"/>
    <w:uiPriority w:val="99"/>
    <w:rsid w:val="000832C9"/>
  </w:style>
  <w:style w:type="paragraph" w:styleId="Footer">
    <w:name w:val="footer"/>
    <w:basedOn w:val="Normal"/>
    <w:link w:val="FooterChar"/>
    <w:uiPriority w:val="99"/>
    <w:unhideWhenUsed/>
    <w:rsid w:val="000832C9"/>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32C9"/>
  </w:style>
  <w:style w:type="table" w:styleId="TableGrid">
    <w:name w:val="Table Grid"/>
    <w:basedOn w:val="TableNormal"/>
    <w:uiPriority w:val="39"/>
    <w:rsid w:val="000832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42546A"/>
    <w:pPr>
      <w:outlineLvl w:val="9"/>
    </w:pPr>
    <w:rPr>
      <w:kern w:val="0"/>
      <w:lang w:val="en-US"/>
      <w14:ligatures w14:val="none"/>
    </w:rPr>
  </w:style>
  <w:style w:type="paragraph" w:styleId="TOC1">
    <w:name w:val="toc 1"/>
    <w:basedOn w:val="Normal"/>
    <w:next w:val="Normal"/>
    <w:autoRedefine/>
    <w:uiPriority w:val="39"/>
    <w:unhideWhenUsed/>
    <w:rsid w:val="0042546A"/>
    <w:pPr>
      <w:spacing w:after="100"/>
    </w:pPr>
  </w:style>
  <w:style w:type="character" w:styleId="Hyperlink">
    <w:name w:val="Hyperlink"/>
    <w:basedOn w:val="DefaultParagraphFont"/>
    <w:uiPriority w:val="99"/>
    <w:unhideWhenUsed/>
    <w:rsid w:val="0042546A"/>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0423131">
      <w:bodyDiv w:val="1"/>
      <w:marLeft w:val="0"/>
      <w:marRight w:val="0"/>
      <w:marTop w:val="0"/>
      <w:marBottom w:val="0"/>
      <w:divBdr>
        <w:top w:val="none" w:sz="0" w:space="0" w:color="auto"/>
        <w:left w:val="none" w:sz="0" w:space="0" w:color="auto"/>
        <w:bottom w:val="none" w:sz="0" w:space="0" w:color="auto"/>
        <w:right w:val="none" w:sz="0" w:space="0" w:color="auto"/>
      </w:divBdr>
    </w:div>
    <w:div w:id="1162085775">
      <w:bodyDiv w:val="1"/>
      <w:marLeft w:val="0"/>
      <w:marRight w:val="0"/>
      <w:marTop w:val="0"/>
      <w:marBottom w:val="0"/>
      <w:divBdr>
        <w:top w:val="none" w:sz="0" w:space="0" w:color="auto"/>
        <w:left w:val="none" w:sz="0" w:space="0" w:color="auto"/>
        <w:bottom w:val="none" w:sz="0" w:space="0" w:color="auto"/>
        <w:right w:val="none" w:sz="0" w:space="0" w:color="auto"/>
      </w:divBdr>
    </w:div>
    <w:div w:id="1351488367">
      <w:bodyDiv w:val="1"/>
      <w:marLeft w:val="0"/>
      <w:marRight w:val="0"/>
      <w:marTop w:val="0"/>
      <w:marBottom w:val="0"/>
      <w:divBdr>
        <w:top w:val="none" w:sz="0" w:space="0" w:color="auto"/>
        <w:left w:val="none" w:sz="0" w:space="0" w:color="auto"/>
        <w:bottom w:val="none" w:sz="0" w:space="0" w:color="auto"/>
        <w:right w:val="none" w:sz="0" w:space="0" w:color="auto"/>
      </w:divBdr>
    </w:div>
    <w:div w:id="1675918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12</Pages>
  <Words>3275</Words>
  <Characters>18671</Characters>
  <Application>Microsoft Office Word</Application>
  <DocSecurity>0</DocSecurity>
  <Lines>155</Lines>
  <Paragraphs>43</Paragraphs>
  <ScaleCrop>false</ScaleCrop>
  <HeadingPairs>
    <vt:vector size="4" baseType="variant">
      <vt:variant>
        <vt:lpstr>Title</vt:lpstr>
      </vt:variant>
      <vt:variant>
        <vt:i4>1</vt:i4>
      </vt:variant>
      <vt:variant>
        <vt:lpstr>Headings</vt:lpstr>
      </vt:variant>
      <vt:variant>
        <vt:i4>10</vt:i4>
      </vt:variant>
    </vt:vector>
  </HeadingPairs>
  <TitlesOfParts>
    <vt:vector size="11" baseType="lpstr">
      <vt:lpstr/>
      <vt:lpstr>Introduction </vt:lpstr>
      <vt:lpstr>The Event Cycle</vt:lpstr>
      <vt:lpstr>Event Concept</vt:lpstr>
      <vt:lpstr>Aim and objectives </vt:lpstr>
      <vt:lpstr>Event management </vt:lpstr>
      <vt:lpstr>Event Budget</vt:lpstr>
      <vt:lpstr>Industry Trends</vt:lpstr>
      <vt:lpstr>Situational and Cultural Considerations</vt:lpstr>
      <vt:lpstr>Conclusion </vt:lpstr>
      <vt:lpstr>References </vt:lpstr>
    </vt:vector>
  </TitlesOfParts>
  <Company/>
  <LinksUpToDate>false</LinksUpToDate>
  <CharactersWithSpaces>21903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1</cp:revision>
  <dcterms:created xsi:type="dcterms:W3CDTF">2025-02-28T23:22:00Z</dcterms:created>
  <dcterms:modified xsi:type="dcterms:W3CDTF">2025-02-28T23:50:00Z</dcterms:modified>
</cp:coreProperties>
</file>