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04172B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C5305">
              <w:rPr>
                <w:rFonts w:ascii="Times New Roman" w:hAnsi="Times New Roman" w:cs="Times New Roman"/>
                <w:b/>
                <w:color w:val="auto"/>
                <w:sz w:val="48"/>
              </w:rPr>
              <w:t>Catherine Fraser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0063F0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06688" w:rsidRPr="00006688">
              <w:rPr>
                <w:rFonts w:ascii="Times New Roman" w:hAnsi="Times New Roman" w:cs="Times New Roman"/>
                <w:b/>
                <w:color w:val="auto"/>
                <w:sz w:val="48"/>
              </w:rPr>
              <w:t xml:space="preserve"> </w:t>
            </w:r>
          </w:p>
          <w:p w14:paraId="6370B372" w14:textId="77777777" w:rsidR="00691969" w:rsidRDefault="00691969" w:rsidP="00691969">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2316884@student.uwtsd.ac.uk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43A517A0" w:rsidR="0085230E" w:rsidRDefault="00F02180" w:rsidP="005D3F07">
            <w:pPr>
              <w:overflowPunct/>
              <w:autoSpaceDE/>
              <w:autoSpaceDN/>
              <w:adjustRightInd/>
              <w:ind w:right="-957"/>
              <w:textAlignment w:val="auto"/>
              <w:rPr>
                <w:rFonts w:ascii="Times New Roman" w:hAnsi="Times New Roman" w:cs="Times New Roman"/>
                <w:b/>
                <w:color w:val="auto"/>
                <w:sz w:val="48"/>
              </w:rPr>
            </w:pPr>
            <w:r w:rsidRPr="00F02180">
              <w:rPr>
                <w:rFonts w:ascii="Times New Roman" w:hAnsi="Times New Roman" w:cs="Times New Roman"/>
                <w:b/>
                <w:color w:val="auto"/>
                <w:sz w:val="48"/>
              </w:rPr>
              <w:t>2316884</w:t>
            </w:r>
          </w:p>
          <w:p w14:paraId="524E65AF" w14:textId="77777777" w:rsidR="00F02180" w:rsidRPr="005D3F07" w:rsidRDefault="00F02180" w:rsidP="005D3F07">
            <w:pPr>
              <w:overflowPunct/>
              <w:autoSpaceDE/>
              <w:autoSpaceDN/>
              <w:adjustRightInd/>
              <w:ind w:right="-957"/>
              <w:textAlignment w:val="auto"/>
              <w:rPr>
                <w:rFonts w:ascii="Times New Roman" w:hAnsi="Times New Roman" w:cs="Times New Roman"/>
                <w:b/>
                <w:color w:val="auto"/>
                <w:sz w:val="48"/>
              </w:rPr>
            </w:pPr>
          </w:p>
          <w:p w14:paraId="5F84129B" w14:textId="08E81124"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w:t>
            </w:r>
            <w:r w:rsidR="008C5305">
              <w:rPr>
                <w:rFonts w:ascii="Times New Roman" w:hAnsi="Times New Roman" w:cs="Times New Roman"/>
                <w:b/>
                <w:color w:val="auto"/>
                <w:sz w:val="48"/>
              </w:rPr>
              <w:t>2</w:t>
            </w:r>
            <w:r w:rsidR="00AE6231">
              <w:rPr>
                <w:rFonts w:ascii="Times New Roman" w:hAnsi="Times New Roman" w:cs="Times New Roman"/>
                <w:b/>
                <w:color w:val="auto"/>
                <w:sz w:val="48"/>
              </w:rPr>
              <w:t xml:space="preserve"> </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A670606" w14:textId="76D01C52" w:rsidR="00F546D1" w:rsidRPr="00CD6D63" w:rsidRDefault="007374EF" w:rsidP="00CD6D63">
      <w:pPr>
        <w:jc w:val="center"/>
        <w:rPr>
          <w:b/>
          <w:sz w:val="24"/>
          <w:szCs w:val="24"/>
        </w:rPr>
      </w:pPr>
      <w:r w:rsidRPr="008C5305">
        <w:rPr>
          <w:rFonts w:asciiTheme="minorHAnsi" w:hAnsiTheme="minorHAnsi" w:cstheme="minorHAnsi"/>
          <w:b/>
          <w:sz w:val="24"/>
          <w:szCs w:val="24"/>
        </w:rPr>
        <w:t>Task 3</w:t>
      </w:r>
    </w:p>
    <w:p w14:paraId="3D5F0C24" w14:textId="77777777" w:rsidR="00F546D1" w:rsidRPr="008C5305" w:rsidRDefault="00F546D1" w:rsidP="00EE5BC3">
      <w:pPr>
        <w:jc w:val="center"/>
        <w:rPr>
          <w:rFonts w:asciiTheme="minorHAnsi" w:hAnsiTheme="minorHAnsi" w:cstheme="minorHAnsi"/>
          <w:b/>
          <w:sz w:val="24"/>
          <w:szCs w:val="24"/>
        </w:rPr>
      </w:pPr>
    </w:p>
    <w:p w14:paraId="02619381" w14:textId="77777777" w:rsidR="00A12F22" w:rsidRPr="008C5305" w:rsidRDefault="00E559CE" w:rsidP="00EE5BC3">
      <w:pPr>
        <w:jc w:val="center"/>
        <w:rPr>
          <w:rFonts w:asciiTheme="minorHAnsi" w:hAnsiTheme="minorHAnsi" w:cstheme="minorHAnsi"/>
          <w:b/>
          <w:color w:val="auto"/>
          <w:sz w:val="24"/>
          <w:szCs w:val="24"/>
        </w:rPr>
      </w:pPr>
      <w:r w:rsidRPr="008C5305">
        <w:rPr>
          <w:rFonts w:asciiTheme="minorHAnsi" w:hAnsiTheme="minorHAnsi" w:cstheme="minorHAnsi"/>
          <w:b/>
          <w:color w:val="auto"/>
          <w:sz w:val="24"/>
          <w:szCs w:val="24"/>
        </w:rPr>
        <w:t>Safeguarding and working in complex situations</w:t>
      </w:r>
      <w:r w:rsidR="00002C7A" w:rsidRPr="008C5305">
        <w:rPr>
          <w:rFonts w:asciiTheme="minorHAnsi" w:hAnsiTheme="minorHAnsi" w:cstheme="minorHAnsi"/>
          <w:b/>
          <w:color w:val="auto"/>
          <w:sz w:val="24"/>
          <w:szCs w:val="24"/>
        </w:rPr>
        <w:t xml:space="preserve"> – Case Study</w:t>
      </w:r>
    </w:p>
    <w:p w14:paraId="746467D8" w14:textId="77777777" w:rsidR="007C5ABE" w:rsidRPr="008C5305" w:rsidRDefault="007C5ABE" w:rsidP="0093018C">
      <w:pPr>
        <w:rPr>
          <w:rFonts w:asciiTheme="minorHAnsi" w:hAnsiTheme="minorHAnsi" w:cstheme="minorHAnsi"/>
          <w:b/>
          <w:color w:val="auto"/>
          <w:sz w:val="24"/>
          <w:szCs w:val="24"/>
        </w:rPr>
      </w:pPr>
    </w:p>
    <w:p w14:paraId="4AF0BB36" w14:textId="77777777" w:rsidR="00D0503D" w:rsidRPr="008C5305" w:rsidRDefault="00D0503D" w:rsidP="0093018C">
      <w:pPr>
        <w:rPr>
          <w:rFonts w:asciiTheme="minorHAnsi" w:hAnsiTheme="minorHAnsi" w:cstheme="minorHAnsi"/>
          <w:b/>
          <w:color w:val="auto"/>
          <w:sz w:val="24"/>
          <w:szCs w:val="24"/>
        </w:rPr>
      </w:pPr>
      <w:r w:rsidRPr="008C5305">
        <w:rPr>
          <w:rFonts w:asciiTheme="minorHAnsi" w:hAnsiTheme="minorHAnsi" w:cstheme="minorHAnsi"/>
          <w:b/>
          <w:color w:val="auto"/>
          <w:sz w:val="24"/>
          <w:szCs w:val="24"/>
        </w:rPr>
        <w:t>Guidance</w:t>
      </w:r>
      <w:r w:rsidR="00084DA6" w:rsidRPr="008C5305">
        <w:rPr>
          <w:rFonts w:asciiTheme="minorHAnsi" w:hAnsiTheme="minorHAnsi" w:cstheme="minorHAnsi"/>
          <w:b/>
          <w:color w:val="auto"/>
          <w:sz w:val="24"/>
          <w:szCs w:val="24"/>
        </w:rPr>
        <w:t>;</w:t>
      </w:r>
    </w:p>
    <w:p w14:paraId="104AED32" w14:textId="7E0942CD" w:rsidR="007C5ABE" w:rsidRPr="008C5305" w:rsidRDefault="00084DA6">
      <w:pPr>
        <w:jc w:val="both"/>
        <w:rPr>
          <w:rFonts w:asciiTheme="minorHAnsi" w:hAnsiTheme="minorHAnsi" w:cstheme="minorHAnsi"/>
          <w:i/>
          <w:iCs/>
          <w:sz w:val="24"/>
          <w:szCs w:val="24"/>
        </w:rPr>
      </w:pPr>
      <w:r w:rsidRPr="008C5305">
        <w:rPr>
          <w:rFonts w:asciiTheme="minorHAnsi" w:hAnsiTheme="minorHAnsi" w:cstheme="minorHAnsi"/>
          <w:i/>
          <w:iCs/>
          <w:sz w:val="24"/>
          <w:szCs w:val="24"/>
        </w:rPr>
        <w:t xml:space="preserve">Please ensure that you </w:t>
      </w:r>
      <w:r w:rsidR="00F45521" w:rsidRPr="008C5305">
        <w:rPr>
          <w:rFonts w:asciiTheme="minorHAnsi" w:hAnsiTheme="minorHAnsi" w:cstheme="minorHAnsi"/>
          <w:i/>
          <w:iCs/>
          <w:sz w:val="24"/>
          <w:szCs w:val="24"/>
        </w:rPr>
        <w:t>meet</w:t>
      </w:r>
      <w:r w:rsidRPr="008C5305">
        <w:rPr>
          <w:rFonts w:asciiTheme="minorHAnsi" w:hAnsiTheme="minorHAnsi" w:cstheme="minorHAnsi"/>
          <w:i/>
          <w:iCs/>
          <w:sz w:val="24"/>
          <w:szCs w:val="24"/>
        </w:rPr>
        <w:t xml:space="preserve"> the </w:t>
      </w:r>
      <w:r w:rsidR="00AA7960" w:rsidRPr="008C5305">
        <w:rPr>
          <w:rFonts w:asciiTheme="minorHAnsi" w:hAnsiTheme="minorHAnsi" w:cstheme="minorHAnsi"/>
          <w:i/>
          <w:iCs/>
          <w:sz w:val="24"/>
          <w:szCs w:val="24"/>
        </w:rPr>
        <w:t xml:space="preserve">National Occupational Standards and assigned </w:t>
      </w:r>
      <w:r w:rsidRPr="008C5305">
        <w:rPr>
          <w:rFonts w:asciiTheme="minorHAnsi" w:hAnsiTheme="minorHAnsi" w:cstheme="minorHAnsi"/>
          <w:i/>
          <w:iCs/>
          <w:sz w:val="24"/>
          <w:szCs w:val="24"/>
        </w:rPr>
        <w:t>Learning Outcomes for this task</w:t>
      </w:r>
      <w:r w:rsidR="00AA7960" w:rsidRPr="008C5305">
        <w:rPr>
          <w:rFonts w:asciiTheme="minorHAnsi" w:hAnsiTheme="minorHAnsi" w:cstheme="minorHAnsi"/>
          <w:i/>
          <w:iCs/>
          <w:sz w:val="24"/>
          <w:szCs w:val="24"/>
        </w:rPr>
        <w:t xml:space="preserve"> (s</w:t>
      </w:r>
      <w:r w:rsidRPr="008C5305">
        <w:rPr>
          <w:rFonts w:asciiTheme="minorHAnsi" w:hAnsiTheme="minorHAnsi" w:cstheme="minorHAnsi"/>
          <w:i/>
          <w:iCs/>
          <w:sz w:val="24"/>
          <w:szCs w:val="24"/>
        </w:rPr>
        <w:t xml:space="preserve">ee appendix </w:t>
      </w:r>
      <w:r w:rsidR="6D1B720D" w:rsidRPr="008C5305">
        <w:rPr>
          <w:rFonts w:asciiTheme="minorHAnsi" w:hAnsiTheme="minorHAnsi" w:cstheme="minorHAnsi"/>
          <w:i/>
          <w:iCs/>
          <w:sz w:val="24"/>
          <w:szCs w:val="24"/>
        </w:rPr>
        <w:t>5 and 6 of the handbook</w:t>
      </w:r>
      <w:r w:rsidR="00AA7960" w:rsidRPr="008C5305">
        <w:rPr>
          <w:rFonts w:asciiTheme="minorHAnsi" w:hAnsiTheme="minorHAnsi" w:cstheme="minorHAnsi"/>
          <w:i/>
          <w:iCs/>
          <w:sz w:val="24"/>
          <w:szCs w:val="24"/>
        </w:rPr>
        <w:t>)</w:t>
      </w:r>
      <w:r w:rsidR="007374EF" w:rsidRPr="008C5305">
        <w:rPr>
          <w:rFonts w:asciiTheme="minorHAnsi" w:hAnsiTheme="minorHAnsi" w:cstheme="minorHAnsi"/>
          <w:i/>
          <w:iCs/>
          <w:sz w:val="24"/>
          <w:szCs w:val="24"/>
        </w:rPr>
        <w:t>.</w:t>
      </w:r>
      <w:r w:rsidR="00540EEC" w:rsidRPr="008C5305">
        <w:rPr>
          <w:rFonts w:asciiTheme="minorHAnsi" w:hAnsiTheme="minorHAnsi" w:cstheme="minorHAnsi"/>
          <w:i/>
          <w:iCs/>
          <w:sz w:val="24"/>
          <w:szCs w:val="24"/>
        </w:rPr>
        <w:t xml:space="preserve"> </w:t>
      </w:r>
    </w:p>
    <w:p w14:paraId="257A6431" w14:textId="77777777" w:rsidR="008B28E7" w:rsidRPr="008C5305" w:rsidRDefault="008B28E7" w:rsidP="00FF7EBB">
      <w:pPr>
        <w:jc w:val="both"/>
        <w:rPr>
          <w:rFonts w:asciiTheme="minorHAnsi" w:hAnsiTheme="minorHAnsi" w:cstheme="minorHAnsi"/>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C5305" w14:paraId="2E129DEE" w14:textId="77777777" w:rsidTr="7B2CF1A9">
        <w:tc>
          <w:tcPr>
            <w:tcW w:w="10031" w:type="dxa"/>
            <w:shd w:val="clear" w:color="auto" w:fill="auto"/>
          </w:tcPr>
          <w:p w14:paraId="63627B26" w14:textId="64A7A177" w:rsidR="006872A0" w:rsidRPr="008C5305" w:rsidRDefault="006872A0" w:rsidP="00064063">
            <w:pPr>
              <w:jc w:val="both"/>
              <w:rPr>
                <w:rFonts w:asciiTheme="minorHAnsi" w:hAnsiTheme="minorHAnsi" w:cstheme="minorHAnsi"/>
                <w:b/>
                <w:sz w:val="24"/>
                <w:szCs w:val="24"/>
              </w:rPr>
            </w:pPr>
            <w:r w:rsidRPr="008C5305">
              <w:rPr>
                <w:rFonts w:asciiTheme="minorHAnsi" w:hAnsiTheme="minorHAnsi" w:cstheme="minorHAnsi"/>
                <w:b/>
                <w:sz w:val="24"/>
                <w:szCs w:val="24"/>
              </w:rPr>
              <w:t>Question</w:t>
            </w:r>
            <w:r w:rsidR="007A628F" w:rsidRPr="008C5305">
              <w:rPr>
                <w:rFonts w:asciiTheme="minorHAnsi" w:hAnsiTheme="minorHAnsi" w:cstheme="minorHAnsi"/>
                <w:b/>
                <w:sz w:val="24"/>
                <w:szCs w:val="24"/>
              </w:rPr>
              <w:t>:</w:t>
            </w:r>
          </w:p>
          <w:p w14:paraId="541B485B" w14:textId="4CB44B06" w:rsidR="00C77FA5" w:rsidRPr="008C5305" w:rsidRDefault="000A584A">
            <w:pPr>
              <w:jc w:val="both"/>
              <w:rPr>
                <w:rFonts w:asciiTheme="minorHAnsi" w:hAnsiTheme="minorHAnsi" w:cstheme="minorHAnsi"/>
                <w:sz w:val="24"/>
                <w:szCs w:val="24"/>
              </w:rPr>
            </w:pPr>
            <w:r w:rsidRPr="008C5305">
              <w:rPr>
                <w:rFonts w:asciiTheme="minorHAnsi" w:hAnsiTheme="minorHAnsi" w:cstheme="minorHAnsi"/>
                <w:sz w:val="24"/>
                <w:szCs w:val="24"/>
              </w:rPr>
              <w:t xml:space="preserve">Complete a critically reflective case study </w:t>
            </w:r>
            <w:r w:rsidR="00D0503D" w:rsidRPr="008C5305">
              <w:rPr>
                <w:rFonts w:asciiTheme="minorHAnsi" w:hAnsiTheme="minorHAnsi" w:cstheme="minorHAnsi"/>
                <w:sz w:val="24"/>
                <w:szCs w:val="24"/>
              </w:rPr>
              <w:t>based</w:t>
            </w:r>
            <w:r w:rsidRPr="008C5305">
              <w:rPr>
                <w:rFonts w:asciiTheme="minorHAnsi" w:hAnsiTheme="minorHAnsi" w:cstheme="minorHAnsi"/>
                <w:sz w:val="24"/>
                <w:szCs w:val="24"/>
              </w:rPr>
              <w:t xml:space="preserve"> on</w:t>
            </w:r>
            <w:r w:rsidR="00696A88" w:rsidRPr="008C5305">
              <w:rPr>
                <w:rFonts w:asciiTheme="minorHAnsi" w:hAnsiTheme="minorHAnsi" w:cstheme="minorHAnsi"/>
                <w:sz w:val="24"/>
                <w:szCs w:val="24"/>
              </w:rPr>
              <w:t xml:space="preserve"> </w:t>
            </w:r>
            <w:r w:rsidR="00411EF7" w:rsidRPr="008C5305">
              <w:rPr>
                <w:rFonts w:asciiTheme="minorHAnsi" w:hAnsiTheme="minorHAnsi" w:cstheme="minorHAnsi"/>
                <w:sz w:val="24"/>
                <w:szCs w:val="24"/>
              </w:rPr>
              <w:t>an assessment</w:t>
            </w:r>
            <w:r w:rsidR="007F312E" w:rsidRPr="008C5305">
              <w:rPr>
                <w:rFonts w:asciiTheme="minorHAnsi" w:hAnsiTheme="minorHAnsi" w:cstheme="minorHAnsi"/>
                <w:sz w:val="24"/>
                <w:szCs w:val="24"/>
              </w:rPr>
              <w:t xml:space="preserve"> </w:t>
            </w:r>
            <w:r w:rsidR="007C5ABE" w:rsidRPr="008C5305">
              <w:rPr>
                <w:rFonts w:asciiTheme="minorHAnsi" w:hAnsiTheme="minorHAnsi" w:cstheme="minorHAnsi"/>
                <w:sz w:val="24"/>
                <w:szCs w:val="24"/>
              </w:rPr>
              <w:t xml:space="preserve">that you have </w:t>
            </w:r>
            <w:r w:rsidRPr="008C5305">
              <w:rPr>
                <w:rFonts w:asciiTheme="minorHAnsi" w:hAnsiTheme="minorHAnsi" w:cstheme="minorHAnsi"/>
                <w:sz w:val="24"/>
                <w:szCs w:val="24"/>
              </w:rPr>
              <w:t xml:space="preserve">undertaken with </w:t>
            </w:r>
            <w:r w:rsidR="00D0503D" w:rsidRPr="008C5305">
              <w:rPr>
                <w:rFonts w:asciiTheme="minorHAnsi" w:hAnsiTheme="minorHAnsi" w:cstheme="minorHAnsi"/>
                <w:sz w:val="24"/>
                <w:szCs w:val="24"/>
              </w:rPr>
              <w:t>others,</w:t>
            </w:r>
            <w:r w:rsidR="00D0503D" w:rsidRPr="008C5305">
              <w:rPr>
                <w:rFonts w:asciiTheme="minorHAnsi" w:hAnsiTheme="minorHAnsi" w:cstheme="minorHAnsi"/>
                <w:b/>
                <w:bCs/>
                <w:sz w:val="24"/>
                <w:szCs w:val="24"/>
              </w:rPr>
              <w:t xml:space="preserve"> </w:t>
            </w:r>
            <w:r w:rsidR="00D0503D" w:rsidRPr="008C5305">
              <w:rPr>
                <w:rFonts w:asciiTheme="minorHAnsi" w:hAnsiTheme="minorHAnsi" w:cstheme="minorHAnsi"/>
                <w:sz w:val="24"/>
                <w:szCs w:val="24"/>
              </w:rPr>
              <w:t>in</w:t>
            </w:r>
            <w:r w:rsidR="0002440E" w:rsidRPr="008C5305">
              <w:rPr>
                <w:rFonts w:asciiTheme="minorHAnsi" w:hAnsiTheme="minorHAnsi" w:cstheme="minorHAnsi"/>
                <w:sz w:val="24"/>
                <w:szCs w:val="24"/>
              </w:rPr>
              <w:t xml:space="preserve"> your own area of work</w:t>
            </w:r>
            <w:r w:rsidR="00D0503D" w:rsidRPr="008C5305">
              <w:rPr>
                <w:rFonts w:asciiTheme="minorHAnsi" w:hAnsiTheme="minorHAnsi" w:cstheme="minorHAnsi"/>
                <w:sz w:val="24"/>
                <w:szCs w:val="24"/>
              </w:rPr>
              <w:t xml:space="preserve">, </w:t>
            </w:r>
            <w:r w:rsidR="00587923" w:rsidRPr="008C5305">
              <w:rPr>
                <w:rFonts w:asciiTheme="minorHAnsi" w:hAnsiTheme="minorHAnsi" w:cstheme="minorHAnsi"/>
                <w:sz w:val="24"/>
                <w:szCs w:val="24"/>
              </w:rPr>
              <w:t>c</w:t>
            </w:r>
            <w:r w:rsidR="008B28E7" w:rsidRPr="008C5305">
              <w:rPr>
                <w:rFonts w:asciiTheme="minorHAnsi" w:hAnsiTheme="minorHAnsi" w:cstheme="minorHAnsi"/>
                <w:sz w:val="24"/>
                <w:szCs w:val="24"/>
              </w:rPr>
              <w:t>oncerning the safeguarding of either an adult or a child</w:t>
            </w:r>
            <w:r w:rsidRPr="008C5305">
              <w:rPr>
                <w:rFonts w:asciiTheme="minorHAnsi" w:hAnsiTheme="minorHAnsi" w:cstheme="minorHAnsi"/>
                <w:sz w:val="24"/>
                <w:szCs w:val="24"/>
              </w:rPr>
              <w:t xml:space="preserve">. </w:t>
            </w:r>
            <w:r w:rsidR="00216563" w:rsidRPr="008C5305">
              <w:rPr>
                <w:rFonts w:asciiTheme="minorHAnsi" w:hAnsiTheme="minorHAnsi" w:cstheme="minorHAnsi"/>
                <w:sz w:val="24"/>
                <w:szCs w:val="24"/>
              </w:rPr>
              <w:t xml:space="preserve">You must demonstrate how </w:t>
            </w:r>
            <w:r w:rsidR="00F34C86" w:rsidRPr="008C5305">
              <w:rPr>
                <w:rFonts w:asciiTheme="minorHAnsi" w:hAnsiTheme="minorHAnsi" w:cstheme="minorHAnsi"/>
                <w:sz w:val="24"/>
                <w:szCs w:val="24"/>
              </w:rPr>
              <w:t xml:space="preserve">the case relates to or could relate to safeguarding </w:t>
            </w:r>
            <w:r w:rsidR="00216563" w:rsidRPr="008C5305">
              <w:rPr>
                <w:rFonts w:asciiTheme="minorHAnsi" w:hAnsiTheme="minorHAnsi" w:cstheme="minorHAnsi"/>
                <w:sz w:val="24"/>
                <w:szCs w:val="24"/>
              </w:rPr>
              <w:t>legislation, policies</w:t>
            </w:r>
            <w:r w:rsidR="00F34C86" w:rsidRPr="008C5305">
              <w:rPr>
                <w:rFonts w:asciiTheme="minorHAnsi" w:hAnsiTheme="minorHAnsi" w:cstheme="minorHAnsi"/>
                <w:sz w:val="24"/>
                <w:szCs w:val="24"/>
              </w:rPr>
              <w:t>, strategies and procedures</w:t>
            </w:r>
            <w:r w:rsidR="7AAB400D" w:rsidRPr="008C5305">
              <w:rPr>
                <w:rFonts w:asciiTheme="minorHAnsi" w:hAnsiTheme="minorHAnsi" w:cstheme="minorHAnsi"/>
                <w:sz w:val="24"/>
                <w:szCs w:val="24"/>
              </w:rPr>
              <w:t xml:space="preserve"> </w:t>
            </w:r>
            <w:r w:rsidR="623F2A43" w:rsidRPr="008C5305">
              <w:rPr>
                <w:rFonts w:asciiTheme="minorHAnsi" w:hAnsiTheme="minorHAnsi" w:cstheme="minorHAnsi"/>
                <w:sz w:val="24"/>
                <w:szCs w:val="24"/>
              </w:rPr>
              <w:t>(</w:t>
            </w:r>
            <w:r w:rsidR="7AAB400D" w:rsidRPr="008C5305">
              <w:rPr>
                <w:rFonts w:asciiTheme="minorHAnsi" w:hAnsiTheme="minorHAnsi" w:cstheme="minorHAnsi"/>
                <w:sz w:val="24"/>
                <w:szCs w:val="24"/>
              </w:rPr>
              <w:t>i</w:t>
            </w:r>
            <w:r w:rsidR="623F2A43" w:rsidRPr="008C5305">
              <w:rPr>
                <w:rFonts w:asciiTheme="minorHAnsi" w:hAnsiTheme="minorHAnsi" w:cstheme="minorHAnsi"/>
                <w:sz w:val="24"/>
                <w:szCs w:val="24"/>
              </w:rPr>
              <w:t xml:space="preserve">ncluding </w:t>
            </w:r>
            <w:r w:rsidR="322513AD" w:rsidRPr="008C5305">
              <w:rPr>
                <w:rFonts w:asciiTheme="minorHAnsi" w:hAnsiTheme="minorHAnsi" w:cstheme="minorHAnsi"/>
                <w:sz w:val="24"/>
                <w:szCs w:val="24"/>
              </w:rPr>
              <w:t>d</w:t>
            </w:r>
            <w:r w:rsidR="7E97696C" w:rsidRPr="008C5305">
              <w:rPr>
                <w:rFonts w:asciiTheme="minorHAnsi" w:hAnsiTheme="minorHAnsi" w:cstheme="minorHAnsi"/>
                <w:sz w:val="24"/>
                <w:szCs w:val="24"/>
              </w:rPr>
              <w:t xml:space="preserve">emonstrating an understanding of </w:t>
            </w:r>
            <w:r w:rsidR="623F2A43" w:rsidRPr="008C5305">
              <w:rPr>
                <w:rFonts w:asciiTheme="minorHAnsi" w:hAnsiTheme="minorHAnsi" w:cstheme="minorHAnsi"/>
                <w:sz w:val="24"/>
                <w:szCs w:val="24"/>
              </w:rPr>
              <w:t>the</w:t>
            </w:r>
            <w:r w:rsidR="350F702B" w:rsidRPr="008C5305">
              <w:rPr>
                <w:rFonts w:asciiTheme="minorHAnsi" w:hAnsiTheme="minorHAnsi" w:cstheme="minorHAnsi"/>
                <w:sz w:val="24"/>
                <w:szCs w:val="24"/>
              </w:rPr>
              <w:t xml:space="preserve"> </w:t>
            </w:r>
            <w:r w:rsidR="3B2446CA" w:rsidRPr="008C5305">
              <w:rPr>
                <w:rFonts w:asciiTheme="minorHAnsi" w:eastAsia="Arial" w:hAnsiTheme="minorHAnsi" w:cstheme="minorHAnsi"/>
                <w:color w:val="000000" w:themeColor="text1"/>
                <w:sz w:val="24"/>
                <w:szCs w:val="24"/>
              </w:rPr>
              <w:t xml:space="preserve">interface </w:t>
            </w:r>
            <w:r w:rsidR="534A9052" w:rsidRPr="008C5305">
              <w:rPr>
                <w:rFonts w:asciiTheme="minorHAnsi" w:eastAsia="Arial" w:hAnsiTheme="minorHAnsi" w:cstheme="minorHAnsi"/>
                <w:color w:val="000000" w:themeColor="text1"/>
                <w:sz w:val="24"/>
                <w:szCs w:val="24"/>
              </w:rPr>
              <w:t>between social services provision in Wales with the United Kingdom, the European Union</w:t>
            </w:r>
            <w:r w:rsidR="007A628F" w:rsidRPr="008C5305">
              <w:rPr>
                <w:rFonts w:asciiTheme="minorHAnsi" w:eastAsia="Arial" w:hAnsiTheme="minorHAnsi" w:cstheme="minorHAnsi"/>
                <w:color w:val="000000" w:themeColor="text1"/>
                <w:sz w:val="24"/>
                <w:szCs w:val="24"/>
              </w:rPr>
              <w:t xml:space="preserve"> (EU)</w:t>
            </w:r>
            <w:r w:rsidR="534A9052" w:rsidRPr="008C5305">
              <w:rPr>
                <w:rFonts w:asciiTheme="minorHAnsi" w:eastAsia="Arial" w:hAnsiTheme="minorHAnsi" w:cstheme="minorHAnsi"/>
                <w:color w:val="000000" w:themeColor="text1"/>
                <w:sz w:val="24"/>
                <w:szCs w:val="24"/>
              </w:rPr>
              <w:t xml:space="preserve"> and outside the EU</w:t>
            </w:r>
            <w:r w:rsidR="623F2A43" w:rsidRPr="008C5305">
              <w:rPr>
                <w:rFonts w:asciiTheme="minorHAnsi" w:eastAsia="Arial" w:hAnsiTheme="minorHAnsi" w:cstheme="minorHAnsi"/>
                <w:color w:val="000000" w:themeColor="text1"/>
                <w:sz w:val="24"/>
                <w:szCs w:val="24"/>
              </w:rPr>
              <w:t>)</w:t>
            </w:r>
            <w:r w:rsidR="00411EF7" w:rsidRPr="008C5305">
              <w:rPr>
                <w:rFonts w:asciiTheme="minorHAnsi" w:hAnsiTheme="minorHAnsi" w:cstheme="minorHAnsi"/>
                <w:sz w:val="24"/>
                <w:szCs w:val="24"/>
              </w:rPr>
              <w:t>.</w:t>
            </w:r>
            <w:r w:rsidR="00354B6D" w:rsidRPr="008C5305">
              <w:rPr>
                <w:rFonts w:asciiTheme="minorHAnsi" w:hAnsiTheme="minorHAnsi" w:cstheme="minorHAnsi"/>
                <w:sz w:val="24"/>
                <w:szCs w:val="24"/>
              </w:rPr>
              <w:t xml:space="preserve"> </w:t>
            </w:r>
            <w:r w:rsidR="102A3950" w:rsidRPr="008C5305">
              <w:rPr>
                <w:rFonts w:asciiTheme="minorHAnsi" w:hAnsiTheme="minorHAnsi" w:cstheme="minorHAnsi"/>
                <w:sz w:val="24"/>
                <w:szCs w:val="24"/>
              </w:rPr>
              <w:t>You</w:t>
            </w:r>
            <w:r w:rsidR="00354B6D" w:rsidRPr="008C5305">
              <w:rPr>
                <w:rFonts w:asciiTheme="minorHAnsi" w:hAnsiTheme="minorHAnsi" w:cstheme="minorHAnsi"/>
                <w:sz w:val="24"/>
                <w:szCs w:val="24"/>
              </w:rPr>
              <w:t xml:space="preserve"> must</w:t>
            </w:r>
            <w:r w:rsidR="00411EF7" w:rsidRPr="008C5305">
              <w:rPr>
                <w:rFonts w:asciiTheme="minorHAnsi" w:hAnsiTheme="minorHAnsi" w:cstheme="minorHAnsi"/>
                <w:sz w:val="24"/>
                <w:szCs w:val="24"/>
              </w:rPr>
              <w:t xml:space="preserve"> </w:t>
            </w:r>
            <w:r w:rsidR="00354B6D" w:rsidRPr="008C5305">
              <w:rPr>
                <w:rFonts w:asciiTheme="minorHAnsi" w:hAnsiTheme="minorHAnsi" w:cstheme="minorHAnsi"/>
                <w:sz w:val="24"/>
                <w:szCs w:val="24"/>
              </w:rPr>
              <w:t>demonstrate your understanding of</w:t>
            </w:r>
            <w:r w:rsidR="00F34C86" w:rsidRPr="008C5305">
              <w:rPr>
                <w:rFonts w:asciiTheme="minorHAnsi" w:hAnsiTheme="minorHAnsi" w:cstheme="minorHAnsi"/>
                <w:sz w:val="24"/>
                <w:szCs w:val="24"/>
              </w:rPr>
              <w:t xml:space="preserve"> </w:t>
            </w:r>
            <w:r w:rsidR="00411EF7" w:rsidRPr="008C5305">
              <w:rPr>
                <w:rFonts w:asciiTheme="minorHAnsi" w:hAnsiTheme="minorHAnsi" w:cstheme="minorHAnsi"/>
                <w:sz w:val="24"/>
                <w:szCs w:val="24"/>
              </w:rPr>
              <w:t xml:space="preserve">the </w:t>
            </w:r>
            <w:r w:rsidR="00216563" w:rsidRPr="008C5305">
              <w:rPr>
                <w:rFonts w:asciiTheme="minorHAnsi" w:hAnsiTheme="minorHAnsi" w:cstheme="minorHAnsi"/>
                <w:sz w:val="24"/>
                <w:szCs w:val="24"/>
              </w:rPr>
              <w:t xml:space="preserve">integration of </w:t>
            </w:r>
            <w:r w:rsidR="6A854C79" w:rsidRPr="008C5305">
              <w:rPr>
                <w:rFonts w:asciiTheme="minorHAnsi" w:hAnsiTheme="minorHAnsi" w:cstheme="minorHAnsi"/>
                <w:sz w:val="24"/>
                <w:szCs w:val="24"/>
              </w:rPr>
              <w:t>analysis in asses</w:t>
            </w:r>
            <w:r w:rsidR="0F77E214" w:rsidRPr="008C5305">
              <w:rPr>
                <w:rFonts w:asciiTheme="minorHAnsi" w:hAnsiTheme="minorHAnsi" w:cstheme="minorHAnsi"/>
                <w:sz w:val="24"/>
                <w:szCs w:val="24"/>
              </w:rPr>
              <w:t>sment, collabo</w:t>
            </w:r>
            <w:r w:rsidR="6A854C79" w:rsidRPr="008C5305">
              <w:rPr>
                <w:rFonts w:asciiTheme="minorHAnsi" w:hAnsiTheme="minorHAnsi" w:cstheme="minorHAnsi"/>
                <w:sz w:val="24"/>
                <w:szCs w:val="24"/>
              </w:rPr>
              <w:t>rative work</w:t>
            </w:r>
            <w:r w:rsidR="0F77E214" w:rsidRPr="008C5305">
              <w:rPr>
                <w:rFonts w:asciiTheme="minorHAnsi" w:hAnsiTheme="minorHAnsi" w:cstheme="minorHAnsi"/>
                <w:sz w:val="24"/>
                <w:szCs w:val="24"/>
              </w:rPr>
              <w:t>ing</w:t>
            </w:r>
            <w:r w:rsidR="6A854C79" w:rsidRPr="008C5305">
              <w:rPr>
                <w:rFonts w:asciiTheme="minorHAnsi" w:hAnsiTheme="minorHAnsi" w:cstheme="minorHAnsi"/>
                <w:sz w:val="24"/>
                <w:szCs w:val="24"/>
              </w:rPr>
              <w:t xml:space="preserve"> a</w:t>
            </w:r>
            <w:r w:rsidR="0F77E214" w:rsidRPr="008C5305">
              <w:rPr>
                <w:rFonts w:asciiTheme="minorHAnsi" w:hAnsiTheme="minorHAnsi" w:cstheme="minorHAnsi"/>
                <w:sz w:val="24"/>
                <w:szCs w:val="24"/>
              </w:rPr>
              <w:t xml:space="preserve">nd </w:t>
            </w:r>
            <w:r w:rsidR="6A854C79" w:rsidRPr="008C5305">
              <w:rPr>
                <w:rFonts w:asciiTheme="minorHAnsi" w:hAnsiTheme="minorHAnsi" w:cstheme="minorHAnsi"/>
                <w:sz w:val="24"/>
                <w:szCs w:val="24"/>
              </w:rPr>
              <w:t>professional</w:t>
            </w:r>
            <w:r w:rsidR="00F34C86" w:rsidRPr="008C5305">
              <w:rPr>
                <w:rFonts w:asciiTheme="minorHAnsi" w:hAnsiTheme="minorHAnsi" w:cstheme="minorHAnsi"/>
                <w:sz w:val="24"/>
                <w:szCs w:val="24"/>
              </w:rPr>
              <w:t xml:space="preserve"> </w:t>
            </w:r>
            <w:r w:rsidR="00216563" w:rsidRPr="008C5305">
              <w:rPr>
                <w:rFonts w:asciiTheme="minorHAnsi" w:hAnsiTheme="minorHAnsi" w:cstheme="minorHAnsi"/>
                <w:sz w:val="24"/>
                <w:szCs w:val="24"/>
              </w:rPr>
              <w:t>judgements</w:t>
            </w:r>
            <w:r w:rsidR="0F77E214" w:rsidRPr="008C5305">
              <w:rPr>
                <w:rFonts w:asciiTheme="minorHAnsi" w:hAnsiTheme="minorHAnsi" w:cstheme="minorHAnsi"/>
                <w:sz w:val="24"/>
                <w:szCs w:val="24"/>
              </w:rPr>
              <w:t xml:space="preserve"> in increasingly complex situations </w:t>
            </w:r>
            <w:r w:rsidR="00E5498A" w:rsidRPr="008C5305">
              <w:rPr>
                <w:rFonts w:asciiTheme="minorHAnsi" w:hAnsiTheme="minorHAnsi" w:cstheme="minorHAnsi"/>
                <w:sz w:val="24"/>
                <w:szCs w:val="24"/>
              </w:rPr>
              <w:t>and</w:t>
            </w:r>
            <w:r w:rsidR="1D6670C0" w:rsidRPr="008C5305">
              <w:rPr>
                <w:rFonts w:asciiTheme="minorHAnsi" w:hAnsiTheme="minorHAnsi" w:cstheme="minorHAnsi"/>
                <w:sz w:val="24"/>
                <w:szCs w:val="24"/>
              </w:rPr>
              <w:t xml:space="preserve"> </w:t>
            </w:r>
            <w:r w:rsidR="39C47EB7" w:rsidRPr="008C5305">
              <w:rPr>
                <w:rFonts w:asciiTheme="minorHAnsi" w:hAnsiTheme="minorHAnsi" w:cstheme="minorHAnsi"/>
                <w:sz w:val="24"/>
                <w:szCs w:val="24"/>
              </w:rPr>
              <w:t>the</w:t>
            </w:r>
            <w:r w:rsidR="25F327FB" w:rsidRPr="008C5305">
              <w:rPr>
                <w:rFonts w:asciiTheme="minorHAnsi" w:hAnsiTheme="minorHAnsi" w:cstheme="minorHAnsi"/>
                <w:sz w:val="24"/>
                <w:szCs w:val="24"/>
              </w:rPr>
              <w:t xml:space="preserve"> </w:t>
            </w:r>
            <w:r w:rsidR="00F34C86" w:rsidRPr="008C5305">
              <w:rPr>
                <w:rFonts w:asciiTheme="minorHAnsi" w:hAnsiTheme="minorHAnsi" w:cstheme="minorHAnsi"/>
                <w:sz w:val="24"/>
                <w:szCs w:val="24"/>
              </w:rPr>
              <w:t>use of social work theories</w:t>
            </w:r>
            <w:r w:rsidR="756EEE2D" w:rsidRPr="008C5305">
              <w:rPr>
                <w:rFonts w:asciiTheme="minorHAnsi" w:hAnsiTheme="minorHAnsi" w:cstheme="minorHAnsi"/>
                <w:sz w:val="24"/>
                <w:szCs w:val="24"/>
              </w:rPr>
              <w:t>.</w:t>
            </w:r>
            <w:r w:rsidR="00216563" w:rsidRPr="008C5305">
              <w:rPr>
                <w:rFonts w:asciiTheme="minorHAnsi" w:hAnsiTheme="minorHAnsi" w:cstheme="minorHAnsi"/>
                <w:sz w:val="24"/>
                <w:szCs w:val="24"/>
              </w:rPr>
              <w:t xml:space="preserve"> </w:t>
            </w:r>
            <w:r w:rsidR="756EEE2D" w:rsidRPr="008C5305">
              <w:rPr>
                <w:rFonts w:asciiTheme="minorHAnsi" w:hAnsiTheme="minorHAnsi" w:cstheme="minorHAnsi"/>
                <w:sz w:val="24"/>
                <w:szCs w:val="24"/>
              </w:rPr>
              <w:t>You</w:t>
            </w:r>
            <w:r w:rsidR="00216563" w:rsidRPr="008C5305">
              <w:rPr>
                <w:rFonts w:asciiTheme="minorHAnsi" w:hAnsiTheme="minorHAnsi" w:cstheme="minorHAnsi"/>
                <w:sz w:val="24"/>
                <w:szCs w:val="24"/>
              </w:rPr>
              <w:t xml:space="preserve"> </w:t>
            </w:r>
            <w:r w:rsidR="00E5498A" w:rsidRPr="008C5305">
              <w:rPr>
                <w:rFonts w:asciiTheme="minorHAnsi" w:hAnsiTheme="minorHAnsi" w:cstheme="minorHAnsi"/>
                <w:sz w:val="24"/>
                <w:szCs w:val="24"/>
              </w:rPr>
              <w:t xml:space="preserve">must </w:t>
            </w:r>
            <w:r w:rsidR="00F030D4" w:rsidRPr="008C5305">
              <w:rPr>
                <w:rFonts w:asciiTheme="minorHAnsi" w:hAnsiTheme="minorHAnsi" w:cstheme="minorHAnsi"/>
                <w:sz w:val="24"/>
                <w:szCs w:val="24"/>
              </w:rPr>
              <w:t>refer to</w:t>
            </w:r>
            <w:r w:rsidR="00216563" w:rsidRPr="008C5305">
              <w:rPr>
                <w:rFonts w:asciiTheme="minorHAnsi" w:hAnsiTheme="minorHAnsi" w:cstheme="minorHAnsi"/>
                <w:sz w:val="24"/>
                <w:szCs w:val="24"/>
              </w:rPr>
              <w:t xml:space="preserve"> </w:t>
            </w:r>
            <w:r w:rsidR="00F34C86" w:rsidRPr="008C5305">
              <w:rPr>
                <w:rFonts w:asciiTheme="minorHAnsi" w:hAnsiTheme="minorHAnsi" w:cstheme="minorHAnsi"/>
                <w:sz w:val="24"/>
                <w:szCs w:val="24"/>
              </w:rPr>
              <w:t>the specific dimensions of working in Wales</w:t>
            </w:r>
            <w:r w:rsidR="00411EF7" w:rsidRPr="008C5305">
              <w:rPr>
                <w:rFonts w:asciiTheme="minorHAnsi" w:hAnsiTheme="minorHAnsi" w:cstheme="minorHAnsi"/>
                <w:sz w:val="24"/>
                <w:szCs w:val="24"/>
              </w:rPr>
              <w:t xml:space="preserve">. </w:t>
            </w:r>
          </w:p>
          <w:p w14:paraId="2F8A7CA5" w14:textId="6EDC9DFB" w:rsidR="008D5999" w:rsidRPr="008C5305" w:rsidRDefault="008D5999" w:rsidP="00064063">
            <w:pPr>
              <w:jc w:val="both"/>
              <w:rPr>
                <w:rFonts w:asciiTheme="minorHAnsi" w:hAnsiTheme="minorHAnsi" w:cstheme="minorHAnsi"/>
                <w:sz w:val="24"/>
                <w:szCs w:val="24"/>
              </w:rPr>
            </w:pPr>
          </w:p>
          <w:p w14:paraId="20A5906F" w14:textId="77777777" w:rsidR="008D5999" w:rsidRPr="008C5305" w:rsidRDefault="008D5999" w:rsidP="00064063">
            <w:pPr>
              <w:jc w:val="both"/>
              <w:rPr>
                <w:rFonts w:asciiTheme="minorHAnsi" w:hAnsiTheme="minorHAnsi" w:cstheme="minorHAnsi"/>
                <w:sz w:val="24"/>
                <w:szCs w:val="24"/>
              </w:rPr>
            </w:pPr>
          </w:p>
          <w:p w14:paraId="51AF4546" w14:textId="476CB9AF" w:rsidR="00D3203C" w:rsidRPr="008C5305" w:rsidRDefault="00045C40" w:rsidP="00FF7EBB">
            <w:pPr>
              <w:jc w:val="both"/>
              <w:rPr>
                <w:rFonts w:asciiTheme="minorHAnsi" w:hAnsiTheme="minorHAnsi" w:cstheme="minorHAnsi"/>
                <w:i/>
                <w:sz w:val="24"/>
                <w:szCs w:val="24"/>
              </w:rPr>
            </w:pPr>
            <w:r w:rsidRPr="008C5305">
              <w:rPr>
                <w:rFonts w:asciiTheme="minorHAnsi" w:hAnsiTheme="minorHAnsi" w:cstheme="minorHAnsi"/>
                <w:i/>
                <w:sz w:val="24"/>
                <w:szCs w:val="24"/>
              </w:rPr>
              <w:t xml:space="preserve">4000 </w:t>
            </w:r>
            <w:r w:rsidR="008B28E7" w:rsidRPr="008C5305">
              <w:rPr>
                <w:rFonts w:asciiTheme="minorHAnsi" w:hAnsiTheme="minorHAnsi" w:cstheme="minorHAnsi"/>
                <w:i/>
                <w:sz w:val="24"/>
                <w:szCs w:val="24"/>
              </w:rPr>
              <w:t>words</w:t>
            </w:r>
            <w:r w:rsidR="008B28E7" w:rsidRPr="008C5305">
              <w:rPr>
                <w:rFonts w:asciiTheme="minorHAnsi" w:hAnsiTheme="minorHAnsi" w:cstheme="minorHAnsi"/>
                <w:sz w:val="24"/>
                <w:szCs w:val="24"/>
              </w:rPr>
              <w:t xml:space="preserve"> </w:t>
            </w:r>
            <w:r w:rsidR="008B28E7" w:rsidRPr="008C5305">
              <w:rPr>
                <w:rFonts w:asciiTheme="minorHAnsi" w:hAnsiTheme="minorHAnsi" w:cstheme="minorHAnsi"/>
                <w:i/>
                <w:sz w:val="24"/>
                <w:szCs w:val="24"/>
              </w:rPr>
              <w:t>(+/- 10%: include your actual word count at the end of each section)</w:t>
            </w:r>
            <w:r w:rsidR="007A628F" w:rsidRPr="008C5305">
              <w:rPr>
                <w:rFonts w:asciiTheme="minorHAnsi" w:hAnsiTheme="minorHAnsi" w:cstheme="minorHAnsi"/>
                <w:i/>
                <w:sz w:val="24"/>
                <w:szCs w:val="24"/>
              </w:rPr>
              <w:t>.</w:t>
            </w:r>
          </w:p>
          <w:p w14:paraId="701D8D4D" w14:textId="38C2B218" w:rsidR="00D3203C" w:rsidRPr="008C5305" w:rsidRDefault="00D3203C" w:rsidP="00FF7EBB">
            <w:pPr>
              <w:jc w:val="both"/>
              <w:rPr>
                <w:rFonts w:asciiTheme="minorHAnsi" w:hAnsiTheme="minorHAnsi" w:cstheme="minorHAnsi"/>
                <w:i/>
                <w:sz w:val="24"/>
                <w:szCs w:val="24"/>
              </w:rPr>
            </w:pPr>
          </w:p>
          <w:p w14:paraId="2F007CC3" w14:textId="77777777"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 xml:space="preserve">P4 is a 75-year-old lady. She has diagnoses of a mild learning disability and vascular dementia. She lives in a residential area within a small town in south Wales. She has 24/7 commissioned care from a care agency in her own home. Her home was left in trust to her after her parents passed away, and this is managed by her extended family who live 60 miles away. P4 was hospitalised after a bout of pneumonia, discharged, and subsequently re-admitted several times to hospital. Whilst in hospital, safeguarding concerns were explored, notice was served on her current care provider, negotiations were had with a new care provider, and decisions were made regarding where she should live.  </w:t>
            </w:r>
          </w:p>
          <w:p w14:paraId="40BF0B0C" w14:textId="77777777" w:rsidR="008C5305" w:rsidRPr="008C5305" w:rsidRDefault="008C5305" w:rsidP="008C5305">
            <w:pPr>
              <w:jc w:val="both"/>
              <w:rPr>
                <w:rFonts w:asciiTheme="minorHAnsi" w:hAnsiTheme="minorHAnsi" w:cstheme="minorHAnsi"/>
                <w:iCs/>
                <w:sz w:val="24"/>
                <w:szCs w:val="24"/>
              </w:rPr>
            </w:pPr>
          </w:p>
          <w:p w14:paraId="7C17ACC3" w14:textId="7B7F5900"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It had been flagged during a routine care and support plan review that there were concerns surrounding the care provider and the quality of care that was being provided to P4. The Social Services and Wellbeing (Wales) Act 2014 [Hereafter SSWWA] places a duty on the local authority to assess an individual’s circumstances if there is an appearance of need. (</w:t>
            </w:r>
            <w:r w:rsidRPr="008C5305">
              <w:rPr>
                <w:rFonts w:asciiTheme="minorHAnsi" w:hAnsiTheme="minorHAnsi" w:cstheme="minorHAnsi"/>
                <w:i/>
                <w:iCs/>
                <w:sz w:val="24"/>
                <w:szCs w:val="24"/>
              </w:rPr>
              <w:t>SSWWA</w:t>
            </w:r>
            <w:r w:rsidR="004235BB">
              <w:rPr>
                <w:rFonts w:asciiTheme="minorHAnsi" w:hAnsiTheme="minorHAnsi" w:cstheme="minorHAnsi"/>
                <w:i/>
                <w:iCs/>
                <w:sz w:val="24"/>
                <w:szCs w:val="24"/>
              </w:rPr>
              <w:t>,</w:t>
            </w:r>
            <w:r w:rsidRPr="008C5305">
              <w:rPr>
                <w:rFonts w:asciiTheme="minorHAnsi" w:hAnsiTheme="minorHAnsi" w:cstheme="minorHAnsi"/>
                <w:i/>
                <w:iCs/>
                <w:sz w:val="24"/>
                <w:szCs w:val="24"/>
              </w:rPr>
              <w:t xml:space="preserve"> 2014).</w:t>
            </w:r>
            <w:r w:rsidRPr="008C5305">
              <w:rPr>
                <w:rFonts w:asciiTheme="minorHAnsi" w:hAnsiTheme="minorHAnsi" w:cstheme="minorHAnsi"/>
                <w:iCs/>
                <w:sz w:val="24"/>
                <w:szCs w:val="24"/>
              </w:rPr>
              <w:t xml:space="preserve"> This is the overarching legislation that pertains to social care in Wales. The legislation that relates to England is The Care Act [Hereafter CA] 2014. One of the main differences between CA and SSWWA is that the CA refers to having a range of quality services to choose from to meet individual care needs (Department of Health and Social Care</w:t>
            </w:r>
            <w:r w:rsidR="004235BB">
              <w:rPr>
                <w:rFonts w:asciiTheme="minorHAnsi" w:hAnsiTheme="minorHAnsi" w:cstheme="minorHAnsi"/>
                <w:iCs/>
                <w:sz w:val="24"/>
                <w:szCs w:val="24"/>
              </w:rPr>
              <w:t>,</w:t>
            </w:r>
            <w:r w:rsidRPr="008C5305">
              <w:rPr>
                <w:rFonts w:asciiTheme="minorHAnsi" w:hAnsiTheme="minorHAnsi" w:cstheme="minorHAnsi"/>
                <w:iCs/>
                <w:sz w:val="24"/>
                <w:szCs w:val="24"/>
              </w:rPr>
              <w:t xml:space="preserve"> 2016). Whereas SSWWA is systems led - where various services and agencies work collaboratively to deliver care to individuals in need (</w:t>
            </w:r>
            <w:r w:rsidRPr="00200E09">
              <w:rPr>
                <w:rFonts w:asciiTheme="minorHAnsi" w:hAnsiTheme="minorHAnsi" w:cstheme="minorHAnsi"/>
                <w:i/>
                <w:sz w:val="24"/>
                <w:szCs w:val="24"/>
              </w:rPr>
              <w:t>SSWWA</w:t>
            </w:r>
            <w:r w:rsidRPr="008C5305">
              <w:rPr>
                <w:rFonts w:asciiTheme="minorHAnsi" w:hAnsiTheme="minorHAnsi" w:cstheme="minorHAnsi"/>
                <w:iCs/>
                <w:sz w:val="24"/>
                <w:szCs w:val="24"/>
              </w:rPr>
              <w:t xml:space="preserve"> 2014). Guidance regarding safeguarding is also different in Wales (Social Care Wales</w:t>
            </w:r>
            <w:r w:rsidR="00200E09">
              <w:rPr>
                <w:rFonts w:asciiTheme="minorHAnsi" w:hAnsiTheme="minorHAnsi" w:cstheme="minorHAnsi"/>
                <w:iCs/>
                <w:sz w:val="24"/>
                <w:szCs w:val="24"/>
              </w:rPr>
              <w:t>,</w:t>
            </w:r>
            <w:r w:rsidRPr="008C5305">
              <w:rPr>
                <w:rFonts w:asciiTheme="minorHAnsi" w:hAnsiTheme="minorHAnsi" w:cstheme="minorHAnsi"/>
                <w:iCs/>
                <w:sz w:val="24"/>
                <w:szCs w:val="24"/>
              </w:rPr>
              <w:t xml:space="preserve"> 2019). Working together to safeguard people (Welsh Government</w:t>
            </w:r>
            <w:r w:rsidR="00200E09">
              <w:rPr>
                <w:rFonts w:asciiTheme="minorHAnsi" w:hAnsiTheme="minorHAnsi" w:cstheme="minorHAnsi"/>
                <w:iCs/>
                <w:sz w:val="24"/>
                <w:szCs w:val="24"/>
              </w:rPr>
              <w:t>,</w:t>
            </w:r>
            <w:r w:rsidRPr="008C5305">
              <w:rPr>
                <w:rFonts w:asciiTheme="minorHAnsi" w:hAnsiTheme="minorHAnsi" w:cstheme="minorHAnsi"/>
                <w:iCs/>
                <w:sz w:val="24"/>
                <w:szCs w:val="24"/>
              </w:rPr>
              <w:t xml:space="preserve"> 2022) states that safeguarding is everybody’s business. This guidance offers advice to individuals, organisations, and groups that offer services to vulnerable adults and children on how to keep people that use their services safe. </w:t>
            </w:r>
          </w:p>
          <w:p w14:paraId="334BBA23" w14:textId="77777777" w:rsidR="008C5305" w:rsidRPr="008C5305" w:rsidRDefault="008C5305" w:rsidP="008C5305">
            <w:pPr>
              <w:jc w:val="both"/>
              <w:rPr>
                <w:rFonts w:asciiTheme="minorHAnsi" w:hAnsiTheme="minorHAnsi" w:cstheme="minorHAnsi"/>
                <w:iCs/>
                <w:sz w:val="24"/>
                <w:szCs w:val="24"/>
              </w:rPr>
            </w:pPr>
          </w:p>
          <w:p w14:paraId="7B30AFF2" w14:textId="5F865DF8"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During my first visit to P4 I asked her consent to conduct an assessment of her needs - which she agreed to. I asked if she would like me to conduct this assessment in the Welsh Language. She declined, as Welsh is not her first language. This is known as the “Active Offer”, and it is a requirement that I ask this question in Wales (More than Just Words</w:t>
            </w:r>
            <w:r w:rsidR="00200E09">
              <w:rPr>
                <w:rFonts w:asciiTheme="minorHAnsi" w:hAnsiTheme="minorHAnsi" w:cstheme="minorHAnsi"/>
                <w:iCs/>
                <w:sz w:val="24"/>
                <w:szCs w:val="24"/>
              </w:rPr>
              <w:t>,</w:t>
            </w:r>
            <w:r w:rsidRPr="008C5305">
              <w:rPr>
                <w:rFonts w:asciiTheme="minorHAnsi" w:hAnsiTheme="minorHAnsi" w:cstheme="minorHAnsi"/>
                <w:iCs/>
                <w:sz w:val="24"/>
                <w:szCs w:val="24"/>
              </w:rPr>
              <w:t xml:space="preserve"> 2022). The Welsh Language Measure became law in Wales in 2011. This gave the Welsh language equal status to English. This measure ensures that those individuals that speak Welsh as a first language can have an assessment in their first language (</w:t>
            </w:r>
            <w:r w:rsidRPr="008C5305">
              <w:rPr>
                <w:rFonts w:asciiTheme="minorHAnsi" w:hAnsiTheme="minorHAnsi" w:cstheme="minorHAnsi"/>
                <w:i/>
                <w:iCs/>
                <w:sz w:val="24"/>
                <w:szCs w:val="24"/>
              </w:rPr>
              <w:t>Welsh Language Measure 2011</w:t>
            </w:r>
            <w:r w:rsidRPr="008C5305">
              <w:rPr>
                <w:rFonts w:asciiTheme="minorHAnsi" w:hAnsiTheme="minorHAnsi" w:cstheme="minorHAnsi"/>
                <w:iCs/>
                <w:sz w:val="24"/>
                <w:szCs w:val="24"/>
              </w:rPr>
              <w:t xml:space="preserve">). According to More than Just words (2022) this is critical when delivering services to individuals in Wales. This is because it is a person-centred way of working and individuals forced to answer questions in their second language, may misinterpret and give inaccurate responses. </w:t>
            </w:r>
          </w:p>
          <w:p w14:paraId="15DAD1F3" w14:textId="77777777" w:rsidR="008C5305" w:rsidRPr="008C5305" w:rsidRDefault="008C5305" w:rsidP="008C5305">
            <w:pPr>
              <w:jc w:val="both"/>
              <w:rPr>
                <w:rFonts w:asciiTheme="minorHAnsi" w:hAnsiTheme="minorHAnsi" w:cstheme="minorHAnsi"/>
                <w:iCs/>
                <w:sz w:val="24"/>
                <w:szCs w:val="24"/>
              </w:rPr>
            </w:pPr>
          </w:p>
          <w:p w14:paraId="06B514A6" w14:textId="502AFF3C"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During initial visits by colleagues from commissioning and myself to P4, several concerns were highlighted. This included the use of mechanical restraint, medication errors, professional concerns regarding a member of staff (P5), and paperwork being out of date, not completed, or completed falsely. SSWWA places a duty on local authorities to investigate where it is suspected that a vulnerable adult is at risk of abuse or neglect (</w:t>
            </w:r>
            <w:r w:rsidRPr="007F6954">
              <w:rPr>
                <w:rFonts w:asciiTheme="minorHAnsi" w:hAnsiTheme="minorHAnsi" w:cstheme="minorHAnsi"/>
                <w:i/>
                <w:sz w:val="24"/>
                <w:szCs w:val="24"/>
              </w:rPr>
              <w:t>SSWWA</w:t>
            </w:r>
            <w:r w:rsidRPr="008C5305">
              <w:rPr>
                <w:rFonts w:asciiTheme="minorHAnsi" w:hAnsiTheme="minorHAnsi" w:cstheme="minorHAnsi"/>
                <w:iCs/>
                <w:sz w:val="24"/>
                <w:szCs w:val="24"/>
              </w:rPr>
              <w:t xml:space="preserve"> 2014). SSWWA was introduced to streamline and reform laws and guidance pertaining to social care in Wales (Senydd Cymru</w:t>
            </w:r>
            <w:r w:rsidR="007F6954">
              <w:rPr>
                <w:rFonts w:asciiTheme="minorHAnsi" w:hAnsiTheme="minorHAnsi" w:cstheme="minorHAnsi"/>
                <w:iCs/>
                <w:sz w:val="24"/>
                <w:szCs w:val="24"/>
              </w:rPr>
              <w:t>,</w:t>
            </w:r>
            <w:r w:rsidRPr="008C5305">
              <w:rPr>
                <w:rFonts w:asciiTheme="minorHAnsi" w:hAnsiTheme="minorHAnsi" w:cstheme="minorHAnsi"/>
                <w:iCs/>
                <w:sz w:val="24"/>
                <w:szCs w:val="24"/>
              </w:rPr>
              <w:t xml:space="preserve"> 2023). Part 7 of SSWWA is specific to safeguarding. Safeguarding investigations are called section 126 enquiries. There are timeframes that need to be adhered to for this and the local authority must start enquiries within seven days of receiving a report (Social Care Wales</w:t>
            </w:r>
            <w:r w:rsidR="007F6954">
              <w:rPr>
                <w:rFonts w:asciiTheme="minorHAnsi" w:hAnsiTheme="minorHAnsi" w:cstheme="minorHAnsi"/>
                <w:iCs/>
                <w:sz w:val="24"/>
                <w:szCs w:val="24"/>
              </w:rPr>
              <w:t>,</w:t>
            </w:r>
            <w:r w:rsidRPr="008C5305">
              <w:rPr>
                <w:rFonts w:asciiTheme="minorHAnsi" w:hAnsiTheme="minorHAnsi" w:cstheme="minorHAnsi"/>
                <w:iCs/>
                <w:sz w:val="24"/>
                <w:szCs w:val="24"/>
              </w:rPr>
              <w:t xml:space="preserve"> 2019). For guidance with this, I looked to the Wales Safeguarding Procedures. These procedures guide practitioners and explains the roles and responsibilities that they have under the guiding legislation. In this case - SSWWA. This safeguards individuals who are at risk of abuse and neglect. These apply to all practitioners whether they are in a statutory service or a third-party agency. In Wales, there are 6 regional safeguarding boards and each of them contributed to the development of the safeguarding procedures. This was so that practice would be standardised across all regions of Wales (Social Care Wales</w:t>
            </w:r>
            <w:r w:rsidR="002D585A">
              <w:rPr>
                <w:rFonts w:asciiTheme="minorHAnsi" w:hAnsiTheme="minorHAnsi" w:cstheme="minorHAnsi"/>
                <w:iCs/>
                <w:sz w:val="24"/>
                <w:szCs w:val="24"/>
              </w:rPr>
              <w:t>,</w:t>
            </w:r>
            <w:r w:rsidRPr="008C5305">
              <w:rPr>
                <w:rFonts w:asciiTheme="minorHAnsi" w:hAnsiTheme="minorHAnsi" w:cstheme="minorHAnsi"/>
                <w:iCs/>
                <w:sz w:val="24"/>
                <w:szCs w:val="24"/>
              </w:rPr>
              <w:t xml:space="preserve"> 2019). The procedures cover safeguarding for both adults and children. These guidelines are separate from each other. </w:t>
            </w:r>
          </w:p>
          <w:p w14:paraId="6BE5CEB6" w14:textId="77777777" w:rsidR="008C5305" w:rsidRPr="008C5305" w:rsidRDefault="008C5305" w:rsidP="008C5305">
            <w:pPr>
              <w:jc w:val="both"/>
              <w:rPr>
                <w:rFonts w:asciiTheme="minorHAnsi" w:hAnsiTheme="minorHAnsi" w:cstheme="minorHAnsi"/>
                <w:iCs/>
                <w:sz w:val="24"/>
                <w:szCs w:val="24"/>
              </w:rPr>
            </w:pPr>
          </w:p>
          <w:p w14:paraId="6A3814F9" w14:textId="21F22628"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It was established that a professional concerns strategy meeting would need be held to deal with the concerns surrounding P5, and a separate safeguarding enquiry would be undertaken to deal with the concerns surrounding the quality of P4’s care. Section 2 of SSWWA (</w:t>
            </w:r>
            <w:r w:rsidRPr="002D585A">
              <w:rPr>
                <w:rFonts w:asciiTheme="minorHAnsi" w:hAnsiTheme="minorHAnsi" w:cstheme="minorHAnsi"/>
                <w:i/>
                <w:sz w:val="24"/>
                <w:szCs w:val="24"/>
              </w:rPr>
              <w:t>SSWWA</w:t>
            </w:r>
            <w:r w:rsidR="002D585A">
              <w:rPr>
                <w:rFonts w:asciiTheme="minorHAnsi" w:hAnsiTheme="minorHAnsi" w:cstheme="minorHAnsi"/>
                <w:iCs/>
                <w:sz w:val="24"/>
                <w:szCs w:val="24"/>
              </w:rPr>
              <w:t xml:space="preserve"> </w:t>
            </w:r>
            <w:r w:rsidRPr="008C5305">
              <w:rPr>
                <w:rFonts w:asciiTheme="minorHAnsi" w:hAnsiTheme="minorHAnsi" w:cstheme="minorHAnsi"/>
                <w:iCs/>
                <w:sz w:val="24"/>
                <w:szCs w:val="24"/>
              </w:rPr>
              <w:t xml:space="preserve">2014) states that practitioners have a duty to report an adult at risk of abuse within 24 hours of a concern being identified, so I completed this the following morning - in line with the guidance (Social Care Wales 2019). </w:t>
            </w:r>
          </w:p>
          <w:p w14:paraId="04899437" w14:textId="77777777" w:rsidR="008C5305" w:rsidRPr="008C5305" w:rsidRDefault="008C5305" w:rsidP="008C5305">
            <w:pPr>
              <w:jc w:val="both"/>
              <w:rPr>
                <w:rFonts w:asciiTheme="minorHAnsi" w:hAnsiTheme="minorHAnsi" w:cstheme="minorHAnsi"/>
                <w:iCs/>
                <w:sz w:val="24"/>
                <w:szCs w:val="24"/>
              </w:rPr>
            </w:pPr>
          </w:p>
          <w:p w14:paraId="2D07A9D8" w14:textId="77777777"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 xml:space="preserve">P4 was that day admitted back into hospital due to her aspirating. The care provider had a duty of care to stay with her until she was admitted on to a ward in the hospital. The care provider did not understand this, and for some time P4 was left unaccompanied in the emergency department with no familiar face to explain what was happening to her. National Institute for Care and Excellence [Hereafter NICE] (2018) guidelines state that older people with learning disabilities should have the same access to healthcare as everybody else. This was difficult for P4 to achieve in this instance, as she has diagnosed difficulties with cognition (a learning disability) and retention of information (dementia). For these reasons, I asked the care provider to send staff to accompany P4 until the </w:t>
            </w:r>
            <w:r w:rsidRPr="008C5305">
              <w:rPr>
                <w:rFonts w:asciiTheme="minorHAnsi" w:hAnsiTheme="minorHAnsi" w:cstheme="minorHAnsi"/>
                <w:iCs/>
                <w:sz w:val="24"/>
                <w:szCs w:val="24"/>
              </w:rPr>
              <w:lastRenderedPageBreak/>
              <w:t xml:space="preserve">hospital learning disability liaison team could take over responsibility of her care. They did not do this – despite them being reminded of their duty of care to P4. This led to me submitting another safeguarding referral as I felt that this was neglectful of them and did not show much care for P4 or consideration for her needs.  </w:t>
            </w:r>
          </w:p>
          <w:p w14:paraId="1A0B8F39" w14:textId="77777777" w:rsidR="008C5305" w:rsidRPr="008C5305" w:rsidRDefault="008C5305" w:rsidP="008C5305">
            <w:pPr>
              <w:jc w:val="both"/>
              <w:rPr>
                <w:rFonts w:asciiTheme="minorHAnsi" w:hAnsiTheme="minorHAnsi" w:cstheme="minorHAnsi"/>
                <w:iCs/>
                <w:sz w:val="24"/>
                <w:szCs w:val="24"/>
              </w:rPr>
            </w:pPr>
          </w:p>
          <w:p w14:paraId="488249AF" w14:textId="6F2D3EA2"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 xml:space="preserve">There was not an up-to-date capacity assessment on the local authority’s records regarding P4’s care, support, and accommodation needs - so ahead of her discharge, I needed to establish her ability to make decisions regarding this. Consideration of the Mental Capacity Act </w:t>
            </w:r>
            <w:r w:rsidR="0093409D">
              <w:rPr>
                <w:rFonts w:asciiTheme="minorHAnsi" w:hAnsiTheme="minorHAnsi" w:cstheme="minorHAnsi"/>
                <w:iCs/>
                <w:sz w:val="24"/>
                <w:szCs w:val="24"/>
              </w:rPr>
              <w:t xml:space="preserve">2005 </w:t>
            </w:r>
            <w:r w:rsidRPr="008C5305">
              <w:rPr>
                <w:rFonts w:asciiTheme="minorHAnsi" w:hAnsiTheme="minorHAnsi" w:cstheme="minorHAnsi"/>
                <w:iCs/>
                <w:sz w:val="24"/>
                <w:szCs w:val="24"/>
              </w:rPr>
              <w:t>[Hereafter MCA] and the impact of this on P4 regarding choice, voice, and control about where she lives would be fundamental to this decision. SSWWA aims to ensure that individuals have greater voice and control about decisions regarding their care (Care Council Wales</w:t>
            </w:r>
            <w:r w:rsidR="00612CCF">
              <w:rPr>
                <w:rFonts w:asciiTheme="minorHAnsi" w:hAnsiTheme="minorHAnsi" w:cstheme="minorHAnsi"/>
                <w:iCs/>
                <w:sz w:val="24"/>
                <w:szCs w:val="24"/>
              </w:rPr>
              <w:t>,</w:t>
            </w:r>
            <w:r w:rsidRPr="008C5305">
              <w:rPr>
                <w:rFonts w:asciiTheme="minorHAnsi" w:hAnsiTheme="minorHAnsi" w:cstheme="minorHAnsi"/>
                <w:iCs/>
                <w:sz w:val="24"/>
                <w:szCs w:val="24"/>
              </w:rPr>
              <w:t xml:space="preserve"> 2014). P4’s ability to decide this for herself needed to be ascertained to safeguard her from potential harm and to protect her rights under Article 8 of the Human Rights Act (1998).</w:t>
            </w:r>
          </w:p>
          <w:p w14:paraId="49519F75" w14:textId="77777777" w:rsidR="008C5305" w:rsidRPr="008C5305" w:rsidRDefault="008C5305" w:rsidP="008C5305">
            <w:pPr>
              <w:jc w:val="both"/>
              <w:rPr>
                <w:rFonts w:asciiTheme="minorHAnsi" w:hAnsiTheme="minorHAnsi" w:cstheme="minorHAnsi"/>
                <w:iCs/>
                <w:sz w:val="24"/>
                <w:szCs w:val="24"/>
              </w:rPr>
            </w:pPr>
          </w:p>
          <w:p w14:paraId="5B5F2006" w14:textId="6ABDEAEC"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The Human Rights Act 1998 [Hereafter HRA] protect the rights of all individuals in the UK. The act incorporates the rights that were set out in the European Convention on Human Rights [Hereafter ECHR] into British law. The ECHR is an international treaty developed by the states of the European Council. The UK was one of the states that drafted the treaty and was one of the first countries to ratify it in 1951. The convention then came in to force in 1953 (Ministry of Justice</w:t>
            </w:r>
            <w:r w:rsidR="0093409D">
              <w:rPr>
                <w:rFonts w:asciiTheme="minorHAnsi" w:hAnsiTheme="minorHAnsi" w:cstheme="minorHAnsi"/>
                <w:iCs/>
                <w:sz w:val="24"/>
                <w:szCs w:val="24"/>
              </w:rPr>
              <w:t>,</w:t>
            </w:r>
            <w:r w:rsidRPr="008C5305">
              <w:rPr>
                <w:rFonts w:asciiTheme="minorHAnsi" w:hAnsiTheme="minorHAnsi" w:cstheme="minorHAnsi"/>
                <w:iCs/>
                <w:sz w:val="24"/>
                <w:szCs w:val="24"/>
              </w:rPr>
              <w:t xml:space="preserve"> 2022). The HRA came into force in the UK in October 2000 (Equality and Human Rights Commission</w:t>
            </w:r>
            <w:r w:rsidR="0093409D">
              <w:rPr>
                <w:rFonts w:asciiTheme="minorHAnsi" w:hAnsiTheme="minorHAnsi" w:cstheme="minorHAnsi"/>
                <w:iCs/>
                <w:sz w:val="24"/>
                <w:szCs w:val="24"/>
              </w:rPr>
              <w:t>,</w:t>
            </w:r>
            <w:r w:rsidRPr="008C5305">
              <w:rPr>
                <w:rFonts w:asciiTheme="minorHAnsi" w:hAnsiTheme="minorHAnsi" w:cstheme="minorHAnsi"/>
                <w:iCs/>
                <w:sz w:val="24"/>
                <w:szCs w:val="24"/>
              </w:rPr>
              <w:t xml:space="preserve"> 2018). The Act sets out articles - these set out rights that must be protected. Article 8 relates to the right to respect for private and family life (</w:t>
            </w:r>
            <w:r w:rsidRPr="0093409D">
              <w:rPr>
                <w:rFonts w:asciiTheme="minorHAnsi" w:hAnsiTheme="minorHAnsi" w:cstheme="minorHAnsi"/>
                <w:i/>
                <w:sz w:val="24"/>
                <w:szCs w:val="24"/>
              </w:rPr>
              <w:t>HRA</w:t>
            </w:r>
            <w:r w:rsidRPr="008C5305">
              <w:rPr>
                <w:rFonts w:asciiTheme="minorHAnsi" w:hAnsiTheme="minorHAnsi" w:cstheme="minorHAnsi"/>
                <w:iCs/>
                <w:sz w:val="24"/>
                <w:szCs w:val="24"/>
              </w:rPr>
              <w:t xml:space="preserve"> 1998) The Act requires public bodies such as local authorities, police, and hospitals to protect and respect the rights of individuals they support (Equality and Human Rights Commission</w:t>
            </w:r>
            <w:r w:rsidR="0093409D">
              <w:rPr>
                <w:rFonts w:asciiTheme="minorHAnsi" w:hAnsiTheme="minorHAnsi" w:cstheme="minorHAnsi"/>
                <w:iCs/>
                <w:sz w:val="24"/>
                <w:szCs w:val="24"/>
              </w:rPr>
              <w:t>,</w:t>
            </w:r>
            <w:r w:rsidRPr="008C5305">
              <w:rPr>
                <w:rFonts w:asciiTheme="minorHAnsi" w:hAnsiTheme="minorHAnsi" w:cstheme="minorHAnsi"/>
                <w:iCs/>
                <w:sz w:val="24"/>
                <w:szCs w:val="24"/>
              </w:rPr>
              <w:t xml:space="preserve"> 2018). The Equality Act 2010 states that age and disability are protected characteristics. (</w:t>
            </w:r>
            <w:r w:rsidRPr="0093409D">
              <w:rPr>
                <w:rFonts w:asciiTheme="minorHAnsi" w:hAnsiTheme="minorHAnsi" w:cstheme="minorHAnsi"/>
                <w:i/>
                <w:sz w:val="24"/>
                <w:szCs w:val="24"/>
              </w:rPr>
              <w:t>Equality Act</w:t>
            </w:r>
            <w:r w:rsidRPr="008C5305">
              <w:rPr>
                <w:rFonts w:asciiTheme="minorHAnsi" w:hAnsiTheme="minorHAnsi" w:cstheme="minorHAnsi"/>
                <w:iCs/>
                <w:sz w:val="24"/>
                <w:szCs w:val="24"/>
              </w:rPr>
              <w:t xml:space="preserve"> 2010). The United Nations Convention on the Rights of Persons with Disabilities also ensures the promotion and protection of the rights of people with disabilities (United Nations</w:t>
            </w:r>
            <w:r w:rsidR="0093409D">
              <w:rPr>
                <w:rFonts w:asciiTheme="minorHAnsi" w:hAnsiTheme="minorHAnsi" w:cstheme="minorHAnsi"/>
                <w:iCs/>
                <w:sz w:val="24"/>
                <w:szCs w:val="24"/>
              </w:rPr>
              <w:t>,</w:t>
            </w:r>
            <w:r w:rsidRPr="008C5305">
              <w:rPr>
                <w:rFonts w:asciiTheme="minorHAnsi" w:hAnsiTheme="minorHAnsi" w:cstheme="minorHAnsi"/>
                <w:iCs/>
                <w:sz w:val="24"/>
                <w:szCs w:val="24"/>
              </w:rPr>
              <w:t xml:space="preserve"> 2024). </w:t>
            </w:r>
          </w:p>
          <w:p w14:paraId="6B5C5BD2" w14:textId="77777777" w:rsidR="008C5305" w:rsidRPr="008C5305" w:rsidRDefault="008C5305" w:rsidP="008C5305">
            <w:pPr>
              <w:jc w:val="both"/>
              <w:rPr>
                <w:rFonts w:asciiTheme="minorHAnsi" w:hAnsiTheme="minorHAnsi" w:cstheme="minorHAnsi"/>
                <w:iCs/>
                <w:sz w:val="24"/>
                <w:szCs w:val="24"/>
              </w:rPr>
            </w:pPr>
          </w:p>
          <w:p w14:paraId="513B78BB" w14:textId="2C26B6D0"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While P4 was in hospital, I conducted a capacity assessment to ascertain whether P4 had the capacity to make decisions regarding her care, support, and accommodation needs. A capacity assessment is a two-stage diagnostic test. The first stage is establishing whether the person has a disturbance of the mind or brain, and whether this is to a degree that would affect the individual’s ability to make decisions (Department for Constitutional Affairs</w:t>
            </w:r>
            <w:r w:rsidR="00993126">
              <w:rPr>
                <w:rFonts w:asciiTheme="minorHAnsi" w:hAnsiTheme="minorHAnsi" w:cstheme="minorHAnsi"/>
                <w:iCs/>
                <w:sz w:val="24"/>
                <w:szCs w:val="24"/>
              </w:rPr>
              <w:t>,</w:t>
            </w:r>
            <w:r w:rsidRPr="008C5305">
              <w:rPr>
                <w:rFonts w:asciiTheme="minorHAnsi" w:hAnsiTheme="minorHAnsi" w:cstheme="minorHAnsi"/>
                <w:iCs/>
                <w:sz w:val="24"/>
                <w:szCs w:val="24"/>
              </w:rPr>
              <w:t xml:space="preserve"> 2007). In this case, P4 has a learning disability and dementia. Both conditions affect the brain. It is essential that the person assessing the individual has a good understanding of how their conditions might affect them, so that they give the person being assessed the best possible chance of evidencing the capacity to make specific decisions. This relates to the principles of the Mental Capacity Act [Hereafter MCA] (MCA Code of Practice</w:t>
            </w:r>
            <w:r w:rsidR="00993126">
              <w:rPr>
                <w:rFonts w:asciiTheme="minorHAnsi" w:hAnsiTheme="minorHAnsi" w:cstheme="minorHAnsi"/>
                <w:iCs/>
                <w:sz w:val="24"/>
                <w:szCs w:val="24"/>
              </w:rPr>
              <w:t>,</w:t>
            </w:r>
            <w:r w:rsidRPr="008C5305">
              <w:rPr>
                <w:rFonts w:asciiTheme="minorHAnsi" w:hAnsiTheme="minorHAnsi" w:cstheme="minorHAnsi"/>
                <w:iCs/>
                <w:sz w:val="24"/>
                <w:szCs w:val="24"/>
              </w:rPr>
              <w:t xml:space="preserve"> 2007). Research about their conditions should guide the assessment and determine how questions are asked, or whether bespoke communication aids may need to be created to support the individual to be able to make decisions for themselves. </w:t>
            </w:r>
          </w:p>
          <w:p w14:paraId="71937812" w14:textId="77777777" w:rsidR="008C5305" w:rsidRPr="008C5305" w:rsidRDefault="008C5305" w:rsidP="008C5305">
            <w:pPr>
              <w:jc w:val="both"/>
              <w:rPr>
                <w:rFonts w:asciiTheme="minorHAnsi" w:hAnsiTheme="minorHAnsi" w:cstheme="minorHAnsi"/>
                <w:iCs/>
                <w:sz w:val="24"/>
                <w:szCs w:val="24"/>
              </w:rPr>
            </w:pPr>
          </w:p>
          <w:p w14:paraId="41723816" w14:textId="64400461"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 xml:space="preserve">Lacking capacity to make one decision does not mean that an individual will lack the capacity to make decisions in other areas of their life. The Act is time and issue specific, and there are several reasons why an individual might lack capacity. The Social Care Institute for Excellence [Hereafter SCIE] say that everyone might have difficulties from time to time when making decisions. This might be because of </w:t>
            </w:r>
            <w:r w:rsidRPr="008C5305">
              <w:rPr>
                <w:rFonts w:asciiTheme="minorHAnsi" w:hAnsiTheme="minorHAnsi" w:cstheme="minorHAnsi"/>
                <w:iCs/>
                <w:sz w:val="24"/>
                <w:szCs w:val="24"/>
              </w:rPr>
              <w:lastRenderedPageBreak/>
              <w:t>the way that their mind or brain is affected. This could be because of illness, disability, or the effects of mind-altering substances such as drugs or alcohol. They add that the MCA is designed to see beyond these situations and can empower and protect the rights of these individuals (SCIE</w:t>
            </w:r>
            <w:r w:rsidR="00993126">
              <w:rPr>
                <w:rFonts w:asciiTheme="minorHAnsi" w:hAnsiTheme="minorHAnsi" w:cstheme="minorHAnsi"/>
                <w:iCs/>
                <w:sz w:val="24"/>
                <w:szCs w:val="24"/>
              </w:rPr>
              <w:t>,</w:t>
            </w:r>
            <w:r w:rsidRPr="008C5305">
              <w:rPr>
                <w:rFonts w:asciiTheme="minorHAnsi" w:hAnsiTheme="minorHAnsi" w:cstheme="minorHAnsi"/>
                <w:iCs/>
                <w:sz w:val="24"/>
                <w:szCs w:val="24"/>
              </w:rPr>
              <w:t xml:space="preserve"> 2024). I wanted to ensure that I was making the right decisions in partnership with P4 as much as was possible – while ensuring her rights and safety were paramount. I concluded that P4 did not have capacity to make decisions surrounding her care, support, and accommodation needs. This meant that I needed to refer to the principles of the MCA to ensure that all decisions that were made from hereon in were made with her best interests in mind. </w:t>
            </w:r>
          </w:p>
          <w:p w14:paraId="55DE6D0C" w14:textId="77777777" w:rsidR="008C5305" w:rsidRPr="008C5305" w:rsidRDefault="008C5305" w:rsidP="008C5305">
            <w:pPr>
              <w:jc w:val="both"/>
              <w:rPr>
                <w:rFonts w:asciiTheme="minorHAnsi" w:hAnsiTheme="minorHAnsi" w:cstheme="minorHAnsi"/>
                <w:iCs/>
                <w:sz w:val="24"/>
                <w:szCs w:val="24"/>
              </w:rPr>
            </w:pPr>
          </w:p>
          <w:p w14:paraId="510A4305" w14:textId="6AC2110A"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During all my interactions with P4 I took a person-centred approach. This is because this approach ensures that the person is central to their assessment. This links in well with Welsh legislation. According to Wales Safeguarding Procedures, one of the safeguarding principles is working co-productively with the individual at risk (Social Care Wales</w:t>
            </w:r>
            <w:r w:rsidR="00993126">
              <w:rPr>
                <w:rFonts w:asciiTheme="minorHAnsi" w:hAnsiTheme="minorHAnsi" w:cstheme="minorHAnsi"/>
                <w:iCs/>
                <w:sz w:val="24"/>
                <w:szCs w:val="24"/>
              </w:rPr>
              <w:t>,</w:t>
            </w:r>
            <w:r w:rsidRPr="008C5305">
              <w:rPr>
                <w:rFonts w:asciiTheme="minorHAnsi" w:hAnsiTheme="minorHAnsi" w:cstheme="minorHAnsi"/>
                <w:iCs/>
                <w:sz w:val="24"/>
                <w:szCs w:val="24"/>
              </w:rPr>
              <w:t xml:space="preserve"> 2019). This also links with the principles of SSWWA. “The Essentials” document states that assessments should be carried out in a way that best meets the person’s needs and focus should be placed on what matters to the individual. They add that the assessment should be made in partnership between the individual and the professional (Welsh Government</w:t>
            </w:r>
            <w:r w:rsidR="00ED76C0">
              <w:rPr>
                <w:rFonts w:asciiTheme="minorHAnsi" w:hAnsiTheme="minorHAnsi" w:cstheme="minorHAnsi"/>
                <w:iCs/>
                <w:sz w:val="24"/>
                <w:szCs w:val="24"/>
              </w:rPr>
              <w:t>,</w:t>
            </w:r>
            <w:r w:rsidRPr="008C5305">
              <w:rPr>
                <w:rFonts w:asciiTheme="minorHAnsi" w:hAnsiTheme="minorHAnsi" w:cstheme="minorHAnsi"/>
                <w:iCs/>
                <w:sz w:val="24"/>
                <w:szCs w:val="24"/>
              </w:rPr>
              <w:t xml:space="preserve"> 2014). According to The British Association of Social Workers [Hereafter BASW] Person-centred care supports individuals to develop skills, knowledge, and confidence. It helps them to make informed decisions about their own care. As the name suggests, it is tailored to their specific needs. It also ensures that individuals are treated with compassion, dignity, and respect (BASW</w:t>
            </w:r>
            <w:r w:rsidR="00ED76C0">
              <w:rPr>
                <w:rFonts w:asciiTheme="minorHAnsi" w:hAnsiTheme="minorHAnsi" w:cstheme="minorHAnsi"/>
                <w:iCs/>
                <w:sz w:val="24"/>
                <w:szCs w:val="24"/>
              </w:rPr>
              <w:t>,</w:t>
            </w:r>
            <w:r w:rsidRPr="008C5305">
              <w:rPr>
                <w:rFonts w:asciiTheme="minorHAnsi" w:hAnsiTheme="minorHAnsi" w:cstheme="minorHAnsi"/>
                <w:iCs/>
                <w:sz w:val="24"/>
                <w:szCs w:val="24"/>
              </w:rPr>
              <w:t xml:space="preserve"> 2023). </w:t>
            </w:r>
          </w:p>
          <w:p w14:paraId="11B9F29B" w14:textId="77777777" w:rsidR="008C5305" w:rsidRPr="008C5305" w:rsidRDefault="008C5305" w:rsidP="008C5305">
            <w:pPr>
              <w:jc w:val="both"/>
              <w:rPr>
                <w:rFonts w:asciiTheme="minorHAnsi" w:hAnsiTheme="minorHAnsi" w:cstheme="minorHAnsi"/>
                <w:iCs/>
                <w:sz w:val="24"/>
                <w:szCs w:val="24"/>
              </w:rPr>
            </w:pPr>
          </w:p>
          <w:p w14:paraId="259CEB58" w14:textId="6544B297"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During my preparation for P4’s assessments I researched her diagnosed conditions and how they might affect her. I also looked at some of her previous assessments to try to build a picture of her history. I used specific guidance to support me with this from the Department for Health [Hereafter DfH] (DfH</w:t>
            </w:r>
            <w:r w:rsidR="00ED76C0">
              <w:rPr>
                <w:rFonts w:asciiTheme="minorHAnsi" w:hAnsiTheme="minorHAnsi" w:cstheme="minorHAnsi"/>
                <w:iCs/>
                <w:sz w:val="24"/>
                <w:szCs w:val="24"/>
              </w:rPr>
              <w:t>,</w:t>
            </w:r>
            <w:r w:rsidRPr="008C5305">
              <w:rPr>
                <w:rFonts w:asciiTheme="minorHAnsi" w:hAnsiTheme="minorHAnsi" w:cstheme="minorHAnsi"/>
                <w:iCs/>
                <w:sz w:val="24"/>
                <w:szCs w:val="24"/>
              </w:rPr>
              <w:t xml:space="preserve"> 2015). This is because I wish to ensure that the standard of my work is good, is based on empirical evidence, and because P4’s needs are complex.  The guidance explained that Key to Person-centred dementia care is understanding and responding to the individual in a personal way. Practitioners should consider everyone’s personal history, needs, abilities, preferences, and interests. Practitioners should also build relationships with individuals and their carers – and work to ensure that the person is an equal partner in their health and care.” (DfH</w:t>
            </w:r>
            <w:r w:rsidR="00A3181F">
              <w:rPr>
                <w:rFonts w:asciiTheme="minorHAnsi" w:hAnsiTheme="minorHAnsi" w:cstheme="minorHAnsi"/>
                <w:iCs/>
                <w:sz w:val="24"/>
                <w:szCs w:val="24"/>
              </w:rPr>
              <w:t xml:space="preserve">, </w:t>
            </w:r>
            <w:r w:rsidRPr="008C5305">
              <w:rPr>
                <w:rFonts w:asciiTheme="minorHAnsi" w:hAnsiTheme="minorHAnsi" w:cstheme="minorHAnsi"/>
                <w:iCs/>
                <w:sz w:val="24"/>
                <w:szCs w:val="24"/>
              </w:rPr>
              <w:t xml:space="preserve">2015). </w:t>
            </w:r>
          </w:p>
          <w:p w14:paraId="0FFD49F1" w14:textId="77777777" w:rsidR="008C5305" w:rsidRPr="008C5305" w:rsidRDefault="008C5305" w:rsidP="008C5305">
            <w:pPr>
              <w:jc w:val="both"/>
              <w:rPr>
                <w:rFonts w:asciiTheme="minorHAnsi" w:hAnsiTheme="minorHAnsi" w:cstheme="minorHAnsi"/>
                <w:iCs/>
                <w:sz w:val="24"/>
                <w:szCs w:val="24"/>
              </w:rPr>
            </w:pPr>
          </w:p>
          <w:p w14:paraId="030A5428" w14:textId="1784255F"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This person-centred approach also led me to examine P4’s current strengths and support networks. For help with this, I looked to Systems Theory. Urie Bronfenbrenner’s 1979 ecological systems theory helped me to reflect upon and explore P4’s support network. This theory states that for every individual there are five levels of system interacting with and influencing their life. This would include Microsystems - These include family members and friends. Going all the way up to Chronosystems – How larger society impacts the community surrounding the individual. For example, legislative changes. This theory looks at how the different systems interact and affect each other (Bronfenbrenner</w:t>
            </w:r>
            <w:r w:rsidR="00A3181F">
              <w:rPr>
                <w:rFonts w:asciiTheme="minorHAnsi" w:hAnsiTheme="minorHAnsi" w:cstheme="minorHAnsi"/>
                <w:iCs/>
                <w:sz w:val="24"/>
                <w:szCs w:val="24"/>
              </w:rPr>
              <w:t>,</w:t>
            </w:r>
            <w:r w:rsidRPr="008C5305">
              <w:rPr>
                <w:rFonts w:asciiTheme="minorHAnsi" w:hAnsiTheme="minorHAnsi" w:cstheme="minorHAnsi"/>
                <w:iCs/>
                <w:sz w:val="24"/>
                <w:szCs w:val="24"/>
              </w:rPr>
              <w:t xml:space="preserve"> 1979). In P4’s case the trustee of her parent’s estate (P6) lives 60 miles away and their physical health is in decline. Beyond this, P4 did not have any existing informal support. Her current care provider had made several medication errors, did not have a strong management presence, and the staff team were not up to date with their medication observations. P4 was also now needing support and equipment to mobilise, and the staff team did not have the relevant training to support her to do this safely. On reflection, at this point I should have referred to an independent </w:t>
            </w:r>
            <w:r w:rsidRPr="008C5305">
              <w:rPr>
                <w:rFonts w:asciiTheme="minorHAnsi" w:hAnsiTheme="minorHAnsi" w:cstheme="minorHAnsi"/>
                <w:iCs/>
                <w:sz w:val="24"/>
                <w:szCs w:val="24"/>
              </w:rPr>
              <w:lastRenderedPageBreak/>
              <w:t>advocate to ensure P4’s voice was heard in line with SSWWA. However, at the time I felt that I was working in line with her wishes and feelings, so did not at this point.</w:t>
            </w:r>
          </w:p>
          <w:p w14:paraId="3E4B3F73" w14:textId="77777777" w:rsidR="008C5305" w:rsidRPr="008C5305" w:rsidRDefault="008C5305" w:rsidP="008C5305">
            <w:pPr>
              <w:jc w:val="both"/>
              <w:rPr>
                <w:rFonts w:asciiTheme="minorHAnsi" w:hAnsiTheme="minorHAnsi" w:cstheme="minorHAnsi"/>
                <w:iCs/>
                <w:sz w:val="24"/>
                <w:szCs w:val="24"/>
              </w:rPr>
            </w:pPr>
          </w:p>
          <w:p w14:paraId="67CDEC1B" w14:textId="24320B74"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While P4 was in hospital, an initial safeguarding meeting was held. This was chaired by the safeguarding lead for the local authority and attended by the care provider, colleagues from commissioning, health professionals involved in P4’s care, and me as her care manager. The Wales safeguarding procedures state that for safeguarding to be effective, then practitioners should work together in a multi-disciplinary way to better understand the individual and their personal circumstances (Social Care Wales</w:t>
            </w:r>
            <w:r w:rsidR="00BE2A6F">
              <w:rPr>
                <w:rFonts w:asciiTheme="minorHAnsi" w:hAnsiTheme="minorHAnsi" w:cstheme="minorHAnsi"/>
                <w:iCs/>
                <w:sz w:val="24"/>
                <w:szCs w:val="24"/>
              </w:rPr>
              <w:t>,</w:t>
            </w:r>
            <w:r w:rsidRPr="008C5305">
              <w:rPr>
                <w:rFonts w:asciiTheme="minorHAnsi" w:hAnsiTheme="minorHAnsi" w:cstheme="minorHAnsi"/>
                <w:iCs/>
                <w:sz w:val="24"/>
                <w:szCs w:val="24"/>
              </w:rPr>
              <w:t xml:space="preserve"> 2019). It was determined that several things needed to be addressed in that initial safeguarding meeting including staff training.  </w:t>
            </w:r>
          </w:p>
          <w:p w14:paraId="61E7A3AB" w14:textId="77777777"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It was decided during that meeting that it was unsafe for P4 to be discharged from hospital to her care provider - as there was not enough time to complete the required training ahead of her discharge, and there was work to be done with the care provider to produce up-to-date care plans for P4.</w:t>
            </w:r>
          </w:p>
          <w:p w14:paraId="0E7ECB7D" w14:textId="77777777" w:rsidR="008C5305" w:rsidRPr="008C5305" w:rsidRDefault="008C5305" w:rsidP="008C5305">
            <w:pPr>
              <w:jc w:val="both"/>
              <w:rPr>
                <w:rFonts w:asciiTheme="minorHAnsi" w:hAnsiTheme="minorHAnsi" w:cstheme="minorHAnsi"/>
                <w:iCs/>
                <w:sz w:val="24"/>
                <w:szCs w:val="24"/>
              </w:rPr>
            </w:pPr>
          </w:p>
          <w:p w14:paraId="31513142" w14:textId="45387D1A"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I subsequently chaired several discharge planning meetings regarding how P4’s needs could potentially be met when she was ready to be discharged from hospital. These were held with her care provider, ward staff, learning disability liaison team, physiotherapy ward staff, occupational therapist, safeguarding lead, commissioning colleagues, and respite facility management. These meetings pulled together all the people involved in P4’s care and ensured that we all worked together and pooled our expertise to ensure a safe discharge for P4. This links with one of the guiding principles of SSWWA which is Partnership and Integration (</w:t>
            </w:r>
            <w:r w:rsidRPr="00BE2A6F">
              <w:rPr>
                <w:rFonts w:asciiTheme="minorHAnsi" w:hAnsiTheme="minorHAnsi" w:cstheme="minorHAnsi"/>
                <w:i/>
                <w:sz w:val="24"/>
                <w:szCs w:val="24"/>
              </w:rPr>
              <w:t xml:space="preserve">SSWWA </w:t>
            </w:r>
            <w:r w:rsidRPr="008C5305">
              <w:rPr>
                <w:rFonts w:asciiTheme="minorHAnsi" w:hAnsiTheme="minorHAnsi" w:cstheme="minorHAnsi"/>
                <w:iCs/>
                <w:sz w:val="24"/>
                <w:szCs w:val="24"/>
              </w:rPr>
              <w:t>2014). The Essentials document for SSWWA states that local authorities and health boards should prioritise integration of services for those with complex needs, dementia, and learning disabilities (Welsh Government</w:t>
            </w:r>
            <w:r w:rsidR="00BE2A6F">
              <w:rPr>
                <w:rFonts w:asciiTheme="minorHAnsi" w:hAnsiTheme="minorHAnsi" w:cstheme="minorHAnsi"/>
                <w:iCs/>
                <w:sz w:val="24"/>
                <w:szCs w:val="24"/>
              </w:rPr>
              <w:t>,</w:t>
            </w:r>
            <w:r w:rsidRPr="008C5305">
              <w:rPr>
                <w:rFonts w:asciiTheme="minorHAnsi" w:hAnsiTheme="minorHAnsi" w:cstheme="minorHAnsi"/>
                <w:iCs/>
                <w:sz w:val="24"/>
                <w:szCs w:val="24"/>
              </w:rPr>
              <w:t xml:space="preserve"> 2014).  National Occupation Standards [Hereafter NOS] 6 for social workers links in here too. This gives clear instruction that social workers should develop collaborative relationships with other professionals and work together to come up with solutions for issues that are faced by the individuals that we support</w:t>
            </w:r>
            <w:r w:rsidR="002F69EC">
              <w:rPr>
                <w:rFonts w:asciiTheme="minorHAnsi" w:hAnsiTheme="minorHAnsi" w:cstheme="minorHAnsi"/>
                <w:iCs/>
                <w:sz w:val="24"/>
                <w:szCs w:val="24"/>
              </w:rPr>
              <w:t xml:space="preserve"> (Social Care Wales, 2023)</w:t>
            </w:r>
            <w:r w:rsidRPr="008C5305">
              <w:rPr>
                <w:rFonts w:asciiTheme="minorHAnsi" w:hAnsiTheme="minorHAnsi" w:cstheme="minorHAnsi"/>
                <w:iCs/>
                <w:sz w:val="24"/>
                <w:szCs w:val="24"/>
              </w:rPr>
              <w:t xml:space="preserve">. </w:t>
            </w:r>
          </w:p>
          <w:p w14:paraId="12DB8952" w14:textId="77777777" w:rsidR="008C5305" w:rsidRPr="008C5305" w:rsidRDefault="008C5305" w:rsidP="008C5305">
            <w:pPr>
              <w:jc w:val="both"/>
              <w:rPr>
                <w:rFonts w:asciiTheme="minorHAnsi" w:hAnsiTheme="minorHAnsi" w:cstheme="minorHAnsi"/>
                <w:iCs/>
                <w:sz w:val="24"/>
                <w:szCs w:val="24"/>
              </w:rPr>
            </w:pPr>
          </w:p>
          <w:p w14:paraId="0B2FC830" w14:textId="256FF80E"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This was challenging at times and different perspectives had to be managed. The ward wanted to discharge P4 as they felt that she was “medically fit.” NOS 6 (p8) links in here as this states that social workers should apply social work values to constructively find solutions to disagreements within a multi-disciplinary context</w:t>
            </w:r>
            <w:r w:rsidR="000E6C39">
              <w:rPr>
                <w:rFonts w:asciiTheme="minorHAnsi" w:hAnsiTheme="minorHAnsi" w:cstheme="minorHAnsi"/>
                <w:iCs/>
                <w:sz w:val="24"/>
                <w:szCs w:val="24"/>
              </w:rPr>
              <w:t xml:space="preserve"> (Social Care Wales, 2023)</w:t>
            </w:r>
            <w:r w:rsidRPr="008C5305">
              <w:rPr>
                <w:rFonts w:asciiTheme="minorHAnsi" w:hAnsiTheme="minorHAnsi" w:cstheme="minorHAnsi"/>
                <w:iCs/>
                <w:sz w:val="24"/>
                <w:szCs w:val="24"/>
              </w:rPr>
              <w:t>. It had been established that the care provider was unable to safely meet P4’s needs because the staff team had not received relevant training. This meant that the local authority needed to find a safe solution for P4. So, I turned to a local respite facility as a safe place for her to stay on a temporary basis, as they had adequate staffing levels and the relevant training to safely look after P4 until such time that her staff team were adequately trained, and she was well enough to go home. This is line with the Code of Professional Practice for Social Care (2017) which states that workers should promote the wellbeing of individuals whilst keeping them safe.</w:t>
            </w:r>
          </w:p>
          <w:p w14:paraId="431F9229" w14:textId="77777777" w:rsidR="008C5305" w:rsidRPr="008C5305" w:rsidRDefault="008C5305" w:rsidP="008C5305">
            <w:pPr>
              <w:jc w:val="both"/>
              <w:rPr>
                <w:rFonts w:asciiTheme="minorHAnsi" w:hAnsiTheme="minorHAnsi" w:cstheme="minorHAnsi"/>
                <w:iCs/>
                <w:sz w:val="24"/>
                <w:szCs w:val="24"/>
              </w:rPr>
            </w:pPr>
          </w:p>
          <w:p w14:paraId="2D36F5A1" w14:textId="538BFD23"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 xml:space="preserve">While P4 was in the respite facility she had to be readmitted to hospital. At this point we had gone through several stages of the safeguarding process. We had identified the concerns, gathered relevant information, and assessed for early help, care, and support. We had decided where P4 should stay in the interim - and made decisions about what needed to be done next. Wales safeguarding procedures </w:t>
            </w:r>
            <w:r w:rsidRPr="008C5305">
              <w:rPr>
                <w:rFonts w:asciiTheme="minorHAnsi" w:hAnsiTheme="minorHAnsi" w:cstheme="minorHAnsi"/>
                <w:iCs/>
                <w:sz w:val="24"/>
                <w:szCs w:val="24"/>
              </w:rPr>
              <w:lastRenderedPageBreak/>
              <w:t>guided our actions during this time. I worked to support the care provider to get the staff team the relevant training. The Wales Safeguarding Measures say that social workers have a duty to work in cooperation with the adult at risk, their families, and carers - unless this will put them at risk of further harm (Social Care Wales</w:t>
            </w:r>
            <w:r w:rsidR="000E6C39">
              <w:rPr>
                <w:rFonts w:asciiTheme="minorHAnsi" w:hAnsiTheme="minorHAnsi" w:cstheme="minorHAnsi"/>
                <w:iCs/>
                <w:sz w:val="24"/>
                <w:szCs w:val="24"/>
              </w:rPr>
              <w:t>,</w:t>
            </w:r>
            <w:r w:rsidRPr="008C5305">
              <w:rPr>
                <w:rFonts w:asciiTheme="minorHAnsi" w:hAnsiTheme="minorHAnsi" w:cstheme="minorHAnsi"/>
                <w:iCs/>
                <w:sz w:val="24"/>
                <w:szCs w:val="24"/>
              </w:rPr>
              <w:t xml:space="preserve"> 2019). However, due to a lack of engagement and cooperation from the care company, it was decided by the commissioning department that the local authority would serve notice on them. This meant that in the safeguarding review meeting that the concerns surrounding her care provider were no longer an issue – and the section 126 investigation was closed. This meant that we needed to identify a new care provider for P4 ahead of her discharge from hospital. Several care companies were considered, one was identified, and several weeks of work went in to developing care plans for P4 with the new provider. Ideally this would have included collaboration with her current care provider and a slow transition to make it easier for P4. However, the outgoing care provider did not want to engage with the process, so we were unable to achieve this. The professional concerns investigation regarding P5 were found to be unsubstantiated.</w:t>
            </w:r>
          </w:p>
          <w:p w14:paraId="3079E6F3" w14:textId="77777777" w:rsidR="008C5305" w:rsidRPr="008C5305" w:rsidRDefault="008C5305" w:rsidP="008C5305">
            <w:pPr>
              <w:jc w:val="both"/>
              <w:rPr>
                <w:rFonts w:asciiTheme="minorHAnsi" w:hAnsiTheme="minorHAnsi" w:cstheme="minorHAnsi"/>
                <w:iCs/>
                <w:sz w:val="24"/>
                <w:szCs w:val="24"/>
              </w:rPr>
            </w:pPr>
          </w:p>
          <w:p w14:paraId="4F9DBA5D" w14:textId="1B91CBB7"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Another obstacle I faced was that funding panel for the local authority declined my request for a new care provider to be commissioned to P4 at her home. They wished for me to explore other options for her going forward when she was ready to leave hospital. This decision was made in line with the local authorities fairer charging policy. This policy ensures that all decisions that are made regarding an individual’s care are fair and in line with other individuals in the locality. This is to allow for more people within the local area to access the right care when required. This links to relevant case law (N vs ACCG. 2017) which says that the court of protection has no power to demand an authority to fund what somebody wants - if they can meet their needs in a different way (39 Essex Chambers</w:t>
            </w:r>
            <w:r w:rsidR="007E3832">
              <w:rPr>
                <w:rFonts w:asciiTheme="minorHAnsi" w:hAnsiTheme="minorHAnsi" w:cstheme="minorHAnsi"/>
                <w:iCs/>
                <w:sz w:val="24"/>
                <w:szCs w:val="24"/>
              </w:rPr>
              <w:t>,</w:t>
            </w:r>
            <w:r w:rsidRPr="008C5305">
              <w:rPr>
                <w:rFonts w:asciiTheme="minorHAnsi" w:hAnsiTheme="minorHAnsi" w:cstheme="minorHAnsi"/>
                <w:iCs/>
                <w:sz w:val="24"/>
                <w:szCs w:val="24"/>
              </w:rPr>
              <w:t xml:space="preserve"> 2017). This decision was hard for me to understand initially, and I believed panel had lost the person during their decision making. That made me feel helpless and like I had little say in what happens to the individuals I support. It took some time and some reflection to realise that going home with her conditions was not future proof - and that P4 would be better placed now to adapt to change than in the future when her dementia became more advanced. This shift in my perspective was achieved by talking about the decision with management and my feelings surrounding the decision with my mentor during supervision. At this point I referred P4 for an independent advocate to ensure that her voice was heard during the discharge meetings. </w:t>
            </w:r>
          </w:p>
          <w:p w14:paraId="71036390" w14:textId="77777777" w:rsidR="008C5305" w:rsidRPr="008C5305" w:rsidRDefault="008C5305" w:rsidP="008C5305">
            <w:pPr>
              <w:jc w:val="both"/>
              <w:rPr>
                <w:rFonts w:asciiTheme="minorHAnsi" w:hAnsiTheme="minorHAnsi" w:cstheme="minorHAnsi"/>
                <w:iCs/>
                <w:sz w:val="24"/>
                <w:szCs w:val="24"/>
              </w:rPr>
            </w:pPr>
          </w:p>
          <w:p w14:paraId="2A0F8D17" w14:textId="4340DF8E"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I then turned to my colleagues in health to assess P4’s care needs to determine where she would be best placed when she was well enough to leave hospital. It had been established by the hospital discharge liaison nurse that there were no triggers for Continuing NHS Healthcare funding [Hereafter CHC].  CHC is an individual’s entitlement if they are considered to have a primary healthcare need. There are 12 domains which are considered and ranked by severity to test someone’s eligibility for this. These include nutrition, skin integrity, continence, mobility, and cognition (Welsh Government</w:t>
            </w:r>
            <w:r w:rsidR="007E3832">
              <w:rPr>
                <w:rFonts w:asciiTheme="minorHAnsi" w:hAnsiTheme="minorHAnsi" w:cstheme="minorHAnsi"/>
                <w:iCs/>
                <w:sz w:val="24"/>
                <w:szCs w:val="24"/>
              </w:rPr>
              <w:t>,</w:t>
            </w:r>
            <w:r w:rsidRPr="008C5305">
              <w:rPr>
                <w:rFonts w:asciiTheme="minorHAnsi" w:hAnsiTheme="minorHAnsi" w:cstheme="minorHAnsi"/>
                <w:iCs/>
                <w:sz w:val="24"/>
                <w:szCs w:val="24"/>
              </w:rPr>
              <w:t xml:space="preserve"> 2022). The nurse felt that while there were some domains that were pertinent to P4, that none of them reached the threshold for CHC funding.</w:t>
            </w:r>
          </w:p>
          <w:p w14:paraId="31A475E9" w14:textId="2ACD2DA5"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According to practice guidance, a funded nursing care assessment [Hereafter FNC] should only be made after an assessment for CHC has been made (Department of Health &amp; Social Care</w:t>
            </w:r>
            <w:r w:rsidR="007E3832">
              <w:rPr>
                <w:rFonts w:asciiTheme="minorHAnsi" w:hAnsiTheme="minorHAnsi" w:cstheme="minorHAnsi"/>
                <w:iCs/>
                <w:sz w:val="24"/>
                <w:szCs w:val="24"/>
              </w:rPr>
              <w:t>,</w:t>
            </w:r>
            <w:r w:rsidRPr="008C5305">
              <w:rPr>
                <w:rFonts w:asciiTheme="minorHAnsi" w:hAnsiTheme="minorHAnsi" w:cstheme="minorHAnsi"/>
                <w:iCs/>
                <w:sz w:val="24"/>
                <w:szCs w:val="24"/>
              </w:rPr>
              <w:t xml:space="preserve"> 2022) I then asked if the nurse would conduct an FNC assessment to ascertain where P4’s needs could be safely met.  The assessment concluded that they would be best met in a nursing home environment – due to the complexity of her needs. </w:t>
            </w:r>
          </w:p>
          <w:p w14:paraId="0D4C3B39" w14:textId="77777777" w:rsidR="008C5305" w:rsidRPr="008C5305" w:rsidRDefault="008C5305" w:rsidP="008C5305">
            <w:pPr>
              <w:jc w:val="both"/>
              <w:rPr>
                <w:rFonts w:asciiTheme="minorHAnsi" w:hAnsiTheme="minorHAnsi" w:cstheme="minorHAnsi"/>
                <w:iCs/>
                <w:sz w:val="24"/>
                <w:szCs w:val="24"/>
              </w:rPr>
            </w:pPr>
          </w:p>
          <w:p w14:paraId="4088A970" w14:textId="77777777"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As P4 lacked capacity to make decisions regarding her care, support, and accommodation - a Best Interest meeting was held to decide where she should live. All the professionals involved in her care contributed to this decision - as did P4 and her family members, and the independent advocate. The principles of the MCA state that any decisions should be made in a person’s best interests, and that this should be done in the least restrictive way possible (</w:t>
            </w:r>
            <w:r w:rsidRPr="00A52BDA">
              <w:rPr>
                <w:rFonts w:asciiTheme="minorHAnsi" w:hAnsiTheme="minorHAnsi" w:cstheme="minorHAnsi"/>
                <w:i/>
                <w:sz w:val="24"/>
                <w:szCs w:val="24"/>
              </w:rPr>
              <w:t>MCA</w:t>
            </w:r>
            <w:r w:rsidRPr="008C5305">
              <w:rPr>
                <w:rFonts w:asciiTheme="minorHAnsi" w:hAnsiTheme="minorHAnsi" w:cstheme="minorHAnsi"/>
                <w:iCs/>
                <w:sz w:val="24"/>
                <w:szCs w:val="24"/>
              </w:rPr>
              <w:t xml:space="preserve"> 2005). This was achieved by completing a balance checklist of all the options to see which was the best for her. This was difficult to navigate because different professionals had different ideas about what settings P4 would be best suited to. This difference in perspectives was difficult to manage, and I sought management support to help me navigate this. I found this frustrating and at times overwhelming - when several healthcare professionals were in opposition to what was felt to be the best option for P4. This was due to a lack of understanding on their side to why the local authority had declined their ideal for her to return home. It felt like they were unable to shift their perspective. However, the balance checklist was completed, and it became apparent which was the best choice. Preparations have now been started to move her to a nursing care home, where her needs will be met safely in the long term. </w:t>
            </w:r>
          </w:p>
          <w:p w14:paraId="55D8FC36" w14:textId="77777777" w:rsidR="008C5305" w:rsidRPr="008C5305" w:rsidRDefault="008C5305" w:rsidP="008C5305">
            <w:pPr>
              <w:jc w:val="both"/>
              <w:rPr>
                <w:rFonts w:asciiTheme="minorHAnsi" w:hAnsiTheme="minorHAnsi" w:cstheme="minorHAnsi"/>
                <w:iCs/>
                <w:sz w:val="24"/>
                <w:szCs w:val="24"/>
              </w:rPr>
            </w:pPr>
          </w:p>
          <w:p w14:paraId="00508B3F" w14:textId="77777777"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 xml:space="preserve">This case study has explored issues faced by P4, an individual on my caseload and the work I have undertaken to ensure her safe care. SSWWA places a duty on local authorities to assess where it is felt that there are concerns surrounding the standard of care that is being received by its citizens. I explored the differences between Welsh (SSWWA) and English legislation (CA) recognising that there are differences between the two, and that they each have their own guidance to follow regarding safeguarding. I discussed the ‘Active Offer’ and its importance to the individuals that we support in Wales. </w:t>
            </w:r>
          </w:p>
          <w:p w14:paraId="2CFAAB62" w14:textId="77777777" w:rsidR="008C5305" w:rsidRPr="008C5305" w:rsidRDefault="008C5305" w:rsidP="008C5305">
            <w:pPr>
              <w:jc w:val="both"/>
              <w:rPr>
                <w:rFonts w:asciiTheme="minorHAnsi" w:hAnsiTheme="minorHAnsi" w:cstheme="minorHAnsi"/>
                <w:iCs/>
                <w:sz w:val="24"/>
                <w:szCs w:val="24"/>
              </w:rPr>
            </w:pPr>
          </w:p>
          <w:p w14:paraId="278D8A9F" w14:textId="77777777"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Timescales for safeguarding investigations were discussed, and how the section 126 safeguarding investigation would be dealt with separately to the professional concerns. Legislation was discussed next - as a capacity assessment was required to determine P4’s ability to decide where and how she should be cared for. This would guide my actions, depending on the result of the assessment. I explored how the MCA works to protect the rights of individuals and some of the various pieces of legislation and policy that were pertinent to this individual. This included HRA, ECHR, EA and UNCRPD. Principles of the MCA were then explored, and the reasons they guided my practice.</w:t>
            </w:r>
          </w:p>
          <w:p w14:paraId="7C0BCA94" w14:textId="77777777" w:rsidR="008C5305" w:rsidRPr="008C5305" w:rsidRDefault="008C5305" w:rsidP="008C5305">
            <w:pPr>
              <w:jc w:val="both"/>
              <w:rPr>
                <w:rFonts w:asciiTheme="minorHAnsi" w:hAnsiTheme="minorHAnsi" w:cstheme="minorHAnsi"/>
                <w:iCs/>
                <w:sz w:val="24"/>
                <w:szCs w:val="24"/>
              </w:rPr>
            </w:pPr>
          </w:p>
          <w:p w14:paraId="6B678148" w14:textId="77777777"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 xml:space="preserve">Next to be discussed was the person-centred approach that I took to my work. The links between this approach to legislation, policy, and the code of ethics were explored. I explained how research into P4’s conditions had helped me to understand her and guide my interactions with her. I also discussed Bronfenbrenner’s systems theory and how this helped me to explore her existing support networks which shaped how I made plans for her future. Next, we discussed the initial safeguarding meeting, the issues raised, the decisions that were made, and next steps to ensure P4’s safe care. </w:t>
            </w:r>
          </w:p>
          <w:p w14:paraId="7CD7882F" w14:textId="77777777" w:rsidR="008C5305" w:rsidRPr="008C5305" w:rsidRDefault="008C5305" w:rsidP="008C5305">
            <w:pPr>
              <w:jc w:val="both"/>
              <w:rPr>
                <w:rFonts w:asciiTheme="minorHAnsi" w:hAnsiTheme="minorHAnsi" w:cstheme="minorHAnsi"/>
                <w:iCs/>
                <w:sz w:val="24"/>
                <w:szCs w:val="24"/>
              </w:rPr>
            </w:pPr>
          </w:p>
          <w:p w14:paraId="73907BF7" w14:textId="77777777"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 xml:space="preserve">Hospital discharge meetings and multidisciplinary working were next to be discussed and the decision to place P4 in a respite service to ensure her safe care. We discussed the lack of engagement from her care provider and the termination of their contract, which led to the safeguarding investigations coming to an end - as the concerns surrounding her care were no longer relevant.  The professional concerns procedures were also completed, and these were found to be unsubstantiated. Challenges </w:t>
            </w:r>
            <w:r w:rsidRPr="008C5305">
              <w:rPr>
                <w:rFonts w:asciiTheme="minorHAnsi" w:hAnsiTheme="minorHAnsi" w:cstheme="minorHAnsi"/>
                <w:iCs/>
                <w:sz w:val="24"/>
                <w:szCs w:val="24"/>
              </w:rPr>
              <w:lastRenderedPageBreak/>
              <w:t xml:space="preserve">that were faced during this intervention were also discussed. This included funding panel decisions, fair charging policy, case law, and differing professional perspectives. Finally, Best Interest decisions and the use of a balance checklist were discussed as a way of making decisions when professionals disagree on outcomes.  </w:t>
            </w:r>
          </w:p>
          <w:p w14:paraId="08F0AD8B" w14:textId="77777777" w:rsidR="008C5305" w:rsidRPr="008C5305" w:rsidRDefault="008C5305" w:rsidP="008C5305">
            <w:pPr>
              <w:jc w:val="both"/>
              <w:rPr>
                <w:rFonts w:asciiTheme="minorHAnsi" w:hAnsiTheme="minorHAnsi" w:cstheme="minorHAnsi"/>
                <w:iCs/>
                <w:sz w:val="24"/>
                <w:szCs w:val="24"/>
              </w:rPr>
            </w:pPr>
          </w:p>
          <w:p w14:paraId="143E55E3" w14:textId="4F505B22" w:rsidR="008C5305" w:rsidRPr="008C5305" w:rsidRDefault="008C5305" w:rsidP="008C5305">
            <w:pPr>
              <w:jc w:val="both"/>
              <w:rPr>
                <w:rFonts w:asciiTheme="minorHAnsi" w:hAnsiTheme="minorHAnsi" w:cstheme="minorHAnsi"/>
                <w:iCs/>
                <w:sz w:val="24"/>
                <w:szCs w:val="24"/>
              </w:rPr>
            </w:pPr>
            <w:r w:rsidRPr="008C5305">
              <w:rPr>
                <w:rFonts w:asciiTheme="minorHAnsi" w:hAnsiTheme="minorHAnsi" w:cstheme="minorHAnsi"/>
                <w:iCs/>
                <w:sz w:val="24"/>
                <w:szCs w:val="24"/>
              </w:rPr>
              <w:t xml:space="preserve">Upon reflection, I have learned a lot from the work undertaken with this individual. I could have managed things better – particularly the point at which I got the involvement of the independent advocate. I also struggled with the decision made by panel regarding next steps for P4’s care. It took some time and support from my team to be able to reflect and be flexible in my approach to this dilemma - so that I was able to see the situation from a bigger perspective. Research into the stages of dementia also helped here. After this point, when other professionals challenged the decision of funding panel, I was able to give a balanced view of why the local authority had made that decision. I am now confident that the work I have done has ensured that P4 will be cared for in a setting that is appropriate to her needs, and that while this may conflict with her wishes to return home, that the decision was made in her best interests and is still the best one for her. While P4 is still able to adapt to change - she will enjoy the rest of her days in one setting, without the need to move in the future.  This will allow her time to become familiar with her staff team and her surroundings. </w:t>
            </w:r>
            <w:r w:rsidR="00530A2E">
              <w:rPr>
                <w:rFonts w:asciiTheme="minorHAnsi" w:hAnsiTheme="minorHAnsi" w:cstheme="minorHAnsi"/>
                <w:iCs/>
                <w:sz w:val="24"/>
                <w:szCs w:val="24"/>
              </w:rPr>
              <w:t>(4367)</w:t>
            </w:r>
          </w:p>
          <w:p w14:paraId="36719545" w14:textId="77777777" w:rsidR="008C5305" w:rsidRPr="008C5305" w:rsidRDefault="008C5305" w:rsidP="008C5305">
            <w:pPr>
              <w:jc w:val="both"/>
              <w:rPr>
                <w:rFonts w:asciiTheme="minorHAnsi" w:hAnsiTheme="minorHAnsi" w:cstheme="minorHAnsi"/>
                <w:iCs/>
                <w:sz w:val="24"/>
                <w:szCs w:val="24"/>
              </w:rPr>
            </w:pPr>
          </w:p>
          <w:p w14:paraId="20370495" w14:textId="79B79501" w:rsidR="00D3203C" w:rsidRPr="008C5305" w:rsidRDefault="00D3203C" w:rsidP="00FF7EBB">
            <w:pPr>
              <w:jc w:val="both"/>
              <w:rPr>
                <w:rFonts w:asciiTheme="minorHAnsi" w:hAnsiTheme="minorHAnsi" w:cstheme="minorHAnsi"/>
                <w:iCs/>
                <w:sz w:val="24"/>
                <w:szCs w:val="24"/>
              </w:rPr>
            </w:pPr>
          </w:p>
          <w:p w14:paraId="12DC2F24" w14:textId="24094196" w:rsidR="00D3203C" w:rsidRPr="008C5305" w:rsidRDefault="00D3203C" w:rsidP="00FF7EBB">
            <w:pPr>
              <w:jc w:val="both"/>
              <w:rPr>
                <w:rFonts w:asciiTheme="minorHAnsi" w:hAnsiTheme="minorHAnsi" w:cstheme="minorHAnsi"/>
                <w:i/>
                <w:sz w:val="24"/>
                <w:szCs w:val="24"/>
              </w:rPr>
            </w:pPr>
          </w:p>
          <w:p w14:paraId="1225D23D" w14:textId="4FFF3138" w:rsidR="00D3203C" w:rsidRPr="008C5305" w:rsidRDefault="00D3203C" w:rsidP="00FF7EBB">
            <w:pPr>
              <w:jc w:val="both"/>
              <w:rPr>
                <w:rFonts w:asciiTheme="minorHAnsi" w:hAnsiTheme="minorHAnsi" w:cstheme="minorHAnsi"/>
                <w:i/>
                <w:sz w:val="24"/>
                <w:szCs w:val="24"/>
              </w:rPr>
            </w:pPr>
          </w:p>
          <w:p w14:paraId="0C1020FE" w14:textId="61CE561C" w:rsidR="00D3203C" w:rsidRPr="008C5305" w:rsidRDefault="00D3203C" w:rsidP="00FF7EBB">
            <w:pPr>
              <w:jc w:val="both"/>
              <w:rPr>
                <w:rFonts w:asciiTheme="minorHAnsi" w:hAnsiTheme="minorHAnsi" w:cstheme="minorHAnsi"/>
                <w:i/>
                <w:sz w:val="24"/>
                <w:szCs w:val="24"/>
              </w:rPr>
            </w:pPr>
          </w:p>
          <w:p w14:paraId="43CA65F6" w14:textId="46B65686" w:rsidR="00D3203C" w:rsidRPr="008C5305" w:rsidRDefault="00D3203C" w:rsidP="00FF7EBB">
            <w:pPr>
              <w:jc w:val="both"/>
              <w:rPr>
                <w:rFonts w:asciiTheme="minorHAnsi" w:hAnsiTheme="minorHAnsi" w:cstheme="minorHAnsi"/>
                <w:i/>
                <w:sz w:val="24"/>
                <w:szCs w:val="24"/>
              </w:rPr>
            </w:pPr>
          </w:p>
          <w:p w14:paraId="5C222972" w14:textId="259CE14B" w:rsidR="00D3203C" w:rsidRPr="008C5305" w:rsidRDefault="00D3203C" w:rsidP="00FF7EBB">
            <w:pPr>
              <w:jc w:val="both"/>
              <w:rPr>
                <w:rFonts w:asciiTheme="minorHAnsi" w:hAnsiTheme="minorHAnsi" w:cstheme="minorHAnsi"/>
                <w:i/>
                <w:sz w:val="24"/>
                <w:szCs w:val="24"/>
              </w:rPr>
            </w:pPr>
          </w:p>
          <w:p w14:paraId="0E7BBCC9" w14:textId="77777777" w:rsidR="00D3203C" w:rsidRPr="008C5305" w:rsidRDefault="00D3203C" w:rsidP="00FF7EBB">
            <w:pPr>
              <w:jc w:val="both"/>
              <w:rPr>
                <w:rFonts w:asciiTheme="minorHAnsi" w:hAnsiTheme="minorHAnsi" w:cstheme="minorHAnsi"/>
                <w:i/>
                <w:sz w:val="24"/>
                <w:szCs w:val="24"/>
              </w:rPr>
            </w:pPr>
          </w:p>
          <w:p w14:paraId="47F21B6A" w14:textId="007FFCCE" w:rsidR="007A628F" w:rsidRPr="008C5305" w:rsidRDefault="007A628F" w:rsidP="00FF7EBB">
            <w:pPr>
              <w:jc w:val="both"/>
              <w:rPr>
                <w:rFonts w:asciiTheme="minorHAnsi" w:hAnsiTheme="minorHAnsi" w:cstheme="minorHAnsi"/>
                <w:sz w:val="24"/>
                <w:szCs w:val="24"/>
              </w:rPr>
            </w:pPr>
          </w:p>
        </w:tc>
      </w:tr>
    </w:tbl>
    <w:p w14:paraId="1B4186EF" w14:textId="77777777" w:rsidR="00D3442D" w:rsidRPr="008C5305" w:rsidRDefault="00D3442D" w:rsidP="00D3442D">
      <w:pPr>
        <w:jc w:val="both"/>
        <w:rPr>
          <w:rFonts w:asciiTheme="minorHAnsi" w:hAnsiTheme="minorHAnsi" w:cstheme="minorHAnsi"/>
          <w:sz w:val="24"/>
          <w:szCs w:val="24"/>
        </w:rPr>
      </w:pPr>
    </w:p>
    <w:p w14:paraId="3BE23FA3" w14:textId="77777777" w:rsidR="00DD31C5" w:rsidRPr="008C5305" w:rsidRDefault="00DD31C5" w:rsidP="00064063">
      <w:pPr>
        <w:ind w:firstLine="720"/>
        <w:jc w:val="both"/>
        <w:rPr>
          <w:rFonts w:asciiTheme="minorHAnsi" w:hAnsiTheme="minorHAnsi" w:cstheme="minorHAnsi"/>
          <w:b/>
          <w:sz w:val="24"/>
          <w:szCs w:val="24"/>
        </w:rPr>
      </w:pPr>
    </w:p>
    <w:p w14:paraId="71B02E9F" w14:textId="77777777" w:rsidR="00DD31C5" w:rsidRPr="008C5305" w:rsidRDefault="00DD31C5" w:rsidP="00064063">
      <w:pPr>
        <w:ind w:firstLine="720"/>
        <w:jc w:val="both"/>
        <w:rPr>
          <w:rFonts w:asciiTheme="minorHAnsi" w:hAnsiTheme="minorHAnsi" w:cstheme="minorHAnsi"/>
          <w:b/>
          <w:sz w:val="24"/>
          <w:szCs w:val="24"/>
        </w:rPr>
      </w:pPr>
    </w:p>
    <w:p w14:paraId="7F4433FA" w14:textId="247A8309" w:rsidR="00CC135E" w:rsidRPr="008C5305" w:rsidRDefault="00CC135E" w:rsidP="003B29BC">
      <w:pPr>
        <w:rPr>
          <w:rFonts w:asciiTheme="minorHAnsi" w:hAnsiTheme="minorHAnsi" w:cstheme="minorHAnsi"/>
          <w:color w:val="auto"/>
          <w:sz w:val="24"/>
          <w:szCs w:val="24"/>
        </w:rPr>
      </w:pPr>
    </w:p>
    <w:sectPr w:rsidR="00CC135E" w:rsidRPr="008C5305"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967974"/>
    <w:multiLevelType w:val="hybridMultilevel"/>
    <w:tmpl w:val="A06C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2951059"/>
    <w:multiLevelType w:val="hybridMultilevel"/>
    <w:tmpl w:val="BBCC0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9F50D41"/>
    <w:multiLevelType w:val="hybridMultilevel"/>
    <w:tmpl w:val="5890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C223D1"/>
    <w:multiLevelType w:val="hybridMultilevel"/>
    <w:tmpl w:val="8188D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697CD9"/>
    <w:multiLevelType w:val="hybridMultilevel"/>
    <w:tmpl w:val="B83A1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73D3249"/>
    <w:multiLevelType w:val="hybridMultilevel"/>
    <w:tmpl w:val="9B2EDC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3"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50"/>
  </w:num>
  <w:num w:numId="4" w16cid:durableId="1850633156">
    <w:abstractNumId w:val="53"/>
  </w:num>
  <w:num w:numId="5" w16cid:durableId="2042589495">
    <w:abstractNumId w:val="38"/>
  </w:num>
  <w:num w:numId="6" w16cid:durableId="933980368">
    <w:abstractNumId w:val="36"/>
  </w:num>
  <w:num w:numId="7" w16cid:durableId="1060399973">
    <w:abstractNumId w:val="33"/>
  </w:num>
  <w:num w:numId="8" w16cid:durableId="1237400777">
    <w:abstractNumId w:val="34"/>
  </w:num>
  <w:num w:numId="9" w16cid:durableId="1914463563">
    <w:abstractNumId w:val="10"/>
  </w:num>
  <w:num w:numId="10" w16cid:durableId="693307142">
    <w:abstractNumId w:val="37"/>
  </w:num>
  <w:num w:numId="11" w16cid:durableId="141846751">
    <w:abstractNumId w:val="18"/>
  </w:num>
  <w:num w:numId="12" w16cid:durableId="1310867263">
    <w:abstractNumId w:val="17"/>
  </w:num>
  <w:num w:numId="13" w16cid:durableId="65736213">
    <w:abstractNumId w:val="29"/>
  </w:num>
  <w:num w:numId="14" w16cid:durableId="825441142">
    <w:abstractNumId w:val="8"/>
  </w:num>
  <w:num w:numId="15" w16cid:durableId="1016493186">
    <w:abstractNumId w:val="27"/>
  </w:num>
  <w:num w:numId="16" w16cid:durableId="1273785188">
    <w:abstractNumId w:val="16"/>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1"/>
  </w:num>
  <w:num w:numId="23" w16cid:durableId="456266206">
    <w:abstractNumId w:val="30"/>
  </w:num>
  <w:num w:numId="24" w16cid:durableId="317615789">
    <w:abstractNumId w:val="20"/>
  </w:num>
  <w:num w:numId="25" w16cid:durableId="856430468">
    <w:abstractNumId w:val="45"/>
  </w:num>
  <w:num w:numId="26" w16cid:durableId="1104690971">
    <w:abstractNumId w:val="39"/>
  </w:num>
  <w:num w:numId="27" w16cid:durableId="1201670287">
    <w:abstractNumId w:val="44"/>
  </w:num>
  <w:num w:numId="28" w16cid:durableId="598562144">
    <w:abstractNumId w:val="21"/>
  </w:num>
  <w:num w:numId="29" w16cid:durableId="871068292">
    <w:abstractNumId w:val="48"/>
  </w:num>
  <w:num w:numId="30" w16cid:durableId="482159744">
    <w:abstractNumId w:val="35"/>
  </w:num>
  <w:num w:numId="31" w16cid:durableId="1565527110">
    <w:abstractNumId w:val="12"/>
  </w:num>
  <w:num w:numId="32" w16cid:durableId="1175995731">
    <w:abstractNumId w:val="49"/>
  </w:num>
  <w:num w:numId="33" w16cid:durableId="694232600">
    <w:abstractNumId w:val="43"/>
  </w:num>
  <w:num w:numId="34" w16cid:durableId="1062095063">
    <w:abstractNumId w:val="5"/>
  </w:num>
  <w:num w:numId="35" w16cid:durableId="2051881075">
    <w:abstractNumId w:val="51"/>
  </w:num>
  <w:num w:numId="36" w16cid:durableId="2107188112">
    <w:abstractNumId w:val="46"/>
  </w:num>
  <w:num w:numId="37" w16cid:durableId="1313413796">
    <w:abstractNumId w:val="40"/>
  </w:num>
  <w:num w:numId="38" w16cid:durableId="1682197957">
    <w:abstractNumId w:val="41"/>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42"/>
  </w:num>
  <w:num w:numId="45" w16cid:durableId="891695978">
    <w:abstractNumId w:val="0"/>
  </w:num>
  <w:num w:numId="46" w16cid:durableId="827289017">
    <w:abstractNumId w:val="15"/>
  </w:num>
  <w:num w:numId="47" w16cid:durableId="167212813">
    <w:abstractNumId w:val="54"/>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30"/>
  </w:num>
  <w:num w:numId="51" w16cid:durableId="536360681">
    <w:abstractNumId w:val="25"/>
  </w:num>
  <w:num w:numId="52" w16cid:durableId="1666274935">
    <w:abstractNumId w:val="22"/>
  </w:num>
  <w:num w:numId="53" w16cid:durableId="435172075">
    <w:abstractNumId w:val="2"/>
  </w:num>
  <w:num w:numId="54" w16cid:durableId="1348675911">
    <w:abstractNumId w:val="28"/>
  </w:num>
  <w:num w:numId="55" w16cid:durableId="373891782">
    <w:abstractNumId w:val="32"/>
  </w:num>
  <w:num w:numId="56" w16cid:durableId="1527788412">
    <w:abstractNumId w:val="31"/>
  </w:num>
  <w:num w:numId="57" w16cid:durableId="1385258693">
    <w:abstractNumId w:val="52"/>
  </w:num>
  <w:num w:numId="58" w16cid:durableId="427429531">
    <w:abstractNumId w:val="47"/>
  </w:num>
  <w:num w:numId="59" w16cid:durableId="614410026">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68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6C39"/>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0E09"/>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85A"/>
    <w:rsid w:val="002D5A92"/>
    <w:rsid w:val="002D65D2"/>
    <w:rsid w:val="002D6B31"/>
    <w:rsid w:val="002E6D17"/>
    <w:rsid w:val="002E7017"/>
    <w:rsid w:val="002E7F2C"/>
    <w:rsid w:val="002F1FC7"/>
    <w:rsid w:val="002F2185"/>
    <w:rsid w:val="002F4F6E"/>
    <w:rsid w:val="002F69EC"/>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35BB"/>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0A2E"/>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2CCF"/>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1969"/>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3832"/>
    <w:rsid w:val="007F10BD"/>
    <w:rsid w:val="007F312E"/>
    <w:rsid w:val="007F3F7E"/>
    <w:rsid w:val="007F4BA4"/>
    <w:rsid w:val="007F695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5305"/>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409D"/>
    <w:rsid w:val="0094495F"/>
    <w:rsid w:val="009544C0"/>
    <w:rsid w:val="00954FA4"/>
    <w:rsid w:val="00956AE9"/>
    <w:rsid w:val="00964CC6"/>
    <w:rsid w:val="00967BFA"/>
    <w:rsid w:val="0098262C"/>
    <w:rsid w:val="0098427C"/>
    <w:rsid w:val="00986B43"/>
    <w:rsid w:val="00986C0B"/>
    <w:rsid w:val="00986D46"/>
    <w:rsid w:val="00991FDA"/>
    <w:rsid w:val="00992ACA"/>
    <w:rsid w:val="00993126"/>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181F"/>
    <w:rsid w:val="00A37416"/>
    <w:rsid w:val="00A40ED6"/>
    <w:rsid w:val="00A47621"/>
    <w:rsid w:val="00A479CD"/>
    <w:rsid w:val="00A50CFC"/>
    <w:rsid w:val="00A52BDA"/>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2A6F"/>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D63"/>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D76C0"/>
    <w:rsid w:val="00EE01ED"/>
    <w:rsid w:val="00EE1AC1"/>
    <w:rsid w:val="00EE39D6"/>
    <w:rsid w:val="00EE52AD"/>
    <w:rsid w:val="00EE5BC3"/>
    <w:rsid w:val="00EE6FAB"/>
    <w:rsid w:val="00EF328C"/>
    <w:rsid w:val="00EF68BB"/>
    <w:rsid w:val="00F01F92"/>
    <w:rsid w:val="00F02180"/>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8C53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49627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4572</Words>
  <Characters>23369</Characters>
  <Application>Microsoft Office Word</Application>
  <DocSecurity>0</DocSecurity>
  <Lines>194</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Catherine Fraser</cp:lastModifiedBy>
  <cp:revision>21</cp:revision>
  <cp:lastPrinted>2020-02-11T19:20:00Z</cp:lastPrinted>
  <dcterms:created xsi:type="dcterms:W3CDTF">2024-09-27T15:07:00Z</dcterms:created>
  <dcterms:modified xsi:type="dcterms:W3CDTF">2024-09-30T17:59:00Z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