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4E2187" w14:textId="77777777" w:rsidR="00DC7A52" w:rsidRPr="00C97325" w:rsidRDefault="00DC7A52" w:rsidP="00DC7A52">
      <w:pPr>
        <w:rPr>
          <w:rFonts w:ascii="Arial" w:hAnsi="Arial" w:cs="Arial"/>
          <w:b/>
          <w:bCs/>
          <w:sz w:val="22"/>
          <w:szCs w:val="22"/>
        </w:rPr>
      </w:pPr>
    </w:p>
    <w:p w14:paraId="4994722C" w14:textId="77777777" w:rsidR="00DC7A52" w:rsidRPr="00C97325" w:rsidRDefault="00DC7A52" w:rsidP="007F4FC5">
      <w:pPr>
        <w:rPr>
          <w:rFonts w:ascii="Arial" w:hAnsi="Arial" w:cs="Arial"/>
          <w:sz w:val="22"/>
          <w:szCs w:val="22"/>
        </w:rPr>
      </w:pPr>
    </w:p>
    <w:p w14:paraId="35C7B64E" w14:textId="77777777" w:rsidR="007F4FC5" w:rsidRPr="00C97325" w:rsidRDefault="007F4FC5" w:rsidP="007F4FC5">
      <w:pPr>
        <w:rPr>
          <w:rFonts w:ascii="Arial" w:hAnsi="Arial" w:cs="Arial"/>
          <w:sz w:val="22"/>
          <w:szCs w:val="22"/>
        </w:rPr>
      </w:pPr>
    </w:p>
    <w:p w14:paraId="0DD92A2F" w14:textId="77777777" w:rsidR="007F4FC5" w:rsidRPr="00C97325" w:rsidRDefault="007F4FC5" w:rsidP="007F4FC5">
      <w:pPr>
        <w:rPr>
          <w:rFonts w:ascii="Arial" w:hAnsi="Arial" w:cs="Arial"/>
          <w:sz w:val="22"/>
          <w:szCs w:val="22"/>
        </w:rPr>
      </w:pPr>
    </w:p>
    <w:p w14:paraId="6BDD322C" w14:textId="77777777" w:rsidR="007F4FC5" w:rsidRPr="00C97325" w:rsidRDefault="007F4FC5" w:rsidP="007F4FC5">
      <w:pPr>
        <w:rPr>
          <w:rFonts w:ascii="Arial" w:hAnsi="Arial" w:cs="Arial"/>
          <w:sz w:val="22"/>
          <w:szCs w:val="22"/>
        </w:rPr>
      </w:pPr>
    </w:p>
    <w:p w14:paraId="2541A9CE" w14:textId="77777777" w:rsidR="007F4FC5" w:rsidRPr="00C97325" w:rsidRDefault="007F4FC5" w:rsidP="007F4FC5">
      <w:pPr>
        <w:rPr>
          <w:rFonts w:ascii="Arial" w:hAnsi="Arial" w:cs="Arial"/>
          <w:sz w:val="22"/>
          <w:szCs w:val="22"/>
        </w:rPr>
      </w:pPr>
    </w:p>
    <w:p w14:paraId="475AF6A7" w14:textId="77777777" w:rsidR="007F4FC5" w:rsidRPr="00C97325" w:rsidRDefault="007F4FC5" w:rsidP="00495AE1">
      <w:pPr>
        <w:spacing w:line="360" w:lineRule="auto"/>
        <w:rPr>
          <w:rFonts w:ascii="Arial" w:hAnsi="Arial" w:cs="Arial"/>
          <w:sz w:val="22"/>
          <w:szCs w:val="22"/>
        </w:rPr>
      </w:pPr>
    </w:p>
    <w:p w14:paraId="4C9F5041" w14:textId="77777777" w:rsidR="007F4FC5" w:rsidRPr="00C97325" w:rsidRDefault="007F4FC5" w:rsidP="00D50DEB">
      <w:pPr>
        <w:spacing w:line="360" w:lineRule="auto"/>
        <w:rPr>
          <w:rFonts w:ascii="Arial" w:hAnsi="Arial" w:cs="Arial"/>
          <w:sz w:val="22"/>
          <w:szCs w:val="22"/>
        </w:rPr>
      </w:pPr>
    </w:p>
    <w:p w14:paraId="77D291B9" w14:textId="4607E61C" w:rsidR="00DC7A52" w:rsidRPr="00C97325" w:rsidRDefault="007F4FC5" w:rsidP="00D50DEB">
      <w:pPr>
        <w:spacing w:line="360" w:lineRule="auto"/>
        <w:rPr>
          <w:rFonts w:ascii="Arial" w:hAnsi="Arial" w:cs="Arial"/>
          <w:sz w:val="22"/>
          <w:szCs w:val="22"/>
        </w:rPr>
      </w:pPr>
      <w:r w:rsidRPr="00C97325">
        <w:rPr>
          <w:rFonts w:ascii="Arial" w:hAnsi="Arial" w:cs="Arial"/>
          <w:sz w:val="22"/>
          <w:szCs w:val="22"/>
        </w:rPr>
        <w:tab/>
      </w:r>
      <w:r w:rsidRPr="00C97325">
        <w:rPr>
          <w:rFonts w:ascii="Arial" w:hAnsi="Arial" w:cs="Arial"/>
          <w:sz w:val="22"/>
          <w:szCs w:val="22"/>
        </w:rPr>
        <w:tab/>
      </w:r>
      <w:r w:rsidR="00433B3B" w:rsidRPr="00C97325">
        <w:rPr>
          <w:rFonts w:ascii="Arial" w:hAnsi="Arial" w:cs="Arial"/>
          <w:sz w:val="22"/>
          <w:szCs w:val="22"/>
        </w:rPr>
        <w:t>Name</w:t>
      </w:r>
      <w:r w:rsidR="00451124" w:rsidRPr="00C97325">
        <w:rPr>
          <w:rFonts w:ascii="Arial" w:hAnsi="Arial" w:cs="Arial"/>
          <w:sz w:val="22"/>
          <w:szCs w:val="22"/>
        </w:rPr>
        <w:t>: Siakha Bi</w:t>
      </w:r>
    </w:p>
    <w:p w14:paraId="466C6F8A" w14:textId="65BCF798" w:rsidR="00451124" w:rsidRPr="00C97325" w:rsidRDefault="007F4FC5" w:rsidP="00D50DEB">
      <w:pPr>
        <w:spacing w:line="360" w:lineRule="auto"/>
        <w:rPr>
          <w:rFonts w:ascii="Arial" w:hAnsi="Arial" w:cs="Arial"/>
          <w:sz w:val="22"/>
          <w:szCs w:val="22"/>
        </w:rPr>
      </w:pPr>
      <w:r w:rsidRPr="00C97325">
        <w:rPr>
          <w:rFonts w:ascii="Arial" w:hAnsi="Arial" w:cs="Arial"/>
          <w:sz w:val="22"/>
          <w:szCs w:val="22"/>
        </w:rPr>
        <w:tab/>
      </w:r>
      <w:r w:rsidRPr="00C97325">
        <w:rPr>
          <w:rFonts w:ascii="Arial" w:hAnsi="Arial" w:cs="Arial"/>
          <w:sz w:val="22"/>
          <w:szCs w:val="22"/>
        </w:rPr>
        <w:tab/>
      </w:r>
      <w:r w:rsidR="00451124" w:rsidRPr="00C97325">
        <w:rPr>
          <w:rFonts w:ascii="Arial" w:hAnsi="Arial" w:cs="Arial"/>
          <w:sz w:val="22"/>
          <w:szCs w:val="22"/>
        </w:rPr>
        <w:t xml:space="preserve">Student </w:t>
      </w:r>
      <w:r w:rsidR="00AD7BDE" w:rsidRPr="00C97325">
        <w:rPr>
          <w:rFonts w:ascii="Arial" w:hAnsi="Arial" w:cs="Arial"/>
          <w:sz w:val="22"/>
          <w:szCs w:val="22"/>
        </w:rPr>
        <w:t>Number: 2512334</w:t>
      </w:r>
    </w:p>
    <w:p w14:paraId="3F315572" w14:textId="6E321686" w:rsidR="00AD7BDE" w:rsidRPr="00C97325" w:rsidRDefault="007F4FC5" w:rsidP="00D50DEB">
      <w:pPr>
        <w:spacing w:line="360" w:lineRule="auto"/>
        <w:rPr>
          <w:rFonts w:ascii="Arial" w:hAnsi="Arial" w:cs="Arial"/>
          <w:sz w:val="22"/>
          <w:szCs w:val="22"/>
        </w:rPr>
      </w:pPr>
      <w:r w:rsidRPr="00C97325">
        <w:rPr>
          <w:rFonts w:ascii="Arial" w:hAnsi="Arial" w:cs="Arial"/>
          <w:sz w:val="22"/>
          <w:szCs w:val="22"/>
        </w:rPr>
        <w:tab/>
      </w:r>
      <w:r w:rsidRPr="00C97325">
        <w:rPr>
          <w:rFonts w:ascii="Arial" w:hAnsi="Arial" w:cs="Arial"/>
          <w:sz w:val="22"/>
          <w:szCs w:val="22"/>
        </w:rPr>
        <w:tab/>
      </w:r>
      <w:r w:rsidR="00AD7BDE" w:rsidRPr="00C97325">
        <w:rPr>
          <w:rFonts w:ascii="Arial" w:hAnsi="Arial" w:cs="Arial"/>
          <w:sz w:val="22"/>
          <w:szCs w:val="22"/>
        </w:rPr>
        <w:t>Module</w:t>
      </w:r>
      <w:r w:rsidR="002B4C3D" w:rsidRPr="00C97325">
        <w:rPr>
          <w:rFonts w:ascii="Arial" w:hAnsi="Arial" w:cs="Arial"/>
          <w:sz w:val="22"/>
          <w:szCs w:val="22"/>
        </w:rPr>
        <w:t xml:space="preserve">: </w:t>
      </w:r>
      <w:r w:rsidR="00D6500B" w:rsidRPr="00C97325">
        <w:rPr>
          <w:rFonts w:ascii="Arial" w:hAnsi="Arial" w:cs="Arial"/>
          <w:sz w:val="22"/>
          <w:szCs w:val="22"/>
        </w:rPr>
        <w:t>Introd</w:t>
      </w:r>
      <w:r w:rsidR="00924B3D" w:rsidRPr="00C97325">
        <w:rPr>
          <w:rFonts w:ascii="Arial" w:hAnsi="Arial" w:cs="Arial"/>
          <w:sz w:val="22"/>
          <w:szCs w:val="22"/>
        </w:rPr>
        <w:t>uction to Health and Social Care</w:t>
      </w:r>
    </w:p>
    <w:p w14:paraId="156C8991" w14:textId="45EABA3C" w:rsidR="00924B3D" w:rsidRPr="00C97325" w:rsidRDefault="007F4FC5" w:rsidP="00D50DEB">
      <w:pPr>
        <w:spacing w:line="360" w:lineRule="auto"/>
        <w:rPr>
          <w:rFonts w:ascii="Arial" w:hAnsi="Arial" w:cs="Arial"/>
          <w:sz w:val="22"/>
          <w:szCs w:val="22"/>
        </w:rPr>
      </w:pPr>
      <w:r w:rsidRPr="00C97325">
        <w:rPr>
          <w:rFonts w:ascii="Arial" w:hAnsi="Arial" w:cs="Arial"/>
          <w:sz w:val="22"/>
          <w:szCs w:val="22"/>
        </w:rPr>
        <w:tab/>
      </w:r>
      <w:r w:rsidRPr="00C97325">
        <w:rPr>
          <w:rFonts w:ascii="Arial" w:hAnsi="Arial" w:cs="Arial"/>
          <w:sz w:val="22"/>
          <w:szCs w:val="22"/>
        </w:rPr>
        <w:tab/>
      </w:r>
      <w:r w:rsidR="00746102" w:rsidRPr="00C97325">
        <w:rPr>
          <w:rFonts w:ascii="Arial" w:hAnsi="Arial" w:cs="Arial"/>
          <w:sz w:val="22"/>
          <w:szCs w:val="22"/>
        </w:rPr>
        <w:t xml:space="preserve">Module Code: </w:t>
      </w:r>
      <w:r w:rsidR="004E11CD" w:rsidRPr="00C97325">
        <w:rPr>
          <w:rFonts w:ascii="Arial" w:hAnsi="Arial" w:cs="Arial"/>
          <w:sz w:val="22"/>
          <w:szCs w:val="22"/>
        </w:rPr>
        <w:t>LCHS4003</w:t>
      </w:r>
    </w:p>
    <w:p w14:paraId="49B2433F" w14:textId="2654871F" w:rsidR="004E11CD" w:rsidRPr="00C97325" w:rsidRDefault="007F4FC5" w:rsidP="00D50DEB">
      <w:pPr>
        <w:spacing w:line="360" w:lineRule="auto"/>
        <w:rPr>
          <w:rFonts w:ascii="Arial" w:hAnsi="Arial" w:cs="Arial"/>
          <w:sz w:val="22"/>
          <w:szCs w:val="22"/>
        </w:rPr>
      </w:pPr>
      <w:r w:rsidRPr="00C97325">
        <w:rPr>
          <w:rFonts w:ascii="Arial" w:hAnsi="Arial" w:cs="Arial"/>
          <w:sz w:val="22"/>
          <w:szCs w:val="22"/>
        </w:rPr>
        <w:tab/>
      </w:r>
      <w:r w:rsidRPr="00C97325">
        <w:rPr>
          <w:rFonts w:ascii="Arial" w:hAnsi="Arial" w:cs="Arial"/>
          <w:sz w:val="22"/>
          <w:szCs w:val="22"/>
        </w:rPr>
        <w:tab/>
      </w:r>
      <w:r w:rsidR="004E11CD" w:rsidRPr="00C97325">
        <w:rPr>
          <w:rFonts w:ascii="Arial" w:hAnsi="Arial" w:cs="Arial"/>
          <w:sz w:val="22"/>
          <w:szCs w:val="22"/>
        </w:rPr>
        <w:t xml:space="preserve">Lecturer Name: </w:t>
      </w:r>
      <w:r w:rsidR="006F0734" w:rsidRPr="00C97325">
        <w:rPr>
          <w:rFonts w:ascii="Arial" w:hAnsi="Arial" w:cs="Arial"/>
          <w:sz w:val="22"/>
          <w:szCs w:val="22"/>
        </w:rPr>
        <w:t>Viv</w:t>
      </w:r>
      <w:r w:rsidR="00196410" w:rsidRPr="00C97325">
        <w:rPr>
          <w:rFonts w:ascii="Arial" w:hAnsi="Arial" w:cs="Arial"/>
          <w:sz w:val="22"/>
          <w:szCs w:val="22"/>
        </w:rPr>
        <w:t>ian Osuchukwu</w:t>
      </w:r>
    </w:p>
    <w:p w14:paraId="024043F9" w14:textId="406ECEB7" w:rsidR="00072A15" w:rsidRPr="00C97325" w:rsidRDefault="007F4FC5" w:rsidP="00D50DEB">
      <w:pPr>
        <w:spacing w:line="360" w:lineRule="auto"/>
        <w:rPr>
          <w:rFonts w:ascii="Arial" w:hAnsi="Arial" w:cs="Arial"/>
          <w:sz w:val="22"/>
          <w:szCs w:val="22"/>
        </w:rPr>
      </w:pPr>
      <w:r w:rsidRPr="00C97325">
        <w:rPr>
          <w:rFonts w:ascii="Arial" w:hAnsi="Arial" w:cs="Arial"/>
          <w:sz w:val="22"/>
          <w:szCs w:val="22"/>
        </w:rPr>
        <w:tab/>
      </w:r>
      <w:r w:rsidRPr="00C97325">
        <w:rPr>
          <w:rFonts w:ascii="Arial" w:hAnsi="Arial" w:cs="Arial"/>
          <w:sz w:val="22"/>
          <w:szCs w:val="22"/>
        </w:rPr>
        <w:tab/>
      </w:r>
      <w:r w:rsidR="00072A15" w:rsidRPr="00C97325">
        <w:rPr>
          <w:rFonts w:ascii="Arial" w:hAnsi="Arial" w:cs="Arial"/>
          <w:sz w:val="22"/>
          <w:szCs w:val="22"/>
        </w:rPr>
        <w:t>Assi</w:t>
      </w:r>
      <w:r w:rsidRPr="00C97325">
        <w:rPr>
          <w:rFonts w:ascii="Arial" w:hAnsi="Arial" w:cs="Arial"/>
          <w:sz w:val="22"/>
          <w:szCs w:val="22"/>
        </w:rPr>
        <w:t>gnment Title: Written Assignment</w:t>
      </w:r>
    </w:p>
    <w:p w14:paraId="2A6AD9CC" w14:textId="77777777" w:rsidR="00072A15" w:rsidRPr="00C97325" w:rsidRDefault="00072A15" w:rsidP="00D50DEB">
      <w:pPr>
        <w:spacing w:line="360" w:lineRule="auto"/>
        <w:rPr>
          <w:rFonts w:ascii="Arial" w:hAnsi="Arial" w:cs="Arial"/>
          <w:sz w:val="22"/>
          <w:szCs w:val="22"/>
        </w:rPr>
      </w:pPr>
    </w:p>
    <w:p w14:paraId="4BC46D18" w14:textId="77777777" w:rsidR="00AD7BDE" w:rsidRPr="00C97325" w:rsidRDefault="00AD7BDE" w:rsidP="00D50DEB">
      <w:pPr>
        <w:spacing w:line="360" w:lineRule="auto"/>
        <w:rPr>
          <w:rFonts w:ascii="Arial" w:hAnsi="Arial" w:cs="Arial"/>
          <w:b/>
          <w:bCs/>
          <w:sz w:val="22"/>
          <w:szCs w:val="22"/>
        </w:rPr>
      </w:pPr>
    </w:p>
    <w:p w14:paraId="3B5D0BB9" w14:textId="77777777" w:rsidR="00DC7A52" w:rsidRPr="00C97325" w:rsidRDefault="00DC7A52" w:rsidP="00D50DEB">
      <w:pPr>
        <w:spacing w:line="360" w:lineRule="auto"/>
        <w:rPr>
          <w:rFonts w:ascii="Arial" w:hAnsi="Arial" w:cs="Arial"/>
          <w:b/>
          <w:bCs/>
          <w:sz w:val="22"/>
          <w:szCs w:val="22"/>
        </w:rPr>
      </w:pPr>
    </w:p>
    <w:p w14:paraId="01F2BAB7" w14:textId="77777777" w:rsidR="00DC7A52" w:rsidRPr="00C97325" w:rsidRDefault="00DC7A52" w:rsidP="00DC7A52">
      <w:pPr>
        <w:rPr>
          <w:rFonts w:ascii="Arial" w:hAnsi="Arial" w:cs="Arial"/>
          <w:b/>
          <w:bCs/>
          <w:sz w:val="22"/>
          <w:szCs w:val="22"/>
        </w:rPr>
      </w:pPr>
    </w:p>
    <w:p w14:paraId="6DD79A97" w14:textId="77777777" w:rsidR="00DC7A52" w:rsidRPr="00C97325" w:rsidRDefault="00DC7A52" w:rsidP="00DC7A52">
      <w:pPr>
        <w:rPr>
          <w:rFonts w:ascii="Arial" w:hAnsi="Arial" w:cs="Arial"/>
          <w:b/>
          <w:bCs/>
          <w:sz w:val="22"/>
          <w:szCs w:val="22"/>
        </w:rPr>
      </w:pPr>
    </w:p>
    <w:p w14:paraId="0FFAAE21" w14:textId="77777777" w:rsidR="00DC7A52" w:rsidRPr="00C97325" w:rsidRDefault="00DC7A52" w:rsidP="00DC7A52">
      <w:pPr>
        <w:rPr>
          <w:rFonts w:ascii="Arial" w:hAnsi="Arial" w:cs="Arial"/>
          <w:b/>
          <w:bCs/>
          <w:sz w:val="22"/>
          <w:szCs w:val="22"/>
        </w:rPr>
      </w:pPr>
    </w:p>
    <w:p w14:paraId="0236CB6A" w14:textId="77777777" w:rsidR="00DC7A52" w:rsidRPr="00C97325" w:rsidRDefault="00DC7A52" w:rsidP="00DC7A52">
      <w:pPr>
        <w:rPr>
          <w:rFonts w:ascii="Arial" w:hAnsi="Arial" w:cs="Arial"/>
          <w:b/>
          <w:bCs/>
          <w:sz w:val="22"/>
          <w:szCs w:val="22"/>
        </w:rPr>
      </w:pPr>
    </w:p>
    <w:p w14:paraId="582F9DE0" w14:textId="77777777" w:rsidR="00DC7A52" w:rsidRPr="00C97325" w:rsidRDefault="00DC7A52" w:rsidP="00DC7A52">
      <w:pPr>
        <w:rPr>
          <w:rFonts w:ascii="Arial" w:hAnsi="Arial" w:cs="Arial"/>
          <w:b/>
          <w:bCs/>
          <w:sz w:val="22"/>
          <w:szCs w:val="22"/>
        </w:rPr>
      </w:pPr>
    </w:p>
    <w:p w14:paraId="68BC9981" w14:textId="77777777" w:rsidR="00DC7A52" w:rsidRPr="00C97325" w:rsidRDefault="00DC7A52" w:rsidP="00DC7A52">
      <w:pPr>
        <w:rPr>
          <w:rFonts w:ascii="Arial" w:hAnsi="Arial" w:cs="Arial"/>
          <w:b/>
          <w:bCs/>
          <w:sz w:val="22"/>
          <w:szCs w:val="22"/>
        </w:rPr>
      </w:pPr>
    </w:p>
    <w:p w14:paraId="61E8862F" w14:textId="77777777" w:rsidR="00DC7A52" w:rsidRPr="00C97325" w:rsidRDefault="00DC7A52" w:rsidP="00DC7A52">
      <w:pPr>
        <w:rPr>
          <w:rFonts w:ascii="Arial" w:hAnsi="Arial" w:cs="Arial"/>
          <w:b/>
          <w:bCs/>
          <w:sz w:val="22"/>
          <w:szCs w:val="22"/>
        </w:rPr>
      </w:pPr>
    </w:p>
    <w:p w14:paraId="6B33BBFF" w14:textId="77777777" w:rsidR="00DC7A52" w:rsidRPr="00C97325" w:rsidRDefault="00DC7A52" w:rsidP="00DC7A52">
      <w:pPr>
        <w:rPr>
          <w:rFonts w:ascii="Arial" w:hAnsi="Arial" w:cs="Arial"/>
          <w:b/>
          <w:bCs/>
          <w:sz w:val="22"/>
          <w:szCs w:val="22"/>
        </w:rPr>
      </w:pPr>
    </w:p>
    <w:p w14:paraId="73795479" w14:textId="77777777" w:rsidR="00DC7A52" w:rsidRPr="00C97325" w:rsidRDefault="00DC7A52" w:rsidP="00DC7A52">
      <w:pPr>
        <w:rPr>
          <w:rFonts w:ascii="Arial" w:hAnsi="Arial" w:cs="Arial"/>
          <w:b/>
          <w:bCs/>
          <w:sz w:val="22"/>
          <w:szCs w:val="22"/>
        </w:rPr>
      </w:pPr>
    </w:p>
    <w:p w14:paraId="7E985A7F" w14:textId="77777777" w:rsidR="00DC7A52" w:rsidRPr="00C97325" w:rsidRDefault="00DC7A52" w:rsidP="00DC7A52">
      <w:pPr>
        <w:rPr>
          <w:rFonts w:ascii="Arial" w:hAnsi="Arial" w:cs="Arial"/>
          <w:b/>
          <w:bCs/>
          <w:sz w:val="22"/>
          <w:szCs w:val="22"/>
        </w:rPr>
      </w:pPr>
    </w:p>
    <w:p w14:paraId="0F3A060E" w14:textId="77777777" w:rsidR="003746E6" w:rsidRDefault="003746E6" w:rsidP="004870DE">
      <w:pPr>
        <w:spacing w:line="360" w:lineRule="auto"/>
        <w:rPr>
          <w:rFonts w:ascii="Arial" w:hAnsi="Arial" w:cs="Arial"/>
          <w:b/>
          <w:bCs/>
          <w:sz w:val="22"/>
          <w:szCs w:val="22"/>
        </w:rPr>
      </w:pPr>
    </w:p>
    <w:p w14:paraId="5444FB55" w14:textId="77777777" w:rsidR="00C31E0C" w:rsidRDefault="00C31E0C" w:rsidP="004870DE">
      <w:pPr>
        <w:spacing w:line="360" w:lineRule="auto"/>
        <w:rPr>
          <w:rFonts w:ascii="Arial" w:hAnsi="Arial" w:cs="Arial"/>
          <w:b/>
          <w:bCs/>
          <w:sz w:val="22"/>
          <w:szCs w:val="22"/>
        </w:rPr>
      </w:pPr>
    </w:p>
    <w:sdt>
      <w:sdtPr>
        <w:rPr>
          <w:rFonts w:ascii="Arial" w:eastAsiaTheme="minorHAnsi" w:hAnsi="Arial" w:cs="Arial"/>
          <w:color w:val="auto"/>
          <w:kern w:val="2"/>
          <w:sz w:val="22"/>
          <w:szCs w:val="22"/>
          <w:lang w:val="en-GB"/>
          <w14:ligatures w14:val="standardContextual"/>
        </w:rPr>
        <w:id w:val="-1428186605"/>
        <w:docPartObj>
          <w:docPartGallery w:val="Table of Contents"/>
          <w:docPartUnique/>
        </w:docPartObj>
      </w:sdtPr>
      <w:sdtContent>
        <w:p w14:paraId="0ADA5684" w14:textId="2BF0F192" w:rsidR="00C31E0C" w:rsidRPr="00790F92" w:rsidRDefault="00C31E0C" w:rsidP="001B375E">
          <w:pPr>
            <w:pStyle w:val="TOCHeading"/>
            <w:spacing w:line="360" w:lineRule="auto"/>
            <w:rPr>
              <w:rFonts w:ascii="Arial" w:hAnsi="Arial" w:cs="Arial"/>
              <w:b/>
              <w:bCs/>
              <w:color w:val="000000" w:themeColor="text1"/>
              <w:sz w:val="22"/>
              <w:szCs w:val="22"/>
            </w:rPr>
          </w:pPr>
          <w:r w:rsidRPr="00790F92">
            <w:rPr>
              <w:rFonts w:ascii="Arial" w:hAnsi="Arial" w:cs="Arial"/>
              <w:b/>
              <w:bCs/>
              <w:color w:val="000000" w:themeColor="text1"/>
              <w:sz w:val="22"/>
              <w:szCs w:val="22"/>
            </w:rPr>
            <w:t>Table of Contents</w:t>
          </w:r>
        </w:p>
        <w:p w14:paraId="7535C185" w14:textId="0DB6EC5E" w:rsidR="00C31E0C" w:rsidRPr="00790F92" w:rsidRDefault="00B842C6" w:rsidP="001B375E">
          <w:pPr>
            <w:pStyle w:val="TOC1"/>
            <w:spacing w:line="360" w:lineRule="auto"/>
            <w:rPr>
              <w:rFonts w:ascii="Arial" w:hAnsi="Arial" w:cs="Arial"/>
            </w:rPr>
          </w:pPr>
          <w:r w:rsidRPr="00790F92">
            <w:rPr>
              <w:rFonts w:ascii="Arial" w:hAnsi="Arial" w:cs="Arial"/>
            </w:rPr>
            <w:t>Title</w:t>
          </w:r>
          <w:r w:rsidR="00C31E0C" w:rsidRPr="00790F92">
            <w:rPr>
              <w:rFonts w:ascii="Arial" w:hAnsi="Arial" w:cs="Arial"/>
            </w:rPr>
            <w:t xml:space="preserve"> Page</w:t>
          </w:r>
          <w:r w:rsidR="00C31E0C" w:rsidRPr="00790F92">
            <w:rPr>
              <w:rFonts w:ascii="Arial" w:hAnsi="Arial" w:cs="Arial"/>
            </w:rPr>
            <w:ptab w:relativeTo="margin" w:alignment="right" w:leader="dot"/>
          </w:r>
          <w:r w:rsidR="00C31E0C" w:rsidRPr="00790F92">
            <w:rPr>
              <w:rFonts w:ascii="Arial" w:hAnsi="Arial" w:cs="Arial"/>
            </w:rPr>
            <w:t>1</w:t>
          </w:r>
        </w:p>
        <w:p w14:paraId="2A4DF4AB" w14:textId="0F115F3A" w:rsidR="00C31E0C" w:rsidRPr="00790F92" w:rsidRDefault="00C31E0C" w:rsidP="001B375E">
          <w:pPr>
            <w:pStyle w:val="TOC2"/>
            <w:spacing w:line="360" w:lineRule="auto"/>
            <w:ind w:left="0"/>
            <w:rPr>
              <w:rFonts w:ascii="Arial" w:hAnsi="Arial" w:cs="Arial"/>
            </w:rPr>
          </w:pPr>
          <w:r w:rsidRPr="00790F92">
            <w:rPr>
              <w:rFonts w:ascii="Arial" w:hAnsi="Arial" w:cs="Arial"/>
            </w:rPr>
            <w:t>Introduction</w:t>
          </w:r>
          <w:r w:rsidRPr="00790F92">
            <w:rPr>
              <w:rFonts w:ascii="Arial" w:hAnsi="Arial" w:cs="Arial"/>
            </w:rPr>
            <w:ptab w:relativeTo="margin" w:alignment="right" w:leader="dot"/>
          </w:r>
          <w:r w:rsidR="00E6758B">
            <w:rPr>
              <w:rFonts w:ascii="Arial" w:hAnsi="Arial" w:cs="Arial"/>
            </w:rPr>
            <w:t>3</w:t>
          </w:r>
        </w:p>
        <w:p w14:paraId="0BB00696" w14:textId="455C412C" w:rsidR="00C31E0C" w:rsidRPr="00790F92" w:rsidRDefault="00C31E0C" w:rsidP="001B375E">
          <w:pPr>
            <w:pStyle w:val="TOC3"/>
            <w:spacing w:line="360" w:lineRule="auto"/>
            <w:ind w:left="0"/>
            <w:rPr>
              <w:rFonts w:ascii="Arial" w:hAnsi="Arial" w:cs="Arial"/>
            </w:rPr>
          </w:pPr>
          <w:r w:rsidRPr="00790F92">
            <w:rPr>
              <w:rFonts w:ascii="Arial" w:hAnsi="Arial" w:cs="Arial"/>
            </w:rPr>
            <w:t>Effective Communication</w:t>
          </w:r>
          <w:r w:rsidRPr="00790F92">
            <w:rPr>
              <w:rFonts w:ascii="Arial" w:hAnsi="Arial" w:cs="Arial"/>
            </w:rPr>
            <w:ptab w:relativeTo="margin" w:alignment="right" w:leader="dot"/>
          </w:r>
          <w:r w:rsidRPr="00790F92">
            <w:rPr>
              <w:rFonts w:ascii="Arial" w:hAnsi="Arial" w:cs="Arial"/>
            </w:rPr>
            <w:t>3</w:t>
          </w:r>
          <w:r w:rsidR="001573CA" w:rsidRPr="00790F92">
            <w:rPr>
              <w:rFonts w:ascii="Arial" w:hAnsi="Arial" w:cs="Arial"/>
            </w:rPr>
            <w:t>-4</w:t>
          </w:r>
        </w:p>
        <w:p w14:paraId="7AF96063" w14:textId="5D406911" w:rsidR="00C31E0C" w:rsidRPr="00790F92" w:rsidRDefault="00C31E0C" w:rsidP="001B375E">
          <w:pPr>
            <w:pStyle w:val="TOC1"/>
            <w:spacing w:line="360" w:lineRule="auto"/>
            <w:rPr>
              <w:rFonts w:ascii="Arial" w:hAnsi="Arial" w:cs="Arial"/>
            </w:rPr>
          </w:pPr>
          <w:r w:rsidRPr="00790F92">
            <w:rPr>
              <w:rFonts w:ascii="Arial" w:hAnsi="Arial" w:cs="Arial"/>
            </w:rPr>
            <w:t xml:space="preserve">Administrative Skills and Record Keeping </w:t>
          </w:r>
          <w:r w:rsidRPr="00790F92">
            <w:rPr>
              <w:rFonts w:ascii="Arial" w:hAnsi="Arial" w:cs="Arial"/>
            </w:rPr>
            <w:ptab w:relativeTo="margin" w:alignment="right" w:leader="dot"/>
          </w:r>
          <w:r w:rsidR="00DD6D55">
            <w:rPr>
              <w:rFonts w:ascii="Arial" w:hAnsi="Arial" w:cs="Arial"/>
            </w:rPr>
            <w:t>4</w:t>
          </w:r>
        </w:p>
        <w:p w14:paraId="4BF3A323" w14:textId="601538EB" w:rsidR="00C31E0C" w:rsidRPr="00790F92" w:rsidRDefault="00C31E0C" w:rsidP="001B375E">
          <w:pPr>
            <w:pStyle w:val="TOC2"/>
            <w:spacing w:line="360" w:lineRule="auto"/>
            <w:ind w:left="0"/>
            <w:rPr>
              <w:rFonts w:ascii="Arial" w:hAnsi="Arial" w:cs="Arial"/>
            </w:rPr>
          </w:pPr>
          <w:r w:rsidRPr="00790F92">
            <w:rPr>
              <w:rFonts w:ascii="Arial" w:hAnsi="Arial" w:cs="Arial"/>
            </w:rPr>
            <w:t xml:space="preserve">Collaborative Working </w:t>
          </w:r>
          <w:r w:rsidRPr="00790F92">
            <w:rPr>
              <w:rFonts w:ascii="Arial" w:hAnsi="Arial" w:cs="Arial"/>
            </w:rPr>
            <w:ptab w:relativeTo="margin" w:alignment="right" w:leader="dot"/>
          </w:r>
          <w:r w:rsidR="002D6F0A">
            <w:rPr>
              <w:rFonts w:ascii="Arial" w:hAnsi="Arial" w:cs="Arial"/>
            </w:rPr>
            <w:t>….5-</w:t>
          </w:r>
          <w:r w:rsidR="001573CA" w:rsidRPr="00790F92">
            <w:rPr>
              <w:rFonts w:ascii="Arial" w:hAnsi="Arial" w:cs="Arial"/>
            </w:rPr>
            <w:t>6</w:t>
          </w:r>
        </w:p>
        <w:p w14:paraId="10289656" w14:textId="7B01A1B9" w:rsidR="00C31E0C" w:rsidRPr="00790F92" w:rsidRDefault="00C31E0C" w:rsidP="001B375E">
          <w:pPr>
            <w:pStyle w:val="TOC3"/>
            <w:spacing w:line="360" w:lineRule="auto"/>
            <w:ind w:left="0"/>
            <w:rPr>
              <w:rFonts w:ascii="Arial" w:hAnsi="Arial" w:cs="Arial"/>
            </w:rPr>
          </w:pPr>
          <w:r w:rsidRPr="00790F92">
            <w:rPr>
              <w:rFonts w:ascii="Arial" w:hAnsi="Arial" w:cs="Arial"/>
            </w:rPr>
            <w:t>Conclusion</w:t>
          </w:r>
          <w:r w:rsidRPr="00790F92">
            <w:rPr>
              <w:rFonts w:ascii="Arial" w:hAnsi="Arial" w:cs="Arial"/>
            </w:rPr>
            <w:ptab w:relativeTo="margin" w:alignment="right" w:leader="dot"/>
          </w:r>
          <w:r w:rsidR="006C4D8E">
            <w:rPr>
              <w:rFonts w:ascii="Arial" w:hAnsi="Arial" w:cs="Arial"/>
            </w:rPr>
            <w:t>6-</w:t>
          </w:r>
          <w:r w:rsidR="005A1A43" w:rsidRPr="00790F92">
            <w:rPr>
              <w:rFonts w:ascii="Arial" w:hAnsi="Arial" w:cs="Arial"/>
            </w:rPr>
            <w:t>7</w:t>
          </w:r>
        </w:p>
        <w:p w14:paraId="5CC64237" w14:textId="215CE455" w:rsidR="00C31E0C" w:rsidRPr="00790F92" w:rsidRDefault="00C31E0C" w:rsidP="001B375E">
          <w:pPr>
            <w:spacing w:line="360" w:lineRule="auto"/>
            <w:rPr>
              <w:rFonts w:ascii="Arial" w:hAnsi="Arial" w:cs="Arial"/>
              <w:sz w:val="22"/>
              <w:szCs w:val="22"/>
              <w:lang w:val="en-US"/>
            </w:rPr>
          </w:pPr>
          <w:r w:rsidRPr="00790F92">
            <w:rPr>
              <w:rFonts w:ascii="Arial" w:hAnsi="Arial" w:cs="Arial"/>
              <w:sz w:val="22"/>
              <w:szCs w:val="22"/>
              <w:lang w:val="en-US"/>
            </w:rPr>
            <w:t>References</w:t>
          </w:r>
          <w:r w:rsidR="00B842C6" w:rsidRPr="00790F92">
            <w:rPr>
              <w:rFonts w:ascii="Arial" w:hAnsi="Arial" w:cs="Arial"/>
              <w:sz w:val="22"/>
              <w:szCs w:val="22"/>
              <w:lang w:val="en-US"/>
            </w:rPr>
            <w:t>…</w:t>
          </w:r>
          <w:r w:rsidR="005A21FF">
            <w:rPr>
              <w:rFonts w:ascii="Arial" w:hAnsi="Arial" w:cs="Arial"/>
              <w:sz w:val="22"/>
              <w:szCs w:val="22"/>
              <w:lang w:val="en-US"/>
            </w:rPr>
            <w:t>……</w:t>
          </w:r>
          <w:r w:rsidR="00B842C6" w:rsidRPr="00790F92">
            <w:rPr>
              <w:rFonts w:ascii="Arial" w:hAnsi="Arial" w:cs="Arial"/>
              <w:sz w:val="22"/>
              <w:szCs w:val="22"/>
              <w:lang w:val="en-US"/>
            </w:rPr>
            <w:t>...</w:t>
          </w:r>
          <w:r w:rsidRPr="00790F92">
            <w:rPr>
              <w:rFonts w:ascii="Arial" w:hAnsi="Arial" w:cs="Arial"/>
              <w:sz w:val="22"/>
              <w:szCs w:val="22"/>
              <w:lang w:val="en-US"/>
            </w:rPr>
            <w:t>…………………………………………………………………………</w:t>
          </w:r>
          <w:r w:rsidR="005A21FF">
            <w:rPr>
              <w:rFonts w:ascii="Arial" w:hAnsi="Arial" w:cs="Arial"/>
              <w:sz w:val="22"/>
              <w:szCs w:val="22"/>
              <w:lang w:val="en-US"/>
            </w:rPr>
            <w:t>……</w:t>
          </w:r>
          <w:r w:rsidR="00A1447E">
            <w:rPr>
              <w:rFonts w:ascii="Arial" w:hAnsi="Arial" w:cs="Arial"/>
              <w:sz w:val="22"/>
              <w:szCs w:val="22"/>
              <w:lang w:val="en-US"/>
            </w:rPr>
            <w:t xml:space="preserve">  </w:t>
          </w:r>
          <w:r w:rsidR="005A1A43" w:rsidRPr="00790F92">
            <w:rPr>
              <w:rFonts w:ascii="Arial" w:hAnsi="Arial" w:cs="Arial"/>
              <w:sz w:val="22"/>
              <w:szCs w:val="22"/>
              <w:lang w:val="en-US"/>
            </w:rPr>
            <w:t>8-9</w:t>
          </w:r>
        </w:p>
      </w:sdtContent>
    </w:sdt>
    <w:p w14:paraId="4BE9EE8F" w14:textId="77777777" w:rsidR="00C31E0C" w:rsidRPr="00790F92" w:rsidRDefault="00C31E0C" w:rsidP="00790F92">
      <w:pPr>
        <w:spacing w:line="360" w:lineRule="auto"/>
        <w:rPr>
          <w:rFonts w:ascii="Arial" w:hAnsi="Arial" w:cs="Arial"/>
          <w:b/>
          <w:bCs/>
          <w:sz w:val="22"/>
          <w:szCs w:val="22"/>
        </w:rPr>
      </w:pPr>
    </w:p>
    <w:p w14:paraId="6CA7D5C7" w14:textId="77777777" w:rsidR="00C31E0C" w:rsidRPr="00790F92" w:rsidRDefault="00C31E0C" w:rsidP="00790F92">
      <w:pPr>
        <w:spacing w:line="360" w:lineRule="auto"/>
        <w:rPr>
          <w:rFonts w:ascii="Arial" w:hAnsi="Arial" w:cs="Arial"/>
          <w:b/>
          <w:bCs/>
          <w:sz w:val="22"/>
          <w:szCs w:val="22"/>
        </w:rPr>
      </w:pPr>
    </w:p>
    <w:p w14:paraId="78151E8D" w14:textId="77777777" w:rsidR="00C31E0C" w:rsidRDefault="00C31E0C" w:rsidP="004870DE">
      <w:pPr>
        <w:spacing w:line="360" w:lineRule="auto"/>
        <w:rPr>
          <w:rFonts w:ascii="Arial" w:hAnsi="Arial" w:cs="Arial"/>
          <w:b/>
          <w:bCs/>
          <w:sz w:val="22"/>
          <w:szCs w:val="22"/>
        </w:rPr>
      </w:pPr>
    </w:p>
    <w:p w14:paraId="4A826291" w14:textId="77777777" w:rsidR="00C31E0C" w:rsidRDefault="00C31E0C" w:rsidP="004870DE">
      <w:pPr>
        <w:spacing w:line="360" w:lineRule="auto"/>
        <w:rPr>
          <w:rFonts w:ascii="Arial" w:hAnsi="Arial" w:cs="Arial"/>
          <w:b/>
          <w:bCs/>
          <w:sz w:val="22"/>
          <w:szCs w:val="22"/>
        </w:rPr>
      </w:pPr>
    </w:p>
    <w:p w14:paraId="79C02B5B" w14:textId="77777777" w:rsidR="00C31E0C" w:rsidRDefault="00C31E0C" w:rsidP="004870DE">
      <w:pPr>
        <w:spacing w:line="360" w:lineRule="auto"/>
        <w:rPr>
          <w:rFonts w:ascii="Arial" w:hAnsi="Arial" w:cs="Arial"/>
          <w:b/>
          <w:bCs/>
          <w:sz w:val="22"/>
          <w:szCs w:val="22"/>
        </w:rPr>
      </w:pPr>
    </w:p>
    <w:p w14:paraId="71639B04" w14:textId="77777777" w:rsidR="00C31E0C" w:rsidRDefault="00C31E0C" w:rsidP="004870DE">
      <w:pPr>
        <w:spacing w:line="360" w:lineRule="auto"/>
        <w:rPr>
          <w:rFonts w:ascii="Arial" w:hAnsi="Arial" w:cs="Arial"/>
          <w:b/>
          <w:bCs/>
          <w:sz w:val="22"/>
          <w:szCs w:val="22"/>
        </w:rPr>
      </w:pPr>
    </w:p>
    <w:p w14:paraId="293F690E" w14:textId="77777777" w:rsidR="00C31E0C" w:rsidRDefault="00C31E0C" w:rsidP="004870DE">
      <w:pPr>
        <w:spacing w:line="360" w:lineRule="auto"/>
        <w:rPr>
          <w:rFonts w:ascii="Arial" w:hAnsi="Arial" w:cs="Arial"/>
          <w:b/>
          <w:bCs/>
          <w:sz w:val="22"/>
          <w:szCs w:val="22"/>
        </w:rPr>
      </w:pPr>
    </w:p>
    <w:p w14:paraId="2D1E8738" w14:textId="77777777" w:rsidR="00C31E0C" w:rsidRDefault="00C31E0C" w:rsidP="004870DE">
      <w:pPr>
        <w:spacing w:line="360" w:lineRule="auto"/>
        <w:rPr>
          <w:rFonts w:ascii="Arial" w:hAnsi="Arial" w:cs="Arial"/>
          <w:b/>
          <w:bCs/>
          <w:sz w:val="22"/>
          <w:szCs w:val="22"/>
        </w:rPr>
      </w:pPr>
    </w:p>
    <w:p w14:paraId="441C015E" w14:textId="77777777" w:rsidR="00C31E0C" w:rsidRDefault="00C31E0C" w:rsidP="004870DE">
      <w:pPr>
        <w:spacing w:line="360" w:lineRule="auto"/>
        <w:rPr>
          <w:rFonts w:ascii="Arial" w:hAnsi="Arial" w:cs="Arial"/>
          <w:b/>
          <w:bCs/>
          <w:sz w:val="22"/>
          <w:szCs w:val="22"/>
        </w:rPr>
      </w:pPr>
    </w:p>
    <w:p w14:paraId="573C9DFB" w14:textId="77777777" w:rsidR="00C31E0C" w:rsidRDefault="00C31E0C" w:rsidP="004870DE">
      <w:pPr>
        <w:spacing w:line="360" w:lineRule="auto"/>
        <w:rPr>
          <w:rFonts w:ascii="Arial" w:hAnsi="Arial" w:cs="Arial"/>
          <w:b/>
          <w:bCs/>
          <w:sz w:val="22"/>
          <w:szCs w:val="22"/>
        </w:rPr>
      </w:pPr>
    </w:p>
    <w:p w14:paraId="5EA0DFE1" w14:textId="77777777" w:rsidR="00C31E0C" w:rsidRDefault="00C31E0C" w:rsidP="004870DE">
      <w:pPr>
        <w:spacing w:line="360" w:lineRule="auto"/>
        <w:rPr>
          <w:rFonts w:ascii="Arial" w:hAnsi="Arial" w:cs="Arial"/>
          <w:b/>
          <w:bCs/>
          <w:sz w:val="22"/>
          <w:szCs w:val="22"/>
        </w:rPr>
      </w:pPr>
    </w:p>
    <w:p w14:paraId="58828C8C" w14:textId="77777777" w:rsidR="00C31E0C" w:rsidRDefault="00C31E0C" w:rsidP="004870DE">
      <w:pPr>
        <w:spacing w:line="360" w:lineRule="auto"/>
        <w:rPr>
          <w:rFonts w:ascii="Arial" w:hAnsi="Arial" w:cs="Arial"/>
          <w:b/>
          <w:bCs/>
          <w:sz w:val="22"/>
          <w:szCs w:val="22"/>
        </w:rPr>
      </w:pPr>
    </w:p>
    <w:p w14:paraId="4FA03661" w14:textId="77777777" w:rsidR="00C31E0C" w:rsidRDefault="00C31E0C" w:rsidP="004870DE">
      <w:pPr>
        <w:spacing w:line="360" w:lineRule="auto"/>
        <w:rPr>
          <w:rFonts w:ascii="Arial" w:hAnsi="Arial" w:cs="Arial"/>
          <w:b/>
          <w:bCs/>
          <w:sz w:val="22"/>
          <w:szCs w:val="22"/>
        </w:rPr>
      </w:pPr>
    </w:p>
    <w:p w14:paraId="1D937476" w14:textId="77777777" w:rsidR="00C31E0C" w:rsidRDefault="00C31E0C" w:rsidP="004870DE">
      <w:pPr>
        <w:spacing w:line="360" w:lineRule="auto"/>
        <w:rPr>
          <w:rFonts w:ascii="Arial" w:hAnsi="Arial" w:cs="Arial"/>
          <w:b/>
          <w:bCs/>
          <w:sz w:val="22"/>
          <w:szCs w:val="22"/>
        </w:rPr>
      </w:pPr>
    </w:p>
    <w:p w14:paraId="1DD998F0" w14:textId="77777777" w:rsidR="00C31E0C" w:rsidRDefault="00C31E0C" w:rsidP="004870DE">
      <w:pPr>
        <w:spacing w:line="360" w:lineRule="auto"/>
        <w:rPr>
          <w:rFonts w:ascii="Arial" w:hAnsi="Arial" w:cs="Arial"/>
          <w:b/>
          <w:bCs/>
          <w:sz w:val="22"/>
          <w:szCs w:val="22"/>
        </w:rPr>
      </w:pPr>
    </w:p>
    <w:p w14:paraId="35482117" w14:textId="77777777" w:rsidR="00C31E0C" w:rsidRDefault="00C31E0C" w:rsidP="004870DE">
      <w:pPr>
        <w:spacing w:line="360" w:lineRule="auto"/>
        <w:rPr>
          <w:rFonts w:ascii="Arial" w:hAnsi="Arial" w:cs="Arial"/>
          <w:b/>
          <w:bCs/>
          <w:sz w:val="22"/>
          <w:szCs w:val="22"/>
        </w:rPr>
      </w:pPr>
    </w:p>
    <w:p w14:paraId="0F2481E7" w14:textId="77777777" w:rsidR="00C31E0C" w:rsidRDefault="00C31E0C" w:rsidP="004870DE">
      <w:pPr>
        <w:spacing w:line="360" w:lineRule="auto"/>
        <w:rPr>
          <w:rFonts w:ascii="Arial" w:hAnsi="Arial" w:cs="Arial"/>
          <w:b/>
          <w:bCs/>
          <w:sz w:val="22"/>
          <w:szCs w:val="22"/>
        </w:rPr>
      </w:pPr>
    </w:p>
    <w:p w14:paraId="4145E9F4" w14:textId="77777777" w:rsidR="00194A7B" w:rsidRDefault="00194A7B" w:rsidP="00790F92">
      <w:pPr>
        <w:spacing w:line="360" w:lineRule="auto"/>
        <w:rPr>
          <w:rFonts w:ascii="Arial" w:hAnsi="Arial" w:cs="Arial"/>
          <w:b/>
          <w:bCs/>
          <w:sz w:val="22"/>
          <w:szCs w:val="22"/>
        </w:rPr>
      </w:pPr>
    </w:p>
    <w:p w14:paraId="4A4C3EA1" w14:textId="11F363BC" w:rsidR="00E75CD2" w:rsidRPr="00790F92" w:rsidRDefault="00DC7A52" w:rsidP="00790F92">
      <w:pPr>
        <w:spacing w:line="360" w:lineRule="auto"/>
        <w:rPr>
          <w:rFonts w:ascii="Arial" w:hAnsi="Arial" w:cs="Arial"/>
          <w:b/>
          <w:bCs/>
          <w:sz w:val="22"/>
          <w:szCs w:val="22"/>
        </w:rPr>
      </w:pPr>
      <w:r w:rsidRPr="00790F92">
        <w:rPr>
          <w:rFonts w:ascii="Arial" w:hAnsi="Arial" w:cs="Arial"/>
          <w:b/>
          <w:bCs/>
          <w:sz w:val="22"/>
          <w:szCs w:val="22"/>
        </w:rPr>
        <w:lastRenderedPageBreak/>
        <w:t>Report: Care of Mrs Thompson – Communication, Administration and Collaborative Working</w:t>
      </w:r>
    </w:p>
    <w:p w14:paraId="016AF921" w14:textId="77777777" w:rsidR="008A0A59" w:rsidRDefault="00DC7A52" w:rsidP="00790F92">
      <w:pPr>
        <w:spacing w:line="360" w:lineRule="auto"/>
        <w:rPr>
          <w:rFonts w:ascii="Arial" w:hAnsi="Arial" w:cs="Arial"/>
          <w:b/>
          <w:bCs/>
          <w:sz w:val="22"/>
          <w:szCs w:val="22"/>
        </w:rPr>
      </w:pPr>
      <w:r w:rsidRPr="00790F92">
        <w:rPr>
          <w:rFonts w:ascii="Arial" w:hAnsi="Arial" w:cs="Arial"/>
          <w:b/>
          <w:bCs/>
          <w:sz w:val="22"/>
          <w:szCs w:val="22"/>
        </w:rPr>
        <w:t xml:space="preserve">Introduction </w:t>
      </w:r>
    </w:p>
    <w:p w14:paraId="7A223357" w14:textId="2E13D960" w:rsidR="00024C2C" w:rsidRDefault="00E33FC9" w:rsidP="00D52E33">
      <w:pPr>
        <w:spacing w:line="360" w:lineRule="auto"/>
        <w:rPr>
          <w:rFonts w:ascii="Arial" w:hAnsi="Arial" w:cs="Arial"/>
          <w:sz w:val="22"/>
          <w:szCs w:val="22"/>
        </w:rPr>
      </w:pPr>
      <w:r w:rsidRPr="00E33FC9">
        <w:rPr>
          <w:rFonts w:ascii="Arial" w:hAnsi="Arial" w:cs="Arial"/>
          <w:sz w:val="22"/>
          <w:szCs w:val="22"/>
        </w:rPr>
        <w:t>Mrs Thompson is an 84-year-old woman who was recently discharged from hospital after receiving treatment for pneumonia. She lives alone in sheltered accommodation and receives domiciliary care twice a day to help with personal care and taking her medication. Mrs Thompson has mild dementia, which affects her memory and makes it difficult for her to remember to take her prescribed medicines. She recently missed her medication for two days, leading to increased confusion. She was also found outside in cold weather without suitable clothing, raising concerns about her safety and suggesting that her cognitive condition may have worsened. As a result, her case is being reviewed by the local authority.</w:t>
      </w:r>
      <w:r w:rsidR="00714CD4">
        <w:rPr>
          <w:rFonts w:ascii="Arial" w:hAnsi="Arial" w:cs="Arial"/>
          <w:sz w:val="22"/>
          <w:szCs w:val="22"/>
        </w:rPr>
        <w:t xml:space="preserve"> </w:t>
      </w:r>
      <w:r w:rsidR="00910FAE" w:rsidRPr="00910FAE">
        <w:rPr>
          <w:rFonts w:ascii="Arial" w:hAnsi="Arial" w:cs="Arial"/>
          <w:sz w:val="22"/>
          <w:szCs w:val="22"/>
        </w:rPr>
        <w:t>This report considers how effective communication, accurate documentation, administrative skills, and collaborative practice contribute to the delivery of high-quality care for Mrs Thompson, with reference to relevant legislation and professional guidance (Care Quality Commission, 2023; Nursing and Midwifery Council, 2018).</w:t>
      </w:r>
    </w:p>
    <w:p w14:paraId="5E4BF401" w14:textId="77777777" w:rsidR="00D52E33" w:rsidRDefault="006D082A" w:rsidP="00790F92">
      <w:pPr>
        <w:spacing w:line="360" w:lineRule="auto"/>
        <w:rPr>
          <w:rFonts w:ascii="Arial" w:hAnsi="Arial" w:cs="Arial"/>
          <w:b/>
          <w:bCs/>
          <w:sz w:val="22"/>
          <w:szCs w:val="22"/>
        </w:rPr>
      </w:pPr>
      <w:r w:rsidRPr="00790F92">
        <w:rPr>
          <w:rFonts w:ascii="Arial" w:hAnsi="Arial" w:cs="Arial"/>
          <w:b/>
          <w:bCs/>
          <w:sz w:val="22"/>
          <w:szCs w:val="22"/>
        </w:rPr>
        <w:t>Effective Communication</w:t>
      </w:r>
    </w:p>
    <w:p w14:paraId="2068E486" w14:textId="1651E1B1" w:rsidR="006D082A" w:rsidRPr="00D52E33" w:rsidRDefault="00BA42FA" w:rsidP="00790F92">
      <w:pPr>
        <w:spacing w:line="360" w:lineRule="auto"/>
        <w:rPr>
          <w:rFonts w:ascii="Arial" w:hAnsi="Arial" w:cs="Arial"/>
          <w:b/>
          <w:bCs/>
          <w:sz w:val="22"/>
          <w:szCs w:val="22"/>
        </w:rPr>
      </w:pPr>
      <w:r w:rsidRPr="00BA42FA">
        <w:rPr>
          <w:rFonts w:ascii="Arial" w:hAnsi="Arial" w:cs="Arial"/>
          <w:sz w:val="22"/>
          <w:szCs w:val="22"/>
        </w:rPr>
        <w:t>Clear and effective communication is essential for delivering safe, high-quality care that focuses on the individual's needs and helps to build trusting relationships between professionals and service users</w:t>
      </w:r>
      <w:r>
        <w:rPr>
          <w:rFonts w:ascii="Arial" w:hAnsi="Arial" w:cs="Arial"/>
          <w:sz w:val="22"/>
          <w:szCs w:val="22"/>
        </w:rPr>
        <w:t xml:space="preserve">. </w:t>
      </w:r>
      <w:r w:rsidR="006D082A" w:rsidRPr="00790F92">
        <w:rPr>
          <w:rFonts w:ascii="Arial" w:hAnsi="Arial" w:cs="Arial"/>
          <w:sz w:val="22"/>
          <w:szCs w:val="22"/>
        </w:rPr>
        <w:t>Good communication enables healthcare staff to understand an individual's needs, provide appropriate care and reduce the risk of misunderstandings or errors (Arnold and Boggs, 2020). This is particularly important when caring for people with dementia, as memory loss and reduced cognitive ability can affect their understanding, decision-making and ability to follow instructions</w:t>
      </w:r>
      <w:r w:rsidR="00F42647" w:rsidRPr="00790F92">
        <w:rPr>
          <w:rFonts w:ascii="Arial" w:hAnsi="Arial" w:cs="Arial"/>
          <w:sz w:val="22"/>
          <w:szCs w:val="22"/>
        </w:rPr>
        <w:t xml:space="preserve"> (NICE, 2018)</w:t>
      </w:r>
      <w:r w:rsidR="006D082A" w:rsidRPr="00790F92">
        <w:rPr>
          <w:rFonts w:ascii="Arial" w:hAnsi="Arial" w:cs="Arial"/>
          <w:sz w:val="22"/>
          <w:szCs w:val="22"/>
        </w:rPr>
        <w:t>. In Mrs Thompson's case, effective communication is necessary to help her manage her medication safely and maintain her independence.</w:t>
      </w:r>
    </w:p>
    <w:p w14:paraId="22CFB21C" w14:textId="77777777" w:rsidR="00BA0C12" w:rsidRDefault="006D082A" w:rsidP="00790F92">
      <w:pPr>
        <w:spacing w:line="360" w:lineRule="auto"/>
        <w:rPr>
          <w:rFonts w:ascii="Arial" w:hAnsi="Arial" w:cs="Arial"/>
          <w:sz w:val="22"/>
          <w:szCs w:val="22"/>
        </w:rPr>
      </w:pPr>
      <w:r w:rsidRPr="00790F92">
        <w:rPr>
          <w:rFonts w:ascii="Arial" w:hAnsi="Arial" w:cs="Arial"/>
          <w:sz w:val="22"/>
          <w:szCs w:val="22"/>
        </w:rPr>
        <w:t>As Mrs Thompson has mild dementia, healthcare professionals should adapt their communication to meet her individual needs.</w:t>
      </w:r>
      <w:r w:rsidR="001B00A6" w:rsidRPr="00790F92">
        <w:rPr>
          <w:rFonts w:ascii="Arial" w:hAnsi="Arial" w:cs="Arial"/>
          <w:sz w:val="22"/>
          <w:szCs w:val="22"/>
        </w:rPr>
        <w:t xml:space="preserve"> Although reminder charts and visual prompts can improve medication adherence, they may become less effective if Mrs Thompson's dementia progresses. Therefore, her communication needs should be reviewed regularly to ensure that the support provided continues to meet her changing needs and maintain her safety (Royal College of Nursing, 2021).</w:t>
      </w:r>
    </w:p>
    <w:p w14:paraId="2B5B0D09" w14:textId="4029C774" w:rsidR="00762DF1" w:rsidRPr="005C365B" w:rsidRDefault="00762DF1" w:rsidP="00790F92">
      <w:pPr>
        <w:spacing w:line="360" w:lineRule="auto"/>
        <w:rPr>
          <w:rFonts w:ascii="Arial" w:hAnsi="Arial" w:cs="Arial"/>
          <w:sz w:val="22"/>
          <w:szCs w:val="22"/>
        </w:rPr>
      </w:pPr>
      <w:r w:rsidRPr="00762DF1">
        <w:rPr>
          <w:rFonts w:ascii="Arial" w:hAnsi="Arial" w:cs="Arial"/>
          <w:sz w:val="22"/>
          <w:szCs w:val="22"/>
        </w:rPr>
        <w:t>Information should be explained using simple language, avoiding medical terminology where possible, and delivered in small sections to make it easier to understand (NICE, 2018)</w:t>
      </w:r>
      <w:r w:rsidR="005C365B">
        <w:rPr>
          <w:rFonts w:ascii="Arial" w:hAnsi="Arial" w:cs="Arial"/>
          <w:sz w:val="22"/>
          <w:szCs w:val="22"/>
        </w:rPr>
        <w:t xml:space="preserve">. </w:t>
      </w:r>
      <w:r w:rsidR="00D81343" w:rsidRPr="00D81343">
        <w:rPr>
          <w:rFonts w:ascii="Arial" w:hAnsi="Arial" w:cs="Arial"/>
          <w:sz w:val="22"/>
          <w:szCs w:val="22"/>
        </w:rPr>
        <w:t>To</w:t>
      </w:r>
      <w:r w:rsidR="005C365B">
        <w:rPr>
          <w:rFonts w:ascii="Arial" w:hAnsi="Arial" w:cs="Arial"/>
          <w:sz w:val="22"/>
          <w:szCs w:val="22"/>
        </w:rPr>
        <w:t xml:space="preserve"> </w:t>
      </w:r>
      <w:r w:rsidR="00D81343" w:rsidRPr="00D81343">
        <w:rPr>
          <w:rFonts w:ascii="Arial" w:hAnsi="Arial" w:cs="Arial"/>
          <w:sz w:val="22"/>
          <w:szCs w:val="22"/>
        </w:rPr>
        <w:t xml:space="preserve">check her understanding, healthcare professionals can ask her to repeat the important </w:t>
      </w:r>
      <w:r w:rsidR="00D81343" w:rsidRPr="00D81343">
        <w:rPr>
          <w:rFonts w:ascii="Arial" w:hAnsi="Arial" w:cs="Arial"/>
          <w:sz w:val="22"/>
          <w:szCs w:val="22"/>
        </w:rPr>
        <w:lastRenderedPageBreak/>
        <w:t>information using her own words</w:t>
      </w:r>
      <w:r w:rsidR="005C365B">
        <w:rPr>
          <w:rFonts w:ascii="Arial" w:hAnsi="Arial" w:cs="Arial"/>
          <w:sz w:val="22"/>
          <w:szCs w:val="22"/>
        </w:rPr>
        <w:t xml:space="preserve">. </w:t>
      </w:r>
      <w:r w:rsidRPr="00762DF1">
        <w:rPr>
          <w:rFonts w:ascii="Arial" w:hAnsi="Arial" w:cs="Arial"/>
          <w:sz w:val="22"/>
          <w:szCs w:val="22"/>
        </w:rPr>
        <w:t>Practical aids such as medication charts, reminder notes or calendars can further support her memory and reduce the likelihood of missing medication (Alzheimer's Society, 2024).</w:t>
      </w:r>
    </w:p>
    <w:p w14:paraId="3C177B0D" w14:textId="0F1E1E26" w:rsidR="00492C3C" w:rsidRDefault="006D082A" w:rsidP="00DD0F54">
      <w:pPr>
        <w:spacing w:line="360" w:lineRule="auto"/>
        <w:rPr>
          <w:rFonts w:ascii="Arial" w:hAnsi="Arial" w:cs="Arial"/>
          <w:sz w:val="22"/>
          <w:szCs w:val="22"/>
        </w:rPr>
      </w:pPr>
      <w:r w:rsidRPr="00790F92">
        <w:rPr>
          <w:rFonts w:ascii="Arial" w:hAnsi="Arial" w:cs="Arial"/>
          <w:sz w:val="22"/>
          <w:szCs w:val="22"/>
        </w:rPr>
        <w:t>Non-verbal communication also plays a significant role in developing trust and reassurance</w:t>
      </w:r>
      <w:r w:rsidR="009E7B5F">
        <w:rPr>
          <w:rFonts w:ascii="Arial" w:hAnsi="Arial" w:cs="Arial"/>
          <w:sz w:val="22"/>
          <w:szCs w:val="22"/>
        </w:rPr>
        <w:t xml:space="preserve"> </w:t>
      </w:r>
      <w:r w:rsidR="009E7B5F" w:rsidRPr="009E7B5F">
        <w:rPr>
          <w:rFonts w:ascii="Arial" w:hAnsi="Arial" w:cs="Arial"/>
          <w:sz w:val="22"/>
          <w:szCs w:val="22"/>
        </w:rPr>
        <w:t>(Arnold and Boggs, 2020)</w:t>
      </w:r>
      <w:r w:rsidR="00EB06A4">
        <w:rPr>
          <w:rFonts w:ascii="Arial" w:hAnsi="Arial" w:cs="Arial"/>
          <w:sz w:val="22"/>
          <w:szCs w:val="22"/>
        </w:rPr>
        <w:t xml:space="preserve">. </w:t>
      </w:r>
      <w:r w:rsidRPr="00790F92">
        <w:rPr>
          <w:rFonts w:ascii="Arial" w:hAnsi="Arial" w:cs="Arial"/>
          <w:sz w:val="22"/>
          <w:szCs w:val="22"/>
        </w:rPr>
        <w:t>Allowing extra time for her to respond and listening carefully to any concerns encourages active participation in her care and helps professionals recognise signs of confusion or anxiety</w:t>
      </w:r>
      <w:r w:rsidR="009E7B5F">
        <w:rPr>
          <w:rFonts w:ascii="Arial" w:hAnsi="Arial" w:cs="Arial"/>
          <w:sz w:val="22"/>
          <w:szCs w:val="22"/>
        </w:rPr>
        <w:t>.</w:t>
      </w:r>
    </w:p>
    <w:p w14:paraId="711E64C3" w14:textId="77777777" w:rsidR="002F6221" w:rsidRDefault="00FB4A66" w:rsidP="00790F92">
      <w:pPr>
        <w:spacing w:line="360" w:lineRule="auto"/>
        <w:rPr>
          <w:rFonts w:ascii="Arial" w:hAnsi="Arial" w:cs="Arial"/>
          <w:sz w:val="22"/>
          <w:szCs w:val="22"/>
        </w:rPr>
      </w:pPr>
      <w:r>
        <w:rPr>
          <w:rFonts w:ascii="Arial" w:hAnsi="Arial" w:cs="Arial"/>
          <w:sz w:val="22"/>
          <w:szCs w:val="22"/>
        </w:rPr>
        <w:t>F</w:t>
      </w:r>
      <w:r w:rsidRPr="00FB4A66">
        <w:rPr>
          <w:rFonts w:ascii="Arial" w:hAnsi="Arial" w:cs="Arial"/>
          <w:sz w:val="22"/>
          <w:szCs w:val="22"/>
        </w:rPr>
        <w:t>amily members should be involved in communication where Mrs Thompson has given informed consent. They can help reinforce medication advice, report changes in her condition and support professionals in providing person-centred care while upholding confidentiality by adhering to the professional guidance of the Nursing and Midwifery Council (NMC) Code (Nursing and Midwifery Council, 2018).</w:t>
      </w:r>
    </w:p>
    <w:p w14:paraId="17EF861E" w14:textId="77777777" w:rsidR="00476579" w:rsidRDefault="00476579" w:rsidP="00790F92">
      <w:pPr>
        <w:spacing w:line="360" w:lineRule="auto"/>
        <w:rPr>
          <w:rFonts w:ascii="Arial" w:hAnsi="Arial" w:cs="Arial"/>
          <w:sz w:val="22"/>
          <w:szCs w:val="22"/>
        </w:rPr>
      </w:pPr>
      <w:r w:rsidRPr="00476579">
        <w:rPr>
          <w:rFonts w:ascii="Arial" w:hAnsi="Arial" w:cs="Arial"/>
          <w:sz w:val="22"/>
          <w:szCs w:val="22"/>
        </w:rPr>
        <w:t>The Equality Act 2010 places a responsibility on health and social care organisations to provide reasonable adjustments for people with disabilities (Great Britain, 2010). As dementia may be considered a disability when it significantly affects an individual's everyday activities, professionals should adapt their communication approaches to support Mrs Thompson's specific needs. This may involve using accessible written materials, providing extra time during discussions, and using visual aids to improve understanding and engagement.</w:t>
      </w:r>
    </w:p>
    <w:p w14:paraId="29D78C64" w14:textId="77777777" w:rsidR="00FF2D0C" w:rsidRDefault="006D082A" w:rsidP="00790F92">
      <w:pPr>
        <w:spacing w:line="360" w:lineRule="auto"/>
        <w:rPr>
          <w:rFonts w:ascii="Arial" w:hAnsi="Arial" w:cs="Arial"/>
          <w:sz w:val="22"/>
          <w:szCs w:val="22"/>
        </w:rPr>
      </w:pPr>
      <w:r w:rsidRPr="00790F92">
        <w:rPr>
          <w:rFonts w:ascii="Arial" w:hAnsi="Arial" w:cs="Arial"/>
          <w:sz w:val="22"/>
          <w:szCs w:val="22"/>
        </w:rPr>
        <w:t>Argyle's Communication Cycle (1983) provides a useful model for understanding effective communication. The model explains that communication involves sending a message, receiving feedback and confirming understanding</w:t>
      </w:r>
      <w:r w:rsidR="00283610">
        <w:rPr>
          <w:rFonts w:ascii="Arial" w:hAnsi="Arial" w:cs="Arial"/>
          <w:sz w:val="22"/>
          <w:szCs w:val="22"/>
        </w:rPr>
        <w:t xml:space="preserve"> </w:t>
      </w:r>
      <w:r w:rsidR="00283610" w:rsidRPr="00790F92">
        <w:rPr>
          <w:rFonts w:ascii="Arial" w:hAnsi="Arial" w:cs="Arial"/>
          <w:sz w:val="22"/>
          <w:szCs w:val="22"/>
        </w:rPr>
        <w:t>(Argyle, 1983)</w:t>
      </w:r>
      <w:r w:rsidR="00771BFE">
        <w:rPr>
          <w:rFonts w:ascii="Arial" w:hAnsi="Arial" w:cs="Arial"/>
          <w:sz w:val="22"/>
          <w:szCs w:val="22"/>
        </w:rPr>
        <w:t xml:space="preserve">. </w:t>
      </w:r>
      <w:r w:rsidRPr="00790F92">
        <w:rPr>
          <w:rFonts w:ascii="Arial" w:hAnsi="Arial" w:cs="Arial"/>
          <w:sz w:val="22"/>
          <w:szCs w:val="22"/>
        </w:rPr>
        <w:t>In Mrs Thompson's case, healthcare professionals should check that she has understood medication instructions by asking her to explain them in her own words. If she is unsure, the information should be repeated using simpler language or visual aids until understanding is achieved</w:t>
      </w:r>
      <w:r w:rsidR="00283610">
        <w:rPr>
          <w:rFonts w:ascii="Arial" w:hAnsi="Arial" w:cs="Arial"/>
          <w:sz w:val="22"/>
          <w:szCs w:val="22"/>
        </w:rPr>
        <w:t>.</w:t>
      </w:r>
    </w:p>
    <w:p w14:paraId="588A7040" w14:textId="4AAEAAB4" w:rsidR="006561C4" w:rsidRPr="00790F92" w:rsidRDefault="006D082A" w:rsidP="00790F92">
      <w:pPr>
        <w:spacing w:line="360" w:lineRule="auto"/>
        <w:rPr>
          <w:rFonts w:ascii="Arial" w:hAnsi="Arial" w:cs="Arial"/>
          <w:sz w:val="22"/>
          <w:szCs w:val="22"/>
        </w:rPr>
      </w:pPr>
      <w:r w:rsidRPr="00790F92">
        <w:rPr>
          <w:rFonts w:ascii="Arial" w:hAnsi="Arial" w:cs="Arial"/>
          <w:sz w:val="22"/>
          <w:szCs w:val="22"/>
        </w:rPr>
        <w:t>Overall, adapting communication to Mrs Thompson's cognitive needs, involving her family appropriately and following legal and professional guidance can improve medication adherence, reduce risks and promote safe, person-centred care</w:t>
      </w:r>
      <w:r w:rsidR="007C18D5" w:rsidRPr="007C18D5">
        <w:t xml:space="preserve"> </w:t>
      </w:r>
      <w:r w:rsidR="007C18D5" w:rsidRPr="007C18D5">
        <w:rPr>
          <w:rFonts w:ascii="Arial" w:hAnsi="Arial" w:cs="Arial"/>
          <w:sz w:val="22"/>
          <w:szCs w:val="22"/>
        </w:rPr>
        <w:t>(Alzheimer's Society, 2024).</w:t>
      </w:r>
    </w:p>
    <w:p w14:paraId="7A7B9318" w14:textId="6D63232A" w:rsidR="00E97CB4" w:rsidRPr="00C17809" w:rsidRDefault="00E97CB4" w:rsidP="00790F92">
      <w:pPr>
        <w:spacing w:line="360" w:lineRule="auto"/>
        <w:rPr>
          <w:rFonts w:ascii="Arial" w:hAnsi="Arial" w:cs="Arial"/>
          <w:b/>
          <w:bCs/>
          <w:sz w:val="22"/>
          <w:szCs w:val="22"/>
        </w:rPr>
      </w:pPr>
      <w:r w:rsidRPr="00C17809">
        <w:rPr>
          <w:rFonts w:ascii="Arial" w:hAnsi="Arial" w:cs="Arial"/>
          <w:b/>
          <w:bCs/>
          <w:sz w:val="22"/>
          <w:szCs w:val="22"/>
        </w:rPr>
        <w:t>Administrative Skills and Record Keeping</w:t>
      </w:r>
    </w:p>
    <w:p w14:paraId="71C6FBA6" w14:textId="66137F6A" w:rsidR="00E97CB4" w:rsidRPr="00C17809" w:rsidRDefault="00A00BD6" w:rsidP="00790F92">
      <w:pPr>
        <w:spacing w:line="360" w:lineRule="auto"/>
        <w:rPr>
          <w:rFonts w:ascii="Arial" w:hAnsi="Arial" w:cs="Arial"/>
          <w:b/>
          <w:bCs/>
          <w:sz w:val="22"/>
          <w:szCs w:val="22"/>
        </w:rPr>
      </w:pPr>
      <w:r w:rsidRPr="00C17809">
        <w:rPr>
          <w:rFonts w:ascii="Arial" w:hAnsi="Arial" w:cs="Arial"/>
          <w:sz w:val="22"/>
          <w:szCs w:val="22"/>
        </w:rPr>
        <w:t xml:space="preserve">Maintaining clear records and using effective administrative processes are important for supporting safe, efficient, and effective care delivery. </w:t>
      </w:r>
      <w:r w:rsidR="00E97CB4" w:rsidRPr="00C17809">
        <w:rPr>
          <w:rFonts w:ascii="Arial" w:hAnsi="Arial" w:cs="Arial"/>
          <w:sz w:val="22"/>
          <w:szCs w:val="22"/>
        </w:rPr>
        <w:t>They contribute to safe, effective and person-centred care by ensuring continuity of care, supporting clinical decision-making and promoting professional accountability (N</w:t>
      </w:r>
      <w:r w:rsidR="00C256A0" w:rsidRPr="00C17809">
        <w:rPr>
          <w:rFonts w:ascii="Arial" w:hAnsi="Arial" w:cs="Arial"/>
          <w:sz w:val="22"/>
          <w:szCs w:val="22"/>
        </w:rPr>
        <w:t>MC</w:t>
      </w:r>
      <w:r w:rsidR="00E97CB4" w:rsidRPr="00C17809">
        <w:rPr>
          <w:rFonts w:ascii="Arial" w:hAnsi="Arial" w:cs="Arial"/>
          <w:sz w:val="22"/>
          <w:szCs w:val="22"/>
        </w:rPr>
        <w:t>, 2018; R</w:t>
      </w:r>
      <w:r w:rsidR="00F202C2" w:rsidRPr="00C17809">
        <w:rPr>
          <w:rFonts w:ascii="Arial" w:hAnsi="Arial" w:cs="Arial"/>
          <w:sz w:val="22"/>
          <w:szCs w:val="22"/>
        </w:rPr>
        <w:t>CN</w:t>
      </w:r>
      <w:r w:rsidR="00E97CB4" w:rsidRPr="00C17809">
        <w:rPr>
          <w:rFonts w:ascii="Arial" w:hAnsi="Arial" w:cs="Arial"/>
          <w:sz w:val="22"/>
          <w:szCs w:val="22"/>
        </w:rPr>
        <w:t xml:space="preserve">, 2021). In Mrs Thompson's case, </w:t>
      </w:r>
      <w:r w:rsidR="00E97CB4" w:rsidRPr="00C17809">
        <w:rPr>
          <w:rFonts w:ascii="Arial" w:hAnsi="Arial" w:cs="Arial"/>
          <w:sz w:val="22"/>
          <w:szCs w:val="22"/>
        </w:rPr>
        <w:lastRenderedPageBreak/>
        <w:t>maintaining accurate records is particularly important because of her mild dementia, recent discharge from hospital and the involvement of several health and social care professionals.</w:t>
      </w:r>
    </w:p>
    <w:p w14:paraId="79B0F9ED" w14:textId="4D6E6A57" w:rsidR="00E97CB4" w:rsidRPr="00C17809" w:rsidRDefault="00E97CB4" w:rsidP="00790F92">
      <w:pPr>
        <w:spacing w:line="360" w:lineRule="auto"/>
        <w:rPr>
          <w:rFonts w:ascii="Arial" w:hAnsi="Arial" w:cs="Arial"/>
          <w:sz w:val="22"/>
          <w:szCs w:val="22"/>
        </w:rPr>
      </w:pPr>
      <w:r w:rsidRPr="00C17809">
        <w:rPr>
          <w:rFonts w:ascii="Arial" w:hAnsi="Arial" w:cs="Arial"/>
          <w:sz w:val="22"/>
          <w:szCs w:val="22"/>
        </w:rPr>
        <w:t>Healthcare records should contain clear and up-to-date information, including care plans, medication administration records (MAR charts), risk assessments, incident reports and safeguarding concerns. Accurate documentation allows professionals to monitor changes in a person's condition and respond appropriately (Royal College of Nursing, 2021). For example, the incident in which</w:t>
      </w:r>
      <w:r w:rsidR="00785CF7">
        <w:rPr>
          <w:rFonts w:ascii="Arial" w:hAnsi="Arial" w:cs="Arial"/>
          <w:sz w:val="22"/>
          <w:szCs w:val="22"/>
        </w:rPr>
        <w:t xml:space="preserve"> she</w:t>
      </w:r>
      <w:r w:rsidRPr="00C17809">
        <w:rPr>
          <w:rFonts w:ascii="Arial" w:hAnsi="Arial" w:cs="Arial"/>
          <w:sz w:val="22"/>
          <w:szCs w:val="22"/>
        </w:rPr>
        <w:t xml:space="preserve"> missed two days of medication was correctly documented through the organisation's incident reporting system. This enabled healthcare professionals to identify the reason for her increased confusion and arrange a medication review, helping to reduce the risk of further harm.</w:t>
      </w:r>
    </w:p>
    <w:p w14:paraId="1570E539" w14:textId="5A18D1EA" w:rsidR="00E97CB4" w:rsidRPr="00C17809" w:rsidRDefault="00E97CB4" w:rsidP="00790F92">
      <w:pPr>
        <w:spacing w:line="360" w:lineRule="auto"/>
        <w:rPr>
          <w:rFonts w:ascii="Arial" w:hAnsi="Arial" w:cs="Arial"/>
          <w:sz w:val="22"/>
          <w:szCs w:val="22"/>
        </w:rPr>
      </w:pPr>
      <w:r w:rsidRPr="00C17809">
        <w:rPr>
          <w:rFonts w:ascii="Arial" w:hAnsi="Arial" w:cs="Arial"/>
          <w:sz w:val="22"/>
          <w:szCs w:val="22"/>
        </w:rPr>
        <w:t xml:space="preserve">The second incident, where </w:t>
      </w:r>
      <w:r w:rsidR="00B54F59">
        <w:rPr>
          <w:rFonts w:ascii="Arial" w:hAnsi="Arial" w:cs="Arial"/>
          <w:sz w:val="22"/>
          <w:szCs w:val="22"/>
        </w:rPr>
        <w:t>she</w:t>
      </w:r>
      <w:r w:rsidRPr="00C17809">
        <w:rPr>
          <w:rFonts w:ascii="Arial" w:hAnsi="Arial" w:cs="Arial"/>
          <w:sz w:val="22"/>
          <w:szCs w:val="22"/>
        </w:rPr>
        <w:t xml:space="preserve"> was found outside without suitable clothing during cold weather, should also be recorded accurately and reported through safeguarding procedures. This behaviour may suggest deterioration in her cognitive function or possible self-neglect, requiring further assessment by health and social care professionals. Recording these concerns ensures that appropriate action can be taken promptly and that all members of the multidisciplinary team are aware of potential risks (Care Quality Commission, 2023).</w:t>
      </w:r>
    </w:p>
    <w:p w14:paraId="27167361" w14:textId="77777777" w:rsidR="00E97CB4" w:rsidRPr="00C17809" w:rsidRDefault="00E97CB4" w:rsidP="00790F92">
      <w:pPr>
        <w:spacing w:line="360" w:lineRule="auto"/>
        <w:rPr>
          <w:rFonts w:ascii="Arial" w:hAnsi="Arial" w:cs="Arial"/>
          <w:sz w:val="22"/>
          <w:szCs w:val="22"/>
        </w:rPr>
      </w:pPr>
      <w:r w:rsidRPr="00C17809">
        <w:rPr>
          <w:rFonts w:ascii="Arial" w:hAnsi="Arial" w:cs="Arial"/>
          <w:sz w:val="22"/>
          <w:szCs w:val="22"/>
        </w:rPr>
        <w:t>Poor record keeping can have serious consequences for both service users and healthcare professionals. Incomplete or inaccurate records may result in medication errors, delays in treatment, ineffective communication between professionals and reduced quality of care (Royal College of Nursing, 2021). In Mrs Thompson's situation, failing to record missed medication could lead professionals to incorrectly assume that her confusion was solely caused by dementia rather than recognising it as a preventable medication-related issue.</w:t>
      </w:r>
    </w:p>
    <w:p w14:paraId="7F250D8A" w14:textId="0BAC0BEB" w:rsidR="002050B1" w:rsidRPr="00C17809" w:rsidRDefault="00E97CB4" w:rsidP="00790F92">
      <w:pPr>
        <w:spacing w:line="360" w:lineRule="auto"/>
        <w:rPr>
          <w:rFonts w:ascii="Arial" w:hAnsi="Arial" w:cs="Arial"/>
          <w:sz w:val="22"/>
          <w:szCs w:val="22"/>
        </w:rPr>
      </w:pPr>
      <w:r w:rsidRPr="00C17809">
        <w:rPr>
          <w:rFonts w:ascii="Arial" w:hAnsi="Arial" w:cs="Arial"/>
          <w:sz w:val="22"/>
          <w:szCs w:val="22"/>
        </w:rPr>
        <w:t>The Data Protection Act 2018 establishes the legal framework for collecting, storing and sharing personal information within health and social care. It requires that personal data is processed lawfully, fairly and securely, ensuring that confidential information is only accessed by authorised individuals who require it to provide care</w:t>
      </w:r>
      <w:r w:rsidR="00426456" w:rsidRPr="00C17809">
        <w:rPr>
          <w:rFonts w:ascii="Arial" w:hAnsi="Arial" w:cs="Arial"/>
          <w:sz w:val="22"/>
          <w:szCs w:val="22"/>
        </w:rPr>
        <w:t xml:space="preserve"> (Great Britain, 2018)</w:t>
      </w:r>
      <w:r w:rsidRPr="00C17809">
        <w:rPr>
          <w:rFonts w:ascii="Arial" w:hAnsi="Arial" w:cs="Arial"/>
          <w:sz w:val="22"/>
          <w:szCs w:val="22"/>
        </w:rPr>
        <w:t>. In addition, the Caldicott Principles promote the responsible sharing of confidential information by ensuring that only the minimum necessary information is disclosed for direct care purposes (Department of Health and Social Care, 2013)</w:t>
      </w:r>
      <w:r w:rsidR="002050B1" w:rsidRPr="00C17809">
        <w:rPr>
          <w:rFonts w:ascii="Arial" w:hAnsi="Arial" w:cs="Arial"/>
          <w:sz w:val="22"/>
          <w:szCs w:val="22"/>
        </w:rPr>
        <w:t>.</w:t>
      </w:r>
    </w:p>
    <w:p w14:paraId="4400DB1B" w14:textId="43EB42AA" w:rsidR="00301F26" w:rsidRPr="00C17809" w:rsidRDefault="00E97CB4" w:rsidP="00790F92">
      <w:pPr>
        <w:spacing w:line="360" w:lineRule="auto"/>
        <w:rPr>
          <w:rFonts w:ascii="Arial" w:hAnsi="Arial" w:cs="Arial"/>
          <w:sz w:val="22"/>
          <w:szCs w:val="22"/>
        </w:rPr>
      </w:pPr>
      <w:r w:rsidRPr="00C17809">
        <w:rPr>
          <w:rFonts w:ascii="Arial" w:hAnsi="Arial" w:cs="Arial"/>
          <w:sz w:val="22"/>
          <w:szCs w:val="22"/>
        </w:rPr>
        <w:t>Overall, effective administrative skills and accurate documentation are essential for protecting Mrs Thompson's safety, supporting communication between professionals and ensuring that her care is delivered in accordance with legal and professional standards.</w:t>
      </w:r>
    </w:p>
    <w:p w14:paraId="0DCB9107" w14:textId="77777777" w:rsidR="002F0643" w:rsidRDefault="00D439CC" w:rsidP="00790F92">
      <w:pPr>
        <w:spacing w:line="360" w:lineRule="auto"/>
        <w:rPr>
          <w:rFonts w:ascii="Arial" w:hAnsi="Arial" w:cs="Arial"/>
          <w:b/>
          <w:bCs/>
          <w:sz w:val="22"/>
          <w:szCs w:val="22"/>
        </w:rPr>
      </w:pPr>
      <w:r w:rsidRPr="00C17809">
        <w:rPr>
          <w:rFonts w:ascii="Arial" w:hAnsi="Arial" w:cs="Arial"/>
          <w:b/>
          <w:bCs/>
          <w:sz w:val="22"/>
          <w:szCs w:val="22"/>
        </w:rPr>
        <w:t>Collaborative Working</w:t>
      </w:r>
    </w:p>
    <w:p w14:paraId="56005B7B" w14:textId="0FE2E082" w:rsidR="00BB5C07" w:rsidRPr="00C17809" w:rsidRDefault="00BB5C07" w:rsidP="00790F92">
      <w:pPr>
        <w:spacing w:line="360" w:lineRule="auto"/>
        <w:rPr>
          <w:rFonts w:ascii="Arial" w:hAnsi="Arial" w:cs="Arial"/>
          <w:b/>
          <w:bCs/>
          <w:sz w:val="22"/>
          <w:szCs w:val="22"/>
        </w:rPr>
      </w:pPr>
      <w:r w:rsidRPr="00C17809">
        <w:rPr>
          <w:rFonts w:ascii="Arial" w:hAnsi="Arial" w:cs="Arial"/>
          <w:sz w:val="22"/>
          <w:szCs w:val="22"/>
        </w:rPr>
        <w:lastRenderedPageBreak/>
        <w:t>Collaborative working plays an important role in health and social care, as people with complex needs often need support from several professionals. Mrs Thompson receives care from her GP, community nurses, domiciliary care workers and social services, with each professional providing different knowledge and skills to meet her physical, cognitive and social care needs (Glasby and Dickinson, 2021).</w:t>
      </w:r>
    </w:p>
    <w:p w14:paraId="29FF3454" w14:textId="5023475D" w:rsidR="00D439CC" w:rsidRPr="00C17809" w:rsidRDefault="00D439CC" w:rsidP="00790F92">
      <w:pPr>
        <w:spacing w:line="360" w:lineRule="auto"/>
        <w:rPr>
          <w:rFonts w:ascii="Arial" w:hAnsi="Arial" w:cs="Arial"/>
          <w:sz w:val="22"/>
          <w:szCs w:val="22"/>
        </w:rPr>
      </w:pPr>
      <w:r w:rsidRPr="00C17809">
        <w:rPr>
          <w:rFonts w:ascii="Arial" w:hAnsi="Arial" w:cs="Arial"/>
          <w:sz w:val="22"/>
          <w:szCs w:val="22"/>
        </w:rPr>
        <w:t>The GP is responsible for reviewing Mrs Thompson's medication and monitoring her overall health, while community nurses assess her recovery following pneumonia and identify any changes in her cognitive or physical condition. Domiciliary care workers assist with personal care and medication support during daily visits, and social workers assess safeguarding concerns and determine whether additional care services are required following incidents that place Mrs Thompson at risk (World Health Organization, 20</w:t>
      </w:r>
      <w:r w:rsidR="005A02B6" w:rsidRPr="00C17809">
        <w:rPr>
          <w:rFonts w:ascii="Arial" w:hAnsi="Arial" w:cs="Arial"/>
          <w:sz w:val="22"/>
          <w:szCs w:val="22"/>
        </w:rPr>
        <w:t>16</w:t>
      </w:r>
      <w:r w:rsidRPr="00C17809">
        <w:rPr>
          <w:rFonts w:ascii="Arial" w:hAnsi="Arial" w:cs="Arial"/>
          <w:sz w:val="22"/>
          <w:szCs w:val="22"/>
        </w:rPr>
        <w:t>).</w:t>
      </w:r>
    </w:p>
    <w:p w14:paraId="3E87430C" w14:textId="174F5866" w:rsidR="00D439CC" w:rsidRPr="00C17809" w:rsidRDefault="00D439CC" w:rsidP="00790F92">
      <w:pPr>
        <w:spacing w:line="360" w:lineRule="auto"/>
        <w:rPr>
          <w:rFonts w:ascii="Arial" w:hAnsi="Arial" w:cs="Arial"/>
          <w:sz w:val="22"/>
          <w:szCs w:val="22"/>
        </w:rPr>
      </w:pPr>
      <w:r w:rsidRPr="00C17809">
        <w:rPr>
          <w:rFonts w:ascii="Arial" w:hAnsi="Arial" w:cs="Arial"/>
          <w:sz w:val="22"/>
          <w:szCs w:val="22"/>
        </w:rPr>
        <w:t>Successful multidisciplinary working depends on effective communication, shared care planning and regular information sharing between professionals. Multidisciplinary team (MDT) meetings provide opportunities to review Mrs Thompson's progress, discuss risks and agree on appropriate interventions</w:t>
      </w:r>
      <w:r w:rsidR="00BC126B" w:rsidRPr="00C17809">
        <w:rPr>
          <w:rFonts w:ascii="Arial" w:hAnsi="Arial" w:cs="Arial"/>
          <w:sz w:val="22"/>
          <w:szCs w:val="22"/>
        </w:rPr>
        <w:t xml:space="preserve">. </w:t>
      </w:r>
      <w:r w:rsidRPr="00C17809">
        <w:rPr>
          <w:rFonts w:ascii="Arial" w:hAnsi="Arial" w:cs="Arial"/>
          <w:sz w:val="22"/>
          <w:szCs w:val="22"/>
        </w:rPr>
        <w:t>Shared care records also help ensure that professionals have access to accurate and up-to-date information, improving continuity of care and</w:t>
      </w:r>
      <w:r w:rsidR="002050B1" w:rsidRPr="00C17809">
        <w:rPr>
          <w:rFonts w:ascii="Arial" w:hAnsi="Arial" w:cs="Arial"/>
          <w:sz w:val="22"/>
          <w:szCs w:val="22"/>
        </w:rPr>
        <w:t xml:space="preserve"> </w:t>
      </w:r>
      <w:r w:rsidRPr="00C17809">
        <w:rPr>
          <w:rFonts w:ascii="Arial" w:hAnsi="Arial" w:cs="Arial"/>
          <w:sz w:val="22"/>
          <w:szCs w:val="22"/>
        </w:rPr>
        <w:t>reducing the risk of duplication or errors (Glasby and Dickinson, 2021).</w:t>
      </w:r>
    </w:p>
    <w:p w14:paraId="6623F69A" w14:textId="0CFDD53F" w:rsidR="00D439CC" w:rsidRPr="00C17809" w:rsidRDefault="00D439CC" w:rsidP="00790F92">
      <w:pPr>
        <w:spacing w:line="360" w:lineRule="auto"/>
        <w:rPr>
          <w:rFonts w:ascii="Arial" w:hAnsi="Arial" w:cs="Arial"/>
          <w:sz w:val="22"/>
          <w:szCs w:val="22"/>
        </w:rPr>
      </w:pPr>
      <w:r w:rsidRPr="00C17809">
        <w:rPr>
          <w:rFonts w:ascii="Arial" w:hAnsi="Arial" w:cs="Arial"/>
          <w:sz w:val="22"/>
          <w:szCs w:val="22"/>
        </w:rPr>
        <w:t>Despite its benefits, collaborative working can present challenges. Poor communication between organisations, differing professional priorities, heavy workloads and concerns about confidentiality may reduce the effectiveness of coordinated care (Xyrichis and Ream, 2008). These challenges can be addressed through clear communication pathways, clearly defined professional responsibilities a</w:t>
      </w:r>
      <w:r w:rsidR="004F16C7" w:rsidRPr="00C17809">
        <w:rPr>
          <w:rFonts w:ascii="Arial" w:hAnsi="Arial" w:cs="Arial"/>
          <w:sz w:val="22"/>
          <w:szCs w:val="22"/>
        </w:rPr>
        <w:t>nd sharing</w:t>
      </w:r>
      <w:r w:rsidR="001C0059" w:rsidRPr="00C17809">
        <w:rPr>
          <w:rFonts w:ascii="Arial" w:hAnsi="Arial" w:cs="Arial"/>
          <w:sz w:val="22"/>
          <w:szCs w:val="22"/>
        </w:rPr>
        <w:t xml:space="preserve"> appropriate</w:t>
      </w:r>
      <w:r w:rsidR="004F16C7" w:rsidRPr="00C17809">
        <w:rPr>
          <w:rFonts w:ascii="Arial" w:hAnsi="Arial" w:cs="Arial"/>
          <w:sz w:val="22"/>
          <w:szCs w:val="22"/>
        </w:rPr>
        <w:t xml:space="preserve"> information in line with the requirements of the Data Protection Act 2018 and the Caldicott Principles</w:t>
      </w:r>
      <w:r w:rsidR="00900A31" w:rsidRPr="00C17809">
        <w:rPr>
          <w:rFonts w:ascii="Arial" w:hAnsi="Arial" w:cs="Arial"/>
          <w:sz w:val="22"/>
          <w:szCs w:val="22"/>
        </w:rPr>
        <w:t xml:space="preserve"> </w:t>
      </w:r>
      <w:r w:rsidRPr="00C17809">
        <w:rPr>
          <w:rFonts w:ascii="Arial" w:hAnsi="Arial" w:cs="Arial"/>
          <w:sz w:val="22"/>
          <w:szCs w:val="22"/>
        </w:rPr>
        <w:t>(Department of Health and Social Care, 2013).</w:t>
      </w:r>
    </w:p>
    <w:p w14:paraId="4D04033C" w14:textId="296892D6" w:rsidR="00602387" w:rsidRPr="00C17809" w:rsidRDefault="00AF5930" w:rsidP="00790F92">
      <w:pPr>
        <w:spacing w:line="360" w:lineRule="auto"/>
        <w:rPr>
          <w:rFonts w:ascii="Arial" w:hAnsi="Arial" w:cs="Arial"/>
          <w:sz w:val="22"/>
          <w:szCs w:val="22"/>
        </w:rPr>
      </w:pPr>
      <w:r>
        <w:rPr>
          <w:rFonts w:ascii="Arial" w:hAnsi="Arial" w:cs="Arial"/>
          <w:sz w:val="22"/>
          <w:szCs w:val="22"/>
        </w:rPr>
        <w:t>R</w:t>
      </w:r>
      <w:r w:rsidR="00D53F33" w:rsidRPr="00C17809">
        <w:rPr>
          <w:rFonts w:ascii="Arial" w:hAnsi="Arial" w:cs="Arial"/>
          <w:sz w:val="22"/>
          <w:szCs w:val="22"/>
        </w:rPr>
        <w:t>egular communication between all professionals involved in her care is essential for identifying changes in her cognitive function, monitoring medication adherence and responding promptly to safeguarding concerns, thereby reducing the risk of further incidents and avoidable hospital readmissions</w:t>
      </w:r>
      <w:r w:rsidR="00B1423A" w:rsidRPr="00C17809">
        <w:rPr>
          <w:rFonts w:ascii="Arial" w:hAnsi="Arial" w:cs="Arial"/>
          <w:sz w:val="22"/>
          <w:szCs w:val="22"/>
        </w:rPr>
        <w:t xml:space="preserve"> </w:t>
      </w:r>
      <w:r w:rsidR="00F36D33" w:rsidRPr="00C17809">
        <w:rPr>
          <w:rFonts w:ascii="Arial" w:hAnsi="Arial" w:cs="Arial"/>
          <w:sz w:val="22"/>
          <w:szCs w:val="22"/>
        </w:rPr>
        <w:t>(Care Quality Commission, 2023).</w:t>
      </w:r>
    </w:p>
    <w:p w14:paraId="00B320CC" w14:textId="1FF67570" w:rsidR="006A0752" w:rsidRPr="00C17809" w:rsidRDefault="005F2A0A" w:rsidP="00790F92">
      <w:pPr>
        <w:spacing w:line="360" w:lineRule="auto"/>
        <w:rPr>
          <w:rFonts w:ascii="Arial" w:hAnsi="Arial" w:cs="Arial"/>
          <w:sz w:val="22"/>
          <w:szCs w:val="22"/>
        </w:rPr>
      </w:pPr>
      <w:r w:rsidRPr="00C17809">
        <w:rPr>
          <w:rFonts w:ascii="Arial" w:hAnsi="Arial" w:cs="Arial"/>
          <w:sz w:val="22"/>
          <w:szCs w:val="22"/>
        </w:rPr>
        <w:t>Overall, when professionals work together successfully, they are better able to provide safe, well-organised care that is tailored to the individual's need</w:t>
      </w:r>
      <w:r w:rsidR="00602387" w:rsidRPr="00C17809">
        <w:rPr>
          <w:rFonts w:ascii="Arial" w:hAnsi="Arial" w:cs="Arial"/>
          <w:sz w:val="22"/>
          <w:szCs w:val="22"/>
        </w:rPr>
        <w:t xml:space="preserve">. </w:t>
      </w:r>
      <w:r w:rsidR="00D439CC" w:rsidRPr="00C17809">
        <w:rPr>
          <w:rFonts w:ascii="Arial" w:hAnsi="Arial" w:cs="Arial"/>
          <w:sz w:val="22"/>
          <w:szCs w:val="22"/>
        </w:rPr>
        <w:t>By sharing information appropriately and working towards common goals, the multidisciplinary team can improve Mrs Thompson's health outcomes, reduce risks and support her independence within the community (World Health Organization, 20</w:t>
      </w:r>
      <w:r w:rsidR="005A02B6" w:rsidRPr="00C17809">
        <w:rPr>
          <w:rFonts w:ascii="Arial" w:hAnsi="Arial" w:cs="Arial"/>
          <w:sz w:val="22"/>
          <w:szCs w:val="22"/>
        </w:rPr>
        <w:t>16</w:t>
      </w:r>
      <w:r w:rsidR="00D439CC" w:rsidRPr="00C17809">
        <w:rPr>
          <w:rFonts w:ascii="Arial" w:hAnsi="Arial" w:cs="Arial"/>
          <w:sz w:val="22"/>
          <w:szCs w:val="22"/>
        </w:rPr>
        <w:t>).</w:t>
      </w:r>
    </w:p>
    <w:p w14:paraId="09C96F17" w14:textId="77777777" w:rsidR="00194A7B" w:rsidRDefault="006A0752" w:rsidP="00790F92">
      <w:pPr>
        <w:spacing w:line="360" w:lineRule="auto"/>
        <w:rPr>
          <w:rFonts w:ascii="Arial" w:hAnsi="Arial" w:cs="Arial"/>
          <w:b/>
          <w:bCs/>
          <w:sz w:val="22"/>
          <w:szCs w:val="22"/>
        </w:rPr>
      </w:pPr>
      <w:r w:rsidRPr="00C17809">
        <w:rPr>
          <w:rFonts w:ascii="Arial" w:hAnsi="Arial" w:cs="Arial"/>
          <w:b/>
          <w:bCs/>
          <w:sz w:val="22"/>
          <w:szCs w:val="22"/>
        </w:rPr>
        <w:t>Conclusion</w:t>
      </w:r>
    </w:p>
    <w:p w14:paraId="4541174C" w14:textId="227D45AF" w:rsidR="006A0752" w:rsidRPr="00C17809" w:rsidRDefault="006A0752" w:rsidP="00790F92">
      <w:pPr>
        <w:spacing w:line="360" w:lineRule="auto"/>
        <w:rPr>
          <w:rFonts w:ascii="Arial" w:hAnsi="Arial" w:cs="Arial"/>
          <w:b/>
          <w:bCs/>
          <w:sz w:val="22"/>
          <w:szCs w:val="22"/>
        </w:rPr>
      </w:pPr>
      <w:r w:rsidRPr="00C17809">
        <w:rPr>
          <w:rFonts w:ascii="Arial" w:hAnsi="Arial" w:cs="Arial"/>
          <w:sz w:val="22"/>
          <w:szCs w:val="22"/>
        </w:rPr>
        <w:lastRenderedPageBreak/>
        <w:t>In summary, Mrs Thompson's case illustrates how communication, accurate documentation and partnership working are fundamental to providing high-quality health and social care. Adapting communication methods to meet her cognitive needs enables her to understand information more effectively, participate in decisions about her care and reduce the risk of medication-related problems. Maintaining detailed and accurate records in accordance with the Data Protection Act 2018, the Caldicott Principles, the Nursing and Midwifery Council Code and Care Quality Commission standards supports informed decision-making, accountability and the delivery of consistent care. Furthermore, close cooperation between healthcare professionals, social care services and family members allows risks to be identified promptly and appropriate interventions to be implemented. Reflecting on Mrs Thompson's circumstances demonstrates that combining effective communication, reliable record keeping and coordinated multidisciplinary working improves the quality of care, enhances patient safety and supports older adults to remain independent and live safely</w:t>
      </w:r>
      <w:r w:rsidR="00FA5F3B">
        <w:rPr>
          <w:rFonts w:ascii="Arial" w:hAnsi="Arial" w:cs="Arial"/>
          <w:sz w:val="22"/>
          <w:szCs w:val="22"/>
        </w:rPr>
        <w:t xml:space="preserve"> </w:t>
      </w:r>
      <w:r w:rsidRPr="00C17809">
        <w:rPr>
          <w:rFonts w:ascii="Arial" w:hAnsi="Arial" w:cs="Arial"/>
          <w:sz w:val="22"/>
          <w:szCs w:val="22"/>
        </w:rPr>
        <w:t>within their own community.</w:t>
      </w:r>
    </w:p>
    <w:p w14:paraId="0EBCDB6E" w14:textId="77777777" w:rsidR="006A0752" w:rsidRPr="00C17809" w:rsidRDefault="006A0752" w:rsidP="00790F92">
      <w:pPr>
        <w:spacing w:line="360" w:lineRule="auto"/>
        <w:rPr>
          <w:rFonts w:ascii="Arial" w:hAnsi="Arial" w:cs="Arial"/>
          <w:sz w:val="22"/>
          <w:szCs w:val="22"/>
        </w:rPr>
      </w:pPr>
    </w:p>
    <w:p w14:paraId="75CD43B9" w14:textId="77777777" w:rsidR="00D11C7A" w:rsidRPr="00C17809" w:rsidRDefault="00D11C7A" w:rsidP="00790F92">
      <w:pPr>
        <w:spacing w:line="360" w:lineRule="auto"/>
        <w:rPr>
          <w:rFonts w:ascii="Arial" w:hAnsi="Arial" w:cs="Arial"/>
          <w:sz w:val="22"/>
          <w:szCs w:val="22"/>
        </w:rPr>
      </w:pPr>
    </w:p>
    <w:p w14:paraId="211F68FB" w14:textId="77777777" w:rsidR="00D11C7A" w:rsidRPr="00C17809" w:rsidRDefault="00D11C7A" w:rsidP="00790F92">
      <w:pPr>
        <w:spacing w:line="360" w:lineRule="auto"/>
        <w:rPr>
          <w:rFonts w:ascii="Arial" w:hAnsi="Arial" w:cs="Arial"/>
          <w:b/>
          <w:bCs/>
          <w:sz w:val="22"/>
          <w:szCs w:val="22"/>
        </w:rPr>
      </w:pPr>
    </w:p>
    <w:p w14:paraId="2C35CF61" w14:textId="77777777" w:rsidR="00495002" w:rsidRPr="00C17809" w:rsidRDefault="00495002" w:rsidP="00790F92">
      <w:pPr>
        <w:spacing w:line="360" w:lineRule="auto"/>
        <w:rPr>
          <w:rFonts w:ascii="Arial" w:hAnsi="Arial" w:cs="Arial"/>
          <w:b/>
          <w:bCs/>
          <w:sz w:val="22"/>
          <w:szCs w:val="22"/>
        </w:rPr>
      </w:pPr>
    </w:p>
    <w:p w14:paraId="637CE951" w14:textId="77777777" w:rsidR="00495002" w:rsidRPr="00C17809" w:rsidRDefault="00495002" w:rsidP="00790F92">
      <w:pPr>
        <w:spacing w:line="360" w:lineRule="auto"/>
        <w:rPr>
          <w:rFonts w:ascii="Arial" w:hAnsi="Arial" w:cs="Arial"/>
          <w:b/>
          <w:bCs/>
          <w:sz w:val="22"/>
          <w:szCs w:val="22"/>
        </w:rPr>
      </w:pPr>
    </w:p>
    <w:p w14:paraId="75642096" w14:textId="77777777" w:rsidR="0066666A" w:rsidRPr="00C17809" w:rsidRDefault="0066666A" w:rsidP="00790F92">
      <w:pPr>
        <w:spacing w:line="360" w:lineRule="auto"/>
        <w:rPr>
          <w:rFonts w:ascii="Arial" w:hAnsi="Arial" w:cs="Arial"/>
          <w:b/>
          <w:bCs/>
          <w:sz w:val="22"/>
          <w:szCs w:val="22"/>
        </w:rPr>
      </w:pPr>
    </w:p>
    <w:p w14:paraId="3EEE15C4" w14:textId="77777777" w:rsidR="00C97325" w:rsidRPr="00C17809" w:rsidRDefault="00C97325" w:rsidP="00790F92">
      <w:pPr>
        <w:spacing w:line="360" w:lineRule="auto"/>
        <w:rPr>
          <w:rFonts w:ascii="Arial" w:hAnsi="Arial" w:cs="Arial"/>
          <w:b/>
          <w:bCs/>
          <w:sz w:val="22"/>
          <w:szCs w:val="22"/>
        </w:rPr>
      </w:pPr>
    </w:p>
    <w:p w14:paraId="140BEF0C" w14:textId="77777777" w:rsidR="00C97325" w:rsidRPr="00C17809" w:rsidRDefault="00C97325" w:rsidP="00790F92">
      <w:pPr>
        <w:spacing w:line="360" w:lineRule="auto"/>
        <w:rPr>
          <w:rFonts w:ascii="Arial" w:hAnsi="Arial" w:cs="Arial"/>
          <w:b/>
          <w:bCs/>
          <w:sz w:val="22"/>
          <w:szCs w:val="22"/>
        </w:rPr>
      </w:pPr>
    </w:p>
    <w:p w14:paraId="744D8B36" w14:textId="77777777" w:rsidR="00C97325" w:rsidRPr="00C17809" w:rsidRDefault="00C97325" w:rsidP="00790F92">
      <w:pPr>
        <w:spacing w:line="360" w:lineRule="auto"/>
        <w:rPr>
          <w:rFonts w:ascii="Arial" w:hAnsi="Arial" w:cs="Arial"/>
          <w:b/>
          <w:bCs/>
          <w:sz w:val="22"/>
          <w:szCs w:val="22"/>
        </w:rPr>
      </w:pPr>
    </w:p>
    <w:p w14:paraId="59AF5D60" w14:textId="77777777" w:rsidR="00C97325" w:rsidRPr="00C17809" w:rsidRDefault="00C97325" w:rsidP="00790F92">
      <w:pPr>
        <w:spacing w:line="360" w:lineRule="auto"/>
        <w:rPr>
          <w:rFonts w:ascii="Arial" w:hAnsi="Arial" w:cs="Arial"/>
          <w:b/>
          <w:bCs/>
          <w:sz w:val="22"/>
          <w:szCs w:val="22"/>
        </w:rPr>
      </w:pPr>
    </w:p>
    <w:p w14:paraId="46CF1250" w14:textId="77777777" w:rsidR="00C97325" w:rsidRPr="00C17809" w:rsidRDefault="00C97325" w:rsidP="00790F92">
      <w:pPr>
        <w:spacing w:line="360" w:lineRule="auto"/>
        <w:rPr>
          <w:rFonts w:ascii="Arial" w:hAnsi="Arial" w:cs="Arial"/>
          <w:b/>
          <w:bCs/>
          <w:sz w:val="22"/>
          <w:szCs w:val="22"/>
        </w:rPr>
      </w:pPr>
    </w:p>
    <w:p w14:paraId="0A092D65" w14:textId="77777777" w:rsidR="00C97325" w:rsidRPr="00C17809" w:rsidRDefault="00C97325" w:rsidP="00790F92">
      <w:pPr>
        <w:spacing w:line="360" w:lineRule="auto"/>
        <w:rPr>
          <w:rFonts w:ascii="Arial" w:hAnsi="Arial" w:cs="Arial"/>
          <w:b/>
          <w:bCs/>
          <w:sz w:val="22"/>
          <w:szCs w:val="22"/>
        </w:rPr>
      </w:pPr>
    </w:p>
    <w:p w14:paraId="77987669" w14:textId="77777777" w:rsidR="00C97325" w:rsidRPr="00C17809" w:rsidRDefault="00C97325" w:rsidP="00790F92">
      <w:pPr>
        <w:spacing w:line="360" w:lineRule="auto"/>
        <w:rPr>
          <w:rFonts w:ascii="Arial" w:hAnsi="Arial" w:cs="Arial"/>
          <w:b/>
          <w:bCs/>
          <w:sz w:val="22"/>
          <w:szCs w:val="22"/>
        </w:rPr>
      </w:pPr>
    </w:p>
    <w:p w14:paraId="1162CC3A" w14:textId="260CE8A8" w:rsidR="00823776" w:rsidRPr="00C17809" w:rsidRDefault="00823776" w:rsidP="00790F92">
      <w:pPr>
        <w:spacing w:line="360" w:lineRule="auto"/>
        <w:rPr>
          <w:rFonts w:ascii="Arial" w:hAnsi="Arial" w:cs="Arial"/>
          <w:b/>
          <w:bCs/>
          <w:sz w:val="22"/>
          <w:szCs w:val="22"/>
        </w:rPr>
      </w:pPr>
    </w:p>
    <w:p w14:paraId="28084281" w14:textId="77777777" w:rsidR="00166D1F" w:rsidRPr="00C17809" w:rsidRDefault="00166D1F" w:rsidP="00790F92">
      <w:pPr>
        <w:spacing w:line="360" w:lineRule="auto"/>
        <w:rPr>
          <w:rFonts w:ascii="Arial" w:hAnsi="Arial" w:cs="Arial"/>
          <w:b/>
          <w:bCs/>
          <w:sz w:val="22"/>
          <w:szCs w:val="22"/>
        </w:rPr>
      </w:pPr>
    </w:p>
    <w:p w14:paraId="65634A06" w14:textId="77777777" w:rsidR="00D50DEB" w:rsidRDefault="00D50DEB" w:rsidP="00790F92">
      <w:pPr>
        <w:spacing w:line="360" w:lineRule="auto"/>
        <w:rPr>
          <w:rFonts w:ascii="Arial" w:hAnsi="Arial" w:cs="Arial"/>
          <w:b/>
          <w:bCs/>
          <w:sz w:val="22"/>
          <w:szCs w:val="22"/>
        </w:rPr>
      </w:pPr>
    </w:p>
    <w:p w14:paraId="6215C55F" w14:textId="3F6373EE" w:rsidR="00070125" w:rsidRPr="00C17809" w:rsidRDefault="00E56BEE" w:rsidP="00790F92">
      <w:pPr>
        <w:spacing w:line="360" w:lineRule="auto"/>
        <w:rPr>
          <w:rFonts w:ascii="Arial" w:hAnsi="Arial" w:cs="Arial"/>
          <w:b/>
          <w:bCs/>
          <w:sz w:val="22"/>
          <w:szCs w:val="22"/>
        </w:rPr>
      </w:pPr>
      <w:r w:rsidRPr="00C17809">
        <w:rPr>
          <w:rFonts w:ascii="Arial" w:hAnsi="Arial" w:cs="Arial"/>
          <w:b/>
          <w:bCs/>
          <w:sz w:val="22"/>
          <w:szCs w:val="22"/>
        </w:rPr>
        <w:lastRenderedPageBreak/>
        <w:t>References</w:t>
      </w:r>
    </w:p>
    <w:p w14:paraId="78CF986A" w14:textId="5B4ADD39" w:rsidR="00070125" w:rsidRPr="00C17809" w:rsidRDefault="00070125" w:rsidP="00790F92">
      <w:pPr>
        <w:spacing w:line="360" w:lineRule="auto"/>
        <w:rPr>
          <w:rFonts w:ascii="Arial" w:hAnsi="Arial" w:cs="Arial"/>
          <w:sz w:val="22"/>
          <w:szCs w:val="22"/>
        </w:rPr>
      </w:pPr>
      <w:r w:rsidRPr="00C17809">
        <w:rPr>
          <w:rFonts w:ascii="Arial" w:hAnsi="Arial" w:cs="Arial"/>
          <w:sz w:val="22"/>
          <w:szCs w:val="22"/>
        </w:rPr>
        <w:t xml:space="preserve">Alzheimer's Society (2024) </w:t>
      </w:r>
      <w:r w:rsidRPr="00C17809">
        <w:rPr>
          <w:rFonts w:ascii="Arial" w:hAnsi="Arial" w:cs="Arial"/>
          <w:i/>
          <w:iCs/>
          <w:sz w:val="22"/>
          <w:szCs w:val="22"/>
        </w:rPr>
        <w:t>Memory aids and keeping track of daily activities.</w:t>
      </w:r>
      <w:r w:rsidRPr="00C17809">
        <w:rPr>
          <w:rFonts w:ascii="Arial" w:hAnsi="Arial" w:cs="Arial"/>
          <w:sz w:val="22"/>
          <w:szCs w:val="22"/>
        </w:rPr>
        <w:t xml:space="preserve"> Available at: https://www.alzheimers.org.uk/get-support/daily-living/memory-aids (Accessed: 16 July 2026).</w:t>
      </w:r>
    </w:p>
    <w:p w14:paraId="1469ED30" w14:textId="30A0FEA0" w:rsidR="003B2188" w:rsidRPr="00C17809" w:rsidRDefault="003B2188" w:rsidP="00790F92">
      <w:pPr>
        <w:spacing w:line="360" w:lineRule="auto"/>
        <w:rPr>
          <w:rFonts w:ascii="Arial" w:hAnsi="Arial" w:cs="Arial"/>
          <w:sz w:val="22"/>
          <w:szCs w:val="22"/>
        </w:rPr>
      </w:pPr>
      <w:r w:rsidRPr="00C17809">
        <w:rPr>
          <w:rFonts w:ascii="Arial" w:hAnsi="Arial" w:cs="Arial"/>
          <w:sz w:val="22"/>
          <w:szCs w:val="22"/>
        </w:rPr>
        <w:t xml:space="preserve">Argyle, M. (1983) </w:t>
      </w:r>
      <w:r w:rsidRPr="00C17809">
        <w:rPr>
          <w:rFonts w:ascii="Arial" w:hAnsi="Arial" w:cs="Arial"/>
          <w:i/>
          <w:iCs/>
          <w:sz w:val="22"/>
          <w:szCs w:val="22"/>
        </w:rPr>
        <w:t>The Psychology of Interpersonal Behaviour</w:t>
      </w:r>
      <w:r w:rsidRPr="00C17809">
        <w:rPr>
          <w:rFonts w:ascii="Arial" w:hAnsi="Arial" w:cs="Arial"/>
          <w:sz w:val="22"/>
          <w:szCs w:val="22"/>
        </w:rPr>
        <w:t>. 4th edn. Harmondsworth: Penguin.</w:t>
      </w:r>
    </w:p>
    <w:p w14:paraId="37E96B51" w14:textId="77777777" w:rsidR="00E56BEE" w:rsidRPr="00C17809" w:rsidRDefault="00E56BEE" w:rsidP="00790F92">
      <w:pPr>
        <w:spacing w:line="360" w:lineRule="auto"/>
        <w:rPr>
          <w:rFonts w:ascii="Arial" w:hAnsi="Arial" w:cs="Arial"/>
          <w:sz w:val="22"/>
          <w:szCs w:val="22"/>
        </w:rPr>
      </w:pPr>
      <w:r w:rsidRPr="00C17809">
        <w:rPr>
          <w:rFonts w:ascii="Arial" w:hAnsi="Arial" w:cs="Arial"/>
          <w:sz w:val="22"/>
          <w:szCs w:val="22"/>
        </w:rPr>
        <w:t xml:space="preserve">Arnold, E.C. and Boggs, K.U. (2020) </w:t>
      </w:r>
      <w:r w:rsidRPr="00C17809">
        <w:rPr>
          <w:rFonts w:ascii="Arial" w:hAnsi="Arial" w:cs="Arial"/>
          <w:i/>
          <w:iCs/>
          <w:sz w:val="22"/>
          <w:szCs w:val="22"/>
        </w:rPr>
        <w:t>Interpersonal Relationships: Professional Communication Skills for Nurses</w:t>
      </w:r>
      <w:r w:rsidRPr="00C17809">
        <w:rPr>
          <w:rFonts w:ascii="Arial" w:hAnsi="Arial" w:cs="Arial"/>
          <w:sz w:val="22"/>
          <w:szCs w:val="22"/>
        </w:rPr>
        <w:t>. 8th edn. St. Louis, MO: Elsevier.</w:t>
      </w:r>
    </w:p>
    <w:p w14:paraId="36CF1BF4" w14:textId="77777777" w:rsidR="00E56BEE" w:rsidRPr="00C17809" w:rsidRDefault="00E56BEE" w:rsidP="00790F92">
      <w:pPr>
        <w:spacing w:line="360" w:lineRule="auto"/>
        <w:rPr>
          <w:rFonts w:ascii="Arial" w:hAnsi="Arial" w:cs="Arial"/>
          <w:sz w:val="22"/>
          <w:szCs w:val="22"/>
        </w:rPr>
      </w:pPr>
      <w:r w:rsidRPr="00C17809">
        <w:rPr>
          <w:rFonts w:ascii="Arial" w:hAnsi="Arial" w:cs="Arial"/>
          <w:sz w:val="22"/>
          <w:szCs w:val="22"/>
        </w:rPr>
        <w:t xml:space="preserve">Care Quality Commission (2023) </w:t>
      </w:r>
      <w:r w:rsidRPr="00C17809">
        <w:rPr>
          <w:rFonts w:ascii="Arial" w:hAnsi="Arial" w:cs="Arial"/>
          <w:i/>
          <w:iCs/>
          <w:sz w:val="22"/>
          <w:szCs w:val="22"/>
        </w:rPr>
        <w:t>Fundamental standards</w:t>
      </w:r>
      <w:r w:rsidRPr="00C17809">
        <w:rPr>
          <w:rFonts w:ascii="Arial" w:hAnsi="Arial" w:cs="Arial"/>
          <w:sz w:val="22"/>
          <w:szCs w:val="22"/>
        </w:rPr>
        <w:t xml:space="preserve">. Available at: </w:t>
      </w:r>
      <w:hyperlink r:id="rId7" w:history="1">
        <w:r w:rsidRPr="00C17809">
          <w:rPr>
            <w:rStyle w:val="Hyperlink"/>
            <w:rFonts w:ascii="Arial" w:hAnsi="Arial" w:cs="Arial"/>
            <w:sz w:val="22"/>
            <w:szCs w:val="22"/>
          </w:rPr>
          <w:t>https://www.cqc.org.uk/about-us/fundamental-standards</w:t>
        </w:r>
      </w:hyperlink>
      <w:r w:rsidRPr="00C17809">
        <w:rPr>
          <w:rFonts w:ascii="Arial" w:hAnsi="Arial" w:cs="Arial"/>
          <w:sz w:val="22"/>
          <w:szCs w:val="22"/>
        </w:rPr>
        <w:t xml:space="preserve"> (Accessed: 10 July 2026).</w:t>
      </w:r>
    </w:p>
    <w:p w14:paraId="427043BF" w14:textId="77777777" w:rsidR="00E56BEE" w:rsidRPr="00C17809" w:rsidRDefault="00E56BEE" w:rsidP="00790F92">
      <w:pPr>
        <w:spacing w:line="360" w:lineRule="auto"/>
        <w:rPr>
          <w:rFonts w:ascii="Arial" w:hAnsi="Arial" w:cs="Arial"/>
          <w:sz w:val="22"/>
          <w:szCs w:val="22"/>
        </w:rPr>
      </w:pPr>
      <w:r w:rsidRPr="00C17809">
        <w:rPr>
          <w:rFonts w:ascii="Arial" w:hAnsi="Arial" w:cs="Arial"/>
          <w:sz w:val="22"/>
          <w:szCs w:val="22"/>
        </w:rPr>
        <w:t xml:space="preserve">Department of Health and Social Care (2013) </w:t>
      </w:r>
      <w:r w:rsidRPr="00C17809">
        <w:rPr>
          <w:rFonts w:ascii="Arial" w:hAnsi="Arial" w:cs="Arial"/>
          <w:i/>
          <w:iCs/>
          <w:sz w:val="22"/>
          <w:szCs w:val="22"/>
        </w:rPr>
        <w:t>Information: To share or not to share? The Information Governance Review (Caldicott 2)</w:t>
      </w:r>
      <w:r w:rsidRPr="00C17809">
        <w:rPr>
          <w:rFonts w:ascii="Arial" w:hAnsi="Arial" w:cs="Arial"/>
          <w:sz w:val="22"/>
          <w:szCs w:val="22"/>
        </w:rPr>
        <w:t xml:space="preserve">. Available at: </w:t>
      </w:r>
      <w:hyperlink r:id="rId8" w:history="1">
        <w:r w:rsidRPr="00C17809">
          <w:rPr>
            <w:rStyle w:val="Hyperlink"/>
            <w:rFonts w:ascii="Arial" w:hAnsi="Arial" w:cs="Arial"/>
            <w:sz w:val="22"/>
            <w:szCs w:val="22"/>
          </w:rPr>
          <w:t>https://www.gov.uk/government/publications/the-information-governance-review</w:t>
        </w:r>
      </w:hyperlink>
      <w:r w:rsidRPr="00C17809">
        <w:rPr>
          <w:rFonts w:ascii="Arial" w:hAnsi="Arial" w:cs="Arial"/>
          <w:sz w:val="22"/>
          <w:szCs w:val="22"/>
        </w:rPr>
        <w:t xml:space="preserve"> (Accessed: 10 July 2026).</w:t>
      </w:r>
    </w:p>
    <w:p w14:paraId="67E3C3A3" w14:textId="77777777" w:rsidR="00E56BEE" w:rsidRPr="00C17809" w:rsidRDefault="00E56BEE" w:rsidP="00790F92">
      <w:pPr>
        <w:spacing w:line="360" w:lineRule="auto"/>
        <w:rPr>
          <w:rFonts w:ascii="Arial" w:hAnsi="Arial" w:cs="Arial"/>
          <w:sz w:val="22"/>
          <w:szCs w:val="22"/>
        </w:rPr>
      </w:pPr>
      <w:r w:rsidRPr="00C17809">
        <w:rPr>
          <w:rFonts w:ascii="Arial" w:hAnsi="Arial" w:cs="Arial"/>
          <w:sz w:val="22"/>
          <w:szCs w:val="22"/>
        </w:rPr>
        <w:t xml:space="preserve">Glasby, J. and Dickinson, H. (2021) </w:t>
      </w:r>
      <w:r w:rsidRPr="00C17809">
        <w:rPr>
          <w:rFonts w:ascii="Arial" w:hAnsi="Arial" w:cs="Arial"/>
          <w:i/>
          <w:iCs/>
          <w:sz w:val="22"/>
          <w:szCs w:val="22"/>
        </w:rPr>
        <w:t>Partnership Working in Health and Social Care</w:t>
      </w:r>
      <w:r w:rsidRPr="00C17809">
        <w:rPr>
          <w:rFonts w:ascii="Arial" w:hAnsi="Arial" w:cs="Arial"/>
          <w:sz w:val="22"/>
          <w:szCs w:val="22"/>
        </w:rPr>
        <w:t>. 2nd edn. Bristol: Policy Press.</w:t>
      </w:r>
    </w:p>
    <w:p w14:paraId="27D52878" w14:textId="77777777" w:rsidR="00E56BEE" w:rsidRPr="00C17809" w:rsidRDefault="00E56BEE" w:rsidP="00790F92">
      <w:pPr>
        <w:spacing w:line="360" w:lineRule="auto"/>
        <w:rPr>
          <w:rFonts w:ascii="Arial" w:hAnsi="Arial" w:cs="Arial"/>
          <w:sz w:val="22"/>
          <w:szCs w:val="22"/>
        </w:rPr>
      </w:pPr>
      <w:r w:rsidRPr="00C17809">
        <w:rPr>
          <w:rFonts w:ascii="Arial" w:hAnsi="Arial" w:cs="Arial"/>
          <w:sz w:val="22"/>
          <w:szCs w:val="22"/>
        </w:rPr>
        <w:t xml:space="preserve">Great Britain (2010) </w:t>
      </w:r>
      <w:r w:rsidRPr="00C17809">
        <w:rPr>
          <w:rFonts w:ascii="Arial" w:hAnsi="Arial" w:cs="Arial"/>
          <w:i/>
          <w:iCs/>
          <w:sz w:val="22"/>
          <w:szCs w:val="22"/>
        </w:rPr>
        <w:t>Equality Act 2010</w:t>
      </w:r>
      <w:r w:rsidRPr="00C17809">
        <w:rPr>
          <w:rFonts w:ascii="Arial" w:hAnsi="Arial" w:cs="Arial"/>
          <w:sz w:val="22"/>
          <w:szCs w:val="22"/>
        </w:rPr>
        <w:t xml:space="preserve">. Available at: </w:t>
      </w:r>
      <w:hyperlink r:id="rId9" w:history="1">
        <w:r w:rsidRPr="00C17809">
          <w:rPr>
            <w:rStyle w:val="Hyperlink"/>
            <w:rFonts w:ascii="Arial" w:hAnsi="Arial" w:cs="Arial"/>
            <w:i/>
            <w:iCs/>
            <w:sz w:val="22"/>
            <w:szCs w:val="22"/>
          </w:rPr>
          <w:t>https://www.legislation.gov.uk/ukpga/2010/15/contents</w:t>
        </w:r>
      </w:hyperlink>
      <w:r w:rsidRPr="00C17809">
        <w:rPr>
          <w:rFonts w:ascii="Arial" w:hAnsi="Arial" w:cs="Arial"/>
          <w:i/>
          <w:iCs/>
          <w:sz w:val="22"/>
          <w:szCs w:val="22"/>
        </w:rPr>
        <w:t xml:space="preserve"> (</w:t>
      </w:r>
      <w:r w:rsidRPr="00C17809">
        <w:rPr>
          <w:rFonts w:ascii="Arial" w:hAnsi="Arial" w:cs="Arial"/>
          <w:sz w:val="22"/>
          <w:szCs w:val="22"/>
        </w:rPr>
        <w:t>Accessed: 10 July 2026).</w:t>
      </w:r>
    </w:p>
    <w:p w14:paraId="377E5EC8" w14:textId="77777777" w:rsidR="00E56BEE" w:rsidRPr="00C17809" w:rsidRDefault="00E56BEE" w:rsidP="00790F92">
      <w:pPr>
        <w:spacing w:line="360" w:lineRule="auto"/>
        <w:rPr>
          <w:rFonts w:ascii="Arial" w:hAnsi="Arial" w:cs="Arial"/>
          <w:sz w:val="22"/>
          <w:szCs w:val="22"/>
        </w:rPr>
      </w:pPr>
      <w:r w:rsidRPr="00C17809">
        <w:rPr>
          <w:rFonts w:ascii="Arial" w:hAnsi="Arial" w:cs="Arial"/>
          <w:sz w:val="22"/>
          <w:szCs w:val="22"/>
        </w:rPr>
        <w:t xml:space="preserve">Great Britain (2018) </w:t>
      </w:r>
      <w:r w:rsidRPr="00C17809">
        <w:rPr>
          <w:rFonts w:ascii="Arial" w:hAnsi="Arial" w:cs="Arial"/>
          <w:i/>
          <w:iCs/>
          <w:sz w:val="22"/>
          <w:szCs w:val="22"/>
        </w:rPr>
        <w:t>Data Protection Act 2018</w:t>
      </w:r>
      <w:r w:rsidRPr="00C17809">
        <w:rPr>
          <w:rFonts w:ascii="Arial" w:hAnsi="Arial" w:cs="Arial"/>
          <w:sz w:val="22"/>
          <w:szCs w:val="22"/>
        </w:rPr>
        <w:t xml:space="preserve">. Available at: </w:t>
      </w:r>
      <w:hyperlink r:id="rId10" w:history="1">
        <w:r w:rsidRPr="00C17809">
          <w:rPr>
            <w:rStyle w:val="Hyperlink"/>
            <w:rFonts w:ascii="Arial" w:hAnsi="Arial" w:cs="Arial"/>
            <w:i/>
            <w:iCs/>
            <w:sz w:val="22"/>
            <w:szCs w:val="22"/>
          </w:rPr>
          <w:t>https://www.legislation.gov.uk/ukpga/2018/12/contents</w:t>
        </w:r>
      </w:hyperlink>
      <w:r w:rsidRPr="00C17809">
        <w:rPr>
          <w:rFonts w:ascii="Arial" w:hAnsi="Arial" w:cs="Arial"/>
          <w:i/>
          <w:iCs/>
          <w:sz w:val="22"/>
          <w:szCs w:val="22"/>
        </w:rPr>
        <w:t xml:space="preserve"> </w:t>
      </w:r>
      <w:r w:rsidRPr="00C17809">
        <w:rPr>
          <w:rFonts w:ascii="Arial" w:hAnsi="Arial" w:cs="Arial"/>
          <w:sz w:val="22"/>
          <w:szCs w:val="22"/>
        </w:rPr>
        <w:t>(Accessed: 10 July 2026).</w:t>
      </w:r>
    </w:p>
    <w:p w14:paraId="521EE707" w14:textId="1662B20D" w:rsidR="003E372E" w:rsidRPr="00C17809" w:rsidRDefault="003E372E" w:rsidP="00790F92">
      <w:pPr>
        <w:spacing w:line="360" w:lineRule="auto"/>
        <w:rPr>
          <w:rFonts w:ascii="Arial" w:hAnsi="Arial" w:cs="Arial"/>
          <w:sz w:val="22"/>
          <w:szCs w:val="22"/>
        </w:rPr>
      </w:pPr>
      <w:r w:rsidRPr="00C17809">
        <w:rPr>
          <w:rFonts w:ascii="Arial" w:hAnsi="Arial" w:cs="Arial"/>
          <w:sz w:val="22"/>
          <w:szCs w:val="22"/>
        </w:rPr>
        <w:t xml:space="preserve">National Institute for Health and Care Excellence (NICE) (2018) </w:t>
      </w:r>
      <w:r w:rsidRPr="00C17809">
        <w:rPr>
          <w:rFonts w:ascii="Arial" w:hAnsi="Arial" w:cs="Arial"/>
          <w:i/>
          <w:iCs/>
          <w:sz w:val="22"/>
          <w:szCs w:val="22"/>
        </w:rPr>
        <w:t>Dementia: assessment, management and support for people living with dementia and their carers (NG97).</w:t>
      </w:r>
      <w:r w:rsidRPr="00C17809">
        <w:rPr>
          <w:rFonts w:ascii="Arial" w:hAnsi="Arial" w:cs="Arial"/>
          <w:sz w:val="22"/>
          <w:szCs w:val="22"/>
        </w:rPr>
        <w:t xml:space="preserve"> Available at: </w:t>
      </w:r>
      <w:hyperlink r:id="rId11" w:tgtFrame="_new" w:history="1">
        <w:r w:rsidRPr="00C17809">
          <w:rPr>
            <w:rStyle w:val="Hyperlink"/>
            <w:rFonts w:ascii="Arial" w:hAnsi="Arial" w:cs="Arial"/>
            <w:sz w:val="22"/>
            <w:szCs w:val="22"/>
          </w:rPr>
          <w:t>https://www.nice.org.uk/guidance/ng97</w:t>
        </w:r>
      </w:hyperlink>
      <w:r w:rsidRPr="00C17809">
        <w:rPr>
          <w:rFonts w:ascii="Arial" w:hAnsi="Arial" w:cs="Arial"/>
          <w:sz w:val="22"/>
          <w:szCs w:val="22"/>
        </w:rPr>
        <w:t xml:space="preserve"> (Accessed: 16 July 2026).</w:t>
      </w:r>
    </w:p>
    <w:p w14:paraId="0606FAAC" w14:textId="77777777" w:rsidR="00E56BEE" w:rsidRPr="00C17809" w:rsidRDefault="00E56BEE" w:rsidP="00790F92">
      <w:pPr>
        <w:spacing w:line="360" w:lineRule="auto"/>
        <w:rPr>
          <w:rFonts w:ascii="Arial" w:hAnsi="Arial" w:cs="Arial"/>
          <w:sz w:val="22"/>
          <w:szCs w:val="22"/>
        </w:rPr>
      </w:pPr>
      <w:r w:rsidRPr="00C17809">
        <w:rPr>
          <w:rFonts w:ascii="Arial" w:hAnsi="Arial" w:cs="Arial"/>
          <w:sz w:val="22"/>
          <w:szCs w:val="22"/>
        </w:rPr>
        <w:t xml:space="preserve">Nursing and Midwifery Council (2018) </w:t>
      </w:r>
      <w:r w:rsidRPr="00C17809">
        <w:rPr>
          <w:rFonts w:ascii="Arial" w:hAnsi="Arial" w:cs="Arial"/>
          <w:i/>
          <w:iCs/>
          <w:sz w:val="22"/>
          <w:szCs w:val="22"/>
        </w:rPr>
        <w:t>The Code: Professional Standards of Practice and Behaviour for Nurses, Midwives and Nursing Associates</w:t>
      </w:r>
      <w:r w:rsidRPr="00C17809">
        <w:rPr>
          <w:rFonts w:ascii="Arial" w:hAnsi="Arial" w:cs="Arial"/>
          <w:sz w:val="22"/>
          <w:szCs w:val="22"/>
        </w:rPr>
        <w:t xml:space="preserve">. Available at: </w:t>
      </w:r>
      <w:hyperlink r:id="rId12" w:history="1">
        <w:r w:rsidRPr="00C17809">
          <w:rPr>
            <w:rStyle w:val="Hyperlink"/>
            <w:rFonts w:ascii="Arial" w:hAnsi="Arial" w:cs="Arial"/>
            <w:sz w:val="22"/>
            <w:szCs w:val="22"/>
          </w:rPr>
          <w:t>https://www.nmc.org.uk/standards/code/</w:t>
        </w:r>
      </w:hyperlink>
      <w:r w:rsidRPr="00C17809">
        <w:rPr>
          <w:rFonts w:ascii="Arial" w:hAnsi="Arial" w:cs="Arial"/>
          <w:sz w:val="22"/>
          <w:szCs w:val="22"/>
        </w:rPr>
        <w:t xml:space="preserve"> (Accessed: 10 July 2026).</w:t>
      </w:r>
    </w:p>
    <w:p w14:paraId="618C75AA" w14:textId="6505FB6D" w:rsidR="000E6B0A" w:rsidRPr="00C17809" w:rsidRDefault="00E56BEE" w:rsidP="00790F92">
      <w:pPr>
        <w:spacing w:line="360" w:lineRule="auto"/>
        <w:rPr>
          <w:rFonts w:ascii="Arial" w:hAnsi="Arial" w:cs="Arial"/>
          <w:sz w:val="22"/>
          <w:szCs w:val="22"/>
        </w:rPr>
      </w:pPr>
      <w:r w:rsidRPr="00C17809">
        <w:rPr>
          <w:rFonts w:ascii="Arial" w:hAnsi="Arial" w:cs="Arial"/>
          <w:sz w:val="22"/>
          <w:szCs w:val="22"/>
        </w:rPr>
        <w:t xml:space="preserve">Royal College of Nursing (2021) </w:t>
      </w:r>
      <w:r w:rsidRPr="00C17809">
        <w:rPr>
          <w:rFonts w:ascii="Arial" w:hAnsi="Arial" w:cs="Arial"/>
          <w:i/>
          <w:iCs/>
          <w:sz w:val="22"/>
          <w:szCs w:val="22"/>
        </w:rPr>
        <w:t>Record Keeping: Guidance for Nurses and Midwives</w:t>
      </w:r>
      <w:r w:rsidRPr="00C17809">
        <w:rPr>
          <w:rFonts w:ascii="Arial" w:hAnsi="Arial" w:cs="Arial"/>
          <w:sz w:val="22"/>
          <w:szCs w:val="22"/>
        </w:rPr>
        <w:t xml:space="preserve">. Available at: </w:t>
      </w:r>
      <w:hyperlink r:id="rId13" w:history="1">
        <w:r w:rsidRPr="00C17809">
          <w:rPr>
            <w:rStyle w:val="Hyperlink"/>
            <w:rFonts w:ascii="Arial" w:hAnsi="Arial" w:cs="Arial"/>
            <w:sz w:val="22"/>
            <w:szCs w:val="22"/>
          </w:rPr>
          <w:t>https://www.rcn.org.uk/professional-development/publications/pub-007750</w:t>
        </w:r>
      </w:hyperlink>
      <w:r w:rsidRPr="00C17809">
        <w:rPr>
          <w:rFonts w:ascii="Arial" w:hAnsi="Arial" w:cs="Arial"/>
          <w:sz w:val="22"/>
          <w:szCs w:val="22"/>
        </w:rPr>
        <w:t xml:space="preserve"> (Accessed: 10 July 2026).</w:t>
      </w:r>
    </w:p>
    <w:p w14:paraId="42B09D15" w14:textId="77777777" w:rsidR="006F4395" w:rsidRDefault="000E6B0A" w:rsidP="00790F92">
      <w:pPr>
        <w:spacing w:line="360" w:lineRule="auto"/>
        <w:rPr>
          <w:rFonts w:ascii="Arial" w:hAnsi="Arial" w:cs="Arial"/>
          <w:sz w:val="22"/>
          <w:szCs w:val="22"/>
        </w:rPr>
      </w:pPr>
      <w:r w:rsidRPr="00C17809">
        <w:rPr>
          <w:rFonts w:ascii="Arial" w:hAnsi="Arial" w:cs="Arial"/>
          <w:sz w:val="22"/>
          <w:szCs w:val="22"/>
        </w:rPr>
        <w:t xml:space="preserve">World Health Organization (2016) </w:t>
      </w:r>
      <w:r w:rsidRPr="00C17809">
        <w:rPr>
          <w:rFonts w:ascii="Arial" w:hAnsi="Arial" w:cs="Arial"/>
          <w:i/>
          <w:iCs/>
          <w:sz w:val="22"/>
          <w:szCs w:val="22"/>
        </w:rPr>
        <w:t>Framework on Integrated, People-Centred Health Services: Report by the Secretariat</w:t>
      </w:r>
      <w:r w:rsidRPr="00C17809">
        <w:rPr>
          <w:rFonts w:ascii="Arial" w:hAnsi="Arial" w:cs="Arial"/>
          <w:sz w:val="22"/>
          <w:szCs w:val="22"/>
        </w:rPr>
        <w:t xml:space="preserve">. Geneva: World Health Organization. Available at: </w:t>
      </w:r>
      <w:hyperlink r:id="rId14" w:tgtFrame="_new" w:history="1">
        <w:r w:rsidRPr="00C17809">
          <w:rPr>
            <w:rStyle w:val="Hyperlink"/>
            <w:rFonts w:ascii="Arial" w:hAnsi="Arial" w:cs="Arial"/>
            <w:sz w:val="22"/>
            <w:szCs w:val="22"/>
          </w:rPr>
          <w:t>https://apps.who.int/gb/ebwha/pdf_files/WHA69/A69_39-en.pdf</w:t>
        </w:r>
      </w:hyperlink>
      <w:r w:rsidRPr="00C17809">
        <w:rPr>
          <w:rFonts w:ascii="Arial" w:hAnsi="Arial" w:cs="Arial"/>
          <w:sz w:val="22"/>
          <w:szCs w:val="22"/>
        </w:rPr>
        <w:t xml:space="preserve"> (Accessed: 10 July 2026</w:t>
      </w:r>
      <w:r w:rsidR="00EA6D31" w:rsidRPr="00C17809">
        <w:rPr>
          <w:rFonts w:ascii="Arial" w:hAnsi="Arial" w:cs="Arial"/>
          <w:sz w:val="22"/>
          <w:szCs w:val="22"/>
        </w:rPr>
        <w:t>)</w:t>
      </w:r>
      <w:r w:rsidR="00EF4F0D" w:rsidRPr="00C17809">
        <w:rPr>
          <w:rFonts w:ascii="Arial" w:hAnsi="Arial" w:cs="Arial"/>
          <w:sz w:val="22"/>
          <w:szCs w:val="22"/>
        </w:rPr>
        <w:t>.</w:t>
      </w:r>
    </w:p>
    <w:p w14:paraId="0AC563F7" w14:textId="203C41AF" w:rsidR="00E56BEE" w:rsidRPr="00C17809" w:rsidRDefault="00E56BEE" w:rsidP="00790F92">
      <w:pPr>
        <w:spacing w:line="360" w:lineRule="auto"/>
        <w:rPr>
          <w:rFonts w:ascii="Arial" w:hAnsi="Arial" w:cs="Arial"/>
          <w:sz w:val="22"/>
          <w:szCs w:val="22"/>
        </w:rPr>
      </w:pPr>
      <w:r w:rsidRPr="00C17809">
        <w:rPr>
          <w:rFonts w:ascii="Arial" w:hAnsi="Arial" w:cs="Arial"/>
          <w:sz w:val="22"/>
          <w:szCs w:val="22"/>
        </w:rPr>
        <w:lastRenderedPageBreak/>
        <w:t xml:space="preserve">Xyrichis, A. and Ream, E. (2008) ‘Teamwork: A concept analysis’, </w:t>
      </w:r>
      <w:r w:rsidRPr="00C17809">
        <w:rPr>
          <w:rFonts w:ascii="Arial" w:hAnsi="Arial" w:cs="Arial"/>
          <w:i/>
          <w:iCs/>
          <w:sz w:val="22"/>
          <w:szCs w:val="22"/>
        </w:rPr>
        <w:t>Journal of Advanced Nursing</w:t>
      </w:r>
      <w:r w:rsidRPr="00C17809">
        <w:rPr>
          <w:rFonts w:ascii="Arial" w:hAnsi="Arial" w:cs="Arial"/>
          <w:sz w:val="22"/>
          <w:szCs w:val="22"/>
        </w:rPr>
        <w:t>, 61(2), pp. 232–241.</w:t>
      </w:r>
    </w:p>
    <w:p w14:paraId="094F05DC" w14:textId="2903C732" w:rsidR="00D11C7A" w:rsidRPr="00C17809" w:rsidRDefault="00D11C7A" w:rsidP="00790F92">
      <w:pPr>
        <w:spacing w:line="360" w:lineRule="auto"/>
        <w:rPr>
          <w:rFonts w:ascii="Arial" w:hAnsi="Arial" w:cs="Arial"/>
          <w:sz w:val="22"/>
          <w:szCs w:val="22"/>
        </w:rPr>
      </w:pPr>
    </w:p>
    <w:sectPr w:rsidR="00D11C7A" w:rsidRPr="00C1780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7DF29D" w14:textId="77777777" w:rsidR="00F525A5" w:rsidRDefault="00F525A5" w:rsidP="00795442">
      <w:pPr>
        <w:spacing w:after="0" w:line="240" w:lineRule="auto"/>
      </w:pPr>
      <w:r>
        <w:separator/>
      </w:r>
    </w:p>
  </w:endnote>
  <w:endnote w:type="continuationSeparator" w:id="0">
    <w:p w14:paraId="1A60F105" w14:textId="77777777" w:rsidR="00F525A5" w:rsidRDefault="00F525A5" w:rsidP="007954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2341251"/>
      <w:docPartObj>
        <w:docPartGallery w:val="Page Numbers (Bottom of Page)"/>
        <w:docPartUnique/>
      </w:docPartObj>
    </w:sdtPr>
    <w:sdtEndPr>
      <w:rPr>
        <w:noProof/>
      </w:rPr>
    </w:sdtEndPr>
    <w:sdtContent>
      <w:p w14:paraId="381843E4" w14:textId="67E07A95" w:rsidR="004870DE" w:rsidRDefault="004870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FDEDFB" w14:textId="77777777" w:rsidR="004870DE" w:rsidRDefault="004870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376A50" w14:textId="77777777" w:rsidR="00F525A5" w:rsidRDefault="00F525A5" w:rsidP="00795442">
      <w:pPr>
        <w:spacing w:after="0" w:line="240" w:lineRule="auto"/>
      </w:pPr>
      <w:r>
        <w:separator/>
      </w:r>
    </w:p>
  </w:footnote>
  <w:footnote w:type="continuationSeparator" w:id="0">
    <w:p w14:paraId="081C17E4" w14:textId="77777777" w:rsidR="00F525A5" w:rsidRDefault="00F525A5" w:rsidP="007954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A52"/>
    <w:rsid w:val="00024C2C"/>
    <w:rsid w:val="00027834"/>
    <w:rsid w:val="00044CAB"/>
    <w:rsid w:val="00045D81"/>
    <w:rsid w:val="00061C78"/>
    <w:rsid w:val="00070125"/>
    <w:rsid w:val="00072A15"/>
    <w:rsid w:val="00074CB4"/>
    <w:rsid w:val="0008237D"/>
    <w:rsid w:val="000E6B0A"/>
    <w:rsid w:val="000E76B5"/>
    <w:rsid w:val="00106CD2"/>
    <w:rsid w:val="0015066C"/>
    <w:rsid w:val="001573CA"/>
    <w:rsid w:val="00161F0A"/>
    <w:rsid w:val="00166D1F"/>
    <w:rsid w:val="00174E70"/>
    <w:rsid w:val="00183C5D"/>
    <w:rsid w:val="00194A7B"/>
    <w:rsid w:val="00196410"/>
    <w:rsid w:val="001B00A6"/>
    <w:rsid w:val="001B375E"/>
    <w:rsid w:val="001B7B03"/>
    <w:rsid w:val="001C0059"/>
    <w:rsid w:val="001C2AC0"/>
    <w:rsid w:val="002050B1"/>
    <w:rsid w:val="00222130"/>
    <w:rsid w:val="00226D37"/>
    <w:rsid w:val="00230D36"/>
    <w:rsid w:val="002416FD"/>
    <w:rsid w:val="00262F76"/>
    <w:rsid w:val="00283610"/>
    <w:rsid w:val="002B4C3D"/>
    <w:rsid w:val="002D6F0A"/>
    <w:rsid w:val="002F0643"/>
    <w:rsid w:val="002F6221"/>
    <w:rsid w:val="00301F26"/>
    <w:rsid w:val="003746E6"/>
    <w:rsid w:val="00381099"/>
    <w:rsid w:val="00393B4B"/>
    <w:rsid w:val="003B2188"/>
    <w:rsid w:val="003C3ABF"/>
    <w:rsid w:val="003E0599"/>
    <w:rsid w:val="003E372E"/>
    <w:rsid w:val="003E431D"/>
    <w:rsid w:val="003F63AB"/>
    <w:rsid w:val="0042331B"/>
    <w:rsid w:val="00426456"/>
    <w:rsid w:val="004265C7"/>
    <w:rsid w:val="00426CBD"/>
    <w:rsid w:val="00433B3B"/>
    <w:rsid w:val="00451124"/>
    <w:rsid w:val="00476579"/>
    <w:rsid w:val="004870DE"/>
    <w:rsid w:val="00492C3C"/>
    <w:rsid w:val="00495002"/>
    <w:rsid w:val="00495AE1"/>
    <w:rsid w:val="004B5140"/>
    <w:rsid w:val="004C6988"/>
    <w:rsid w:val="004E09E8"/>
    <w:rsid w:val="004E11CD"/>
    <w:rsid w:val="004F16C7"/>
    <w:rsid w:val="004F17A9"/>
    <w:rsid w:val="0051154E"/>
    <w:rsid w:val="005179AC"/>
    <w:rsid w:val="00524746"/>
    <w:rsid w:val="005444DA"/>
    <w:rsid w:val="005A02B6"/>
    <w:rsid w:val="005A1A43"/>
    <w:rsid w:val="005A21FF"/>
    <w:rsid w:val="005C365B"/>
    <w:rsid w:val="005D4A28"/>
    <w:rsid w:val="005F2A0A"/>
    <w:rsid w:val="00602387"/>
    <w:rsid w:val="00607634"/>
    <w:rsid w:val="006412C6"/>
    <w:rsid w:val="006561C4"/>
    <w:rsid w:val="0066666A"/>
    <w:rsid w:val="006A0752"/>
    <w:rsid w:val="006C13DA"/>
    <w:rsid w:val="006C4D8E"/>
    <w:rsid w:val="006D082A"/>
    <w:rsid w:val="006F0734"/>
    <w:rsid w:val="006F4395"/>
    <w:rsid w:val="00710FB5"/>
    <w:rsid w:val="00714CD4"/>
    <w:rsid w:val="007166E5"/>
    <w:rsid w:val="00746102"/>
    <w:rsid w:val="00762DF1"/>
    <w:rsid w:val="00771BFE"/>
    <w:rsid w:val="00772CEB"/>
    <w:rsid w:val="00783504"/>
    <w:rsid w:val="00785CF7"/>
    <w:rsid w:val="00790F92"/>
    <w:rsid w:val="00795442"/>
    <w:rsid w:val="007B26D9"/>
    <w:rsid w:val="007C18D5"/>
    <w:rsid w:val="007F4FC5"/>
    <w:rsid w:val="007F7320"/>
    <w:rsid w:val="008123B8"/>
    <w:rsid w:val="00820D82"/>
    <w:rsid w:val="00823776"/>
    <w:rsid w:val="00826760"/>
    <w:rsid w:val="00830845"/>
    <w:rsid w:val="008544C8"/>
    <w:rsid w:val="00855420"/>
    <w:rsid w:val="00875316"/>
    <w:rsid w:val="008A0A59"/>
    <w:rsid w:val="008C4BDC"/>
    <w:rsid w:val="008D135A"/>
    <w:rsid w:val="008E48F5"/>
    <w:rsid w:val="008F263D"/>
    <w:rsid w:val="008F480F"/>
    <w:rsid w:val="00900A31"/>
    <w:rsid w:val="00910FAE"/>
    <w:rsid w:val="00924B3D"/>
    <w:rsid w:val="00927F9C"/>
    <w:rsid w:val="0095116F"/>
    <w:rsid w:val="0095135E"/>
    <w:rsid w:val="009978B0"/>
    <w:rsid w:val="009B6548"/>
    <w:rsid w:val="009C34D8"/>
    <w:rsid w:val="009D43F5"/>
    <w:rsid w:val="009E7B5F"/>
    <w:rsid w:val="00A00BD6"/>
    <w:rsid w:val="00A028E5"/>
    <w:rsid w:val="00A03AE4"/>
    <w:rsid w:val="00A1447E"/>
    <w:rsid w:val="00A15F51"/>
    <w:rsid w:val="00A53F9A"/>
    <w:rsid w:val="00A54043"/>
    <w:rsid w:val="00A5416F"/>
    <w:rsid w:val="00A7622D"/>
    <w:rsid w:val="00A9730F"/>
    <w:rsid w:val="00AD2316"/>
    <w:rsid w:val="00AD3713"/>
    <w:rsid w:val="00AD7BDE"/>
    <w:rsid w:val="00AF5930"/>
    <w:rsid w:val="00B1423A"/>
    <w:rsid w:val="00B14BE5"/>
    <w:rsid w:val="00B2175C"/>
    <w:rsid w:val="00B54F59"/>
    <w:rsid w:val="00B658AA"/>
    <w:rsid w:val="00B76705"/>
    <w:rsid w:val="00B842C6"/>
    <w:rsid w:val="00BA0C12"/>
    <w:rsid w:val="00BA42FA"/>
    <w:rsid w:val="00BB117E"/>
    <w:rsid w:val="00BB4B45"/>
    <w:rsid w:val="00BB5C07"/>
    <w:rsid w:val="00BC113C"/>
    <w:rsid w:val="00BC126B"/>
    <w:rsid w:val="00BC3A5A"/>
    <w:rsid w:val="00BE3A2D"/>
    <w:rsid w:val="00BE4A9B"/>
    <w:rsid w:val="00C03A69"/>
    <w:rsid w:val="00C12F5D"/>
    <w:rsid w:val="00C17809"/>
    <w:rsid w:val="00C256A0"/>
    <w:rsid w:val="00C25DBD"/>
    <w:rsid w:val="00C319F3"/>
    <w:rsid w:val="00C31E0C"/>
    <w:rsid w:val="00C4096C"/>
    <w:rsid w:val="00C97325"/>
    <w:rsid w:val="00CB0EF6"/>
    <w:rsid w:val="00CB4680"/>
    <w:rsid w:val="00CC267C"/>
    <w:rsid w:val="00CD0E34"/>
    <w:rsid w:val="00CE5113"/>
    <w:rsid w:val="00D11C7A"/>
    <w:rsid w:val="00D35200"/>
    <w:rsid w:val="00D37F05"/>
    <w:rsid w:val="00D439CC"/>
    <w:rsid w:val="00D44B5B"/>
    <w:rsid w:val="00D50DEB"/>
    <w:rsid w:val="00D52E33"/>
    <w:rsid w:val="00D53F33"/>
    <w:rsid w:val="00D6500B"/>
    <w:rsid w:val="00D81343"/>
    <w:rsid w:val="00DA4D2D"/>
    <w:rsid w:val="00DB4D82"/>
    <w:rsid w:val="00DC1173"/>
    <w:rsid w:val="00DC7A52"/>
    <w:rsid w:val="00DD0F54"/>
    <w:rsid w:val="00DD3F7F"/>
    <w:rsid w:val="00DD6D55"/>
    <w:rsid w:val="00DF77A5"/>
    <w:rsid w:val="00E16B4D"/>
    <w:rsid w:val="00E312EB"/>
    <w:rsid w:val="00E33FC9"/>
    <w:rsid w:val="00E458C3"/>
    <w:rsid w:val="00E56BEE"/>
    <w:rsid w:val="00E6758B"/>
    <w:rsid w:val="00E74654"/>
    <w:rsid w:val="00E75CD2"/>
    <w:rsid w:val="00E87A59"/>
    <w:rsid w:val="00E97CB4"/>
    <w:rsid w:val="00EA6D31"/>
    <w:rsid w:val="00EB06A4"/>
    <w:rsid w:val="00EF09B1"/>
    <w:rsid w:val="00EF4F0D"/>
    <w:rsid w:val="00F202C2"/>
    <w:rsid w:val="00F36D33"/>
    <w:rsid w:val="00F42647"/>
    <w:rsid w:val="00F47368"/>
    <w:rsid w:val="00F52436"/>
    <w:rsid w:val="00F525A5"/>
    <w:rsid w:val="00F718AC"/>
    <w:rsid w:val="00F91858"/>
    <w:rsid w:val="00FA5F3B"/>
    <w:rsid w:val="00FA6FF4"/>
    <w:rsid w:val="00FB4A66"/>
    <w:rsid w:val="00FC07F0"/>
    <w:rsid w:val="00FD78ED"/>
    <w:rsid w:val="00FF2D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56C98"/>
  <w15:chartTrackingRefBased/>
  <w15:docId w15:val="{609CAC56-6CF6-4D21-90DE-7656D702B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7A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7A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7A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7A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7A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7A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7A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7A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7A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7A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7A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7A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7A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7A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7A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7A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7A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7A52"/>
    <w:rPr>
      <w:rFonts w:eastAsiaTheme="majorEastAsia" w:cstheme="majorBidi"/>
      <w:color w:val="272727" w:themeColor="text1" w:themeTint="D8"/>
    </w:rPr>
  </w:style>
  <w:style w:type="paragraph" w:styleId="Title">
    <w:name w:val="Title"/>
    <w:basedOn w:val="Normal"/>
    <w:next w:val="Normal"/>
    <w:link w:val="TitleChar"/>
    <w:uiPriority w:val="10"/>
    <w:qFormat/>
    <w:rsid w:val="00DC7A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7A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7A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7A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7A52"/>
    <w:pPr>
      <w:spacing w:before="160"/>
      <w:jc w:val="center"/>
    </w:pPr>
    <w:rPr>
      <w:i/>
      <w:iCs/>
      <w:color w:val="404040" w:themeColor="text1" w:themeTint="BF"/>
    </w:rPr>
  </w:style>
  <w:style w:type="character" w:customStyle="1" w:styleId="QuoteChar">
    <w:name w:val="Quote Char"/>
    <w:basedOn w:val="DefaultParagraphFont"/>
    <w:link w:val="Quote"/>
    <w:uiPriority w:val="29"/>
    <w:rsid w:val="00DC7A52"/>
    <w:rPr>
      <w:i/>
      <w:iCs/>
      <w:color w:val="404040" w:themeColor="text1" w:themeTint="BF"/>
    </w:rPr>
  </w:style>
  <w:style w:type="paragraph" w:styleId="ListParagraph">
    <w:name w:val="List Paragraph"/>
    <w:basedOn w:val="Normal"/>
    <w:uiPriority w:val="34"/>
    <w:qFormat/>
    <w:rsid w:val="00DC7A52"/>
    <w:pPr>
      <w:ind w:left="720"/>
      <w:contextualSpacing/>
    </w:pPr>
  </w:style>
  <w:style w:type="character" w:styleId="IntenseEmphasis">
    <w:name w:val="Intense Emphasis"/>
    <w:basedOn w:val="DefaultParagraphFont"/>
    <w:uiPriority w:val="21"/>
    <w:qFormat/>
    <w:rsid w:val="00DC7A52"/>
    <w:rPr>
      <w:i/>
      <w:iCs/>
      <w:color w:val="0F4761" w:themeColor="accent1" w:themeShade="BF"/>
    </w:rPr>
  </w:style>
  <w:style w:type="paragraph" w:styleId="IntenseQuote">
    <w:name w:val="Intense Quote"/>
    <w:basedOn w:val="Normal"/>
    <w:next w:val="Normal"/>
    <w:link w:val="IntenseQuoteChar"/>
    <w:uiPriority w:val="30"/>
    <w:qFormat/>
    <w:rsid w:val="00DC7A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7A52"/>
    <w:rPr>
      <w:i/>
      <w:iCs/>
      <w:color w:val="0F4761" w:themeColor="accent1" w:themeShade="BF"/>
    </w:rPr>
  </w:style>
  <w:style w:type="character" w:styleId="IntenseReference">
    <w:name w:val="Intense Reference"/>
    <w:basedOn w:val="DefaultParagraphFont"/>
    <w:uiPriority w:val="32"/>
    <w:qFormat/>
    <w:rsid w:val="00DC7A52"/>
    <w:rPr>
      <w:b/>
      <w:bCs/>
      <w:smallCaps/>
      <w:color w:val="0F4761" w:themeColor="accent1" w:themeShade="BF"/>
      <w:spacing w:val="5"/>
    </w:rPr>
  </w:style>
  <w:style w:type="paragraph" w:styleId="Header">
    <w:name w:val="header"/>
    <w:basedOn w:val="Normal"/>
    <w:link w:val="HeaderChar"/>
    <w:uiPriority w:val="99"/>
    <w:unhideWhenUsed/>
    <w:rsid w:val="007954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442"/>
  </w:style>
  <w:style w:type="paragraph" w:styleId="Footer">
    <w:name w:val="footer"/>
    <w:basedOn w:val="Normal"/>
    <w:link w:val="FooterChar"/>
    <w:uiPriority w:val="99"/>
    <w:unhideWhenUsed/>
    <w:rsid w:val="007954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442"/>
  </w:style>
  <w:style w:type="character" w:styleId="Hyperlink">
    <w:name w:val="Hyperlink"/>
    <w:basedOn w:val="DefaultParagraphFont"/>
    <w:uiPriority w:val="99"/>
    <w:unhideWhenUsed/>
    <w:rsid w:val="00823776"/>
    <w:rPr>
      <w:color w:val="467886" w:themeColor="hyperlink"/>
      <w:u w:val="single"/>
    </w:rPr>
  </w:style>
  <w:style w:type="character" w:styleId="UnresolvedMention">
    <w:name w:val="Unresolved Mention"/>
    <w:basedOn w:val="DefaultParagraphFont"/>
    <w:uiPriority w:val="99"/>
    <w:semiHidden/>
    <w:unhideWhenUsed/>
    <w:rsid w:val="00823776"/>
    <w:rPr>
      <w:color w:val="605E5C"/>
      <w:shd w:val="clear" w:color="auto" w:fill="E1DFDD"/>
    </w:rPr>
  </w:style>
  <w:style w:type="paragraph" w:styleId="TOCHeading">
    <w:name w:val="TOC Heading"/>
    <w:basedOn w:val="Heading1"/>
    <w:next w:val="Normal"/>
    <w:uiPriority w:val="39"/>
    <w:unhideWhenUsed/>
    <w:qFormat/>
    <w:rsid w:val="00C31E0C"/>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C31E0C"/>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C31E0C"/>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C31E0C"/>
    <w:pPr>
      <w:spacing w:after="100" w:line="259" w:lineRule="auto"/>
      <w:ind w:left="440"/>
    </w:pPr>
    <w:rPr>
      <w:rFonts w:eastAsiaTheme="minorEastAsia" w:cs="Times New Roman"/>
      <w:kern w:val="0"/>
      <w:sz w:val="22"/>
      <w:szCs w:val="22"/>
      <w:lang w:val="en-US"/>
      <w14:ligatures w14:val="none"/>
    </w:rPr>
  </w:style>
  <w:style w:type="paragraph" w:styleId="NormalWeb">
    <w:name w:val="Normal (Web)"/>
    <w:basedOn w:val="Normal"/>
    <w:uiPriority w:val="99"/>
    <w:semiHidden/>
    <w:unhideWhenUsed/>
    <w:rsid w:val="00BE3A2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the-information-governance-review" TargetMode="External"/><Relationship Id="rId13" Type="http://schemas.openxmlformats.org/officeDocument/2006/relationships/hyperlink" Target="https://www.rcn.org.uk/professional-development/publications/pub-007750" TargetMode="External"/><Relationship Id="rId3" Type="http://schemas.openxmlformats.org/officeDocument/2006/relationships/settings" Target="settings.xml"/><Relationship Id="rId7" Type="http://schemas.openxmlformats.org/officeDocument/2006/relationships/hyperlink" Target="https://www.cqc.org.uk/about-us/fundamental-standards" TargetMode="External"/><Relationship Id="rId12" Type="http://schemas.openxmlformats.org/officeDocument/2006/relationships/hyperlink" Target="https://www.nmc.org.uk/standards/cod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ice.org.uk/guidance/ng97"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legislation.gov.uk/ukpga/2018/12/contents" TargetMode="External"/><Relationship Id="rId4" Type="http://schemas.openxmlformats.org/officeDocument/2006/relationships/webSettings" Target="webSettings.xml"/><Relationship Id="rId9" Type="http://schemas.openxmlformats.org/officeDocument/2006/relationships/hyperlink" Target="https://www.legislation.gov.uk/ukpga/2010/15/contents" TargetMode="External"/><Relationship Id="rId14" Type="http://schemas.openxmlformats.org/officeDocument/2006/relationships/hyperlink" Target="https://apps.who.int/gb/ebwha/pdf_files/WHA69/A69_39-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933B0-6727-45F5-94E8-0E9E9F49C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5945</TotalTime>
  <Pages>9</Pages>
  <Words>2273</Words>
  <Characters>12961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Siakha Bi</dc:creator>
  <cp:keywords/>
  <dc:description/>
  <cp:lastModifiedBy>Siakha Bi</cp:lastModifiedBy>
  <cp:revision>202</cp:revision>
  <dcterms:created xsi:type="dcterms:W3CDTF">2026-07-05T22:59:00Z</dcterms:created>
  <dcterms:modified xsi:type="dcterms:W3CDTF">2026-07-21T01:57:00Z</dcterms:modified>
</cp:coreProperties>
</file>